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EF1" w:rsidRDefault="00591EF1" w:rsidP="00591EF1">
      <w:pPr>
        <w:spacing w:line="360" w:lineRule="auto"/>
        <w:jc w:val="center"/>
        <w:rPr>
          <w:rFonts w:cs="Times New Roman"/>
          <w:b/>
          <w:sz w:val="56"/>
          <w:szCs w:val="56"/>
        </w:rPr>
      </w:pPr>
    </w:p>
    <w:p w:rsidR="00591EF1" w:rsidRDefault="00591EF1" w:rsidP="00591EF1">
      <w:pPr>
        <w:spacing w:line="360" w:lineRule="auto"/>
        <w:jc w:val="center"/>
        <w:rPr>
          <w:rFonts w:cs="Times New Roman"/>
          <w:b/>
          <w:sz w:val="56"/>
          <w:szCs w:val="56"/>
        </w:rPr>
      </w:pPr>
    </w:p>
    <w:p w:rsidR="00591EF1" w:rsidRDefault="00591EF1" w:rsidP="00591EF1">
      <w:pPr>
        <w:spacing w:line="360" w:lineRule="auto"/>
        <w:jc w:val="center"/>
        <w:rPr>
          <w:rFonts w:cs="Times New Roman"/>
          <w:b/>
          <w:sz w:val="56"/>
          <w:szCs w:val="56"/>
        </w:rPr>
      </w:pPr>
    </w:p>
    <w:p w:rsidR="00591EF1" w:rsidRDefault="00591EF1" w:rsidP="00591EF1">
      <w:pPr>
        <w:spacing w:line="360" w:lineRule="auto"/>
        <w:jc w:val="center"/>
        <w:rPr>
          <w:rFonts w:cs="Times New Roman"/>
          <w:b/>
          <w:sz w:val="56"/>
          <w:szCs w:val="56"/>
        </w:rPr>
      </w:pPr>
    </w:p>
    <w:p w:rsidR="00591EF1" w:rsidRDefault="00591EF1" w:rsidP="00591EF1">
      <w:pPr>
        <w:spacing w:line="360" w:lineRule="auto"/>
        <w:jc w:val="center"/>
        <w:rPr>
          <w:rFonts w:cs="Times New Roman"/>
          <w:b/>
          <w:sz w:val="56"/>
          <w:szCs w:val="56"/>
        </w:rPr>
      </w:pPr>
      <w:r>
        <w:rPr>
          <w:rFonts w:cs="Times New Roman"/>
          <w:b/>
          <w:sz w:val="56"/>
          <w:szCs w:val="56"/>
        </w:rPr>
        <w:t>Chapter 1</w:t>
      </w:r>
    </w:p>
    <w:p w:rsidR="00591EF1" w:rsidRDefault="00591EF1" w:rsidP="00591EF1">
      <w:pPr>
        <w:spacing w:line="360" w:lineRule="auto"/>
        <w:jc w:val="center"/>
        <w:rPr>
          <w:rFonts w:cs="Times New Roman"/>
          <w:b/>
          <w:sz w:val="56"/>
          <w:szCs w:val="56"/>
        </w:rPr>
      </w:pPr>
      <w:r>
        <w:rPr>
          <w:rFonts w:cs="Times New Roman"/>
          <w:b/>
          <w:sz w:val="56"/>
          <w:szCs w:val="56"/>
        </w:rPr>
        <w:t>Introduction</w:t>
      </w:r>
    </w:p>
    <w:p w:rsidR="00591EF1" w:rsidRDefault="00591EF1" w:rsidP="00591EF1">
      <w:pPr>
        <w:spacing w:line="360" w:lineRule="auto"/>
        <w:jc w:val="both"/>
        <w:rPr>
          <w:rFonts w:cs="Times New Roman"/>
          <w:b/>
          <w:sz w:val="20"/>
          <w:szCs w:val="20"/>
        </w:rPr>
      </w:pPr>
    </w:p>
    <w:p w:rsidR="00591EF1" w:rsidRDefault="00591EF1" w:rsidP="00591EF1">
      <w:pPr>
        <w:spacing w:line="360" w:lineRule="auto"/>
        <w:jc w:val="both"/>
        <w:rPr>
          <w:rFonts w:cs="Times New Roman"/>
          <w:b/>
        </w:rPr>
      </w:pPr>
    </w:p>
    <w:p w:rsidR="00591EF1" w:rsidRDefault="00591EF1" w:rsidP="00591EF1">
      <w:pPr>
        <w:spacing w:line="360" w:lineRule="auto"/>
        <w:jc w:val="both"/>
        <w:rPr>
          <w:rFonts w:cs="Times New Roman"/>
          <w:b/>
        </w:rPr>
      </w:pPr>
    </w:p>
    <w:p w:rsidR="00591EF1" w:rsidRDefault="00591EF1" w:rsidP="00591EF1">
      <w:pPr>
        <w:spacing w:line="360" w:lineRule="auto"/>
        <w:jc w:val="both"/>
        <w:rPr>
          <w:rFonts w:cs="Times New Roman"/>
          <w:b/>
        </w:rPr>
      </w:pPr>
    </w:p>
    <w:p w:rsidR="00591EF1" w:rsidRDefault="00591EF1" w:rsidP="00591EF1">
      <w:pPr>
        <w:spacing w:line="360" w:lineRule="auto"/>
        <w:jc w:val="both"/>
        <w:rPr>
          <w:rFonts w:cs="Times New Roman"/>
          <w:b/>
        </w:rPr>
      </w:pPr>
    </w:p>
    <w:p w:rsidR="00591EF1" w:rsidRDefault="00591EF1" w:rsidP="00591EF1">
      <w:pPr>
        <w:spacing w:line="360" w:lineRule="auto"/>
        <w:jc w:val="both"/>
        <w:rPr>
          <w:rFonts w:cs="Times New Roman"/>
          <w:b/>
        </w:rPr>
      </w:pPr>
    </w:p>
    <w:p w:rsidR="00591EF1" w:rsidRDefault="00591EF1" w:rsidP="00591EF1">
      <w:pPr>
        <w:spacing w:line="360" w:lineRule="auto"/>
        <w:jc w:val="both"/>
        <w:rPr>
          <w:rFonts w:cs="Times New Roman"/>
          <w:b/>
        </w:rPr>
      </w:pPr>
    </w:p>
    <w:p w:rsidR="00591EF1" w:rsidRDefault="00591EF1" w:rsidP="00591EF1">
      <w:pPr>
        <w:spacing w:line="360" w:lineRule="auto"/>
        <w:jc w:val="both"/>
        <w:rPr>
          <w:rFonts w:cs="Times New Roman"/>
          <w:b/>
        </w:rPr>
      </w:pPr>
    </w:p>
    <w:p w:rsidR="00591EF1" w:rsidRDefault="00591EF1" w:rsidP="00591EF1">
      <w:pPr>
        <w:spacing w:line="360" w:lineRule="auto"/>
        <w:jc w:val="both"/>
        <w:rPr>
          <w:rFonts w:cs="Times New Roman"/>
          <w:b/>
        </w:rPr>
      </w:pPr>
    </w:p>
    <w:p w:rsidR="00591EF1" w:rsidRDefault="00591EF1" w:rsidP="00591EF1">
      <w:pPr>
        <w:spacing w:line="360" w:lineRule="auto"/>
        <w:jc w:val="both"/>
        <w:rPr>
          <w:rFonts w:cs="Times New Roman"/>
          <w:b/>
        </w:rPr>
      </w:pPr>
    </w:p>
    <w:p w:rsidR="00591EF1" w:rsidRDefault="00591EF1" w:rsidP="00591EF1">
      <w:pPr>
        <w:spacing w:line="360" w:lineRule="auto"/>
        <w:jc w:val="both"/>
        <w:rPr>
          <w:rFonts w:cs="Times New Roman"/>
          <w:b/>
        </w:rPr>
      </w:pPr>
    </w:p>
    <w:p w:rsidR="00114DCE" w:rsidRDefault="00114DCE" w:rsidP="00591EF1">
      <w:pPr>
        <w:spacing w:line="360" w:lineRule="auto"/>
        <w:jc w:val="both"/>
        <w:rPr>
          <w:rFonts w:cs="Times New Roman"/>
          <w:b/>
        </w:rPr>
        <w:sectPr w:rsidR="00114DCE">
          <w:footerReference w:type="default" r:id="rId8"/>
          <w:pgSz w:w="11906" w:h="16838"/>
          <w:pgMar w:top="1440" w:right="1440" w:bottom="1440" w:left="1440" w:header="708" w:footer="708" w:gutter="0"/>
          <w:cols w:space="708"/>
          <w:docGrid w:linePitch="360"/>
        </w:sectPr>
      </w:pPr>
    </w:p>
    <w:sdt>
      <w:sdtPr>
        <w:rPr>
          <w:rFonts w:asciiTheme="minorHAnsi" w:eastAsiaTheme="minorHAnsi" w:hAnsiTheme="minorHAnsi" w:cstheme="minorBidi"/>
          <w:color w:val="auto"/>
          <w:sz w:val="22"/>
          <w:szCs w:val="22"/>
          <w:lang w:val="en-IE"/>
        </w:rPr>
        <w:id w:val="1112855915"/>
        <w:docPartObj>
          <w:docPartGallery w:val="Table of Contents"/>
          <w:docPartUnique/>
        </w:docPartObj>
      </w:sdtPr>
      <w:sdtEndPr>
        <w:rPr>
          <w:b/>
          <w:bCs/>
          <w:noProof/>
        </w:rPr>
      </w:sdtEndPr>
      <w:sdtContent>
        <w:p w:rsidR="00591EF1" w:rsidRPr="00591EF1" w:rsidRDefault="00591EF1">
          <w:pPr>
            <w:pStyle w:val="TOCHeading"/>
            <w:rPr>
              <w:i/>
              <w:color w:val="auto"/>
              <w:sz w:val="28"/>
              <w:szCs w:val="28"/>
            </w:rPr>
          </w:pPr>
          <w:r w:rsidRPr="00591EF1">
            <w:rPr>
              <w:i/>
              <w:color w:val="auto"/>
              <w:sz w:val="28"/>
              <w:szCs w:val="28"/>
            </w:rPr>
            <w:t>Table of Contents</w:t>
          </w:r>
        </w:p>
        <w:p w:rsidR="000F2A7E" w:rsidRDefault="00591EF1">
          <w:pPr>
            <w:pStyle w:val="TOC1"/>
            <w:rPr>
              <w:rFonts w:eastAsiaTheme="minorEastAsia"/>
              <w:b w:val="0"/>
              <w:lang w:eastAsia="en-IE"/>
            </w:rPr>
          </w:pPr>
          <w:r>
            <w:fldChar w:fldCharType="begin"/>
          </w:r>
          <w:r>
            <w:instrText xml:space="preserve"> TOC \o "1-3" \h \z \u </w:instrText>
          </w:r>
          <w:r>
            <w:fldChar w:fldCharType="separate"/>
          </w:r>
          <w:hyperlink w:anchor="_Toc446773053" w:history="1">
            <w:r w:rsidR="000F2A7E" w:rsidRPr="00BE3A6F">
              <w:rPr>
                <w:rStyle w:val="Hyperlink"/>
              </w:rPr>
              <w:t xml:space="preserve">1.1 Preparation of </w:t>
            </w:r>
            <w:r w:rsidR="000F2A7E" w:rsidRPr="00BE3A6F">
              <w:rPr>
                <w:rStyle w:val="Hyperlink"/>
                <w:rFonts w:ascii="Symbol" w:hAnsi="Symbol"/>
              </w:rPr>
              <w:t></w:t>
            </w:r>
            <w:r w:rsidR="000F2A7E" w:rsidRPr="00BE3A6F">
              <w:rPr>
                <w:rStyle w:val="Hyperlink"/>
              </w:rPr>
              <w:t>-diazocarbonyl compounds</w:t>
            </w:r>
            <w:r w:rsidR="000F2A7E">
              <w:rPr>
                <w:webHidden/>
              </w:rPr>
              <w:tab/>
            </w:r>
            <w:r w:rsidR="000F2A7E">
              <w:rPr>
                <w:webHidden/>
              </w:rPr>
              <w:fldChar w:fldCharType="begin"/>
            </w:r>
            <w:r w:rsidR="000F2A7E">
              <w:rPr>
                <w:webHidden/>
              </w:rPr>
              <w:instrText xml:space="preserve"> PAGEREF _Toc446773053 \h </w:instrText>
            </w:r>
            <w:r w:rsidR="000F2A7E">
              <w:rPr>
                <w:webHidden/>
              </w:rPr>
            </w:r>
            <w:r w:rsidR="000F2A7E">
              <w:rPr>
                <w:webHidden/>
              </w:rPr>
              <w:fldChar w:fldCharType="separate"/>
            </w:r>
            <w:r w:rsidR="00CE22CF">
              <w:rPr>
                <w:webHidden/>
              </w:rPr>
              <w:t>3</w:t>
            </w:r>
            <w:r w:rsidR="000F2A7E">
              <w:rPr>
                <w:webHidden/>
              </w:rPr>
              <w:fldChar w:fldCharType="end"/>
            </w:r>
          </w:hyperlink>
        </w:p>
        <w:p w:rsidR="000F2A7E" w:rsidRDefault="00AF1884">
          <w:pPr>
            <w:pStyle w:val="TOC2"/>
            <w:rPr>
              <w:rFonts w:eastAsiaTheme="minorEastAsia"/>
              <w:i w:val="0"/>
              <w:lang w:eastAsia="en-IE"/>
            </w:rPr>
          </w:pPr>
          <w:hyperlink w:anchor="_Toc446773054" w:history="1">
            <w:r w:rsidR="000F2A7E" w:rsidRPr="00BE3A6F">
              <w:rPr>
                <w:rStyle w:val="Hyperlink"/>
              </w:rPr>
              <w:t>1.1.1 Overview of diazo transfer reactions</w:t>
            </w:r>
            <w:r w:rsidR="000F2A7E">
              <w:rPr>
                <w:webHidden/>
              </w:rPr>
              <w:tab/>
            </w:r>
            <w:r w:rsidR="000F2A7E">
              <w:rPr>
                <w:webHidden/>
              </w:rPr>
              <w:fldChar w:fldCharType="begin"/>
            </w:r>
            <w:r w:rsidR="000F2A7E">
              <w:rPr>
                <w:webHidden/>
              </w:rPr>
              <w:instrText xml:space="preserve"> PAGEREF _Toc446773054 \h </w:instrText>
            </w:r>
            <w:r w:rsidR="000F2A7E">
              <w:rPr>
                <w:webHidden/>
              </w:rPr>
            </w:r>
            <w:r w:rsidR="000F2A7E">
              <w:rPr>
                <w:webHidden/>
              </w:rPr>
              <w:fldChar w:fldCharType="separate"/>
            </w:r>
            <w:r w:rsidR="00CE22CF">
              <w:rPr>
                <w:webHidden/>
              </w:rPr>
              <w:t>3</w:t>
            </w:r>
            <w:r w:rsidR="000F2A7E">
              <w:rPr>
                <w:webHidden/>
              </w:rPr>
              <w:fldChar w:fldCharType="end"/>
            </w:r>
          </w:hyperlink>
        </w:p>
        <w:p w:rsidR="000F2A7E" w:rsidRDefault="00AF1884">
          <w:pPr>
            <w:pStyle w:val="TOC2"/>
            <w:rPr>
              <w:rFonts w:eastAsiaTheme="minorEastAsia"/>
              <w:i w:val="0"/>
              <w:lang w:eastAsia="en-IE"/>
            </w:rPr>
          </w:pPr>
          <w:hyperlink w:anchor="_Toc446773055" w:history="1">
            <w:r w:rsidR="000F2A7E" w:rsidRPr="00BE3A6F">
              <w:rPr>
                <w:rStyle w:val="Hyperlink"/>
              </w:rPr>
              <w:t>1.1.2 A brief history of diazo chemistry</w:t>
            </w:r>
            <w:r w:rsidR="000F2A7E">
              <w:rPr>
                <w:webHidden/>
              </w:rPr>
              <w:tab/>
            </w:r>
            <w:r w:rsidR="000F2A7E">
              <w:rPr>
                <w:webHidden/>
              </w:rPr>
              <w:fldChar w:fldCharType="begin"/>
            </w:r>
            <w:r w:rsidR="000F2A7E">
              <w:rPr>
                <w:webHidden/>
              </w:rPr>
              <w:instrText xml:space="preserve"> PAGEREF _Toc446773055 \h </w:instrText>
            </w:r>
            <w:r w:rsidR="000F2A7E">
              <w:rPr>
                <w:webHidden/>
              </w:rPr>
            </w:r>
            <w:r w:rsidR="000F2A7E">
              <w:rPr>
                <w:webHidden/>
              </w:rPr>
              <w:fldChar w:fldCharType="separate"/>
            </w:r>
            <w:r w:rsidR="00CE22CF">
              <w:rPr>
                <w:webHidden/>
              </w:rPr>
              <w:t>7</w:t>
            </w:r>
            <w:r w:rsidR="000F2A7E">
              <w:rPr>
                <w:webHidden/>
              </w:rPr>
              <w:fldChar w:fldCharType="end"/>
            </w:r>
          </w:hyperlink>
        </w:p>
        <w:p w:rsidR="000F2A7E" w:rsidRDefault="00AF1884">
          <w:pPr>
            <w:pStyle w:val="TOC3"/>
            <w:tabs>
              <w:tab w:val="right" w:leader="dot" w:pos="9016"/>
            </w:tabs>
            <w:rPr>
              <w:rFonts w:eastAsiaTheme="minorEastAsia"/>
              <w:noProof/>
              <w:lang w:eastAsia="en-IE"/>
            </w:rPr>
          </w:pPr>
          <w:hyperlink w:anchor="_Toc446773056" w:history="1">
            <w:r w:rsidR="000F2A7E" w:rsidRPr="00BE3A6F">
              <w:rPr>
                <w:rStyle w:val="Hyperlink"/>
                <w:noProof/>
              </w:rPr>
              <w:t>1.1.2.1 Arndt-Eistert synthesis</w:t>
            </w:r>
            <w:r w:rsidR="000F2A7E">
              <w:rPr>
                <w:noProof/>
                <w:webHidden/>
              </w:rPr>
              <w:tab/>
            </w:r>
            <w:r w:rsidR="000F2A7E">
              <w:rPr>
                <w:noProof/>
                <w:webHidden/>
              </w:rPr>
              <w:fldChar w:fldCharType="begin"/>
            </w:r>
            <w:r w:rsidR="000F2A7E">
              <w:rPr>
                <w:noProof/>
                <w:webHidden/>
              </w:rPr>
              <w:instrText xml:space="preserve"> PAGEREF _Toc446773056 \h </w:instrText>
            </w:r>
            <w:r w:rsidR="000F2A7E">
              <w:rPr>
                <w:noProof/>
                <w:webHidden/>
              </w:rPr>
            </w:r>
            <w:r w:rsidR="000F2A7E">
              <w:rPr>
                <w:noProof/>
                <w:webHidden/>
              </w:rPr>
              <w:fldChar w:fldCharType="separate"/>
            </w:r>
            <w:r w:rsidR="00CE22CF">
              <w:rPr>
                <w:noProof/>
                <w:webHidden/>
              </w:rPr>
              <w:t>7</w:t>
            </w:r>
            <w:r w:rsidR="000F2A7E">
              <w:rPr>
                <w:noProof/>
                <w:webHidden/>
              </w:rPr>
              <w:fldChar w:fldCharType="end"/>
            </w:r>
          </w:hyperlink>
        </w:p>
        <w:p w:rsidR="000F2A7E" w:rsidRDefault="00AF1884">
          <w:pPr>
            <w:pStyle w:val="TOC3"/>
            <w:tabs>
              <w:tab w:val="right" w:leader="dot" w:pos="9016"/>
            </w:tabs>
            <w:rPr>
              <w:rFonts w:eastAsiaTheme="minorEastAsia"/>
              <w:noProof/>
              <w:lang w:eastAsia="en-IE"/>
            </w:rPr>
          </w:pPr>
          <w:hyperlink w:anchor="_Toc446773057" w:history="1">
            <w:r w:rsidR="000F2A7E" w:rsidRPr="00BE3A6F">
              <w:rPr>
                <w:rStyle w:val="Hyperlink"/>
                <w:noProof/>
              </w:rPr>
              <w:t>1.1.2.2 Regitz diazo transfer method</w:t>
            </w:r>
            <w:r w:rsidR="000F2A7E">
              <w:rPr>
                <w:noProof/>
                <w:webHidden/>
              </w:rPr>
              <w:tab/>
            </w:r>
            <w:r w:rsidR="000F2A7E">
              <w:rPr>
                <w:noProof/>
                <w:webHidden/>
              </w:rPr>
              <w:fldChar w:fldCharType="begin"/>
            </w:r>
            <w:r w:rsidR="000F2A7E">
              <w:rPr>
                <w:noProof/>
                <w:webHidden/>
              </w:rPr>
              <w:instrText xml:space="preserve"> PAGEREF _Toc446773057 \h </w:instrText>
            </w:r>
            <w:r w:rsidR="000F2A7E">
              <w:rPr>
                <w:noProof/>
                <w:webHidden/>
              </w:rPr>
            </w:r>
            <w:r w:rsidR="000F2A7E">
              <w:rPr>
                <w:noProof/>
                <w:webHidden/>
              </w:rPr>
              <w:fldChar w:fldCharType="separate"/>
            </w:r>
            <w:r w:rsidR="00CE22CF">
              <w:rPr>
                <w:noProof/>
                <w:webHidden/>
              </w:rPr>
              <w:t>8</w:t>
            </w:r>
            <w:r w:rsidR="000F2A7E">
              <w:rPr>
                <w:noProof/>
                <w:webHidden/>
              </w:rPr>
              <w:fldChar w:fldCharType="end"/>
            </w:r>
          </w:hyperlink>
        </w:p>
        <w:p w:rsidR="000F2A7E" w:rsidRDefault="00AF1884">
          <w:pPr>
            <w:pStyle w:val="TOC3"/>
            <w:tabs>
              <w:tab w:val="right" w:leader="dot" w:pos="9016"/>
            </w:tabs>
            <w:rPr>
              <w:rFonts w:eastAsiaTheme="minorEastAsia"/>
              <w:noProof/>
              <w:lang w:eastAsia="en-IE"/>
            </w:rPr>
          </w:pPr>
          <w:hyperlink w:anchor="_Toc446773058" w:history="1">
            <w:r w:rsidR="000F2A7E" w:rsidRPr="00BE3A6F">
              <w:rPr>
                <w:rStyle w:val="Hyperlink"/>
                <w:noProof/>
              </w:rPr>
              <w:t>1.1.2.3 Other modifications to the Regitz method</w:t>
            </w:r>
            <w:r w:rsidR="000F2A7E">
              <w:rPr>
                <w:noProof/>
                <w:webHidden/>
              </w:rPr>
              <w:tab/>
            </w:r>
            <w:r w:rsidR="000F2A7E">
              <w:rPr>
                <w:noProof/>
                <w:webHidden/>
              </w:rPr>
              <w:fldChar w:fldCharType="begin"/>
            </w:r>
            <w:r w:rsidR="000F2A7E">
              <w:rPr>
                <w:noProof/>
                <w:webHidden/>
              </w:rPr>
              <w:instrText xml:space="preserve"> PAGEREF _Toc446773058 \h </w:instrText>
            </w:r>
            <w:r w:rsidR="000F2A7E">
              <w:rPr>
                <w:noProof/>
                <w:webHidden/>
              </w:rPr>
            </w:r>
            <w:r w:rsidR="000F2A7E">
              <w:rPr>
                <w:noProof/>
                <w:webHidden/>
              </w:rPr>
              <w:fldChar w:fldCharType="separate"/>
            </w:r>
            <w:r w:rsidR="00CE22CF">
              <w:rPr>
                <w:noProof/>
                <w:webHidden/>
              </w:rPr>
              <w:t>10</w:t>
            </w:r>
            <w:r w:rsidR="000F2A7E">
              <w:rPr>
                <w:noProof/>
                <w:webHidden/>
              </w:rPr>
              <w:fldChar w:fldCharType="end"/>
            </w:r>
          </w:hyperlink>
        </w:p>
        <w:p w:rsidR="000F2A7E" w:rsidRDefault="00AF1884">
          <w:pPr>
            <w:pStyle w:val="TOC1"/>
            <w:rPr>
              <w:rFonts w:eastAsiaTheme="minorEastAsia"/>
              <w:b w:val="0"/>
              <w:lang w:eastAsia="en-IE"/>
            </w:rPr>
          </w:pPr>
          <w:hyperlink w:anchor="_Toc446773059" w:history="1">
            <w:r w:rsidR="000F2A7E" w:rsidRPr="00BE3A6F">
              <w:rPr>
                <w:rStyle w:val="Hyperlink"/>
              </w:rPr>
              <w:t>1.2 Diazo transfer reagents</w:t>
            </w:r>
            <w:r w:rsidR="000F2A7E">
              <w:rPr>
                <w:webHidden/>
              </w:rPr>
              <w:tab/>
            </w:r>
            <w:r w:rsidR="000F2A7E">
              <w:rPr>
                <w:webHidden/>
              </w:rPr>
              <w:fldChar w:fldCharType="begin"/>
            </w:r>
            <w:r w:rsidR="000F2A7E">
              <w:rPr>
                <w:webHidden/>
              </w:rPr>
              <w:instrText xml:space="preserve"> PAGEREF _Toc446773059 \h </w:instrText>
            </w:r>
            <w:r w:rsidR="000F2A7E">
              <w:rPr>
                <w:webHidden/>
              </w:rPr>
            </w:r>
            <w:r w:rsidR="000F2A7E">
              <w:rPr>
                <w:webHidden/>
              </w:rPr>
              <w:fldChar w:fldCharType="separate"/>
            </w:r>
            <w:r w:rsidR="00CE22CF">
              <w:rPr>
                <w:webHidden/>
              </w:rPr>
              <w:t>11</w:t>
            </w:r>
            <w:r w:rsidR="000F2A7E">
              <w:rPr>
                <w:webHidden/>
              </w:rPr>
              <w:fldChar w:fldCharType="end"/>
            </w:r>
          </w:hyperlink>
        </w:p>
        <w:p w:rsidR="000F2A7E" w:rsidRDefault="00AF1884">
          <w:pPr>
            <w:pStyle w:val="TOC2"/>
            <w:rPr>
              <w:rFonts w:eastAsiaTheme="minorEastAsia"/>
              <w:i w:val="0"/>
              <w:lang w:eastAsia="en-IE"/>
            </w:rPr>
          </w:pPr>
          <w:hyperlink w:anchor="_Toc446773060" w:history="1">
            <w:r w:rsidR="000F2A7E" w:rsidRPr="00BE3A6F">
              <w:rPr>
                <w:rStyle w:val="Hyperlink"/>
              </w:rPr>
              <w:t>1.2.1 Comparison of classical and modern diazo transfer reagents</w:t>
            </w:r>
            <w:r w:rsidR="000F2A7E">
              <w:rPr>
                <w:webHidden/>
              </w:rPr>
              <w:tab/>
            </w:r>
            <w:r w:rsidR="000F2A7E">
              <w:rPr>
                <w:webHidden/>
              </w:rPr>
              <w:fldChar w:fldCharType="begin"/>
            </w:r>
            <w:r w:rsidR="000F2A7E">
              <w:rPr>
                <w:webHidden/>
              </w:rPr>
              <w:instrText xml:space="preserve"> PAGEREF _Toc446773060 \h </w:instrText>
            </w:r>
            <w:r w:rsidR="000F2A7E">
              <w:rPr>
                <w:webHidden/>
              </w:rPr>
            </w:r>
            <w:r w:rsidR="000F2A7E">
              <w:rPr>
                <w:webHidden/>
              </w:rPr>
              <w:fldChar w:fldCharType="separate"/>
            </w:r>
            <w:r w:rsidR="00CE22CF">
              <w:rPr>
                <w:webHidden/>
              </w:rPr>
              <w:t>11</w:t>
            </w:r>
            <w:r w:rsidR="000F2A7E">
              <w:rPr>
                <w:webHidden/>
              </w:rPr>
              <w:fldChar w:fldCharType="end"/>
            </w:r>
          </w:hyperlink>
        </w:p>
        <w:p w:rsidR="000F2A7E" w:rsidRDefault="00AF1884">
          <w:pPr>
            <w:pStyle w:val="TOC2"/>
            <w:rPr>
              <w:rFonts w:eastAsiaTheme="minorEastAsia"/>
              <w:i w:val="0"/>
              <w:lang w:eastAsia="en-IE"/>
            </w:rPr>
          </w:pPr>
          <w:hyperlink w:anchor="_Toc446773061" w:history="1">
            <w:r w:rsidR="000F2A7E" w:rsidRPr="00BE3A6F">
              <w:rPr>
                <w:rStyle w:val="Hyperlink"/>
              </w:rPr>
              <w:t>1.2.2 Progress towards safer diazo transfer reactions/reagents</w:t>
            </w:r>
            <w:r w:rsidR="000F2A7E">
              <w:rPr>
                <w:webHidden/>
              </w:rPr>
              <w:tab/>
            </w:r>
            <w:r w:rsidR="000F2A7E">
              <w:rPr>
                <w:webHidden/>
              </w:rPr>
              <w:fldChar w:fldCharType="begin"/>
            </w:r>
            <w:r w:rsidR="000F2A7E">
              <w:rPr>
                <w:webHidden/>
              </w:rPr>
              <w:instrText xml:space="preserve"> PAGEREF _Toc446773061 \h </w:instrText>
            </w:r>
            <w:r w:rsidR="000F2A7E">
              <w:rPr>
                <w:webHidden/>
              </w:rPr>
            </w:r>
            <w:r w:rsidR="000F2A7E">
              <w:rPr>
                <w:webHidden/>
              </w:rPr>
              <w:fldChar w:fldCharType="separate"/>
            </w:r>
            <w:r w:rsidR="00CE22CF">
              <w:rPr>
                <w:webHidden/>
              </w:rPr>
              <w:t>13</w:t>
            </w:r>
            <w:r w:rsidR="000F2A7E">
              <w:rPr>
                <w:webHidden/>
              </w:rPr>
              <w:fldChar w:fldCharType="end"/>
            </w:r>
          </w:hyperlink>
        </w:p>
        <w:p w:rsidR="000F2A7E" w:rsidRDefault="00AF1884">
          <w:pPr>
            <w:pStyle w:val="TOC1"/>
            <w:rPr>
              <w:rFonts w:eastAsiaTheme="minorEastAsia"/>
              <w:b w:val="0"/>
              <w:lang w:eastAsia="en-IE"/>
            </w:rPr>
          </w:pPr>
          <w:hyperlink w:anchor="_Toc446773062" w:history="1">
            <w:r w:rsidR="000F2A7E" w:rsidRPr="00BE3A6F">
              <w:rPr>
                <w:rStyle w:val="Hyperlink"/>
              </w:rPr>
              <w:t>1.3 Alternative solvents for diazo transfer</w:t>
            </w:r>
            <w:r w:rsidR="000F2A7E">
              <w:rPr>
                <w:webHidden/>
              </w:rPr>
              <w:tab/>
            </w:r>
            <w:r w:rsidR="000F2A7E">
              <w:rPr>
                <w:webHidden/>
              </w:rPr>
              <w:fldChar w:fldCharType="begin"/>
            </w:r>
            <w:r w:rsidR="000F2A7E">
              <w:rPr>
                <w:webHidden/>
              </w:rPr>
              <w:instrText xml:space="preserve"> PAGEREF _Toc446773062 \h </w:instrText>
            </w:r>
            <w:r w:rsidR="000F2A7E">
              <w:rPr>
                <w:webHidden/>
              </w:rPr>
            </w:r>
            <w:r w:rsidR="000F2A7E">
              <w:rPr>
                <w:webHidden/>
              </w:rPr>
              <w:fldChar w:fldCharType="separate"/>
            </w:r>
            <w:r w:rsidR="00CE22CF">
              <w:rPr>
                <w:webHidden/>
              </w:rPr>
              <w:t>21</w:t>
            </w:r>
            <w:r w:rsidR="000F2A7E">
              <w:rPr>
                <w:webHidden/>
              </w:rPr>
              <w:fldChar w:fldCharType="end"/>
            </w:r>
          </w:hyperlink>
        </w:p>
        <w:p w:rsidR="000F2A7E" w:rsidRDefault="00AF1884">
          <w:pPr>
            <w:pStyle w:val="TOC2"/>
            <w:rPr>
              <w:rFonts w:eastAsiaTheme="minorEastAsia"/>
              <w:i w:val="0"/>
              <w:lang w:eastAsia="en-IE"/>
            </w:rPr>
          </w:pPr>
          <w:hyperlink w:anchor="_Toc446773063" w:history="1">
            <w:r w:rsidR="000F2A7E" w:rsidRPr="00BE3A6F">
              <w:rPr>
                <w:rStyle w:val="Hyperlink"/>
              </w:rPr>
              <w:t>1.3.1 Water as solvent for diazo transfer</w:t>
            </w:r>
            <w:r w:rsidR="000F2A7E">
              <w:rPr>
                <w:webHidden/>
              </w:rPr>
              <w:tab/>
            </w:r>
            <w:r w:rsidR="000F2A7E">
              <w:rPr>
                <w:webHidden/>
              </w:rPr>
              <w:fldChar w:fldCharType="begin"/>
            </w:r>
            <w:r w:rsidR="000F2A7E">
              <w:rPr>
                <w:webHidden/>
              </w:rPr>
              <w:instrText xml:space="preserve"> PAGEREF _Toc446773063 \h </w:instrText>
            </w:r>
            <w:r w:rsidR="000F2A7E">
              <w:rPr>
                <w:webHidden/>
              </w:rPr>
            </w:r>
            <w:r w:rsidR="000F2A7E">
              <w:rPr>
                <w:webHidden/>
              </w:rPr>
              <w:fldChar w:fldCharType="separate"/>
            </w:r>
            <w:r w:rsidR="00CE22CF">
              <w:rPr>
                <w:webHidden/>
              </w:rPr>
              <w:t>21</w:t>
            </w:r>
            <w:r w:rsidR="000F2A7E">
              <w:rPr>
                <w:webHidden/>
              </w:rPr>
              <w:fldChar w:fldCharType="end"/>
            </w:r>
          </w:hyperlink>
        </w:p>
        <w:p w:rsidR="000F2A7E" w:rsidRDefault="00AF1884">
          <w:pPr>
            <w:pStyle w:val="TOC2"/>
            <w:rPr>
              <w:rFonts w:eastAsiaTheme="minorEastAsia"/>
              <w:i w:val="0"/>
              <w:lang w:eastAsia="en-IE"/>
            </w:rPr>
          </w:pPr>
          <w:hyperlink w:anchor="_Toc446773064" w:history="1">
            <w:r w:rsidR="000F2A7E" w:rsidRPr="00BE3A6F">
              <w:rPr>
                <w:rStyle w:val="Hyperlink"/>
              </w:rPr>
              <w:t>1.3.2 Ionic liquids as solvent for diazo transfer</w:t>
            </w:r>
            <w:r w:rsidR="000F2A7E">
              <w:rPr>
                <w:webHidden/>
              </w:rPr>
              <w:tab/>
            </w:r>
            <w:r w:rsidR="000F2A7E">
              <w:rPr>
                <w:webHidden/>
              </w:rPr>
              <w:fldChar w:fldCharType="begin"/>
            </w:r>
            <w:r w:rsidR="000F2A7E">
              <w:rPr>
                <w:webHidden/>
              </w:rPr>
              <w:instrText xml:space="preserve"> PAGEREF _Toc446773064 \h </w:instrText>
            </w:r>
            <w:r w:rsidR="000F2A7E">
              <w:rPr>
                <w:webHidden/>
              </w:rPr>
            </w:r>
            <w:r w:rsidR="000F2A7E">
              <w:rPr>
                <w:webHidden/>
              </w:rPr>
              <w:fldChar w:fldCharType="separate"/>
            </w:r>
            <w:r w:rsidR="00CE22CF">
              <w:rPr>
                <w:webHidden/>
              </w:rPr>
              <w:t>23</w:t>
            </w:r>
            <w:r w:rsidR="000F2A7E">
              <w:rPr>
                <w:webHidden/>
              </w:rPr>
              <w:fldChar w:fldCharType="end"/>
            </w:r>
          </w:hyperlink>
        </w:p>
        <w:p w:rsidR="000F2A7E" w:rsidRDefault="00AF1884">
          <w:pPr>
            <w:pStyle w:val="TOC1"/>
            <w:rPr>
              <w:rFonts w:eastAsiaTheme="minorEastAsia"/>
              <w:b w:val="0"/>
              <w:lang w:eastAsia="en-IE"/>
            </w:rPr>
          </w:pPr>
          <w:hyperlink w:anchor="_Toc446773065" w:history="1">
            <w:r w:rsidR="000F2A7E" w:rsidRPr="00BE3A6F">
              <w:rPr>
                <w:rStyle w:val="Hyperlink"/>
              </w:rPr>
              <w:t>1.4 Diazo chemistry in continuous processing</w:t>
            </w:r>
            <w:r w:rsidR="000F2A7E">
              <w:rPr>
                <w:webHidden/>
              </w:rPr>
              <w:tab/>
            </w:r>
            <w:r w:rsidR="000F2A7E">
              <w:rPr>
                <w:webHidden/>
              </w:rPr>
              <w:fldChar w:fldCharType="begin"/>
            </w:r>
            <w:r w:rsidR="000F2A7E">
              <w:rPr>
                <w:webHidden/>
              </w:rPr>
              <w:instrText xml:space="preserve"> PAGEREF _Toc446773065 \h </w:instrText>
            </w:r>
            <w:r w:rsidR="000F2A7E">
              <w:rPr>
                <w:webHidden/>
              </w:rPr>
            </w:r>
            <w:r w:rsidR="000F2A7E">
              <w:rPr>
                <w:webHidden/>
              </w:rPr>
              <w:fldChar w:fldCharType="separate"/>
            </w:r>
            <w:r w:rsidR="00CE22CF">
              <w:rPr>
                <w:webHidden/>
              </w:rPr>
              <w:t>24</w:t>
            </w:r>
            <w:r w:rsidR="000F2A7E">
              <w:rPr>
                <w:webHidden/>
              </w:rPr>
              <w:fldChar w:fldCharType="end"/>
            </w:r>
          </w:hyperlink>
        </w:p>
        <w:p w:rsidR="000F2A7E" w:rsidRDefault="00AF1884">
          <w:pPr>
            <w:pStyle w:val="TOC2"/>
            <w:rPr>
              <w:rFonts w:eastAsiaTheme="minorEastAsia"/>
              <w:i w:val="0"/>
              <w:lang w:eastAsia="en-IE"/>
            </w:rPr>
          </w:pPr>
          <w:hyperlink w:anchor="_Toc446773066" w:history="1">
            <w:r w:rsidR="000F2A7E" w:rsidRPr="00BE3A6F">
              <w:rPr>
                <w:rStyle w:val="Hyperlink"/>
              </w:rPr>
              <w:t>1.4.1 Advantages and limitations of flow chemistry</w:t>
            </w:r>
            <w:r w:rsidR="000F2A7E">
              <w:rPr>
                <w:webHidden/>
              </w:rPr>
              <w:tab/>
            </w:r>
            <w:r w:rsidR="000F2A7E">
              <w:rPr>
                <w:webHidden/>
              </w:rPr>
              <w:fldChar w:fldCharType="begin"/>
            </w:r>
            <w:r w:rsidR="000F2A7E">
              <w:rPr>
                <w:webHidden/>
              </w:rPr>
              <w:instrText xml:space="preserve"> PAGEREF _Toc446773066 \h </w:instrText>
            </w:r>
            <w:r w:rsidR="000F2A7E">
              <w:rPr>
                <w:webHidden/>
              </w:rPr>
            </w:r>
            <w:r w:rsidR="000F2A7E">
              <w:rPr>
                <w:webHidden/>
              </w:rPr>
              <w:fldChar w:fldCharType="separate"/>
            </w:r>
            <w:r w:rsidR="00CE22CF">
              <w:rPr>
                <w:webHidden/>
              </w:rPr>
              <w:t>24</w:t>
            </w:r>
            <w:r w:rsidR="000F2A7E">
              <w:rPr>
                <w:webHidden/>
              </w:rPr>
              <w:fldChar w:fldCharType="end"/>
            </w:r>
          </w:hyperlink>
        </w:p>
        <w:p w:rsidR="000F2A7E" w:rsidRDefault="00AF1884">
          <w:pPr>
            <w:pStyle w:val="TOC2"/>
            <w:rPr>
              <w:rFonts w:eastAsiaTheme="minorEastAsia"/>
              <w:i w:val="0"/>
              <w:lang w:eastAsia="en-IE"/>
            </w:rPr>
          </w:pPr>
          <w:hyperlink w:anchor="_Toc446773067" w:history="1">
            <w:r w:rsidR="000F2A7E" w:rsidRPr="00BE3A6F">
              <w:rPr>
                <w:rStyle w:val="Hyperlink"/>
              </w:rPr>
              <w:t>1.4.2 Generation of diazomethane using continuous flow technology</w:t>
            </w:r>
            <w:r w:rsidR="000F2A7E">
              <w:rPr>
                <w:webHidden/>
              </w:rPr>
              <w:tab/>
            </w:r>
            <w:r w:rsidR="000F2A7E">
              <w:rPr>
                <w:webHidden/>
              </w:rPr>
              <w:fldChar w:fldCharType="begin"/>
            </w:r>
            <w:r w:rsidR="000F2A7E">
              <w:rPr>
                <w:webHidden/>
              </w:rPr>
              <w:instrText xml:space="preserve"> PAGEREF _Toc446773067 \h </w:instrText>
            </w:r>
            <w:r w:rsidR="000F2A7E">
              <w:rPr>
                <w:webHidden/>
              </w:rPr>
            </w:r>
            <w:r w:rsidR="000F2A7E">
              <w:rPr>
                <w:webHidden/>
              </w:rPr>
              <w:fldChar w:fldCharType="separate"/>
            </w:r>
            <w:r w:rsidR="00CE22CF">
              <w:rPr>
                <w:webHidden/>
              </w:rPr>
              <w:t>29</w:t>
            </w:r>
            <w:r w:rsidR="000F2A7E">
              <w:rPr>
                <w:webHidden/>
              </w:rPr>
              <w:fldChar w:fldCharType="end"/>
            </w:r>
          </w:hyperlink>
        </w:p>
        <w:p w:rsidR="000F2A7E" w:rsidRDefault="00AF1884">
          <w:pPr>
            <w:pStyle w:val="TOC2"/>
            <w:rPr>
              <w:rFonts w:eastAsiaTheme="minorEastAsia"/>
              <w:i w:val="0"/>
              <w:lang w:eastAsia="en-IE"/>
            </w:rPr>
          </w:pPr>
          <w:hyperlink w:anchor="_Toc446773068" w:history="1">
            <w:r w:rsidR="000F2A7E" w:rsidRPr="00BE3A6F">
              <w:rPr>
                <w:rStyle w:val="Hyperlink"/>
              </w:rPr>
              <w:t>1.4.3 Preparation of ethyl diazoacetate using continuous flow technology</w:t>
            </w:r>
            <w:r w:rsidR="000F2A7E">
              <w:rPr>
                <w:webHidden/>
              </w:rPr>
              <w:tab/>
            </w:r>
            <w:r w:rsidR="000F2A7E">
              <w:rPr>
                <w:webHidden/>
              </w:rPr>
              <w:fldChar w:fldCharType="begin"/>
            </w:r>
            <w:r w:rsidR="000F2A7E">
              <w:rPr>
                <w:webHidden/>
              </w:rPr>
              <w:instrText xml:space="preserve"> PAGEREF _Toc446773068 \h </w:instrText>
            </w:r>
            <w:r w:rsidR="000F2A7E">
              <w:rPr>
                <w:webHidden/>
              </w:rPr>
            </w:r>
            <w:r w:rsidR="000F2A7E">
              <w:rPr>
                <w:webHidden/>
              </w:rPr>
              <w:fldChar w:fldCharType="separate"/>
            </w:r>
            <w:r w:rsidR="00CE22CF">
              <w:rPr>
                <w:webHidden/>
              </w:rPr>
              <w:t>30</w:t>
            </w:r>
            <w:r w:rsidR="000F2A7E">
              <w:rPr>
                <w:webHidden/>
              </w:rPr>
              <w:fldChar w:fldCharType="end"/>
            </w:r>
          </w:hyperlink>
        </w:p>
        <w:p w:rsidR="000F2A7E" w:rsidRDefault="00AF1884">
          <w:pPr>
            <w:pStyle w:val="TOC2"/>
            <w:rPr>
              <w:rFonts w:eastAsiaTheme="minorEastAsia"/>
              <w:i w:val="0"/>
              <w:lang w:eastAsia="en-IE"/>
            </w:rPr>
          </w:pPr>
          <w:hyperlink w:anchor="_Toc446773069" w:history="1">
            <w:r w:rsidR="000F2A7E" w:rsidRPr="00BE3A6F">
              <w:rPr>
                <w:rStyle w:val="Hyperlink"/>
              </w:rPr>
              <w:t>1.4.4 Diazonium ions in flow</w:t>
            </w:r>
            <w:r w:rsidR="000F2A7E">
              <w:rPr>
                <w:webHidden/>
              </w:rPr>
              <w:tab/>
            </w:r>
            <w:r w:rsidR="000F2A7E">
              <w:rPr>
                <w:webHidden/>
              </w:rPr>
              <w:fldChar w:fldCharType="begin"/>
            </w:r>
            <w:r w:rsidR="000F2A7E">
              <w:rPr>
                <w:webHidden/>
              </w:rPr>
              <w:instrText xml:space="preserve"> PAGEREF _Toc446773069 \h </w:instrText>
            </w:r>
            <w:r w:rsidR="000F2A7E">
              <w:rPr>
                <w:webHidden/>
              </w:rPr>
            </w:r>
            <w:r w:rsidR="000F2A7E">
              <w:rPr>
                <w:webHidden/>
              </w:rPr>
              <w:fldChar w:fldCharType="separate"/>
            </w:r>
            <w:r w:rsidR="00CE22CF">
              <w:rPr>
                <w:webHidden/>
              </w:rPr>
              <w:t>31</w:t>
            </w:r>
            <w:r w:rsidR="000F2A7E">
              <w:rPr>
                <w:webHidden/>
              </w:rPr>
              <w:fldChar w:fldCharType="end"/>
            </w:r>
          </w:hyperlink>
        </w:p>
        <w:p w:rsidR="000F2A7E" w:rsidRDefault="00AF1884">
          <w:pPr>
            <w:pStyle w:val="TOC2"/>
            <w:rPr>
              <w:rFonts w:eastAsiaTheme="minorEastAsia"/>
              <w:i w:val="0"/>
              <w:lang w:eastAsia="en-IE"/>
            </w:rPr>
          </w:pPr>
          <w:hyperlink w:anchor="_Toc446773070" w:history="1">
            <w:r w:rsidR="000F2A7E" w:rsidRPr="00BE3A6F">
              <w:rPr>
                <w:rStyle w:val="Hyperlink"/>
              </w:rPr>
              <w:t>1</w:t>
            </w:r>
            <w:r w:rsidR="000F2A7E" w:rsidRPr="00BE3A6F">
              <w:rPr>
                <w:rStyle w:val="Hyperlink"/>
                <w:rFonts w:ascii="Symbol" w:hAnsi="Symbol"/>
              </w:rPr>
              <w:t></w:t>
            </w:r>
            <w:r w:rsidR="000F2A7E" w:rsidRPr="00BE3A6F">
              <w:rPr>
                <w:rStyle w:val="Hyperlink"/>
                <w:rFonts w:asciiTheme="majorHAnsi" w:hAnsiTheme="majorHAnsi"/>
              </w:rPr>
              <w:t>4.5</w:t>
            </w:r>
            <w:r w:rsidR="000F2A7E" w:rsidRPr="00BE3A6F">
              <w:rPr>
                <w:rStyle w:val="Hyperlink"/>
                <w:rFonts w:ascii="Symbol" w:hAnsi="Symbol"/>
              </w:rPr>
              <w:t></w:t>
            </w:r>
            <w:r w:rsidR="000F2A7E" w:rsidRPr="00BE3A6F">
              <w:rPr>
                <w:rStyle w:val="Hyperlink"/>
                <w:rFonts w:ascii="Symbol" w:hAnsi="Symbol"/>
              </w:rPr>
              <w:t></w:t>
            </w:r>
            <w:r w:rsidR="000F2A7E" w:rsidRPr="00BE3A6F">
              <w:rPr>
                <w:rStyle w:val="Hyperlink"/>
              </w:rPr>
              <w:t>-Diazocarbonyl compounds in flow</w:t>
            </w:r>
            <w:r w:rsidR="000F2A7E">
              <w:rPr>
                <w:webHidden/>
              </w:rPr>
              <w:tab/>
            </w:r>
            <w:r w:rsidR="000F2A7E">
              <w:rPr>
                <w:webHidden/>
              </w:rPr>
              <w:fldChar w:fldCharType="begin"/>
            </w:r>
            <w:r w:rsidR="000F2A7E">
              <w:rPr>
                <w:webHidden/>
              </w:rPr>
              <w:instrText xml:space="preserve"> PAGEREF _Toc446773070 \h </w:instrText>
            </w:r>
            <w:r w:rsidR="000F2A7E">
              <w:rPr>
                <w:webHidden/>
              </w:rPr>
            </w:r>
            <w:r w:rsidR="000F2A7E">
              <w:rPr>
                <w:webHidden/>
              </w:rPr>
              <w:fldChar w:fldCharType="separate"/>
            </w:r>
            <w:r w:rsidR="00CE22CF">
              <w:rPr>
                <w:webHidden/>
              </w:rPr>
              <w:t>33</w:t>
            </w:r>
            <w:r w:rsidR="000F2A7E">
              <w:rPr>
                <w:webHidden/>
              </w:rPr>
              <w:fldChar w:fldCharType="end"/>
            </w:r>
          </w:hyperlink>
        </w:p>
        <w:p w:rsidR="000F2A7E" w:rsidRDefault="00AF1884">
          <w:pPr>
            <w:pStyle w:val="TOC1"/>
            <w:rPr>
              <w:rFonts w:eastAsiaTheme="minorEastAsia"/>
              <w:b w:val="0"/>
              <w:lang w:eastAsia="en-IE"/>
            </w:rPr>
          </w:pPr>
          <w:hyperlink w:anchor="_Toc446773071" w:history="1">
            <w:r w:rsidR="000F2A7E" w:rsidRPr="00BE3A6F">
              <w:rPr>
                <w:rStyle w:val="Hyperlink"/>
              </w:rPr>
              <w:t xml:space="preserve">1.5 Reactivity of </w:t>
            </w:r>
            <w:r w:rsidR="000F2A7E" w:rsidRPr="00BE3A6F">
              <w:rPr>
                <w:rStyle w:val="Hyperlink"/>
                <w:rFonts w:ascii="Symbol" w:hAnsi="Symbol"/>
              </w:rPr>
              <w:t></w:t>
            </w:r>
            <w:r w:rsidR="000F2A7E" w:rsidRPr="00BE3A6F">
              <w:rPr>
                <w:rStyle w:val="Hyperlink"/>
              </w:rPr>
              <w:t>-diazocarbonyl compounds</w:t>
            </w:r>
            <w:r w:rsidR="000F2A7E">
              <w:rPr>
                <w:webHidden/>
              </w:rPr>
              <w:tab/>
            </w:r>
            <w:r w:rsidR="000F2A7E">
              <w:rPr>
                <w:webHidden/>
              </w:rPr>
              <w:fldChar w:fldCharType="begin"/>
            </w:r>
            <w:r w:rsidR="000F2A7E">
              <w:rPr>
                <w:webHidden/>
              </w:rPr>
              <w:instrText xml:space="preserve"> PAGEREF _Toc446773071 \h </w:instrText>
            </w:r>
            <w:r w:rsidR="000F2A7E">
              <w:rPr>
                <w:webHidden/>
              </w:rPr>
            </w:r>
            <w:r w:rsidR="000F2A7E">
              <w:rPr>
                <w:webHidden/>
              </w:rPr>
              <w:fldChar w:fldCharType="separate"/>
            </w:r>
            <w:r w:rsidR="00CE22CF">
              <w:rPr>
                <w:webHidden/>
              </w:rPr>
              <w:t>37</w:t>
            </w:r>
            <w:r w:rsidR="000F2A7E">
              <w:rPr>
                <w:webHidden/>
              </w:rPr>
              <w:fldChar w:fldCharType="end"/>
            </w:r>
          </w:hyperlink>
        </w:p>
        <w:p w:rsidR="000F2A7E" w:rsidRDefault="00AF1884">
          <w:pPr>
            <w:pStyle w:val="TOC2"/>
            <w:rPr>
              <w:rFonts w:eastAsiaTheme="minorEastAsia"/>
              <w:i w:val="0"/>
              <w:lang w:eastAsia="en-IE"/>
            </w:rPr>
          </w:pPr>
          <w:hyperlink w:anchor="_Toc446773072" w:history="1">
            <w:r w:rsidR="000F2A7E" w:rsidRPr="00BE3A6F">
              <w:rPr>
                <w:rStyle w:val="Hyperlink"/>
              </w:rPr>
              <w:t>1.5.1 Mechanism of transition metal catalysed decomposition</w:t>
            </w:r>
            <w:r w:rsidR="000F2A7E">
              <w:rPr>
                <w:webHidden/>
              </w:rPr>
              <w:tab/>
            </w:r>
            <w:r w:rsidR="000F2A7E">
              <w:rPr>
                <w:webHidden/>
              </w:rPr>
              <w:fldChar w:fldCharType="begin"/>
            </w:r>
            <w:r w:rsidR="000F2A7E">
              <w:rPr>
                <w:webHidden/>
              </w:rPr>
              <w:instrText xml:space="preserve"> PAGEREF _Toc446773072 \h </w:instrText>
            </w:r>
            <w:r w:rsidR="000F2A7E">
              <w:rPr>
                <w:webHidden/>
              </w:rPr>
            </w:r>
            <w:r w:rsidR="000F2A7E">
              <w:rPr>
                <w:webHidden/>
              </w:rPr>
              <w:fldChar w:fldCharType="separate"/>
            </w:r>
            <w:r w:rsidR="00CE22CF">
              <w:rPr>
                <w:webHidden/>
              </w:rPr>
              <w:t>37</w:t>
            </w:r>
            <w:r w:rsidR="000F2A7E">
              <w:rPr>
                <w:webHidden/>
              </w:rPr>
              <w:fldChar w:fldCharType="end"/>
            </w:r>
          </w:hyperlink>
        </w:p>
        <w:p w:rsidR="000F2A7E" w:rsidRDefault="00AF1884">
          <w:pPr>
            <w:pStyle w:val="TOC2"/>
            <w:rPr>
              <w:rFonts w:eastAsiaTheme="minorEastAsia"/>
              <w:i w:val="0"/>
              <w:lang w:eastAsia="en-IE"/>
            </w:rPr>
          </w:pPr>
          <w:hyperlink w:anchor="_Toc446773073" w:history="1">
            <w:r w:rsidR="000F2A7E" w:rsidRPr="00BE3A6F">
              <w:rPr>
                <w:rStyle w:val="Hyperlink"/>
              </w:rPr>
              <w:t>1.5.2 Wolff rearrangement</w:t>
            </w:r>
            <w:r w:rsidR="000F2A7E">
              <w:rPr>
                <w:webHidden/>
              </w:rPr>
              <w:tab/>
            </w:r>
            <w:r w:rsidR="000F2A7E">
              <w:rPr>
                <w:webHidden/>
              </w:rPr>
              <w:fldChar w:fldCharType="begin"/>
            </w:r>
            <w:r w:rsidR="000F2A7E">
              <w:rPr>
                <w:webHidden/>
              </w:rPr>
              <w:instrText xml:space="preserve"> PAGEREF _Toc446773073 \h </w:instrText>
            </w:r>
            <w:r w:rsidR="000F2A7E">
              <w:rPr>
                <w:webHidden/>
              </w:rPr>
            </w:r>
            <w:r w:rsidR="000F2A7E">
              <w:rPr>
                <w:webHidden/>
              </w:rPr>
              <w:fldChar w:fldCharType="separate"/>
            </w:r>
            <w:r w:rsidR="00CE22CF">
              <w:rPr>
                <w:webHidden/>
              </w:rPr>
              <w:t>39</w:t>
            </w:r>
            <w:r w:rsidR="000F2A7E">
              <w:rPr>
                <w:webHidden/>
              </w:rPr>
              <w:fldChar w:fldCharType="end"/>
            </w:r>
          </w:hyperlink>
        </w:p>
        <w:p w:rsidR="000F2A7E" w:rsidRDefault="00AF1884">
          <w:pPr>
            <w:pStyle w:val="TOC2"/>
            <w:rPr>
              <w:rFonts w:eastAsiaTheme="minorEastAsia"/>
              <w:i w:val="0"/>
              <w:lang w:eastAsia="en-IE"/>
            </w:rPr>
          </w:pPr>
          <w:hyperlink w:anchor="_Toc446773074" w:history="1">
            <w:r w:rsidR="000F2A7E" w:rsidRPr="00BE3A6F">
              <w:rPr>
                <w:rStyle w:val="Hyperlink"/>
              </w:rPr>
              <w:t>1.5.3 C-H insertion reactions</w:t>
            </w:r>
            <w:r w:rsidR="000F2A7E">
              <w:rPr>
                <w:webHidden/>
              </w:rPr>
              <w:tab/>
            </w:r>
            <w:r w:rsidR="000F2A7E">
              <w:rPr>
                <w:webHidden/>
              </w:rPr>
              <w:fldChar w:fldCharType="begin"/>
            </w:r>
            <w:r w:rsidR="000F2A7E">
              <w:rPr>
                <w:webHidden/>
              </w:rPr>
              <w:instrText xml:space="preserve"> PAGEREF _Toc446773074 \h </w:instrText>
            </w:r>
            <w:r w:rsidR="000F2A7E">
              <w:rPr>
                <w:webHidden/>
              </w:rPr>
            </w:r>
            <w:r w:rsidR="000F2A7E">
              <w:rPr>
                <w:webHidden/>
              </w:rPr>
              <w:fldChar w:fldCharType="separate"/>
            </w:r>
            <w:r w:rsidR="00CE22CF">
              <w:rPr>
                <w:webHidden/>
              </w:rPr>
              <w:t>41</w:t>
            </w:r>
            <w:r w:rsidR="000F2A7E">
              <w:rPr>
                <w:webHidden/>
              </w:rPr>
              <w:fldChar w:fldCharType="end"/>
            </w:r>
          </w:hyperlink>
        </w:p>
        <w:p w:rsidR="000F2A7E" w:rsidRDefault="00AF1884">
          <w:pPr>
            <w:pStyle w:val="TOC2"/>
            <w:rPr>
              <w:rFonts w:eastAsiaTheme="minorEastAsia"/>
              <w:i w:val="0"/>
              <w:lang w:eastAsia="en-IE"/>
            </w:rPr>
          </w:pPr>
          <w:hyperlink w:anchor="_Toc446773075" w:history="1">
            <w:r w:rsidR="000F2A7E" w:rsidRPr="00BE3A6F">
              <w:rPr>
                <w:rStyle w:val="Hyperlink"/>
              </w:rPr>
              <w:t>1.5.4 Dioxinones</w:t>
            </w:r>
            <w:r w:rsidR="000F2A7E">
              <w:rPr>
                <w:webHidden/>
              </w:rPr>
              <w:tab/>
            </w:r>
            <w:r w:rsidR="000F2A7E">
              <w:rPr>
                <w:webHidden/>
              </w:rPr>
              <w:fldChar w:fldCharType="begin"/>
            </w:r>
            <w:r w:rsidR="000F2A7E">
              <w:rPr>
                <w:webHidden/>
              </w:rPr>
              <w:instrText xml:space="preserve"> PAGEREF _Toc446773075 \h </w:instrText>
            </w:r>
            <w:r w:rsidR="000F2A7E">
              <w:rPr>
                <w:webHidden/>
              </w:rPr>
            </w:r>
            <w:r w:rsidR="000F2A7E">
              <w:rPr>
                <w:webHidden/>
              </w:rPr>
              <w:fldChar w:fldCharType="separate"/>
            </w:r>
            <w:r w:rsidR="00CE22CF">
              <w:rPr>
                <w:webHidden/>
              </w:rPr>
              <w:t>43</w:t>
            </w:r>
            <w:r w:rsidR="000F2A7E">
              <w:rPr>
                <w:webHidden/>
              </w:rPr>
              <w:fldChar w:fldCharType="end"/>
            </w:r>
          </w:hyperlink>
        </w:p>
        <w:p w:rsidR="000F2A7E" w:rsidRDefault="00AF1884">
          <w:pPr>
            <w:pStyle w:val="TOC1"/>
            <w:rPr>
              <w:rFonts w:eastAsiaTheme="minorEastAsia"/>
              <w:b w:val="0"/>
              <w:lang w:eastAsia="en-IE"/>
            </w:rPr>
          </w:pPr>
          <w:hyperlink w:anchor="_Toc446773076" w:history="1">
            <w:r w:rsidR="000F2A7E" w:rsidRPr="00BE3A6F">
              <w:rPr>
                <w:rStyle w:val="Hyperlink"/>
              </w:rPr>
              <w:t>1.6 Lanthanides in organic synthesis</w:t>
            </w:r>
            <w:r w:rsidR="000F2A7E">
              <w:rPr>
                <w:webHidden/>
              </w:rPr>
              <w:tab/>
            </w:r>
            <w:r w:rsidR="000F2A7E">
              <w:rPr>
                <w:webHidden/>
              </w:rPr>
              <w:fldChar w:fldCharType="begin"/>
            </w:r>
            <w:r w:rsidR="000F2A7E">
              <w:rPr>
                <w:webHidden/>
              </w:rPr>
              <w:instrText xml:space="preserve"> PAGEREF _Toc446773076 \h </w:instrText>
            </w:r>
            <w:r w:rsidR="000F2A7E">
              <w:rPr>
                <w:webHidden/>
              </w:rPr>
            </w:r>
            <w:r w:rsidR="000F2A7E">
              <w:rPr>
                <w:webHidden/>
              </w:rPr>
              <w:fldChar w:fldCharType="separate"/>
            </w:r>
            <w:r w:rsidR="00CE22CF">
              <w:rPr>
                <w:webHidden/>
              </w:rPr>
              <w:t>45</w:t>
            </w:r>
            <w:r w:rsidR="000F2A7E">
              <w:rPr>
                <w:webHidden/>
              </w:rPr>
              <w:fldChar w:fldCharType="end"/>
            </w:r>
          </w:hyperlink>
        </w:p>
        <w:p w:rsidR="000F2A7E" w:rsidRDefault="00AF1884">
          <w:pPr>
            <w:pStyle w:val="TOC2"/>
            <w:rPr>
              <w:rFonts w:eastAsiaTheme="minorEastAsia"/>
              <w:i w:val="0"/>
              <w:lang w:eastAsia="en-IE"/>
            </w:rPr>
          </w:pPr>
          <w:hyperlink w:anchor="_Toc446773077" w:history="1">
            <w:r w:rsidR="000F2A7E" w:rsidRPr="00BE3A6F">
              <w:rPr>
                <w:rStyle w:val="Hyperlink"/>
              </w:rPr>
              <w:t>1.6.1 Background</w:t>
            </w:r>
            <w:r w:rsidR="000F2A7E">
              <w:rPr>
                <w:webHidden/>
              </w:rPr>
              <w:tab/>
            </w:r>
            <w:r w:rsidR="000F2A7E">
              <w:rPr>
                <w:webHidden/>
              </w:rPr>
              <w:fldChar w:fldCharType="begin"/>
            </w:r>
            <w:r w:rsidR="000F2A7E">
              <w:rPr>
                <w:webHidden/>
              </w:rPr>
              <w:instrText xml:space="preserve"> PAGEREF _Toc446773077 \h </w:instrText>
            </w:r>
            <w:r w:rsidR="000F2A7E">
              <w:rPr>
                <w:webHidden/>
              </w:rPr>
            </w:r>
            <w:r w:rsidR="000F2A7E">
              <w:rPr>
                <w:webHidden/>
              </w:rPr>
              <w:fldChar w:fldCharType="separate"/>
            </w:r>
            <w:r w:rsidR="00CE22CF">
              <w:rPr>
                <w:webHidden/>
              </w:rPr>
              <w:t>45</w:t>
            </w:r>
            <w:r w:rsidR="000F2A7E">
              <w:rPr>
                <w:webHidden/>
              </w:rPr>
              <w:fldChar w:fldCharType="end"/>
            </w:r>
          </w:hyperlink>
        </w:p>
        <w:p w:rsidR="000F2A7E" w:rsidRDefault="00AF1884">
          <w:pPr>
            <w:pStyle w:val="TOC2"/>
            <w:rPr>
              <w:rFonts w:eastAsiaTheme="minorEastAsia"/>
              <w:i w:val="0"/>
              <w:lang w:eastAsia="en-IE"/>
            </w:rPr>
          </w:pPr>
          <w:hyperlink w:anchor="_Toc446773078" w:history="1">
            <w:r w:rsidR="000F2A7E" w:rsidRPr="00BE3A6F">
              <w:rPr>
                <w:rStyle w:val="Hyperlink"/>
              </w:rPr>
              <w:t>1.6.2 Oxidation reactions</w:t>
            </w:r>
            <w:r w:rsidR="000F2A7E">
              <w:rPr>
                <w:webHidden/>
              </w:rPr>
              <w:tab/>
            </w:r>
            <w:r w:rsidR="000F2A7E">
              <w:rPr>
                <w:webHidden/>
              </w:rPr>
              <w:fldChar w:fldCharType="begin"/>
            </w:r>
            <w:r w:rsidR="000F2A7E">
              <w:rPr>
                <w:webHidden/>
              </w:rPr>
              <w:instrText xml:space="preserve"> PAGEREF _Toc446773078 \h </w:instrText>
            </w:r>
            <w:r w:rsidR="000F2A7E">
              <w:rPr>
                <w:webHidden/>
              </w:rPr>
            </w:r>
            <w:r w:rsidR="000F2A7E">
              <w:rPr>
                <w:webHidden/>
              </w:rPr>
              <w:fldChar w:fldCharType="separate"/>
            </w:r>
            <w:r w:rsidR="00CE22CF">
              <w:rPr>
                <w:webHidden/>
              </w:rPr>
              <w:t>45</w:t>
            </w:r>
            <w:r w:rsidR="000F2A7E">
              <w:rPr>
                <w:webHidden/>
              </w:rPr>
              <w:fldChar w:fldCharType="end"/>
            </w:r>
          </w:hyperlink>
        </w:p>
        <w:p w:rsidR="000F2A7E" w:rsidRDefault="00AF1884">
          <w:pPr>
            <w:pStyle w:val="TOC2"/>
            <w:rPr>
              <w:rFonts w:eastAsiaTheme="minorEastAsia"/>
              <w:i w:val="0"/>
              <w:lang w:eastAsia="en-IE"/>
            </w:rPr>
          </w:pPr>
          <w:hyperlink w:anchor="_Toc446773079" w:history="1">
            <w:r w:rsidR="000F2A7E" w:rsidRPr="00BE3A6F">
              <w:rPr>
                <w:rStyle w:val="Hyperlink"/>
              </w:rPr>
              <w:t>1.6.3 Reduction reactions</w:t>
            </w:r>
            <w:r w:rsidR="000F2A7E">
              <w:rPr>
                <w:webHidden/>
              </w:rPr>
              <w:tab/>
            </w:r>
            <w:r w:rsidR="000F2A7E">
              <w:rPr>
                <w:webHidden/>
              </w:rPr>
              <w:fldChar w:fldCharType="begin"/>
            </w:r>
            <w:r w:rsidR="000F2A7E">
              <w:rPr>
                <w:webHidden/>
              </w:rPr>
              <w:instrText xml:space="preserve"> PAGEREF _Toc446773079 \h </w:instrText>
            </w:r>
            <w:r w:rsidR="000F2A7E">
              <w:rPr>
                <w:webHidden/>
              </w:rPr>
            </w:r>
            <w:r w:rsidR="000F2A7E">
              <w:rPr>
                <w:webHidden/>
              </w:rPr>
              <w:fldChar w:fldCharType="separate"/>
            </w:r>
            <w:r w:rsidR="00CE22CF">
              <w:rPr>
                <w:webHidden/>
              </w:rPr>
              <w:t>46</w:t>
            </w:r>
            <w:r w:rsidR="000F2A7E">
              <w:rPr>
                <w:webHidden/>
              </w:rPr>
              <w:fldChar w:fldCharType="end"/>
            </w:r>
          </w:hyperlink>
        </w:p>
        <w:p w:rsidR="000F2A7E" w:rsidRDefault="00AF1884">
          <w:pPr>
            <w:pStyle w:val="TOC2"/>
            <w:rPr>
              <w:rFonts w:eastAsiaTheme="minorEastAsia"/>
              <w:i w:val="0"/>
              <w:lang w:eastAsia="en-IE"/>
            </w:rPr>
          </w:pPr>
          <w:hyperlink w:anchor="_Toc446773080" w:history="1">
            <w:r w:rsidR="000F2A7E" w:rsidRPr="00BE3A6F">
              <w:rPr>
                <w:rStyle w:val="Hyperlink"/>
              </w:rPr>
              <w:t>1.6.4 Carbon-carbon bond forming reactions using lanthanide catalysis</w:t>
            </w:r>
            <w:r w:rsidR="000F2A7E">
              <w:rPr>
                <w:webHidden/>
              </w:rPr>
              <w:tab/>
            </w:r>
            <w:r w:rsidR="000F2A7E">
              <w:rPr>
                <w:webHidden/>
              </w:rPr>
              <w:fldChar w:fldCharType="begin"/>
            </w:r>
            <w:r w:rsidR="000F2A7E">
              <w:rPr>
                <w:webHidden/>
              </w:rPr>
              <w:instrText xml:space="preserve"> PAGEREF _Toc446773080 \h </w:instrText>
            </w:r>
            <w:r w:rsidR="000F2A7E">
              <w:rPr>
                <w:webHidden/>
              </w:rPr>
            </w:r>
            <w:r w:rsidR="000F2A7E">
              <w:rPr>
                <w:webHidden/>
              </w:rPr>
              <w:fldChar w:fldCharType="separate"/>
            </w:r>
            <w:r w:rsidR="00CE22CF">
              <w:rPr>
                <w:webHidden/>
              </w:rPr>
              <w:t>49</w:t>
            </w:r>
            <w:r w:rsidR="000F2A7E">
              <w:rPr>
                <w:webHidden/>
              </w:rPr>
              <w:fldChar w:fldCharType="end"/>
            </w:r>
          </w:hyperlink>
        </w:p>
        <w:p w:rsidR="000F2A7E" w:rsidRDefault="00AF1884">
          <w:pPr>
            <w:pStyle w:val="TOC2"/>
            <w:rPr>
              <w:rFonts w:eastAsiaTheme="minorEastAsia"/>
              <w:i w:val="0"/>
              <w:lang w:eastAsia="en-IE"/>
            </w:rPr>
          </w:pPr>
          <w:hyperlink w:anchor="_Toc446773081" w:history="1">
            <w:r w:rsidR="000F2A7E" w:rsidRPr="00BE3A6F">
              <w:rPr>
                <w:rStyle w:val="Hyperlink"/>
              </w:rPr>
              <w:t>1.6.5 Lanthanide triflates as Lewis acid catalysts</w:t>
            </w:r>
            <w:r w:rsidR="000F2A7E">
              <w:rPr>
                <w:webHidden/>
              </w:rPr>
              <w:tab/>
            </w:r>
            <w:r w:rsidR="000F2A7E">
              <w:rPr>
                <w:webHidden/>
              </w:rPr>
              <w:fldChar w:fldCharType="begin"/>
            </w:r>
            <w:r w:rsidR="000F2A7E">
              <w:rPr>
                <w:webHidden/>
              </w:rPr>
              <w:instrText xml:space="preserve"> PAGEREF _Toc446773081 \h </w:instrText>
            </w:r>
            <w:r w:rsidR="000F2A7E">
              <w:rPr>
                <w:webHidden/>
              </w:rPr>
            </w:r>
            <w:r w:rsidR="000F2A7E">
              <w:rPr>
                <w:webHidden/>
              </w:rPr>
              <w:fldChar w:fldCharType="separate"/>
            </w:r>
            <w:r w:rsidR="00CE22CF">
              <w:rPr>
                <w:webHidden/>
              </w:rPr>
              <w:t>52</w:t>
            </w:r>
            <w:r w:rsidR="000F2A7E">
              <w:rPr>
                <w:webHidden/>
              </w:rPr>
              <w:fldChar w:fldCharType="end"/>
            </w:r>
          </w:hyperlink>
        </w:p>
        <w:p w:rsidR="000F2A7E" w:rsidRDefault="00AF1884">
          <w:pPr>
            <w:pStyle w:val="TOC2"/>
            <w:rPr>
              <w:rFonts w:eastAsiaTheme="minorEastAsia"/>
              <w:i w:val="0"/>
              <w:lang w:eastAsia="en-IE"/>
            </w:rPr>
          </w:pPr>
          <w:hyperlink w:anchor="_Toc446773082" w:history="1">
            <w:r w:rsidR="000F2A7E" w:rsidRPr="00BE3A6F">
              <w:rPr>
                <w:rStyle w:val="Hyperlink"/>
              </w:rPr>
              <w:t>1.6.6 Lanthanides and diazo compounds</w:t>
            </w:r>
            <w:r w:rsidR="000F2A7E">
              <w:rPr>
                <w:webHidden/>
              </w:rPr>
              <w:tab/>
            </w:r>
            <w:r w:rsidR="000F2A7E">
              <w:rPr>
                <w:webHidden/>
              </w:rPr>
              <w:fldChar w:fldCharType="begin"/>
            </w:r>
            <w:r w:rsidR="000F2A7E">
              <w:rPr>
                <w:webHidden/>
              </w:rPr>
              <w:instrText xml:space="preserve"> PAGEREF _Toc446773082 \h </w:instrText>
            </w:r>
            <w:r w:rsidR="000F2A7E">
              <w:rPr>
                <w:webHidden/>
              </w:rPr>
            </w:r>
            <w:r w:rsidR="000F2A7E">
              <w:rPr>
                <w:webHidden/>
              </w:rPr>
              <w:fldChar w:fldCharType="separate"/>
            </w:r>
            <w:r w:rsidR="00CE22CF">
              <w:rPr>
                <w:webHidden/>
              </w:rPr>
              <w:t>53</w:t>
            </w:r>
            <w:r w:rsidR="000F2A7E">
              <w:rPr>
                <w:webHidden/>
              </w:rPr>
              <w:fldChar w:fldCharType="end"/>
            </w:r>
          </w:hyperlink>
        </w:p>
        <w:p w:rsidR="000F2A7E" w:rsidRDefault="00AF1884">
          <w:pPr>
            <w:pStyle w:val="TOC2"/>
            <w:rPr>
              <w:rFonts w:eastAsiaTheme="minorEastAsia"/>
              <w:i w:val="0"/>
              <w:lang w:eastAsia="en-IE"/>
            </w:rPr>
          </w:pPr>
          <w:hyperlink w:anchor="_Toc446773083" w:history="1">
            <w:r w:rsidR="000F2A7E" w:rsidRPr="00BE3A6F">
              <w:rPr>
                <w:rStyle w:val="Hyperlink"/>
              </w:rPr>
              <w:t>1.6.7 X-H insertion reactions</w:t>
            </w:r>
            <w:r w:rsidR="000F2A7E">
              <w:rPr>
                <w:webHidden/>
              </w:rPr>
              <w:tab/>
            </w:r>
            <w:r w:rsidR="000F2A7E">
              <w:rPr>
                <w:webHidden/>
              </w:rPr>
              <w:fldChar w:fldCharType="begin"/>
            </w:r>
            <w:r w:rsidR="000F2A7E">
              <w:rPr>
                <w:webHidden/>
              </w:rPr>
              <w:instrText xml:space="preserve"> PAGEREF _Toc446773083 \h </w:instrText>
            </w:r>
            <w:r w:rsidR="000F2A7E">
              <w:rPr>
                <w:webHidden/>
              </w:rPr>
            </w:r>
            <w:r w:rsidR="000F2A7E">
              <w:rPr>
                <w:webHidden/>
              </w:rPr>
              <w:fldChar w:fldCharType="separate"/>
            </w:r>
            <w:r w:rsidR="00CE22CF">
              <w:rPr>
                <w:webHidden/>
              </w:rPr>
              <w:t>55</w:t>
            </w:r>
            <w:r w:rsidR="000F2A7E">
              <w:rPr>
                <w:webHidden/>
              </w:rPr>
              <w:fldChar w:fldCharType="end"/>
            </w:r>
          </w:hyperlink>
        </w:p>
        <w:p w:rsidR="000F2A7E" w:rsidRDefault="00AF1884">
          <w:pPr>
            <w:pStyle w:val="TOC1"/>
            <w:rPr>
              <w:rFonts w:eastAsiaTheme="minorEastAsia"/>
              <w:b w:val="0"/>
              <w:lang w:eastAsia="en-IE"/>
            </w:rPr>
          </w:pPr>
          <w:hyperlink w:anchor="_Toc446773084" w:history="1">
            <w:r w:rsidR="000F2A7E" w:rsidRPr="00BE3A6F">
              <w:rPr>
                <w:rStyle w:val="Hyperlink"/>
              </w:rPr>
              <w:t>1.7 Objectives of current research</w:t>
            </w:r>
            <w:r w:rsidR="000F2A7E">
              <w:rPr>
                <w:webHidden/>
              </w:rPr>
              <w:tab/>
            </w:r>
            <w:r w:rsidR="000F2A7E">
              <w:rPr>
                <w:webHidden/>
              </w:rPr>
              <w:fldChar w:fldCharType="begin"/>
            </w:r>
            <w:r w:rsidR="000F2A7E">
              <w:rPr>
                <w:webHidden/>
              </w:rPr>
              <w:instrText xml:space="preserve"> PAGEREF _Toc446773084 \h </w:instrText>
            </w:r>
            <w:r w:rsidR="000F2A7E">
              <w:rPr>
                <w:webHidden/>
              </w:rPr>
            </w:r>
            <w:r w:rsidR="000F2A7E">
              <w:rPr>
                <w:webHidden/>
              </w:rPr>
              <w:fldChar w:fldCharType="separate"/>
            </w:r>
            <w:r w:rsidR="00CE22CF">
              <w:rPr>
                <w:webHidden/>
              </w:rPr>
              <w:t>58</w:t>
            </w:r>
            <w:r w:rsidR="000F2A7E">
              <w:rPr>
                <w:webHidden/>
              </w:rPr>
              <w:fldChar w:fldCharType="end"/>
            </w:r>
          </w:hyperlink>
        </w:p>
        <w:p w:rsidR="000F2A7E" w:rsidRDefault="00AF1884">
          <w:pPr>
            <w:pStyle w:val="TOC1"/>
            <w:rPr>
              <w:rFonts w:eastAsiaTheme="minorEastAsia"/>
              <w:b w:val="0"/>
              <w:lang w:eastAsia="en-IE"/>
            </w:rPr>
          </w:pPr>
          <w:hyperlink w:anchor="_Toc446773085" w:history="1">
            <w:r w:rsidR="000F2A7E" w:rsidRPr="00BE3A6F">
              <w:rPr>
                <w:rStyle w:val="Hyperlink"/>
              </w:rPr>
              <w:t>1.8 References</w:t>
            </w:r>
            <w:r w:rsidR="000F2A7E">
              <w:rPr>
                <w:webHidden/>
              </w:rPr>
              <w:tab/>
            </w:r>
            <w:r w:rsidR="000F2A7E">
              <w:rPr>
                <w:webHidden/>
              </w:rPr>
              <w:fldChar w:fldCharType="begin"/>
            </w:r>
            <w:r w:rsidR="000F2A7E">
              <w:rPr>
                <w:webHidden/>
              </w:rPr>
              <w:instrText xml:space="preserve"> PAGEREF _Toc446773085 \h </w:instrText>
            </w:r>
            <w:r w:rsidR="000F2A7E">
              <w:rPr>
                <w:webHidden/>
              </w:rPr>
            </w:r>
            <w:r w:rsidR="000F2A7E">
              <w:rPr>
                <w:webHidden/>
              </w:rPr>
              <w:fldChar w:fldCharType="separate"/>
            </w:r>
            <w:r w:rsidR="00CE22CF">
              <w:rPr>
                <w:webHidden/>
              </w:rPr>
              <w:t>59</w:t>
            </w:r>
            <w:r w:rsidR="000F2A7E">
              <w:rPr>
                <w:webHidden/>
              </w:rPr>
              <w:fldChar w:fldCharType="end"/>
            </w:r>
          </w:hyperlink>
        </w:p>
        <w:p w:rsidR="00591EF1" w:rsidRDefault="00591EF1">
          <w:r>
            <w:rPr>
              <w:b/>
              <w:bCs/>
              <w:noProof/>
            </w:rPr>
            <w:fldChar w:fldCharType="end"/>
          </w:r>
        </w:p>
      </w:sdtContent>
    </w:sdt>
    <w:p w:rsidR="00DD231C" w:rsidRPr="00DD231C" w:rsidRDefault="00DD231C" w:rsidP="00DD231C">
      <w:pPr>
        <w:pStyle w:val="Heading1"/>
      </w:pPr>
      <w:bookmarkStart w:id="0" w:name="_Toc446773053"/>
      <w:r>
        <w:lastRenderedPageBreak/>
        <w:t>1.</w:t>
      </w:r>
      <w:r w:rsidR="00591EF1">
        <w:t>1</w:t>
      </w:r>
      <w:r>
        <w:t xml:space="preserve"> </w:t>
      </w:r>
      <w:r w:rsidRPr="00DD231C">
        <w:t xml:space="preserve">Preparation of </w:t>
      </w:r>
      <w:r w:rsidRPr="00B533B8">
        <w:rPr>
          <w:rFonts w:ascii="Symbol" w:hAnsi="Symbol"/>
        </w:rPr>
        <w:t></w:t>
      </w:r>
      <w:r w:rsidRPr="00DD231C">
        <w:t>-diazocarbonyl compounds</w:t>
      </w:r>
      <w:bookmarkEnd w:id="0"/>
    </w:p>
    <w:p w:rsidR="00E7424C" w:rsidRPr="00DD231C" w:rsidRDefault="00DD231C" w:rsidP="00DD231C">
      <w:pPr>
        <w:pStyle w:val="Heading2"/>
      </w:pPr>
      <w:bookmarkStart w:id="1" w:name="_Toc446773054"/>
      <w:r>
        <w:t>1.</w:t>
      </w:r>
      <w:r w:rsidR="00591EF1">
        <w:t>1</w:t>
      </w:r>
      <w:r>
        <w:t xml:space="preserve">.1 </w:t>
      </w:r>
      <w:r w:rsidR="009C6875">
        <w:t>Overview of diazo transfer r</w:t>
      </w:r>
      <w:r w:rsidR="00E7424C" w:rsidRPr="00DD231C">
        <w:t>eactions</w:t>
      </w:r>
      <w:bookmarkEnd w:id="1"/>
    </w:p>
    <w:p w:rsidR="00996CBA" w:rsidRDefault="0096663B" w:rsidP="002E79FE">
      <w:pPr>
        <w:spacing w:line="360" w:lineRule="auto"/>
        <w:jc w:val="both"/>
        <w:rPr>
          <w:rFonts w:cs="Times New Roman"/>
          <w:sz w:val="24"/>
          <w:szCs w:val="24"/>
        </w:rPr>
      </w:pPr>
      <w:r>
        <w:rPr>
          <w:rFonts w:cs="Times New Roman"/>
          <w:sz w:val="24"/>
          <w:szCs w:val="24"/>
        </w:rPr>
        <w:t>α-Diazocarbonyl compounds are extremely useful in organic synthesis</w:t>
      </w:r>
      <w:r w:rsidR="00507499">
        <w:rPr>
          <w:rFonts w:cs="Times New Roman"/>
          <w:sz w:val="24"/>
          <w:szCs w:val="24"/>
        </w:rPr>
        <w:t xml:space="preserve"> due to their ease of preparation and their diverse reactivity. Decomposition of these compounds under thermolysis, photolysis or transition metal</w:t>
      </w:r>
      <w:r w:rsidR="009C452D">
        <w:rPr>
          <w:rFonts w:cs="Times New Roman"/>
          <w:sz w:val="24"/>
          <w:szCs w:val="24"/>
        </w:rPr>
        <w:t xml:space="preserve"> catalysis generates a reactive carbene</w:t>
      </w:r>
      <w:r w:rsidR="00507499">
        <w:rPr>
          <w:rFonts w:cs="Times New Roman"/>
          <w:sz w:val="24"/>
          <w:szCs w:val="24"/>
        </w:rPr>
        <w:t xml:space="preserve"> intermediate.</w:t>
      </w:r>
      <w:r w:rsidR="00996CBA">
        <w:rPr>
          <w:rFonts w:cs="Times New Roman"/>
          <w:sz w:val="24"/>
          <w:szCs w:val="24"/>
        </w:rPr>
        <w:t xml:space="preserve"> Copper complexes were most commonly used prior to the discovery of the more efficient </w:t>
      </w:r>
      <w:r w:rsidR="009C452D">
        <w:rPr>
          <w:rFonts w:cs="Times New Roman"/>
          <w:sz w:val="24"/>
          <w:szCs w:val="24"/>
        </w:rPr>
        <w:t>rhodium(II)</w:t>
      </w:r>
      <w:r w:rsidR="00996CBA">
        <w:rPr>
          <w:rFonts w:cs="Times New Roman"/>
          <w:sz w:val="24"/>
          <w:szCs w:val="24"/>
        </w:rPr>
        <w:t xml:space="preserve"> carboxylate catalysts in the 1970’s.</w:t>
      </w:r>
      <w:r w:rsidR="00996CBA">
        <w:rPr>
          <w:rFonts w:cs="Times New Roman"/>
          <w:sz w:val="24"/>
          <w:szCs w:val="24"/>
        </w:rPr>
        <w:fldChar w:fldCharType="begin" w:fldLock="1"/>
      </w:r>
      <w:r w:rsidR="00996CBA">
        <w:rPr>
          <w:rFonts w:cs="Times New Roman"/>
          <w:sz w:val="24"/>
          <w:szCs w:val="24"/>
        </w:rPr>
        <w:instrText>ADDIN CSL_CITATION { "citationItems" : [ { "id" : "ITEM-1", "itemData" : { "DOI" : "10.1016/S0040-4039(01)87603-6", "ISSN" : "0040-4039", "abstract" : "ROH (R = Et, Me2CH, Me3C, H, Ac) with N2CHCO2Et and Rh2(OAc)4 gave 80-93% ROCH2CO2Et.  The reaction, which was first order in Rh concn., may proceed via a Rh-N2CHCO2Et complex. [on SciFinder(R)]", "author" : [ { "dropping-particle" : "", "family" : "Paulissen", "given" : "Robert", "non-dropping-particle" : "", "parse-names" : false, "suffix" : "" }, { "dropping-particle" : "", "family" : "Reimlinger", "given" : "H", "non-dropping-particle" : "", "parse-names" : false, "suffix" : "" }, { "dropping-particle" : "", "family" : "Hayez", "given" : "E", "non-dropping-particle" : "", "parse-names" : false, "suffix" : "" }, { "dropping-particle" : "", "family" : "Hubert", "given" : "A J", "non-dropping-particle" : "", "parse-names" : false, "suffix" : "" }, { "dropping-particle" : "", "family" : "Teyssie", "given" : "Ph.", "non-dropping-particle" : "", "parse-names" : false, "suffix" : "" } ], "container-title" : "Tetrahedron Letters", "id" : "ITEM-1", "issue" : "24", "issued" : { "date-parts" : [ [ "1973" ] ] }, "note" : "CAPLUS AN 1973:491509(Journal)", "page" : "2233-2236", "title" : "Transition metal catalyzed reactions of diazo compounds.  II.  Insertion in the hydroxylic bond.", "type" : "article-journal" }, "uris" : [ "http://www.mendeley.com/documents/?uuid=f6e71e4a-b578-4314-aae8-1a1353f26948" ] }, { "id" : "ITEM-2", "itemData" : { "DOI" : "10.1055/s-1976-24132", "ISSN" : "0039-7881", "abstract" : "Nineteen cyclopropanes I (R = Me, Et, Pr, H; R1 = H, Me; R2 = Et, Me, H, pentyl; R3 = H, Me, Pr, Bu, pentyl; R4 = Me, Et, Br) were prepd. in 7-100% yield by reaction of RCR1:CR2R3 with N2:CHCO2R4 in the presence of Rh(O2CR5)2 (R5 = Me, Pr, CMe3).  The best yields were obtained with N2:CHCO2Bu in the presence of Rh(O2CMe)2; this was explained by the increased soly. and stabilization of the intermediate carbenoid species. [on SciFinder(R)]", "author" : [ { "dropping-particle" : "", "family" : "Hubert", "given" : "Andre J", "non-dropping-particle" : "", "parse-names" : false, "suffix" : "" }, { "dropping-particle" : "", "family" : "Noels", "given" : "Alfred F", "non-dropping-particle" : "", "parse-names" : false, "suffix" : "" }, { "dropping-particle" : "", "family" : "Anciaux", "given" : "Andre J", "non-dropping-particle" : "", "parse-names" : false, "suffix" : "" }, { "dropping-particle" : "", "family" : "Teyssie", "given" : "Philippe.", "non-dropping-particle" : "", "parse-names" : false, "suffix" : "" } ], "container-title" : "Synthesis", "id" : "ITEM-2", "issue" : "9", "issued" : { "date-parts" : [ [ "1976" ] ] }, "note" : "CAPLUS AN 1977:43228(Journal)", "page" : "600-602", "title" : "Rhodium(II) carboxylates:  novel highly efficient catalysts for the cyclopropanation of alkenes with alkyl diazoacetates.", "type" : "article-journal" }, "uris" : [ "http://www.mendeley.com/documents/?uuid=d4b9c6dc-565e-49d7-abe5-6cb7c386cc7d" ] } ], "mendeley" : { "formattedCitation" : "&lt;sup&gt;[1,2]&lt;/sup&gt;", "plainTextFormattedCitation" : "[1,2]", "previouslyFormattedCitation" : "&lt;sup&gt;[1,2]&lt;/sup&gt;" }, "properties" : { "noteIndex" : 0 }, "schema" : "https://github.com/citation-style-language/schema/raw/master/csl-citation.json" }</w:instrText>
      </w:r>
      <w:r w:rsidR="00996CBA">
        <w:rPr>
          <w:rFonts w:cs="Times New Roman"/>
          <w:sz w:val="24"/>
          <w:szCs w:val="24"/>
        </w:rPr>
        <w:fldChar w:fldCharType="separate"/>
      </w:r>
      <w:r w:rsidR="00996CBA" w:rsidRPr="00996CBA">
        <w:rPr>
          <w:rFonts w:cs="Times New Roman"/>
          <w:noProof/>
          <w:sz w:val="24"/>
          <w:szCs w:val="24"/>
          <w:vertAlign w:val="superscript"/>
        </w:rPr>
        <w:t>[1,2]</w:t>
      </w:r>
      <w:r w:rsidR="00996CBA">
        <w:rPr>
          <w:rFonts w:cs="Times New Roman"/>
          <w:sz w:val="24"/>
          <w:szCs w:val="24"/>
        </w:rPr>
        <w:fldChar w:fldCharType="end"/>
      </w:r>
    </w:p>
    <w:p w:rsidR="002E79FE" w:rsidRDefault="0096663B" w:rsidP="002E79FE">
      <w:pPr>
        <w:spacing w:line="360" w:lineRule="auto"/>
        <w:jc w:val="both"/>
        <w:rPr>
          <w:sz w:val="24"/>
          <w:szCs w:val="24"/>
        </w:rPr>
      </w:pPr>
      <w:r>
        <w:rPr>
          <w:rFonts w:cs="Times New Roman"/>
          <w:sz w:val="24"/>
          <w:szCs w:val="24"/>
        </w:rPr>
        <w:t xml:space="preserve"> </w:t>
      </w:r>
      <w:r w:rsidR="00847A88">
        <w:rPr>
          <w:rFonts w:cs="Times New Roman"/>
          <w:sz w:val="24"/>
          <w:szCs w:val="24"/>
        </w:rPr>
        <w:t>There have been many comprehensive reviews published on the preparation and synthetic uses of α-diazocarbonyl compounds.</w:t>
      </w:r>
      <w:r w:rsidR="00847A88">
        <w:rPr>
          <w:rFonts w:cs="Times New Roman"/>
          <w:sz w:val="24"/>
          <w:szCs w:val="24"/>
          <w:vertAlign w:val="superscript"/>
        </w:rPr>
        <w:fldChar w:fldCharType="begin" w:fldLock="1"/>
      </w:r>
      <w:r w:rsidR="00995EB3">
        <w:rPr>
          <w:rFonts w:cs="Times New Roman"/>
          <w:sz w:val="24"/>
          <w:szCs w:val="24"/>
          <w:vertAlign w:val="superscript"/>
        </w:rPr>
        <w:instrText>ADDIN CSL_CITATION { "citationItems" : [ { "id" : "ITEM-1", "itemData" : { "DOI" : "10.1021/cr00075a013", "ISSN" : "0009-2665", "abstract" : "A review with \u223c170 refs. in which catalysts for the title reactions, and catalytic cyclopropanations, dipolar cycloaddn., and insertion reactions, and catalytic methods for ylide generation and rearrangement are discussed. [on SciFinder(R)]", "author" : [ { "dropping-particle" : "", "family" : "Doyle", "given" : "Michael P", "non-dropping-particle" : "", "parse-names" : false, "suffix" : "" } ], "container-title" : "Chemical Reviews (Washington, DC, United States)", "id" : "ITEM-1", "issue" : "5", "issued" : { "date-parts" : [ [ "1986" ] ] }, "note" : "CAPLUS AN 1986:571432(Journal; General Review)", "page" : "919-940", "title" : "Catalytic methods for metal carbene transformations.", "type" : "article-journal", "volume" : "86" }, "uris" : [ "http://www.mendeley.com/documents/?uuid=7ea73c16-244d-4c2d-b534-f3280081552f" ] }, { "id" : "ITEM-2", "itemData" : { "DOI" : "10.1021/acs.chemrev.5b00121", "ISSN" : "0009-2665", "abstract" : "A review.  There has been enormous influence of the proximal combination of two simple functional groups, keto and diazo, on the practice of org. synthesis.  Due to the application of diazocarbonyl compds. to org. synthesis and the expansion into new application areas during the past two decades, this topic is being again reviewed.  Not all aspects of diazocarbonyl chem. have prospered equally, but the areas that continue to attract the most attention are prepn. of diazocarbonyl substrates, including diazomethane synthesis, the Wolff rearrangement, cyclopropanation of alkenes, reactions with aroms., C-H insertion, X-H insertion, and formation and reactions of ylides.  In addn., there have been significant developments with the use of diazocarbonyl reactions in biol. environments, e.g., structure-selective alkylation of DNA and RNA.  The areas of cyclopropanation and aliph. C-H insertion have been reviewed extensively elsewhere; only a selection of the most significant developments are treated here. [on SciFinder(R)]", "author" : [ { "dropping-particle" : "", "family" : "Ford", "given" : "Alan", "non-dropping-particle" : "", "parse-names" : false, "suffix" : "" }, { "dropping-particle" : "", "family" : "Miel", "given" : "Hugues", "non-dropping-particle" : "", "parse-names" : false, "suffix" : "" }, { "dropping-particle" : "", "family" : "Ring", "given" : "Aoife", "non-dropping-particle" : "", "parse-names" : false, "suffix" : "" }, { "dropping-particle" : "", "family" : "Slattery", "given" : "Catherine N", "non-dropping-particle" : "", "parse-names" : false, "suffix" : "" }, { "dropping-particle" : "", "family" : "Maguire", "given" : "Anita R", "non-dropping-particle" : "", "parse-names" : false, "suffix" : "" }, { "dropping-particle" : "", "family" : "McKervey", "given" : "M Anthony.", "non-dropping-particle" : "", "parse-names" : false, "suffix" : "" } ], "container-title" : "Chemical Reviews (Washington, DC, United States)", "id" : "ITEM-2", "issue" : "18", "issued" : { "date-parts" : [ [ "2015" ] ] }, "note" : "CAPLUS AN 2015:1370800(Journal; General Review; Online Computer File)", "page" : "9981-10080", "publisher" : "American Chemical Society", "title" : "Modern Organic Synthesis with \u03b1-Diazocarbonyl Compounds.", "type" : "article-journal", "volume" : "115" }, "uris" : [ "http://www.mendeley.com/documents/?uuid=64b31586-804d-4d50-9577-652ac998c0e8" ] }, { "id" : "ITEM-3", "itemData" : { "DOI" : "10.1002/anie.200902785", "ISSN" : "1521-3773", "PMID" : "19790217", "abstract" : "Diazo compounds (R1R2C=N2) are known as versatile and useful substrates for an array of chemical transformations and, therefore, diazo chemistry is still far from losing anything of its long-standing fascination. In addition to many studies on the subsequent chemistry of the diazo group, the inventory of methods for the preparation of diazo compounds is continuously supplemented by new methods and novel variations of established procedures. Several of these synthetic approaches take into account the lability and remarkable chemical reactivity of certain classes of diazo compounds, and environmentally more benign procedures also continue to be developed.", "author" : [ { "dropping-particle" : "", "family" : "Maas", "given" : "Gerhard", "non-dropping-particle" : "", "parse-names" : false, "suffix" : "" } ], "container-title" : "Angewandte Chemie (International ed. in English)", "id" : "ITEM-3", "issue" : "44", "issued" : { "date-parts" : [ [ "2009", "1" ] ] }, "page" : "8186-95", "title" : "New syntheses of diazo compounds.", "type" : "article-journal", "volume" : "48" }, "uris" : [ "http://www.mendeley.com/documents/?uuid=5a48bb05-933e-487b-9558-0910d88d068d" ] }, { "id" : "ITEM-4", "itemData" : { "ISSN" : "0044-8249", "abstract" : "A review with 178 refs. with emphasis on the chem. behavior of transition metal carbenoid complexes that are greatly affected by the nature of the ligand groups attached to the metal center. [on SciFinder(R)]", "author" : [ { "dropping-particle" : "", "family" : "Padwa", "given" : "Albert", "non-dropping-particle" : "", "parse-names" : false, "suffix" : "" }, { "dropping-particle" : "", "family" : "Austin", "given" : "David J", "non-dropping-particle" : "", "parse-names" : false, "suffix" : "" } ], "container-title" : "Angewandte Chemie", "id" : "ITEM-4", "issue" : "18", "issued" : { "date-parts" : [ [ "1994" ] ] }, "note" : "CAPLUS AN 1996:45807(Journal; General Review)", "page" : "1881-1899", "publisher" : "VCH", "title" : "Transition-metal-catalyzed reactions of \u03b1-diazo carbonyl compounds: effect of ligands on chemoselectivity.", "type" : "article-journal", "volume" : "106" }, "uris" : [ "http://www.mendeley.com/documents/?uuid=c9bec13e-0bf9-43ff-bca1-052eda83c7b7" ] }, { "id" : "ITEM-5", "itemData" : { "author" : [ { "dropping-particle" : "", "family" : "Regitz", "given" : "Manfred", "non-dropping-particle" : "", "parse-names" : false, "suffix" : "" }, { "dropping-particle" : "", "family" : "Maas", "given" : "Gerhard.", "non-dropping-particle" : "", "parse-names" : false, "suffix" : "" } ], "id" : "ITEM-5", "issued" : { "date-parts" : [ [ "1986" ] ] }, "note" : "CAPLUS AN 1987:195553(Book)", "number-of-pages" : "596 pp.", "publisher" : "Academic", "title" : "Diazo Compounds. Properties and Synthesis.", "type" : "book" }, "uris" : [ "http://www.mendeley.com/documents/?uuid=c54f7eeb-e24e-4975-bbad-9a9697cedf7c" ] }, { "id" : "ITEM-6", "itemData" : { "DOI" : "10.1021/cr00028a010", "ISSN" : "0009-2665", "abstract" : "Review with 786 ref. [on SciFinder(R)]", "author" : [ { "dropping-particle" : "", "family" : "Ye", "given" : "Tao", "non-dropping-particle" : "", "parse-names" : false, "suffix" : "" }, { "dropping-particle" : "", "family" : "McKervey", "given" : "M Anthony.", "non-dropping-particle" : "", "parse-names" : false, "suffix" : "" } ], "container-title" : "Chemical Reviews (Washington, DC, United States)", "id" : "ITEM-6", "issue" : "4", "issued" : { "date-parts" : [ [ "1994" ] ] }, "note" : "CAPLUS AN 1994:408238(Journal; General Review)", "page" : "1091-1160", "title" : "Organic Synthesis with \u03b1-Diazo Carbonyl Compounds.", "type" : "article-journal", "volume" : "94" }, "uris" : [ "http://www.mendeley.com/documents/?uuid=0f67123a-7452-4180-96d7-05c8fcdb2031" ] }, { "id" : "ITEM-7", "itemData" : { "DOI" : "10.1016/j.tet.2008.04.074", "ISBN" : "0040-4020", "ISSN" : "00404020", "URL" : "http://ac.els-cdn.com/S0040402008007886/1-s2.0-S0040402008007886-main.pdf?_tid=40282aee-b902-11e4-b8b4-00000aacb362&amp;acdnat=1424438184_dcd8c4b40cc2a60457c524bbf7bd8d46", "abstract" : "A review. \u0152\u00b1-Diazocarbonyl compds. are easy to prep. and can be handled without difficulty in the lab, and they have a diverse reactivity. They can be decompd. by transition metal complexes to generate Fischer-type metal carbene intermediates, which can subsequently undergo diverse transformations, including XH (X = C, O, S, N, etc.) insertion, cyclopropanation, ylide formation, and 1,2-migration. Recently, olefination and polymn. of \u0152\u00b1-diazocarbonyl compds. have also been reported. In addn, \u0152\u00b1-diazocarbonyl compds. undergo various reactions under thermolytic and photolytic conditions. They can be used as nucleophiles in nucleophilic addn. reactions. This report focuses on the most recent studies since 2003. [on SciFinder(R)]", "accessed" : { "date-parts" : [ [ "2015", "2", "20" ] ] }, "author" : [ { "dropping-particle" : "", "family" : "Zhang", "given" : "Zhenhua", "non-dropping-particle" : "", "parse-names" : false, "suffix" : "" }, { "dropping-particle" : "", "family" : "Wang", "given" : "Jianbo", "non-dropping-particle" : "", "parse-names" : false, "suffix" : "" } ], "container-title" : "Tetrahedron", "id" : "ITEM-7", "issue" : "839", "issued" : { "date-parts" : [ [ "2008" ] ] }, "page" : "6577-6605", "title" : "Recent studies on the reactions of a-diazocarbonyl compounds", "type" : "webpage", "volume" : "64" }, "uris" : [ "http://www.mendeley.com/documents/?uuid=f80b9939-cdbd-4afa-b820-d18309aff0a9" ] } ], "mendeley" : { "formattedCitation" : "&lt;sup&gt;[3\u20139]&lt;/sup&gt;", "plainTextFormattedCitation" : "[3\u20139]", "previouslyFormattedCitation" : "&lt;sup&gt;[3\u20139]&lt;/sup&gt;" }, "properties" : { "noteIndex" : 0 }, "schema" : "https://github.com/citation-style-language/schema/raw/master/csl-citation.json" }</w:instrText>
      </w:r>
      <w:r w:rsidR="00847A88">
        <w:rPr>
          <w:rFonts w:cs="Times New Roman"/>
          <w:sz w:val="24"/>
          <w:szCs w:val="24"/>
          <w:vertAlign w:val="superscript"/>
        </w:rPr>
        <w:fldChar w:fldCharType="separate"/>
      </w:r>
      <w:r w:rsidR="00996CBA" w:rsidRPr="00996CBA">
        <w:rPr>
          <w:rFonts w:cs="Times New Roman"/>
          <w:noProof/>
          <w:sz w:val="24"/>
          <w:szCs w:val="24"/>
          <w:vertAlign w:val="superscript"/>
        </w:rPr>
        <w:t>[3–9]</w:t>
      </w:r>
      <w:r w:rsidR="00847A88">
        <w:rPr>
          <w:rFonts w:cs="Times New Roman"/>
          <w:sz w:val="24"/>
          <w:szCs w:val="24"/>
          <w:vertAlign w:val="superscript"/>
        </w:rPr>
        <w:fldChar w:fldCharType="end"/>
      </w:r>
      <w:r w:rsidR="00847A88">
        <w:rPr>
          <w:rFonts w:cs="Times New Roman"/>
          <w:sz w:val="24"/>
          <w:szCs w:val="24"/>
          <w:vertAlign w:val="superscript"/>
        </w:rPr>
        <w:t xml:space="preserve"> </w:t>
      </w:r>
      <w:r>
        <w:rPr>
          <w:rFonts w:cs="Times New Roman"/>
          <w:sz w:val="24"/>
          <w:szCs w:val="24"/>
        </w:rPr>
        <w:t>They are a precursor to a series of reactive intermediates which can undergo a range of reactions</w:t>
      </w:r>
      <w:r w:rsidR="00BC5AA0">
        <w:rPr>
          <w:rFonts w:cs="Times New Roman"/>
          <w:sz w:val="24"/>
          <w:szCs w:val="24"/>
        </w:rPr>
        <w:t xml:space="preserve"> (</w:t>
      </w:r>
      <w:r w:rsidR="00BC5AA0" w:rsidRPr="00BC5AA0">
        <w:rPr>
          <w:rFonts w:cs="Times New Roman"/>
          <w:b/>
          <w:sz w:val="24"/>
          <w:szCs w:val="24"/>
        </w:rPr>
        <w:t>Scheme 1.1</w:t>
      </w:r>
      <w:r w:rsidR="00BC5AA0">
        <w:rPr>
          <w:rFonts w:cs="Times New Roman"/>
          <w:sz w:val="24"/>
          <w:szCs w:val="24"/>
        </w:rPr>
        <w:t>)</w:t>
      </w:r>
      <w:r>
        <w:rPr>
          <w:rFonts w:cs="Times New Roman"/>
          <w:sz w:val="24"/>
          <w:szCs w:val="24"/>
        </w:rPr>
        <w:t xml:space="preserve"> including Wolff rearrangement, C-H insertion, X-Y insertion, ylide formation, and cyclopropanation.</w:t>
      </w:r>
      <w:r w:rsidR="002E79FE">
        <w:rPr>
          <w:rFonts w:cs="Times New Roman"/>
          <w:sz w:val="24"/>
          <w:szCs w:val="24"/>
        </w:rPr>
        <w:t xml:space="preserve"> </w:t>
      </w:r>
      <w:r w:rsidR="00BC5AA0">
        <w:rPr>
          <w:rFonts w:cs="Times New Roman"/>
          <w:sz w:val="24"/>
          <w:szCs w:val="24"/>
        </w:rPr>
        <w:t>Our under</w:t>
      </w:r>
      <w:r w:rsidR="0057119D">
        <w:rPr>
          <w:rFonts w:cs="Times New Roman"/>
          <w:sz w:val="24"/>
          <w:szCs w:val="24"/>
        </w:rPr>
        <w:t xml:space="preserve">standing of the </w:t>
      </w:r>
      <w:r w:rsidR="009C452D">
        <w:rPr>
          <w:rFonts w:cs="Times New Roman"/>
          <w:sz w:val="24"/>
          <w:szCs w:val="24"/>
        </w:rPr>
        <w:t xml:space="preserve">full potential of the </w:t>
      </w:r>
      <w:r w:rsidR="0057119D">
        <w:rPr>
          <w:rFonts w:cs="Times New Roman"/>
          <w:sz w:val="24"/>
          <w:szCs w:val="24"/>
        </w:rPr>
        <w:t>highly reactive</w:t>
      </w:r>
      <w:r w:rsidR="002E79FE" w:rsidRPr="00EB4A40">
        <w:rPr>
          <w:sz w:val="24"/>
          <w:szCs w:val="24"/>
        </w:rPr>
        <w:t xml:space="preserve"> diazo function</w:t>
      </w:r>
      <w:r w:rsidR="00800144">
        <w:rPr>
          <w:sz w:val="24"/>
          <w:szCs w:val="24"/>
        </w:rPr>
        <w:t>al group</w:t>
      </w:r>
      <w:r w:rsidR="002E79FE">
        <w:rPr>
          <w:sz w:val="24"/>
          <w:szCs w:val="24"/>
        </w:rPr>
        <w:t xml:space="preserve"> is </w:t>
      </w:r>
      <w:r w:rsidR="00800144">
        <w:rPr>
          <w:sz w:val="24"/>
          <w:szCs w:val="24"/>
        </w:rPr>
        <w:t>incomplete</w:t>
      </w:r>
      <w:r w:rsidR="002E79FE">
        <w:rPr>
          <w:sz w:val="24"/>
          <w:szCs w:val="24"/>
        </w:rPr>
        <w:t xml:space="preserve"> as the dangers associated with their production limit the frequency of their </w:t>
      </w:r>
      <w:r w:rsidR="00BC5AA0">
        <w:rPr>
          <w:sz w:val="24"/>
          <w:szCs w:val="24"/>
        </w:rPr>
        <w:t>use</w:t>
      </w:r>
      <w:r w:rsidR="002E79FE">
        <w:rPr>
          <w:sz w:val="24"/>
          <w:szCs w:val="24"/>
        </w:rPr>
        <w:t xml:space="preserve"> in industry.</w:t>
      </w:r>
      <w:r w:rsidR="00BC5AA0">
        <w:rPr>
          <w:sz w:val="24"/>
          <w:szCs w:val="24"/>
        </w:rPr>
        <w:t xml:space="preserve"> </w:t>
      </w:r>
      <w:r w:rsidR="0057119D">
        <w:rPr>
          <w:sz w:val="24"/>
          <w:szCs w:val="24"/>
        </w:rPr>
        <w:t xml:space="preserve">These dangers </w:t>
      </w:r>
      <w:r w:rsidR="00B63EDE">
        <w:rPr>
          <w:sz w:val="24"/>
          <w:szCs w:val="24"/>
        </w:rPr>
        <w:t>a</w:t>
      </w:r>
      <w:r w:rsidR="0057119D">
        <w:rPr>
          <w:sz w:val="24"/>
          <w:szCs w:val="24"/>
        </w:rPr>
        <w:t>rise from the reagents employed as diazo transfer reagents, which are often highly sensitive to shock and temperature.</w:t>
      </w:r>
      <w:r w:rsidR="00DF4000">
        <w:rPr>
          <w:sz w:val="24"/>
          <w:szCs w:val="24"/>
        </w:rPr>
        <w:fldChar w:fldCharType="begin" w:fldLock="1"/>
      </w:r>
      <w:r w:rsidR="00E2013D">
        <w:rPr>
          <w:sz w:val="24"/>
          <w:szCs w:val="24"/>
        </w:rPr>
        <w:instrText>ADDIN CSL_CITATION { "citationItems" : [ { "id" : "ITEM-1", "itemData" : { "ISSN" : "0936-5214", "abstract" : "A review with 30 refs. The explosive hazard of widely used diazotransfer reagents has been measured. Since no single reagent is suitable for all uses, selection must be based on minimization of hazard and ease of purifn. of the product. In general, azidotransfer reagents are more energetic than diazotransfer reagents, therefore more hazardous to the researcher. Users of azidotransfer reagents are invited to det. the inherent hazards of these compds. [on SciFinder(R)]", "author" : [ { "dropping-particle" : "", "family" : "Bollinger", "given" : "Frederick W", "non-dropping-particle" : "", "parse-names" : false, "suffix" : "" }, { "dropping-particle" : "", "family" : "Tuma", "given" : "Linda D", "non-dropping-particle" : "", "parse-names" : false, "suffix" : "" } ], "container-title" : "Synlett", "id" : "ITEM-1", "issue" : "5", "issued" : { "date-parts" : [ [ "1996" ] ] }, "note" : "CAPLUS AN 1996:339089(Journal; General Review)", "page" : "407-413", "publisher" : "Thieme", "title" : "Diazotransfer reagents.", "type" : "article-journal" }, "uris" : [ "http://www.mendeley.com/documents/?uuid=a96952d8-7a81-4b6f-b61d-aba6dde60f1e" ] }, { "id" : "ITEM-2", "itemData" : { "DOI" : "10.1080/00397918108065754", "ISSN" : "0039-7911", "abstract" : "Activated methylene compds. were converted to diazo compds. by treatment with 4-C12H25C6H4SO2N3 and 2-naphthalenesulfonyl azide (I).  Thus, MeCOCH2CO2Et was treated with I at 0-25\u00b0 to give MeCOC(:N2)CO2Et. [on SciFinder(R)]", "author" : [ { "dropping-particle" : "", "family" : "Hazen", "given" : "George G", "non-dropping-particle" : "", "parse-names" : false, "suffix" : "" }, { "dropping-particle" : "", "family" : "Weinstock", "given" : "Leonard M", "non-dropping-particle" : "", "parse-names" : false, "suffix" : "" }, { "dropping-particle" : "", "family" : "Connell", "given" : "Robert", "non-dropping-particle" : "", "parse-names" : false, "suffix" : "" }, { "dropping-particle" : "", "family" : "Bollinger", "given" : "Frederick W", "non-dropping-particle" : "", "parse-names" : false, "suffix" : "" } ], "container-title" : "Synthetic Communications", "id" : "ITEM-2", "issue" : "12", "issued" : { "date-parts" : [ [ "1981" ] ] }, "page" : "947-956", "title" : "A safer diazotransfer reagent.", "type" : "article-journal", "volume" : "11" }, "uris" : [ "http://www.mendeley.com/documents/?uuid=302c7ec0-b390-4863-93b1-8fad3a1a1dab" ] } ], "mendeley" : { "formattedCitation" : "&lt;sup&gt;[10,11]&lt;/sup&gt;", "plainTextFormattedCitation" : "[10,11]", "previouslyFormattedCitation" : "&lt;sup&gt;[10,11]&lt;/sup&gt;" }, "properties" : { "noteIndex" : 0 }, "schema" : "https://github.com/citation-style-language/schema/raw/master/csl-citation.json" }</w:instrText>
      </w:r>
      <w:r w:rsidR="00DF4000">
        <w:rPr>
          <w:sz w:val="24"/>
          <w:szCs w:val="24"/>
        </w:rPr>
        <w:fldChar w:fldCharType="separate"/>
      </w:r>
      <w:r w:rsidR="00DF4000" w:rsidRPr="00DF4000">
        <w:rPr>
          <w:noProof/>
          <w:sz w:val="24"/>
          <w:szCs w:val="24"/>
          <w:vertAlign w:val="superscript"/>
        </w:rPr>
        <w:t>[10,11]</w:t>
      </w:r>
      <w:r w:rsidR="00DF4000">
        <w:rPr>
          <w:sz w:val="24"/>
          <w:szCs w:val="24"/>
        </w:rPr>
        <w:fldChar w:fldCharType="end"/>
      </w:r>
    </w:p>
    <w:p w:rsidR="00847A88" w:rsidRDefault="00393045" w:rsidP="00847A88">
      <w:pPr>
        <w:spacing w:line="360" w:lineRule="auto"/>
        <w:jc w:val="center"/>
      </w:pPr>
      <w:r>
        <w:object w:dxaOrig="6474" w:dyaOrig="4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44.5pt" o:ole="">
            <v:imagedata r:id="rId9" o:title=""/>
          </v:shape>
          <o:OLEObject Type="Embed" ProgID="ChemDraw.Document.6.0" ShapeID="_x0000_i1025" DrawAspect="Content" ObjectID="_1531849566" r:id="rId10"/>
        </w:object>
      </w:r>
    </w:p>
    <w:p w:rsidR="00BC5AA0" w:rsidRPr="00BC5AA0" w:rsidRDefault="00BC5AA0" w:rsidP="00847A88">
      <w:pPr>
        <w:spacing w:line="360" w:lineRule="auto"/>
        <w:jc w:val="center"/>
        <w:rPr>
          <w:b/>
          <w:sz w:val="24"/>
          <w:szCs w:val="24"/>
        </w:rPr>
      </w:pPr>
      <w:r w:rsidRPr="00BC5AA0">
        <w:rPr>
          <w:b/>
          <w:sz w:val="24"/>
          <w:szCs w:val="24"/>
        </w:rPr>
        <w:t>Scheme 1.1</w:t>
      </w:r>
    </w:p>
    <w:p w:rsidR="00847A88" w:rsidRDefault="0096663B" w:rsidP="00A353F0">
      <w:pPr>
        <w:spacing w:line="360" w:lineRule="auto"/>
        <w:jc w:val="both"/>
        <w:rPr>
          <w:rFonts w:cs="Times New Roman"/>
          <w:sz w:val="24"/>
          <w:szCs w:val="24"/>
        </w:rPr>
      </w:pPr>
      <w:r>
        <w:rPr>
          <w:rFonts w:cs="Times New Roman"/>
          <w:sz w:val="24"/>
          <w:szCs w:val="24"/>
        </w:rPr>
        <w:t xml:space="preserve"> </w:t>
      </w:r>
    </w:p>
    <w:p w:rsidR="0096663B" w:rsidRDefault="0096663B" w:rsidP="00A353F0">
      <w:pPr>
        <w:spacing w:line="360" w:lineRule="auto"/>
        <w:jc w:val="both"/>
        <w:rPr>
          <w:sz w:val="24"/>
          <w:szCs w:val="24"/>
        </w:rPr>
      </w:pPr>
      <w:r>
        <w:rPr>
          <w:sz w:val="24"/>
          <w:szCs w:val="24"/>
        </w:rPr>
        <w:lastRenderedPageBreak/>
        <w:t xml:space="preserve">There are numerous </w:t>
      </w:r>
      <w:r w:rsidR="00BC5AA0">
        <w:rPr>
          <w:sz w:val="24"/>
          <w:szCs w:val="24"/>
        </w:rPr>
        <w:t xml:space="preserve">reported </w:t>
      </w:r>
      <w:r>
        <w:rPr>
          <w:sz w:val="24"/>
          <w:szCs w:val="24"/>
        </w:rPr>
        <w:t>methods for synthe</w:t>
      </w:r>
      <w:r w:rsidR="00BC5AA0">
        <w:rPr>
          <w:sz w:val="24"/>
          <w:szCs w:val="24"/>
        </w:rPr>
        <w:t>sising diazo compounds, which a</w:t>
      </w:r>
      <w:r w:rsidR="00F92837">
        <w:rPr>
          <w:sz w:val="24"/>
          <w:szCs w:val="24"/>
        </w:rPr>
        <w:t xml:space="preserve">re summarised in </w:t>
      </w:r>
      <w:r>
        <w:rPr>
          <w:sz w:val="24"/>
          <w:szCs w:val="24"/>
        </w:rPr>
        <w:t>recent review</w:t>
      </w:r>
      <w:r w:rsidR="00F92837">
        <w:rPr>
          <w:sz w:val="24"/>
          <w:szCs w:val="24"/>
        </w:rPr>
        <w:t>s</w:t>
      </w:r>
      <w:r>
        <w:rPr>
          <w:sz w:val="24"/>
          <w:szCs w:val="24"/>
        </w:rPr>
        <w:t>.</w:t>
      </w:r>
      <w:r w:rsidR="002F69F4">
        <w:rPr>
          <w:sz w:val="24"/>
          <w:szCs w:val="24"/>
        </w:rPr>
        <w:fldChar w:fldCharType="begin" w:fldLock="1"/>
      </w:r>
      <w:r w:rsidR="00F92837">
        <w:rPr>
          <w:sz w:val="24"/>
          <w:szCs w:val="24"/>
        </w:rPr>
        <w:instrText>ADDIN CSL_CITATION { "citationItems" : [ { "id" : "ITEM-1", "itemData" : { "DOI" : "10.1021/acs.chemrev.5b00121", "ISSN" : "0009-2665", "abstract" : "A review.  There has been enormous influence of the proximal combination of two simple functional groups, keto and diazo, on the practice of org. synthesis.  Due to the application of diazocarbonyl compds. to org. synthesis and the expansion into new application areas during the past two decades, this topic is being again reviewed.  Not all aspects of diazocarbonyl chem. have prospered equally, but the areas that continue to attract the most attention are prepn. of diazocarbonyl substrates, including diazomethane synthesis, the Wolff rearrangement, cyclopropanation of alkenes, reactions with aroms., C-H insertion, X-H insertion, and formation and reactions of ylides.  In addn., there have been significant developments with the use of diazocarbonyl reactions in biol. environments, e.g., structure-selective alkylation of DNA and RNA.  The areas of cyclopropanation and aliph. C-H insertion have been reviewed extensively elsewhere; only a selection of the most significant developments are treated here. [on SciFinder(R)]", "author" : [ { "dropping-particle" : "", "family" : "Ford", "given" : "Alan", "non-dropping-particle" : "", "parse-names" : false, "suffix" : "" }, { "dropping-particle" : "", "family" : "Miel", "given" : "Hugues", "non-dropping-particle" : "", "parse-names" : false, "suffix" : "" }, { "dropping-particle" : "", "family" : "Ring", "given" : "Aoife", "non-dropping-particle" : "", "parse-names" : false, "suffix" : "" }, { "dropping-particle" : "", "family" : "Slattery", "given" : "Catherine N", "non-dropping-particle" : "", "parse-names" : false, "suffix" : "" }, { "dropping-particle" : "", "family" : "Maguire", "given" : "Anita R", "non-dropping-particle" : "", "parse-names" : false, "suffix" : "" }, { "dropping-particle" : "", "family" : "McKervey", "given" : "M Anthony.", "non-dropping-particle" : "", "parse-names" : false, "suffix" : "" } ], "container-title" : "Chemical Reviews (Washington, DC, United States)", "id" : "ITEM-1", "issue" : "18", "issued" : { "date-parts" : [ [ "2015" ] ] }, "note" : "CAPLUS AN 2015:1370800(Journal; General Review; Online Computer File)", "page" : "9981-10080", "publisher" : "American Chemical Society", "title" : "Modern Organic Synthesis with \u03b1-Diazocarbonyl Compounds.", "type" : "article-journal", "volume" : "115" }, "uris" : [ "http://www.mendeley.com/documents/?uuid=64b31586-804d-4d50-9577-652ac998c0e8" ] }, { "id" : "ITEM-2", "itemData" : { "DOI" : "10.1002/anie.200902785", "ISSN" : "1521-3773", "PMID" : "19790217", "abstract" : "Diazo compounds (R1R2C=N2) are known as versatile and useful substrates for an array of chemical transformations and, therefore, diazo chemistry is still far from losing anything of its long-standing fascination. In addition to many studies on the subsequent chemistry of the diazo group, the inventory of methods for the preparation of diazo compounds is continuously supplemented by new methods and novel variations of established procedures. Several of these synthetic approaches take into account the lability and remarkable chemical reactivity of certain classes of diazo compounds, and environmentally more benign procedures also continue to be developed.", "author" : [ { "dropping-particle" : "", "family" : "Maas", "given" : "Gerhard", "non-dropping-particle" : "", "parse-names" : false, "suffix" : "" } ], "container-title" : "Angewandte Chemie (International ed. in English)", "id" : "ITEM-2", "issue" : "44", "issued" : { "date-parts" : [ [ "2009", "1" ] ] }, "page" : "8186-95", "title" : "New syntheses of diazo compounds.", "type" : "article-journal", "volume" : "48" }, "uris" : [ "http://www.mendeley.com/documents/?uuid=5a48bb05-933e-487b-9558-0910d88d068d" ] } ], "mendeley" : { "formattedCitation" : "&lt;sup&gt;[4,5]&lt;/sup&gt;", "plainTextFormattedCitation" : "[4,5]", "previouslyFormattedCitation" : "&lt;sup&gt;[4,5]&lt;/sup&gt;" }, "properties" : { "noteIndex" : 0 }, "schema" : "https://github.com/citation-style-language/schema/raw/master/csl-citation.json" }</w:instrText>
      </w:r>
      <w:r w:rsidR="002F69F4">
        <w:rPr>
          <w:sz w:val="24"/>
          <w:szCs w:val="24"/>
        </w:rPr>
        <w:fldChar w:fldCharType="separate"/>
      </w:r>
      <w:r w:rsidR="00F92837" w:rsidRPr="00F92837">
        <w:rPr>
          <w:noProof/>
          <w:sz w:val="24"/>
          <w:szCs w:val="24"/>
          <w:vertAlign w:val="superscript"/>
        </w:rPr>
        <w:t>[4,5]</w:t>
      </w:r>
      <w:r w:rsidR="002F69F4">
        <w:rPr>
          <w:sz w:val="24"/>
          <w:szCs w:val="24"/>
        </w:rPr>
        <w:fldChar w:fldCharType="end"/>
      </w:r>
      <w:r>
        <w:rPr>
          <w:sz w:val="24"/>
          <w:szCs w:val="24"/>
        </w:rPr>
        <w:t xml:space="preserve"> Several of these routes are highlighted in </w:t>
      </w:r>
      <w:r>
        <w:rPr>
          <w:b/>
          <w:sz w:val="24"/>
          <w:szCs w:val="24"/>
        </w:rPr>
        <w:t>Scheme 1.</w:t>
      </w:r>
      <w:r w:rsidR="00BC5AA0">
        <w:rPr>
          <w:b/>
          <w:sz w:val="24"/>
          <w:szCs w:val="24"/>
        </w:rPr>
        <w:t>2</w:t>
      </w:r>
      <w:r>
        <w:rPr>
          <w:sz w:val="24"/>
          <w:szCs w:val="24"/>
        </w:rPr>
        <w:t xml:space="preserve"> below, and include; A) </w:t>
      </w:r>
      <w:r w:rsidR="009C452D">
        <w:rPr>
          <w:sz w:val="24"/>
          <w:szCs w:val="24"/>
        </w:rPr>
        <w:t>diazo transfer</w:t>
      </w:r>
      <w:r>
        <w:rPr>
          <w:sz w:val="24"/>
          <w:szCs w:val="24"/>
        </w:rPr>
        <w:t xml:space="preserve"> onto an activated methylene group, B) diazotization of α-acceptor-substituted primary aliphatic amines, C) dehydrogenation of hydrazones, D) base treatment of sulfonylhydrazones, E) alkaline cleavage of </w:t>
      </w:r>
      <w:r>
        <w:rPr>
          <w:i/>
          <w:sz w:val="24"/>
          <w:szCs w:val="24"/>
        </w:rPr>
        <w:t>N</w:t>
      </w:r>
      <w:r>
        <w:rPr>
          <w:sz w:val="24"/>
          <w:szCs w:val="24"/>
        </w:rPr>
        <w:t>-alkyl-</w:t>
      </w:r>
      <w:r>
        <w:rPr>
          <w:i/>
          <w:sz w:val="24"/>
          <w:szCs w:val="24"/>
        </w:rPr>
        <w:t>N</w:t>
      </w:r>
      <w:r>
        <w:rPr>
          <w:sz w:val="24"/>
          <w:szCs w:val="24"/>
        </w:rPr>
        <w:t xml:space="preserve">-nitroso </w:t>
      </w:r>
      <w:r w:rsidR="006119B2">
        <w:rPr>
          <w:sz w:val="24"/>
          <w:szCs w:val="24"/>
        </w:rPr>
        <w:t>sulfonyl amide</w:t>
      </w:r>
      <w:r>
        <w:rPr>
          <w:sz w:val="24"/>
          <w:szCs w:val="24"/>
        </w:rPr>
        <w:t xml:space="preserve">s, carboxamides, ureas and urethanes, F) triazene fragmentation (rare), G) electrophilic substitution </w:t>
      </w:r>
      <w:r w:rsidR="00BC5AA0">
        <w:rPr>
          <w:sz w:val="24"/>
          <w:szCs w:val="24"/>
        </w:rPr>
        <w:t>of</w:t>
      </w:r>
      <w:r>
        <w:rPr>
          <w:sz w:val="24"/>
          <w:szCs w:val="24"/>
        </w:rPr>
        <w:t xml:space="preserve"> diazomethyl compounds and H) substituent modification of an existing diazo compound (FG = functional group).</w:t>
      </w:r>
    </w:p>
    <w:p w:rsidR="0096663B" w:rsidRDefault="009C452D" w:rsidP="0096663B">
      <w:pPr>
        <w:spacing w:line="360" w:lineRule="auto"/>
        <w:jc w:val="center"/>
      </w:pPr>
      <w:r>
        <w:object w:dxaOrig="5501" w:dyaOrig="4467">
          <v:shape id="_x0000_i1026" type="#_x0000_t75" style="width:267.75pt;height:216.75pt" o:ole="">
            <v:imagedata r:id="rId11" o:title=""/>
          </v:shape>
          <o:OLEObject Type="Embed" ProgID="ChemDraw.Document.6.0" ShapeID="_x0000_i1026" DrawAspect="Content" ObjectID="_1531849567" r:id="rId12"/>
        </w:object>
      </w:r>
    </w:p>
    <w:p w:rsidR="00BC5AA0" w:rsidRDefault="00BC5AA0" w:rsidP="0096663B">
      <w:pPr>
        <w:spacing w:line="360" w:lineRule="auto"/>
        <w:jc w:val="center"/>
        <w:rPr>
          <w:b/>
          <w:sz w:val="24"/>
          <w:szCs w:val="24"/>
        </w:rPr>
      </w:pPr>
      <w:r w:rsidRPr="00BC5AA0">
        <w:rPr>
          <w:b/>
          <w:sz w:val="24"/>
          <w:szCs w:val="24"/>
        </w:rPr>
        <w:t>Scheme 1.2</w:t>
      </w:r>
    </w:p>
    <w:p w:rsidR="00D33707" w:rsidRPr="00BC5AA0" w:rsidRDefault="00D33707" w:rsidP="0096663B">
      <w:pPr>
        <w:spacing w:line="360" w:lineRule="auto"/>
        <w:jc w:val="center"/>
        <w:rPr>
          <w:b/>
          <w:sz w:val="24"/>
          <w:szCs w:val="24"/>
        </w:rPr>
      </w:pPr>
    </w:p>
    <w:p w:rsidR="00E7424C" w:rsidRDefault="00800144" w:rsidP="00BC5AA0">
      <w:pPr>
        <w:spacing w:line="360" w:lineRule="auto"/>
        <w:jc w:val="both"/>
        <w:rPr>
          <w:sz w:val="24"/>
          <w:szCs w:val="24"/>
        </w:rPr>
      </w:pPr>
      <w:r>
        <w:rPr>
          <w:sz w:val="24"/>
          <w:szCs w:val="24"/>
        </w:rPr>
        <w:t xml:space="preserve">While great progress has been made in the preparation of this class of compounds, they are not yet widely used in the pharmaceutical industry. </w:t>
      </w:r>
      <w:r w:rsidR="00E52096">
        <w:rPr>
          <w:sz w:val="24"/>
          <w:szCs w:val="24"/>
        </w:rPr>
        <w:t>The diazo functional group is present in many natural products, therefore d</w:t>
      </w:r>
      <w:r>
        <w:rPr>
          <w:sz w:val="24"/>
          <w:szCs w:val="24"/>
        </w:rPr>
        <w:t xml:space="preserve">evelopment of a route to these compunds which has an increased safety profile would have a market within pharmaceutical development. </w:t>
      </w:r>
      <w:r w:rsidR="00311D67">
        <w:rPr>
          <w:sz w:val="24"/>
          <w:szCs w:val="24"/>
        </w:rPr>
        <w:t>Moody and Nawrat have compiled a comprehensive review of natural products that contain a diazo group.</w:t>
      </w:r>
      <w:r w:rsidR="00311D67">
        <w:rPr>
          <w:sz w:val="24"/>
          <w:szCs w:val="24"/>
        </w:rPr>
        <w:fldChar w:fldCharType="begin" w:fldLock="1"/>
      </w:r>
      <w:r w:rsidR="00362B87">
        <w:rPr>
          <w:sz w:val="24"/>
          <w:szCs w:val="24"/>
        </w:rPr>
        <w:instrText>ADDIN CSL_CITATION { "citationItems" : [ { "id" : "ITEM-1", "itemData" : { "ISSN" : "1460-4752", "abstract" : "Although diazo compounds are probably best known for their involvement as versatile intermediates in modern synthetic organic chemistry, a small number of such compounds also occur naturally.  Many of the early examples, such as azaserine, originally isolated in the 1950s, have antitumour properties and consist of modified \u03b1-amino acids.  More recently, other more complex diazo compounds have been isolated from natural sources, and these include diazobenzoquinones, diazonaphthoquinones, such as the SF2415 and A80915 antibiotics, and the diazofluorene-based kinamycins and lomaiviticins.  This report will cover the isolation, biosynthesis, biological activity and synthesis of natural products containing a diazo group.[on SciFinder (R)]", "author" : [ { "dropping-particle" : "", "family" : "Nawrat", "given" : "Christopher C", "non-dropping-particle" : "", "parse-names" : false, "suffix" : "" }, { "dropping-particle" : "", "family" : "Moody", "given" : "Christopher J", "non-dropping-particle" : "", "parse-names" : false, "suffix" : "" } ], "container-title" : "Natural product reports", "id" : "ITEM-1", "issue" : "8", "issued" : { "date-parts" : [ [ "2011" ] ] }, "note" : "MEDLINE AN 2011811716(Journal; Article; (JOURNAL ARTICLE); General Review; (REVIEW))", "page" : "1426-1444", "title" : "Natural products containing a diazo group", "type" : "article-journal", "volume" : "28" }, "uris" : [ "http://www.mendeley.com/documents/?uuid=470c63a4-2904-4c1a-87e4-8854a1afb0bb", "http://www.mendeley.com/documents/?uuid=20a3b714-054d-4f46-81ef-ec62c1ba3ff0" ] } ], "mendeley" : { "formattedCitation" : "&lt;sup&gt;[12]&lt;/sup&gt;", "plainTextFormattedCitation" : "[12]", "previouslyFormattedCitation" : "&lt;sup&gt;[12]&lt;/sup&gt;" }, "properties" : { "noteIndex" : 0 }, "schema" : "https://github.com/citation-style-language/schema/raw/master/csl-citation.json" }</w:instrText>
      </w:r>
      <w:r w:rsidR="00311D67">
        <w:rPr>
          <w:sz w:val="24"/>
          <w:szCs w:val="24"/>
        </w:rPr>
        <w:fldChar w:fldCharType="separate"/>
      </w:r>
      <w:r w:rsidR="00DF4000" w:rsidRPr="00DF4000">
        <w:rPr>
          <w:noProof/>
          <w:sz w:val="24"/>
          <w:szCs w:val="24"/>
          <w:vertAlign w:val="superscript"/>
        </w:rPr>
        <w:t>[12]</w:t>
      </w:r>
      <w:r w:rsidR="00311D67">
        <w:rPr>
          <w:sz w:val="24"/>
          <w:szCs w:val="24"/>
        </w:rPr>
        <w:fldChar w:fldCharType="end"/>
      </w:r>
      <w:r w:rsidR="00311D67">
        <w:rPr>
          <w:sz w:val="24"/>
          <w:szCs w:val="24"/>
        </w:rPr>
        <w:t xml:space="preserve"> A selection of these are outlined here.</w:t>
      </w:r>
    </w:p>
    <w:p w:rsidR="0052531A" w:rsidRDefault="0052531A" w:rsidP="00DF4000">
      <w:pPr>
        <w:spacing w:line="360" w:lineRule="auto"/>
        <w:jc w:val="both"/>
        <w:rPr>
          <w:sz w:val="24"/>
          <w:szCs w:val="24"/>
        </w:rPr>
      </w:pPr>
      <w:r>
        <w:rPr>
          <w:sz w:val="24"/>
          <w:szCs w:val="24"/>
        </w:rPr>
        <w:t xml:space="preserve">Azaserine </w:t>
      </w:r>
      <w:r w:rsidR="00BC5AA0">
        <w:rPr>
          <w:b/>
          <w:sz w:val="24"/>
          <w:szCs w:val="24"/>
        </w:rPr>
        <w:t>1</w:t>
      </w:r>
      <w:r>
        <w:rPr>
          <w:sz w:val="24"/>
          <w:szCs w:val="24"/>
        </w:rPr>
        <w:t xml:space="preserve"> </w:t>
      </w:r>
      <w:r w:rsidR="00311D67">
        <w:rPr>
          <w:sz w:val="24"/>
          <w:szCs w:val="24"/>
        </w:rPr>
        <w:t>is the most widely studied</w:t>
      </w:r>
      <w:r>
        <w:rPr>
          <w:sz w:val="24"/>
          <w:szCs w:val="24"/>
        </w:rPr>
        <w:t xml:space="preserve"> naturally occuring </w:t>
      </w:r>
      <w:r w:rsidR="00311D67">
        <w:rPr>
          <w:sz w:val="24"/>
          <w:szCs w:val="24"/>
        </w:rPr>
        <w:t xml:space="preserve">diazo compound. It was reported in 1954, after being isolated from </w:t>
      </w:r>
      <w:r w:rsidR="00311D67" w:rsidRPr="00311D67">
        <w:rPr>
          <w:i/>
          <w:sz w:val="24"/>
          <w:szCs w:val="24"/>
        </w:rPr>
        <w:t>Streptomyces fragilis</w:t>
      </w:r>
      <w:r w:rsidR="00311D67">
        <w:rPr>
          <w:sz w:val="24"/>
          <w:szCs w:val="24"/>
        </w:rPr>
        <w:t xml:space="preserve"> as part of a screening program for new antitumour and antiobiotic agents.</w:t>
      </w:r>
      <w:r w:rsidR="00311D67">
        <w:rPr>
          <w:sz w:val="24"/>
          <w:szCs w:val="24"/>
        </w:rPr>
        <w:fldChar w:fldCharType="begin" w:fldLock="1"/>
      </w:r>
      <w:r w:rsidR="00362B87">
        <w:rPr>
          <w:sz w:val="24"/>
          <w:szCs w:val="24"/>
        </w:rPr>
        <w:instrText>ADDIN CSL_CITATION { "citationItems" : [ { "id" : "ITEM-1", "itemData" : { "DOI" : "10.1038/173071a0", "ISSN" : "0028-0836", "abstract" : "A marked inhibitory effect upon sarcoma 180 was detected by daily intraperitoneal injections for one week of 1 ml. of crude filtrates from a culture of a Streptomyces.  Purification resulted in a cryst. antibiotic, a substituted L-serine, which was effective in amts. as low as 1-2 mg./kg./day.  A full account of the effect of azaserine in a no. of biol. systems will follow. [on SciFinder(R)]", "author" : [ { "dropping-particle" : "", "family" : "Stock", "given" : "C Chester", "non-dropping-particle" : "", "parse-names" : false, "suffix" : "" }, { "dropping-particle" : "", "family" : "Reilly", "given" : "H Christine", "non-dropping-particle" : "", "parse-names" : false, "suffix" : "" }, { "dropping-particle" : "", "family" : "Buckley", "given" : "Sonja M", "non-dropping-particle" : "", "parse-names" : false, "suffix" : "" }, { "dropping-particle" : "", "family" : "Clarke", "given" : "Donald A", "non-dropping-particle" : "", "parse-names" : false, "suffix" : "" }, { "dropping-particle" : "", "family" : "Rhoads", "given" : "C P", "non-dropping-particle" : "", "parse-names" : false, "suffix" : "" } ], "container-title" : "Nature (London, United Kingdom)", "id" : "ITEM-1", "issued" : { "date-parts" : [ [ "1954" ] ] }, "note" : "CAPLUS AN 1954:29839(Journal)", "page" : "71-72", "title" : "Azaserine, a new tumor-inhibitory substance. Studies with Crocker mouse sarcoma 180.", "type" : "article-journal", "volume" : "173" }, "uris" : [ "http://www.mendeley.com/documents/?uuid=001c568d-ca0d-4dc3-86ec-41f79e406702", "http://www.mendeley.com/documents/?uuid=a77b5cc6-4075-48f9-8d4b-48d0b1341b92" ] }, { "id" : "ITEM-2", "itemData" : { "DOI" : "10.1038/173072a0", "ISSN" : "0028-0836", "abstract" : "Cryst. azaserine exhibited only moderate activity in vitro against bacteria, inhibiting the growth of one or more species of 11 tested at 50 \u03b3 or less/ml. of medium.  At a concn. of 250 \u03b3 or less/ml. of medium, azaserine also inhibited species of 23 genera of fungi.  Little or no activity was observed against representative protozoa or viruses. [on SciFinder(R)]", "author" : [ { "dropping-particle" : "", "family" : "Ehrlich", "given" : "John", "non-dropping-particle" : "", "parse-names" : false, "suffix" : "" }, { "dropping-particle" : "", "family" : "Anderson", "given" : "Lucia E", "non-dropping-particle" : "", "parse-names" : false, "suffix" : "" }, { "dropping-particle" : "", "family" : "Coffey", "given" : "George L", "non-dropping-particle" : "", "parse-names" : false, "suffix" : "" }, { "dropping-particle" : "", "family" : "Hillegas", "given" : "Arthur B", "non-dropping-particle" : "", "parse-names" : false, "suffix" : "" }, { "dropping-particle" : "", "family" : "Knudsen", "given" : "Mildred P", "non-dropping-particle" : "", "parse-names" : false, "suffix" : "" }, { "dropping-particle" : "", "family" : "Koepsell", "given" : "Harold J", "non-dropping-particle" : "", "parse-names" : false, "suffix" : "" }, { "dropping-particle" : "", "family" : "Kohberger", "given" : "Dorothy L", "non-dropping-particle" : "", "parse-names" : false, "suffix" : "" }, { "dropping-particle" : "", "family" : "Oyaas", "given" : "Julian E", "non-dropping-particle" : "", "parse-names" : false, "suffix" : "" } ], "container-title" : "Nature (London, United Kingdom)", "id" : "ITEM-2", "issued" : { "date-parts" : [ [ "1954" ] ] }, "note" : "CAPLUS AN 1954:29277(Journal)", "page" : "72", "title" : "Antibiotic studies of azaserine.", "type" : "article-journal", "volume" : "173" }, "uris" : [ "http://www.mendeley.com/documents/?uuid=3f467b6b-0a25-4181-bb65-4fa62bbb7597", "http://www.mendeley.com/documents/?uuid=2816ea57-abc4-4ab1-b449-2b43c55ec0b3" ] }, { "id" : "ITEM-3", "itemData" : { "ISSN" : "0028-0836", "abstract" : "Azaserine was isolated from broth-culture filtrates of a Streptomyces by chromatographic adsorption on and elution from successive columns of alumina and carbon.  The crystals were light yellow-green, very sol. in water, slightly sol. in abs. MeOH, EtOH, and acetone in the cold, but sol. in warm, aq. solns. of these solvents.  The crystals decomp. before melting and over wide range (146-62\u00b0), [\u03b1]D27.5 -0.5\u00b0 (c 8.46%, water at pH 5.18), E1cm.1% 1140 at \u03bbmax. 250.5 m\u03bc (pH 7), 1230 at \u03bbmax. 252 m\u03bc (after 30 min. in 0.1N NaOH), infrared absorption peak at 4.66 \u03bc.  Absorption in infrared and ultraviolet, together with degrative studies, established its structure as N2CHCO2CH2CH(NH2)CO2H.  This compd. has been prepd. synthetically. [on SciFinder(R)]", "author" : [ { "dropping-particle" : "", "family" : "Bartzi", "given" : "Quentin R", "non-dropping-particle" : "", "parse-names" : false, "suffix" : "" }, { "dropping-particle" : "", "family" : "Elder", "given" : "Carole C", "non-dropping-particle" : "", "parse-names" : false, "suffix" : "" }, { "dropping-particle" : "", "family" : "Frohardt", "given" : "Roger P", "non-dropping-particle" : "", "parse-names" : false, "suffix" : "" }, { "dropping-particle" : "", "family" : "Fusari", "given" : "Salvatore A", "non-dropping-particle" : "", "parse-names" : false, "suffix" : "" }, { "dropping-particle" : "", "family" : "Haskell", "given" : "Theodore H", "non-dropping-particle" : "", "parse-names" : false, "suffix" : "" }, { "dropping-particle" : "", "family" : "Johannessen", "given" : "Doris W", "non-dropping-particle" : "", "parse-names" : false, "suffix" : "" }, { "dropping-particle" : "", "family" : "Ryder", "given" : "Albert.", "non-dropping-particle" : "", "parse-names" : false, "suffix" : "" } ], "container-title" : "Nature (London, United Kingdom)", "id" : "ITEM-3", "issued" : { "date-parts" : [ [ "1954" ] ] }, "note" : "CAPLUS AN 1955:7926(Journal)", "page" : "72-73", "title" : "Isolation and characterization of azaserine.", "type" : "article-journal", "volume" : "173" }, "uris" : [ "http://www.mendeley.com/documents/?uuid=8e8b9f81-d590-4fff-807b-37e3637faa69", "http://www.mendeley.com/documents/?uuid=913375ef-5a47-4722-b8d6-13c313eeb388" ] } ], "mendeley" : { "formattedCitation" : "&lt;sup&gt;[13\u201315]&lt;/sup&gt;", "plainTextFormattedCitation" : "[13\u201315]", "previouslyFormattedCitation" : "&lt;sup&gt;[13\u201315]&lt;/sup&gt;" }, "properties" : { "noteIndex" : 0 }, "schema" : "https://github.com/citation-style-language/schema/raw/master/csl-citation.json" }</w:instrText>
      </w:r>
      <w:r w:rsidR="00311D67">
        <w:rPr>
          <w:sz w:val="24"/>
          <w:szCs w:val="24"/>
        </w:rPr>
        <w:fldChar w:fldCharType="separate"/>
      </w:r>
      <w:r w:rsidR="00DF4000" w:rsidRPr="00DF4000">
        <w:rPr>
          <w:noProof/>
          <w:sz w:val="24"/>
          <w:szCs w:val="24"/>
          <w:vertAlign w:val="superscript"/>
        </w:rPr>
        <w:t>[13–15]</w:t>
      </w:r>
      <w:r w:rsidR="00311D67">
        <w:rPr>
          <w:sz w:val="24"/>
          <w:szCs w:val="24"/>
        </w:rPr>
        <w:fldChar w:fldCharType="end"/>
      </w:r>
      <w:r w:rsidR="001934EF">
        <w:rPr>
          <w:sz w:val="24"/>
          <w:szCs w:val="24"/>
        </w:rPr>
        <w:t xml:space="preserve"> </w:t>
      </w:r>
      <w:r w:rsidR="00BC5AA0">
        <w:rPr>
          <w:b/>
          <w:sz w:val="24"/>
          <w:szCs w:val="24"/>
        </w:rPr>
        <w:t>1</w:t>
      </w:r>
      <w:r w:rsidR="001934EF">
        <w:rPr>
          <w:sz w:val="24"/>
          <w:szCs w:val="24"/>
        </w:rPr>
        <w:t xml:space="preserve"> has been shown to be active against leukemia, </w:t>
      </w:r>
      <w:r w:rsidR="001934EF">
        <w:rPr>
          <w:sz w:val="24"/>
          <w:szCs w:val="24"/>
        </w:rPr>
        <w:lastRenderedPageBreak/>
        <w:t>however</w:t>
      </w:r>
      <w:r w:rsidR="009C452D">
        <w:rPr>
          <w:sz w:val="24"/>
          <w:szCs w:val="24"/>
        </w:rPr>
        <w:t>,</w:t>
      </w:r>
      <w:r w:rsidR="001934EF">
        <w:rPr>
          <w:sz w:val="24"/>
          <w:szCs w:val="24"/>
        </w:rPr>
        <w:t xml:space="preserve"> following clinical trials it was found to be less active than other agents. It is used as a glutamine antagonist.</w:t>
      </w:r>
    </w:p>
    <w:p w:rsidR="0052531A" w:rsidRDefault="00BC5AA0" w:rsidP="001934EF">
      <w:pPr>
        <w:spacing w:line="360" w:lineRule="auto"/>
        <w:jc w:val="center"/>
      </w:pPr>
      <w:r>
        <w:object w:dxaOrig="2221" w:dyaOrig="1449">
          <v:shape id="_x0000_i1027" type="#_x0000_t75" style="width:115.5pt;height:1in" o:ole="">
            <v:imagedata r:id="rId13" o:title=""/>
          </v:shape>
          <o:OLEObject Type="Embed" ProgID="ChemDraw.Document.6.0" ShapeID="_x0000_i1027" DrawAspect="Content" ObjectID="_1531849568" r:id="rId14"/>
        </w:object>
      </w:r>
    </w:p>
    <w:p w:rsidR="004811DA" w:rsidRPr="004811DA" w:rsidRDefault="004811DA" w:rsidP="001934EF">
      <w:pPr>
        <w:spacing w:line="360" w:lineRule="auto"/>
        <w:jc w:val="center"/>
        <w:rPr>
          <w:b/>
          <w:sz w:val="24"/>
          <w:szCs w:val="24"/>
        </w:rPr>
      </w:pPr>
      <w:r w:rsidRPr="004811DA">
        <w:rPr>
          <w:b/>
          <w:sz w:val="24"/>
          <w:szCs w:val="24"/>
        </w:rPr>
        <w:t>Figure 1.1</w:t>
      </w:r>
    </w:p>
    <w:p w:rsidR="001934EF" w:rsidRDefault="001934EF" w:rsidP="001934EF">
      <w:pPr>
        <w:spacing w:line="360" w:lineRule="auto"/>
        <w:jc w:val="center"/>
      </w:pPr>
    </w:p>
    <w:p w:rsidR="001934EF" w:rsidRPr="000A23D4" w:rsidRDefault="001934EF" w:rsidP="001934EF">
      <w:pPr>
        <w:spacing w:line="360" w:lineRule="auto"/>
        <w:jc w:val="both"/>
        <w:rPr>
          <w:sz w:val="24"/>
          <w:szCs w:val="24"/>
        </w:rPr>
      </w:pPr>
      <w:r w:rsidRPr="000A23D4">
        <w:rPr>
          <w:sz w:val="24"/>
          <w:szCs w:val="24"/>
        </w:rPr>
        <w:t>The kinamycins</w:t>
      </w:r>
      <w:r w:rsidR="00E51F07" w:rsidRPr="000A23D4">
        <w:rPr>
          <w:sz w:val="24"/>
          <w:szCs w:val="24"/>
        </w:rPr>
        <w:t xml:space="preserve"> </w:t>
      </w:r>
      <w:r w:rsidR="00BC5AA0">
        <w:rPr>
          <w:b/>
          <w:sz w:val="24"/>
          <w:szCs w:val="24"/>
        </w:rPr>
        <w:t>2</w:t>
      </w:r>
      <w:r w:rsidR="00E51F07" w:rsidRPr="000A23D4">
        <w:rPr>
          <w:sz w:val="24"/>
          <w:szCs w:val="24"/>
        </w:rPr>
        <w:t xml:space="preserve"> and </w:t>
      </w:r>
      <w:r w:rsidR="00BC5AA0">
        <w:rPr>
          <w:b/>
          <w:sz w:val="24"/>
          <w:szCs w:val="24"/>
        </w:rPr>
        <w:t>3</w:t>
      </w:r>
      <w:r w:rsidRPr="000A23D4">
        <w:rPr>
          <w:sz w:val="24"/>
          <w:szCs w:val="24"/>
        </w:rPr>
        <w:t>, and related prekinamycins</w:t>
      </w:r>
      <w:r w:rsidR="00E51F07" w:rsidRPr="000A23D4">
        <w:rPr>
          <w:sz w:val="24"/>
          <w:szCs w:val="24"/>
        </w:rPr>
        <w:t xml:space="preserve"> </w:t>
      </w:r>
      <w:r w:rsidR="00BC5AA0">
        <w:rPr>
          <w:b/>
          <w:sz w:val="24"/>
          <w:szCs w:val="24"/>
        </w:rPr>
        <w:t>4</w:t>
      </w:r>
      <w:r w:rsidR="00E51F07" w:rsidRPr="000A23D4">
        <w:rPr>
          <w:sz w:val="24"/>
          <w:szCs w:val="24"/>
        </w:rPr>
        <w:t xml:space="preserve"> and </w:t>
      </w:r>
      <w:r w:rsidR="00BC5AA0">
        <w:rPr>
          <w:b/>
          <w:sz w:val="24"/>
          <w:szCs w:val="24"/>
        </w:rPr>
        <w:t>5</w:t>
      </w:r>
      <w:r w:rsidR="00E51F07" w:rsidRPr="000A23D4">
        <w:rPr>
          <w:sz w:val="24"/>
          <w:szCs w:val="24"/>
        </w:rPr>
        <w:t xml:space="preserve"> </w:t>
      </w:r>
      <w:r w:rsidR="00D33707">
        <w:rPr>
          <w:sz w:val="24"/>
          <w:szCs w:val="24"/>
        </w:rPr>
        <w:t xml:space="preserve">shown in </w:t>
      </w:r>
      <w:r w:rsidR="00D33707" w:rsidRPr="00D33707">
        <w:rPr>
          <w:b/>
          <w:sz w:val="24"/>
          <w:szCs w:val="24"/>
        </w:rPr>
        <w:t>Figure 1.2</w:t>
      </w:r>
      <w:r w:rsidR="00D33707">
        <w:rPr>
          <w:sz w:val="24"/>
          <w:szCs w:val="24"/>
        </w:rPr>
        <w:t xml:space="preserve"> </w:t>
      </w:r>
      <w:r w:rsidRPr="000A23D4">
        <w:rPr>
          <w:sz w:val="24"/>
          <w:szCs w:val="24"/>
        </w:rPr>
        <w:t>are powerful antitumour antibioitcs.</w:t>
      </w:r>
      <w:r w:rsidR="00E51F07" w:rsidRPr="000A23D4">
        <w:rPr>
          <w:sz w:val="24"/>
          <w:szCs w:val="24"/>
        </w:rPr>
        <w:t xml:space="preserve"> The kinamycins were isolated from </w:t>
      </w:r>
      <w:r w:rsidR="00E51F07" w:rsidRPr="000A23D4">
        <w:rPr>
          <w:i/>
          <w:sz w:val="24"/>
          <w:szCs w:val="24"/>
        </w:rPr>
        <w:t>Streptomyces murayamaenis</w:t>
      </w:r>
      <w:r w:rsidR="00E51F07" w:rsidRPr="000A23D4">
        <w:rPr>
          <w:sz w:val="24"/>
          <w:szCs w:val="24"/>
        </w:rPr>
        <w:t xml:space="preserve"> in 1970 and a number of total syntheses have been published.</w:t>
      </w:r>
      <w:r w:rsidR="00E51F07" w:rsidRPr="000A23D4">
        <w:rPr>
          <w:sz w:val="24"/>
          <w:szCs w:val="24"/>
        </w:rPr>
        <w:fldChar w:fldCharType="begin" w:fldLock="1"/>
      </w:r>
      <w:r w:rsidR="00362B87">
        <w:rPr>
          <w:sz w:val="24"/>
          <w:szCs w:val="24"/>
        </w:rPr>
        <w:instrText>ADDIN CSL_CITATION { "citationItems" : [ { "id" : "ITEM-1", "itemData" : { "DOI" : "10.1021/ja066621v", "ISSN" : "0002-7863", "abstract" : "The enantioselective total synthesis of the diazobenzofluorene antibiotic (-)-kinamycin C (I) is reported.  The approach involves tartrate-mediated, asym. nucleophilic epoxidn. of a functionalized quinone monoketal to construct the highly substituted D-ring. [on SciFinder(R)]", "author" : [ { "dropping-particle" : "", "family" : "Lei", "given" : "Xiaoguang", "non-dropping-particle" : "", "parse-names" : false, "suffix" : "" }, { "dropping-particle" : "", "family" : "Porco  Jr.", "given" : "John A", "non-dropping-particle" : "", "parse-names" : false, "suffix" : "" } ], "container-title" : "Journal of the American Chemical Society", "id" : "ITEM-1", "issue" : "46", "issued" : { "date-parts" : [ [ "2006" ] ] }, "note" : "CAPLUS AN 2006:1136484(Journal)", "page" : "14790-14791", "publisher" : "American Chemical Society", "title" : "Total Synthesis of the Diazobenzofluorene Antibiotic (-)-Kinamycin C.", "type" : "article-journal", "volume" : "128" }, "uris" : [ "http://www.mendeley.com/documents/?uuid=57913357-fff5-49fa-854e-3af7d16692f2", "http://www.mendeley.com/documents/?uuid=d2458e45-9b2a-4e1d-88dc-8d4e8e4580ec" ] }, { "id" : "ITEM-2", "itemData" : { "DOI" : "10.1016/j.tet.2007.03.166", "ISSN" : "0040-4020", "abstract" : "The first total synthesis of the proposed structure for methyl-kinamycin C (I) (methyl-KC), derived from KC, was achieved via two key steps: Diels-Alder reaction of benzindenone and Danishefsky-type diene, and the stereoselective construction of highly oxygenated D ring.  Good accordance of the spectral data of synthesized title compd. with those of natural KC and its deriv. was obsd. [on SciFinder(R)]", "author" : [ { "dropping-particle" : "", "family" : "Kumamoto", "given" : "Takuya", "non-dropping-particle" : "", "parse-names" : false, "suffix" : "" }, { "dropping-particle" : "", "family" : "Kitani", "given" : "Yasuo", "non-dropping-particle" : "", "parse-names" : false, "suffix" : "" }, { "dropping-particle" : "", "family" : "Tsuchiya", "given" : "Hideyoshi", "non-dropping-particle" : "", "parse-names" : false, "suffix" : "" }, { "dropping-particle" : "", "family" : "Yamaguchi", "given" : "Kentaro", "non-dropping-particle" : "", "parse-names" : false, "suffix" : "" }, { "dropping-particle" : "", "family" : "Seki", "given" : "Hiroko", "non-dropping-particle" : "", "parse-names" : false, "suffix" : "" }, { "dropping-particle" : "", "family" : "Ishikawa", "given" : "Tsutomu.", "non-dropping-particle" : "", "parse-names" : false, "suffix" : "" } ], "container-title" : "Tetrahedron", "id" : "ITEM-2", "issue" : "24", "issued" : { "date-parts" : [ [ "2007" ] ] }, "note" : "CAPLUS AN 2007:525983(Journal)", "page" : "5189-5199", "publisher" : "Elsevier Ltd.", "title" : "Total synthesis of (\u00b1)-methyl-kinamycin C.", "type" : "article-journal", "volume" : "63" }, "uris" : [ "http://www.mendeley.com/documents/?uuid=ee80446e-bbf6-4a61-9f9e-f175baed6afc", "http://www.mendeley.com/documents/?uuid=244e75f0-482c-47cb-a1b0-582e1875b68a" ] }, { "id" : "ITEM-3", "itemData" : { "DOI" : "10.1021/ja074297d", "ISSN" : "0002-7863", "abstract" : "The kinamycins are a series of naturally occurring compds. endowed with intriguing mol. architectures and potent biol. properties, including antibiotic and antitumor activities.  These novel diazofluorene-contg. compds. defied chem. synthesis since their initial disclosure by Omura et al. in 1970 until the first total synthesis of kinamycin C by Porco et al. in late 2006, and of methyl-kinamycin C by the Kumamoto-Ishihawa group in 2007.  We now report our enantioselective total synthesis of kinamycins C (I), F(II), and J(III) through a convergent strategy that is both enantioselective and expedient. [on SciFinder(R)]", "author" : [ { "dropping-particle" : "", "family" : "Nicolaou", "given" : "K C", "non-dropping-particle" : "", "parse-names" : false, "suffix" : "" }, { "dropping-particle" : "", "family" : "Li", "given" : "Hongming", "non-dropping-particle" : "", "parse-names" : false, "suffix" : "" }, { "dropping-particle" : "", "family" : "Nold", "given" : "Andrea L", "non-dropping-particle" : "", "parse-names" : false, "suffix" : "" }, { "dropping-particle" : "", "family" : "Pappo", "given" : "Doron", "non-dropping-particle" : "", "parse-names" : false, "suffix" : "" }, { "dropping-particle" : "", "family" : "Lenzen", "given" : "Achim.", "non-dropping-particle" : "", "parse-names" : false, "suffix" : "" } ], "container-title" : "Journal of the American Chemical Society", "id" : "ITEM-3", "issue" : "34", "issued" : { "date-parts" : [ [ "2007" ] ] }, "page" : "10356-10357", "publisher" : "American Chemical Society", "title" : "Total Synthesis of Kinamycins C, F, and J.", "type" : "article-journal", "volume" : "129" }, "uris" : [ "http://www.mendeley.com/documents/?uuid=5b409772-466d-4c84-9116-f57cb9d8a1a5" ] } ], "mendeley" : { "formattedCitation" : "&lt;sup&gt;[16\u201318]&lt;/sup&gt;", "plainTextFormattedCitation" : "[16\u201318]", "previouslyFormattedCitation" : "&lt;sup&gt;[16\u201318]&lt;/sup&gt;" }, "properties" : { "noteIndex" : 0 }, "schema" : "https://github.com/citation-style-language/schema/raw/master/csl-citation.json" }</w:instrText>
      </w:r>
      <w:r w:rsidR="00E51F07" w:rsidRPr="000A23D4">
        <w:rPr>
          <w:sz w:val="24"/>
          <w:szCs w:val="24"/>
        </w:rPr>
        <w:fldChar w:fldCharType="separate"/>
      </w:r>
      <w:r w:rsidR="00DF4000" w:rsidRPr="00DF4000">
        <w:rPr>
          <w:noProof/>
          <w:sz w:val="24"/>
          <w:szCs w:val="24"/>
          <w:vertAlign w:val="superscript"/>
        </w:rPr>
        <w:t>[16–18]</w:t>
      </w:r>
      <w:r w:rsidR="00E51F07" w:rsidRPr="000A23D4">
        <w:rPr>
          <w:sz w:val="24"/>
          <w:szCs w:val="24"/>
        </w:rPr>
        <w:fldChar w:fldCharType="end"/>
      </w:r>
    </w:p>
    <w:p w:rsidR="001934EF" w:rsidRDefault="00BC5AA0" w:rsidP="00E51F07">
      <w:pPr>
        <w:spacing w:line="360" w:lineRule="auto"/>
        <w:jc w:val="center"/>
      </w:pPr>
      <w:r>
        <w:object w:dxaOrig="5579" w:dyaOrig="5061">
          <v:shape id="_x0000_i1028" type="#_x0000_t75" style="width:281.25pt;height:252pt" o:ole="">
            <v:imagedata r:id="rId15" o:title=""/>
          </v:shape>
          <o:OLEObject Type="Embed" ProgID="ChemDraw.Document.6.0" ShapeID="_x0000_i1028" DrawAspect="Content" ObjectID="_1531849569" r:id="rId16"/>
        </w:object>
      </w:r>
    </w:p>
    <w:p w:rsidR="00995EB3" w:rsidRDefault="00D33707" w:rsidP="00E51F07">
      <w:pPr>
        <w:spacing w:line="360" w:lineRule="auto"/>
        <w:jc w:val="center"/>
        <w:rPr>
          <w:b/>
          <w:sz w:val="24"/>
          <w:szCs w:val="24"/>
        </w:rPr>
      </w:pPr>
      <w:r w:rsidRPr="00D33707">
        <w:rPr>
          <w:b/>
          <w:sz w:val="24"/>
          <w:szCs w:val="24"/>
        </w:rPr>
        <w:t>Figure 1.2</w:t>
      </w:r>
    </w:p>
    <w:p w:rsidR="00D33707" w:rsidRPr="00D33707" w:rsidRDefault="00D33707" w:rsidP="00E51F07">
      <w:pPr>
        <w:spacing w:line="360" w:lineRule="auto"/>
        <w:jc w:val="center"/>
        <w:rPr>
          <w:b/>
          <w:sz w:val="24"/>
          <w:szCs w:val="24"/>
        </w:rPr>
      </w:pPr>
    </w:p>
    <w:p w:rsidR="00995EB3" w:rsidRPr="000A23D4" w:rsidRDefault="00995EB3" w:rsidP="00995EB3">
      <w:pPr>
        <w:spacing w:line="360" w:lineRule="auto"/>
        <w:jc w:val="both"/>
        <w:rPr>
          <w:sz w:val="24"/>
          <w:szCs w:val="24"/>
        </w:rPr>
      </w:pPr>
      <w:r w:rsidRPr="000A23D4">
        <w:rPr>
          <w:sz w:val="24"/>
          <w:szCs w:val="24"/>
        </w:rPr>
        <w:t xml:space="preserve">The total synthesis of kinamycins C </w:t>
      </w:r>
      <w:r w:rsidR="00BC5AA0">
        <w:rPr>
          <w:b/>
          <w:sz w:val="24"/>
          <w:szCs w:val="24"/>
        </w:rPr>
        <w:t>6</w:t>
      </w:r>
      <w:r w:rsidRPr="000A23D4">
        <w:rPr>
          <w:sz w:val="24"/>
          <w:szCs w:val="24"/>
        </w:rPr>
        <w:t xml:space="preserve">, F </w:t>
      </w:r>
      <w:r w:rsidR="00BC5AA0">
        <w:rPr>
          <w:b/>
          <w:sz w:val="24"/>
          <w:szCs w:val="24"/>
        </w:rPr>
        <w:t>7</w:t>
      </w:r>
      <w:r w:rsidRPr="000A23D4">
        <w:rPr>
          <w:sz w:val="24"/>
          <w:szCs w:val="24"/>
        </w:rPr>
        <w:t xml:space="preserve"> and J </w:t>
      </w:r>
      <w:r w:rsidR="00BC5AA0">
        <w:rPr>
          <w:b/>
          <w:sz w:val="24"/>
          <w:szCs w:val="24"/>
        </w:rPr>
        <w:t>8</w:t>
      </w:r>
      <w:r w:rsidRPr="000A23D4">
        <w:rPr>
          <w:sz w:val="24"/>
          <w:szCs w:val="24"/>
        </w:rPr>
        <w:t xml:space="preserve"> were reported by Nicolaou and co-workers.</w:t>
      </w:r>
      <w:r w:rsidRPr="000A23D4">
        <w:rPr>
          <w:sz w:val="24"/>
          <w:szCs w:val="24"/>
        </w:rPr>
        <w:fldChar w:fldCharType="begin" w:fldLock="1"/>
      </w:r>
      <w:r w:rsidR="00E2013D">
        <w:rPr>
          <w:sz w:val="24"/>
          <w:szCs w:val="24"/>
        </w:rPr>
        <w:instrText>ADDIN CSL_CITATION { "citationItems" : [ { "id" : "ITEM-1", "itemData" : { "DOI" : "10.1021/ja074297d", "ISSN" : "0002-7863", "abstract" : "The kinamycins are a series of naturally occurring compds. endowed with intriguing mol. architectures and potent biol. properties, including antibiotic and antitumor activities.  These novel diazofluorene-contg. compds. defied chem. synthesis since their initial disclosure by Omura et al. in 1970 until the first total synthesis of kinamycin C by Porco et al. in late 2006, and of methyl-kinamycin C by the Kumamoto-Ishihawa group in 2007.  We now report our enantioselective total synthesis of kinamycins C (I), F(II), and J(III) through a convergent strategy that is both enantioselective and expedient. [on SciFinder(R)]", "author" : [ { "dropping-particle" : "", "family" : "Nicolaou", "given" : "K C", "non-dropping-particle" : "", "parse-names" : false, "suffix" : "" }, { "dropping-particle" : "", "family" : "Li", "given" : "Hongming", "non-dropping-particle" : "", "parse-names" : false, "suffix" : "" }, { "dropping-particle" : "", "family" : "Nold", "given" : "Andrea L", "non-dropping-particle" : "", "parse-names" : false, "suffix" : "" }, { "dropping-particle" : "", "family" : "Pappo", "given" : "Doron", "non-dropping-particle" : "", "parse-names" : false, "suffix" : "" }, { "dropping-particle" : "", "family" : "Lenzen", "given" : "Achim.", "non-dropping-particle" : "", "parse-names" : false, "suffix" : "" } ], "container-title" : "Journal of the American Chemical Society", "id" : "ITEM-1", "issue" : "34", "issued" : { "date-parts" : [ [ "2007" ] ] }, "page" : "10356-10357", "publisher" : "American Chemical Society", "title" : "Total Synthesis of Kinamycins C, F, and J.", "type" : "article-journal", "volume" : "129" }, "uris" : [ "http://www.mendeley.com/documents/?uuid=5b409772-466d-4c84-9116-f57cb9d8a1a5" ] } ], "mendeley" : { "formattedCitation" : "&lt;sup&gt;[18]&lt;/sup&gt;", "plainTextFormattedCitation" : "[18]", "previouslyFormattedCitation" : "&lt;sup&gt;[18]&lt;/sup&gt;" }, "properties" : { "noteIndex" : 0 }, "schema" : "https://github.com/citation-style-language/schema/raw/master/csl-citation.json" }</w:instrText>
      </w:r>
      <w:r w:rsidRPr="000A23D4">
        <w:rPr>
          <w:sz w:val="24"/>
          <w:szCs w:val="24"/>
        </w:rPr>
        <w:fldChar w:fldCharType="separate"/>
      </w:r>
      <w:r w:rsidR="00DF4000" w:rsidRPr="00DF4000">
        <w:rPr>
          <w:noProof/>
          <w:sz w:val="24"/>
          <w:szCs w:val="24"/>
          <w:vertAlign w:val="superscript"/>
        </w:rPr>
        <w:t>[18]</w:t>
      </w:r>
      <w:r w:rsidRPr="000A23D4">
        <w:rPr>
          <w:sz w:val="24"/>
          <w:szCs w:val="24"/>
        </w:rPr>
        <w:fldChar w:fldCharType="end"/>
      </w:r>
      <w:r w:rsidRPr="000A23D4">
        <w:rPr>
          <w:sz w:val="24"/>
          <w:szCs w:val="24"/>
        </w:rPr>
        <w:t xml:space="preserve">  Starting from </w:t>
      </w:r>
      <w:r w:rsidR="00BC5AA0">
        <w:rPr>
          <w:b/>
          <w:sz w:val="24"/>
          <w:szCs w:val="24"/>
        </w:rPr>
        <w:t>9</w:t>
      </w:r>
      <w:r w:rsidRPr="000A23D4">
        <w:rPr>
          <w:b/>
          <w:sz w:val="24"/>
          <w:szCs w:val="24"/>
        </w:rPr>
        <w:t xml:space="preserve"> </w:t>
      </w:r>
      <w:r w:rsidRPr="000A23D4">
        <w:rPr>
          <w:sz w:val="24"/>
          <w:szCs w:val="24"/>
        </w:rPr>
        <w:t xml:space="preserve">kinamycin C is accessible in four synthetic steps. The diazo functionality is introduced in the last step by formation of the tosyl hydrazine, and subsequent oxidation to the diazo </w:t>
      </w:r>
      <w:r w:rsidR="009C452D">
        <w:rPr>
          <w:sz w:val="24"/>
          <w:szCs w:val="24"/>
        </w:rPr>
        <w:t xml:space="preserve">group </w:t>
      </w:r>
      <w:r w:rsidRPr="000A23D4">
        <w:rPr>
          <w:sz w:val="24"/>
          <w:szCs w:val="24"/>
        </w:rPr>
        <w:t>by ceric ammonium nitrate (CAN). When formed as the TBS-</w:t>
      </w:r>
      <w:r w:rsidRPr="000A23D4">
        <w:rPr>
          <w:sz w:val="24"/>
          <w:szCs w:val="24"/>
        </w:rPr>
        <w:lastRenderedPageBreak/>
        <w:t>ether</w:t>
      </w:r>
      <w:r w:rsidR="00307B96">
        <w:rPr>
          <w:sz w:val="24"/>
          <w:szCs w:val="24"/>
        </w:rPr>
        <w:t xml:space="preserve"> </w:t>
      </w:r>
      <w:r w:rsidR="00307B96" w:rsidRPr="00307B96">
        <w:rPr>
          <w:b/>
          <w:sz w:val="24"/>
          <w:szCs w:val="24"/>
        </w:rPr>
        <w:t>10</w:t>
      </w:r>
      <w:r w:rsidRPr="000A23D4">
        <w:rPr>
          <w:sz w:val="24"/>
          <w:szCs w:val="24"/>
        </w:rPr>
        <w:t xml:space="preserve">, kinamycins </w:t>
      </w:r>
      <w:r w:rsidR="00E52096">
        <w:rPr>
          <w:sz w:val="24"/>
          <w:szCs w:val="24"/>
        </w:rPr>
        <w:t>F and J can be accessed in just</w:t>
      </w:r>
      <w:r w:rsidR="00307B96">
        <w:rPr>
          <w:sz w:val="24"/>
          <w:szCs w:val="24"/>
        </w:rPr>
        <w:t xml:space="preserve"> one additional synthetic step as illustrated below in </w:t>
      </w:r>
      <w:r w:rsidR="00307B96" w:rsidRPr="00307B96">
        <w:rPr>
          <w:b/>
          <w:sz w:val="24"/>
          <w:szCs w:val="24"/>
        </w:rPr>
        <w:t>Scheme 1.3</w:t>
      </w:r>
      <w:r w:rsidR="00307B96">
        <w:rPr>
          <w:sz w:val="24"/>
          <w:szCs w:val="24"/>
        </w:rPr>
        <w:t>.</w:t>
      </w:r>
    </w:p>
    <w:p w:rsidR="00995EB3" w:rsidRDefault="00E52096" w:rsidP="00995EB3">
      <w:pPr>
        <w:spacing w:line="360" w:lineRule="auto"/>
        <w:jc w:val="center"/>
        <w:rPr>
          <w:sz w:val="24"/>
          <w:szCs w:val="24"/>
        </w:rPr>
      </w:pPr>
      <w:r>
        <w:object w:dxaOrig="8298" w:dyaOrig="9885">
          <v:shape id="_x0000_i1029" type="#_x0000_t75" style="width:414.75pt;height:492.75pt" o:ole="">
            <v:imagedata r:id="rId17" o:title=""/>
          </v:shape>
          <o:OLEObject Type="Embed" ProgID="ChemDraw.Document.6.0" ShapeID="_x0000_i1029" DrawAspect="Content" ObjectID="_1531849570" r:id="rId18"/>
        </w:object>
      </w:r>
    </w:p>
    <w:p w:rsidR="00995EB3" w:rsidRDefault="00307B96" w:rsidP="00307B96">
      <w:pPr>
        <w:spacing w:line="360" w:lineRule="auto"/>
        <w:jc w:val="center"/>
        <w:rPr>
          <w:b/>
          <w:sz w:val="24"/>
          <w:szCs w:val="24"/>
        </w:rPr>
      </w:pPr>
      <w:r>
        <w:rPr>
          <w:b/>
          <w:sz w:val="24"/>
          <w:szCs w:val="24"/>
        </w:rPr>
        <w:t>Scheme 1.3</w:t>
      </w:r>
    </w:p>
    <w:p w:rsidR="00307B96" w:rsidRDefault="00307B96" w:rsidP="00307B96">
      <w:pPr>
        <w:spacing w:line="360" w:lineRule="auto"/>
        <w:jc w:val="center"/>
        <w:rPr>
          <w:b/>
          <w:sz w:val="24"/>
          <w:szCs w:val="24"/>
        </w:rPr>
      </w:pPr>
    </w:p>
    <w:p w:rsidR="00DD231C" w:rsidRDefault="00DD231C" w:rsidP="00DD231C">
      <w:pPr>
        <w:pStyle w:val="Heading2"/>
      </w:pPr>
    </w:p>
    <w:p w:rsidR="00DD231C" w:rsidRDefault="00DD231C" w:rsidP="00DD231C">
      <w:pPr>
        <w:pStyle w:val="Heading2"/>
      </w:pPr>
    </w:p>
    <w:p w:rsidR="00A14F63" w:rsidRDefault="00A14F63" w:rsidP="00DD231C">
      <w:pPr>
        <w:pStyle w:val="Heading2"/>
      </w:pPr>
    </w:p>
    <w:p w:rsidR="00E03581" w:rsidRPr="0096663B" w:rsidRDefault="00DD231C" w:rsidP="00DD231C">
      <w:pPr>
        <w:pStyle w:val="Heading2"/>
      </w:pPr>
      <w:bookmarkStart w:id="2" w:name="_Toc446773055"/>
      <w:r>
        <w:lastRenderedPageBreak/>
        <w:t>1.</w:t>
      </w:r>
      <w:r w:rsidR="00591EF1">
        <w:t>1</w:t>
      </w:r>
      <w:r>
        <w:t xml:space="preserve">.2 </w:t>
      </w:r>
      <w:r w:rsidR="00FE7B87" w:rsidRPr="0096663B">
        <w:t xml:space="preserve">A </w:t>
      </w:r>
      <w:r w:rsidR="009C6875">
        <w:t>brief h</w:t>
      </w:r>
      <w:r w:rsidR="00FE7B87" w:rsidRPr="0096663B">
        <w:t xml:space="preserve">istory of </w:t>
      </w:r>
      <w:r w:rsidR="009C6875">
        <w:t>d</w:t>
      </w:r>
      <w:r w:rsidR="00FE7B87" w:rsidRPr="0096663B">
        <w:t xml:space="preserve">iazo </w:t>
      </w:r>
      <w:r w:rsidR="009C6875">
        <w:t>c</w:t>
      </w:r>
      <w:r w:rsidR="00FE7B87" w:rsidRPr="0096663B">
        <w:t>hemistry</w:t>
      </w:r>
      <w:bookmarkEnd w:id="2"/>
    </w:p>
    <w:p w:rsidR="00FE7B87" w:rsidRDefault="00D876EC" w:rsidP="0078497E">
      <w:pPr>
        <w:spacing w:line="360" w:lineRule="auto"/>
        <w:jc w:val="both"/>
        <w:rPr>
          <w:sz w:val="24"/>
          <w:szCs w:val="24"/>
        </w:rPr>
      </w:pPr>
      <w:r>
        <w:rPr>
          <w:sz w:val="24"/>
          <w:szCs w:val="24"/>
        </w:rPr>
        <w:t xml:space="preserve">The first reported synthesis of an </w:t>
      </w:r>
      <w:r w:rsidRPr="00D876EC">
        <w:rPr>
          <w:rFonts w:ascii="Symbol" w:hAnsi="Symbol"/>
          <w:sz w:val="24"/>
          <w:szCs w:val="24"/>
        </w:rPr>
        <w:t></w:t>
      </w:r>
      <w:r>
        <w:rPr>
          <w:sz w:val="24"/>
          <w:szCs w:val="24"/>
        </w:rPr>
        <w:t>-diazocarbonyl compound was in 1883, when Curtius synthesised ethyl diazoacetate</w:t>
      </w:r>
      <w:r w:rsidR="00BB6BCD">
        <w:rPr>
          <w:sz w:val="24"/>
          <w:szCs w:val="24"/>
        </w:rPr>
        <w:t xml:space="preserve"> </w:t>
      </w:r>
      <w:r w:rsidR="00307B96">
        <w:rPr>
          <w:b/>
          <w:sz w:val="24"/>
          <w:szCs w:val="24"/>
        </w:rPr>
        <w:t>1</w:t>
      </w:r>
      <w:r w:rsidR="000474C8">
        <w:rPr>
          <w:b/>
          <w:sz w:val="24"/>
          <w:szCs w:val="24"/>
        </w:rPr>
        <w:t>2</w:t>
      </w:r>
      <w:r>
        <w:rPr>
          <w:sz w:val="24"/>
          <w:szCs w:val="24"/>
        </w:rPr>
        <w:t xml:space="preserve"> from glycine</w:t>
      </w:r>
      <w:r w:rsidR="00E2013D">
        <w:rPr>
          <w:sz w:val="24"/>
          <w:szCs w:val="24"/>
        </w:rPr>
        <w:t xml:space="preserve"> </w:t>
      </w:r>
      <w:r w:rsidR="00E52096">
        <w:rPr>
          <w:sz w:val="24"/>
          <w:szCs w:val="24"/>
        </w:rPr>
        <w:t xml:space="preserve">ethyl ester </w:t>
      </w:r>
      <w:r w:rsidR="00E2013D">
        <w:rPr>
          <w:sz w:val="24"/>
          <w:szCs w:val="24"/>
        </w:rPr>
        <w:t>hydrochloride</w:t>
      </w:r>
      <w:r w:rsidR="00BB6BCD">
        <w:rPr>
          <w:sz w:val="24"/>
          <w:szCs w:val="24"/>
        </w:rPr>
        <w:t xml:space="preserve"> </w:t>
      </w:r>
      <w:r w:rsidR="00307B96">
        <w:rPr>
          <w:b/>
          <w:sz w:val="24"/>
          <w:szCs w:val="24"/>
        </w:rPr>
        <w:t>1</w:t>
      </w:r>
      <w:r w:rsidR="000474C8">
        <w:rPr>
          <w:b/>
          <w:sz w:val="24"/>
          <w:szCs w:val="24"/>
        </w:rPr>
        <w:t>1</w:t>
      </w:r>
      <w:r w:rsidR="00307B96">
        <w:rPr>
          <w:b/>
          <w:sz w:val="24"/>
          <w:szCs w:val="24"/>
        </w:rPr>
        <w:t xml:space="preserve"> </w:t>
      </w:r>
      <w:r w:rsidR="00307B96" w:rsidRPr="00307B96">
        <w:rPr>
          <w:sz w:val="24"/>
          <w:szCs w:val="24"/>
        </w:rPr>
        <w:t>(</w:t>
      </w:r>
      <w:r w:rsidR="00307B96">
        <w:rPr>
          <w:b/>
          <w:sz w:val="24"/>
          <w:szCs w:val="24"/>
        </w:rPr>
        <w:t>Scheme 1.4</w:t>
      </w:r>
      <w:r w:rsidR="00307B96" w:rsidRPr="00307B96">
        <w:rPr>
          <w:sz w:val="24"/>
          <w:szCs w:val="24"/>
        </w:rPr>
        <w:t>)</w:t>
      </w:r>
      <w:r>
        <w:rPr>
          <w:sz w:val="24"/>
          <w:szCs w:val="24"/>
        </w:rPr>
        <w:t>.</w:t>
      </w:r>
      <w:r w:rsidR="00BB6BCD">
        <w:rPr>
          <w:sz w:val="24"/>
          <w:szCs w:val="24"/>
        </w:rPr>
        <w:fldChar w:fldCharType="begin" w:fldLock="1"/>
      </w:r>
      <w:r w:rsidR="00E2013D">
        <w:rPr>
          <w:sz w:val="24"/>
          <w:szCs w:val="24"/>
        </w:rPr>
        <w:instrText>ADDIN CSL_CITATION { "citationItems" : [ { "id" : "ITEM-1", "itemData" : { "ISSN" : "0365-9496", "abstract" : "When a concentrated aqueous solution of the hydrochloride of the ethylic ether of glycocine is treated with sodium nitrite, a yellow oil is precipitated and can be extracted with ether.  To purify it, it is treated with baryta-water, steam-distilled, dried over calcium chloride, and heated at 95\u00b0 on a water-bath.  It is a neutral liquid of golden-yellow colour and of powerful characteristic odour, miscible in all proportions with ether and alcohol, but almost insoluble in water.  It volatilises on exposure to air, and when heated to about 110\u00b0 is decomposed with violence and with great evolution of heat.  It shows great stability in the presence of alkalis, but in contact with acids, water, or alcohol, it gives off nitrogen in nearly theoretical amount.  With cold concentrated hydrochloric acid, the decomposition takes place with explosive violence, ethyl chloracetate being formed.  On boiling it with water, the products are ethylic glycollate, glycollic acid, alcohol, and nitrogen, whilst with alcohol, ethylic ethylglycollate is produced.  These reactions would indicate the body to be ethylic diazoacetate, CH2(N2OH).COOEt, but analysis shows that its formula is-CHN2COOEt, that is, ethylic diazoacetate minus the elements of a molecule of water.  The author is continuing his experiments in the hopes of obtaining diazo- and diazo-amido-derivatives of the fatty acids. [on SciFinder(R)]", "author" : [ { "dropping-particle" : "", "family" : "Curtius", "given" : "T", "non-dropping-particle" : "", "parse-names" : false, "suffix" : "" } ], "container-title" : "Berichte der Deutschen Chemischen Gesellschaft", "id" : "ITEM-1", "issued" : { "date-parts" : [ [ "0" ] ] }, "note" : "CAPLUS AN 1906:191654(Journal)", "page" : "2230-2231", "title" : "Action of nitrous acid on ethyl-glycocine hydrochloride.", "type" : "article-journal", "volume" : "16" }, "uris" : [ "http://www.mendeley.com/documents/?uuid=5e4cd31e-2a2c-4536-ba2b-f0702c201ce4" ] }, { "id" : "ITEM-2", "itemData" : { "author" : [ { "dropping-particle" : "", "family" : "Curtius", "given" : "T. J.", "non-dropping-particle" : "", "parse-names" : false, "suffix" : "" } ], "container-title" : "J. Prakt. Chem.", "id" : "ITEM-2", "issued" : { "date-parts" : [ [ "1888" ] ] }, "page" : "396-440", "title" : "2. 1888, 38, 396-440", "type" : "article-journal", "volume" : "38" }, "uris" : [ "http://www.mendeley.com/documents/?uuid=3ce2c4ed-37bb-4e97-a537-72a90fbc2751" ] } ], "mendeley" : { "formattedCitation" : "&lt;sup&gt;[19,20]&lt;/sup&gt;", "plainTextFormattedCitation" : "[19,20]", "previouslyFormattedCitation" : "&lt;sup&gt;[19,20]&lt;/sup&gt;" }, "properties" : { "noteIndex" : 0 }, "schema" : "https://github.com/citation-style-language/schema/raw/master/csl-citation.json" }</w:instrText>
      </w:r>
      <w:r w:rsidR="00BB6BCD">
        <w:rPr>
          <w:sz w:val="24"/>
          <w:szCs w:val="24"/>
        </w:rPr>
        <w:fldChar w:fldCharType="separate"/>
      </w:r>
      <w:r w:rsidR="00DF4000" w:rsidRPr="00DF4000">
        <w:rPr>
          <w:noProof/>
          <w:sz w:val="24"/>
          <w:szCs w:val="24"/>
          <w:vertAlign w:val="superscript"/>
        </w:rPr>
        <w:t>[19,20]</w:t>
      </w:r>
      <w:r w:rsidR="00BB6BCD">
        <w:rPr>
          <w:sz w:val="24"/>
          <w:szCs w:val="24"/>
        </w:rPr>
        <w:fldChar w:fldCharType="end"/>
      </w:r>
      <w:r w:rsidR="00756067">
        <w:rPr>
          <w:sz w:val="24"/>
          <w:szCs w:val="24"/>
        </w:rPr>
        <w:t xml:space="preserve"> </w:t>
      </w:r>
      <w:r w:rsidR="002E79FE">
        <w:rPr>
          <w:sz w:val="24"/>
          <w:szCs w:val="24"/>
        </w:rPr>
        <w:t>Since this early work, significant advances have been made in the field of diazo chemistry, many of which will be outlined in the following sections.</w:t>
      </w:r>
    </w:p>
    <w:p w:rsidR="00756067" w:rsidRDefault="009C452D" w:rsidP="00756067">
      <w:pPr>
        <w:spacing w:line="360" w:lineRule="auto"/>
        <w:jc w:val="center"/>
      </w:pPr>
      <w:r>
        <w:object w:dxaOrig="7312" w:dyaOrig="1571">
          <v:shape id="_x0000_i1030" type="#_x0000_t75" style="width:366pt;height:78.75pt" o:ole="">
            <v:imagedata r:id="rId19" o:title=""/>
          </v:shape>
          <o:OLEObject Type="Embed" ProgID="ChemDraw.Document.6.0" ShapeID="_x0000_i1030" DrawAspect="Content" ObjectID="_1531849571" r:id="rId20"/>
        </w:object>
      </w:r>
    </w:p>
    <w:p w:rsidR="00756067" w:rsidRPr="00307B96" w:rsidRDefault="00307B96" w:rsidP="00756067">
      <w:pPr>
        <w:spacing w:line="360" w:lineRule="auto"/>
        <w:jc w:val="center"/>
        <w:rPr>
          <w:b/>
          <w:sz w:val="24"/>
          <w:szCs w:val="24"/>
        </w:rPr>
      </w:pPr>
      <w:r w:rsidRPr="00307B96">
        <w:rPr>
          <w:b/>
          <w:sz w:val="24"/>
          <w:szCs w:val="24"/>
        </w:rPr>
        <w:t>Scheme 1.4</w:t>
      </w:r>
    </w:p>
    <w:p w:rsidR="00A91ACB" w:rsidRDefault="00A91ACB" w:rsidP="00756067">
      <w:pPr>
        <w:spacing w:line="360" w:lineRule="auto"/>
        <w:jc w:val="both"/>
        <w:rPr>
          <w:b/>
          <w:sz w:val="24"/>
          <w:szCs w:val="24"/>
        </w:rPr>
      </w:pPr>
    </w:p>
    <w:p w:rsidR="00756067" w:rsidRPr="00DD231C" w:rsidRDefault="00DD231C" w:rsidP="00DD231C">
      <w:pPr>
        <w:pStyle w:val="Heading3"/>
      </w:pPr>
      <w:bookmarkStart w:id="3" w:name="_Toc446773056"/>
      <w:r w:rsidRPr="00DD231C">
        <w:t>1.</w:t>
      </w:r>
      <w:r w:rsidR="00591EF1">
        <w:t>1</w:t>
      </w:r>
      <w:r w:rsidRPr="00DD231C">
        <w:t xml:space="preserve">.2.1 </w:t>
      </w:r>
      <w:r w:rsidR="009C6875">
        <w:t>Arndt-Eistert s</w:t>
      </w:r>
      <w:r w:rsidR="00DB7C5D" w:rsidRPr="00DD231C">
        <w:t>ynthesis</w:t>
      </w:r>
      <w:bookmarkEnd w:id="3"/>
    </w:p>
    <w:p w:rsidR="00E03581" w:rsidRDefault="00307B96" w:rsidP="00983ABC">
      <w:pPr>
        <w:widowControl w:val="0"/>
        <w:autoSpaceDE w:val="0"/>
        <w:autoSpaceDN w:val="0"/>
        <w:adjustRightInd w:val="0"/>
        <w:spacing w:after="140" w:line="360" w:lineRule="auto"/>
        <w:jc w:val="both"/>
        <w:rPr>
          <w:sz w:val="24"/>
          <w:szCs w:val="24"/>
        </w:rPr>
      </w:pPr>
      <w:r>
        <w:rPr>
          <w:sz w:val="24"/>
          <w:szCs w:val="24"/>
        </w:rPr>
        <w:t>D</w:t>
      </w:r>
      <w:r w:rsidR="0052531A">
        <w:rPr>
          <w:sz w:val="24"/>
          <w:szCs w:val="24"/>
        </w:rPr>
        <w:t>iazocarbonyl</w:t>
      </w:r>
      <w:r w:rsidR="00983ABC">
        <w:rPr>
          <w:sz w:val="24"/>
          <w:szCs w:val="24"/>
        </w:rPr>
        <w:t xml:space="preserve"> compounds</w:t>
      </w:r>
      <w:r>
        <w:rPr>
          <w:sz w:val="24"/>
          <w:szCs w:val="24"/>
        </w:rPr>
        <w:t xml:space="preserve"> with simple alkyl side</w:t>
      </w:r>
      <w:r w:rsidR="009C452D">
        <w:rPr>
          <w:sz w:val="24"/>
          <w:szCs w:val="24"/>
        </w:rPr>
        <w:t xml:space="preserve"> </w:t>
      </w:r>
      <w:r>
        <w:rPr>
          <w:sz w:val="24"/>
          <w:szCs w:val="24"/>
        </w:rPr>
        <w:t>chains</w:t>
      </w:r>
      <w:r w:rsidR="00983ABC">
        <w:rPr>
          <w:sz w:val="24"/>
          <w:szCs w:val="24"/>
        </w:rPr>
        <w:t xml:space="preserve"> became available through the work of </w:t>
      </w:r>
      <w:r w:rsidR="00FF639C" w:rsidRPr="00EB4A40">
        <w:rPr>
          <w:sz w:val="24"/>
          <w:szCs w:val="24"/>
        </w:rPr>
        <w:t>Arndt and Eistert</w:t>
      </w:r>
      <w:r w:rsidR="00983ABC">
        <w:rPr>
          <w:sz w:val="24"/>
          <w:szCs w:val="24"/>
        </w:rPr>
        <w:t xml:space="preserve"> in 1927,</w:t>
      </w:r>
      <w:r w:rsidR="00983ABC">
        <w:rPr>
          <w:sz w:val="24"/>
          <w:szCs w:val="24"/>
        </w:rPr>
        <w:fldChar w:fldCharType="begin" w:fldLock="1"/>
      </w:r>
      <w:r w:rsidR="00F168DA">
        <w:rPr>
          <w:sz w:val="24"/>
          <w:szCs w:val="24"/>
        </w:rPr>
        <w:instrText>ADDIN CSL_CITATION { "citationItems" : [ { "id" : "ITEM-1", "itemData" : { "ISSN" : "0365-9488", "abstract" : "According to Nierenstein and Staudinger acid chlorides with CH2N2 give ClCH2 ketones while A. and his co-workers had found that o-O2NC6H4COCl gives almost exclusively O2NC6H4COCHN2.  This is even less peculiar to the o-O2N compd., as was at first supposed, than in the case of the aldehydes (preceding abstrs.); the expts. hitherto carried out with BzCl, AcCl and ClCH2COCl indicate that all acid chlorides first give the diazo ketone, the end result depending primarily on the exptl. conditions.  If the chloride is gradually added to a soln. of several mols. of the CH2N2, so that the latter is always present in excess, the CH2N2 takes up the liberated HCl and the diazo ketone is the chief product; conversely, if the CH2N2 is added gradually to the chloride so that it is at once used up by the latter, the liberated HCl decomps. the diazo ketone with formation of the Cl ketone.  The nature and stability of the diazo ketone also have some influence; o-O2NC6H4COCl gives almost only the diazo ketone even by the 2nd of the above methods.  \u03c9-Diazoacetophenone (4.5 g. from 6 g. BzCl in 100 cc.  Et2O slowly dropped into 2.5 mols. CH2N2 in 300 cc. Et2O, concd. to 40 cc. after several hrs. and cooled to -15\u00b0), m. 49\u00b0, smoothly converted into BzCH2OH by hot dil. H2SO4.  MeCOCHN2, faintly yellow, b13 49\u00b0, solidifies in a CO2 freezing mixt.  1-Diazo-3-chloroacetone, light yellow, m. 3\u00b0, b13 75\u00b0. [on SciFinder(R)]", "author" : [ { "dropping-particle" : "", "family" : "Arndt", "given" : "F", "non-dropping-particle" : "", "parse-names" : false, "suffix" : "" }, { "dropping-particle" : "", "family" : "Amende", "given" : "J", "non-dropping-particle" : "", "parse-names" : false, "suffix" : "" } ], "container-title" : "Berichte der Deutschen Chemischen Gesellschaft [Abteilung] B: Abhandlungen", "id" : "ITEM-1", "issued" : { "date-parts" : [ [ "1928" ] ] }, "note" : "CAPLUS AN 1928:25233(Journal)", "page" : "1122-1124", "title" : "Syntheses with diazomethane. V. The reaction of acid chlorides with diazomethane.", "type" : "article-journal", "volume" : "61B" }, "uris" : [ "http://www.mendeley.com/documents/?uuid=dee2d5e0-a9aa-4d9c-b05d-06ec56a1e711" ] }, { "id" : "ITEM-2", "itemData" : { "ISSN" : "0365-9488", "abstract" : "Schlotterbeck was so convinced that aldehydes give with CH2N2 the corresponding Me ketones, that he believed that this synthesis proved the structure of the compd. (I) obtained from CCl3CHO to be CCl3COMe, but in view of the work described in the preceding abstr., A. and E. suspected it might well be the isomeric 1,1,1,tri-chloropropylene 2,3-oxide and such proved to be the case, for in the presence of a little FeCl3 it adds 1 mol. Ac2O and it readily combines with HCl to a stable product which can be distd.  Work to be reported on later has shown that m-O2NC6H4CHO with CH2N2 gives only O2NC6H4COMe and the p-compd. about equal parts of the ketone and the ethylene oxide, i. e., the disturbing influence of the NO2 group increases in the order m \u2192 p \u2192 o.  Accumulation of NO2 groups, on the other hand, seems to destroy this disturbing influence, for according to Sonn 2,4,6-(O2N)3C6H2CHO gives the ketone (yielding a phenylhydrazone).  The tendency of an aldehyde to form an ethylene oxide seems to be related with the introduction into it of substituents which impart a disinclination to the presence of a doubly bound O atom.  Thus, CCl3CHO readily forms a hydrate, and o-O2NC6H4CHO an acetal, and while no hydrate of this aldehyde has been isolated its soly. in concd. alkalies and repptn. by acids may well be due to the presence of such a hydrate in aq. soln.  The p-aldehyde is likewise sol., although to a lesser extent, in alkalies, while the m-compd. is not.  A. and E. believe the mechanism of the reaction can be represented by the scheme In certain cases (V) the O atom combines not singly but doubly with the C atom of CH2 group while 1 of the H atoms of the latter migrates to the aldehyde C atom (cf. preceding abstr.: formation of O2NC6H4CH2COMe, presumably through O2NC6H4CH2CHO, from o-O2NC6H4CHO and CH2N2).  After repeated distn. in vacuo, I b13 44-5\u00b0, b 149\u00b0.  1,1,1,3-Tetrachloro-2-hydroxypropane, from I and HCl, b17 95-6\u00b0, has a faint CHI3-like odor, 1,1,1-Trichloro-2,3-diacetoxypropane, b16 126-8\u00b0. [on SciFinder(R)]", "author" : [ { "dropping-particle" : "", "family" : "Arndt", "given" : "F", "non-dropping-particle" : "", "parse-names" : false, "suffix" : "" }, { "dropping-particle" : "", "family" : "Eistert", "given" : "B", "non-dropping-particle" : "", "parse-names" : false, "suffix" : "" } ], "container-title" : "Berichte der Deutschen Chemischen Gesellschaft [Abteilung] B: Abhandlungen", "id" : "ITEM-2", "issued" : { "date-parts" : [ [ "1928" ] ] }, "note" : "CAPLUS AN 1928:25232(Journal)", "page" : "1118-1122", "title" : "Syntheses with diazomethane. IV. The reaction between aldehydes and diazomethane.", "type" : "article-journal", "volume" : "61B" }, "uris" : [ "http://www.mendeley.com/documents/?uuid=c9870004-e0f2-4ac0-bca0-1a42ac061853" ] }, { "id" : "ITEM-3", "itemData" : { "ISSN" : "0365-9488", "abstract" : "cf. C. A. 21, 1640.  This paper is published now because of the appearance of that of Alessandri (C. A. 21,2127), who describes pure N-hydroxyisatin (I).  A., E. and P. have devised a method whereby I can very easily be obtained in perfectly pure and completely stable form.  Just like the o-compd. among the O2NC6H4CHO, so o-O2NC6H4COCl (II) among the chlorides behaves anomalously with CH2N2 (cf. also Nierenstein, C. A. 21, 2125); it at once evolves N vigorously in Et2O, to be sure, but the normal product, o-O2NC6H4COCH2Cl (III), is formed in only very small quantity; the chief product (80%), C8H5O3N3 (IV), formed by addn. of 1 mol. CH2N2 to II and liberation of 1 mol. HCl which, acting on another mol. of CH2N2, gives MeCl and N2, is sensitive to light and shows the properties of an aliphatic diazo compd.; it deflagrates violently on dry distn. and is decompd. with vigorous evolution of N by very dil. acids; with HCO2H or H2SO4, best in AcOH, it smoothly gives I; with HCl or HBr, I and III or the Br analog (V), also obtained by halogenation of pure o-O2NC6H4COMe.  III and V do not give ketone reactions.  With I, the 2 N atoms in IV are replaced by 2 I atoms.  The formation of III and V indicates that IV is w-diazo-o-nitroacetophenone, but as this does not explain why only II and not the p-compd. should react in this way with CH2N2 the possibility is left open that, as in the conversion of o-O2NC6H4CHO into nitraldin, so with II the NO2 group takes part in the reaction.  IV, light yellow, m. 105-6\u00b0, rapidly becomes red-brown and weathers in the air.  I, orange-red with a crimson tinge, gives the indophenin reaction just like isatin, m. 200-1\u00b0 (decompn.), (A., 192-3\u00b0).  The action of alkalies on I proceeds through 3 stages: salt formation with deep violet color; opening of the ring to salts of o-HONHC6H4COCO2H; renewed ring closure to salts of anthroxanic acid (VI).  In cold 2 N NaOH the violet color of the 1st stage changes almost immediately to reddish yellow, acids regenerating I at this point; if, however, the solo. is warmed or allowed to stand some time in the cold the color disappears and the acids ppt.  VI, m. 197-8\u00b0 (decompn.), resolidifies and m. again about 240\u00b0.  In 2 N Na2CO3 I dissolves even in the cold with a deep violet color which does not disappear at first on boiling, although acids now ppt. a mixt. of I and VI; after boiling some time. the soln. becomes colorless and only VI is pptd. by acids.  The soln. in cold NH4OH is deep violet and\u2026", "author" : [ { "dropping-particle" : "", "family" : "Arndt", "given" : "F", "non-dropping-particle" : "", "parse-names" : false, "suffix" : "" }, { "dropping-particle" : "", "family" : "Eistert", "given" : "B", "non-dropping-particle" : "", "parse-names" : false, "suffix" : "" }, { "dropping-particle" : "", "family" : "Partale", "given" : "W", "non-dropping-particle" : "", "parse-names" : false, "suffix" : "" } ], "container-title" : "Berichte der Deutschen Chemischen Gesellschaft [Abteilung] B: Abhandlungen", "id" : "ITEM-3", "issued" : { "date-parts" : [ [ "1927" ] ] }, "note" : "CAPLUS AN 1927:23579(Journal)", "page" : "1364-1370", "title" : "Diazomethane and o-nitro compounds. II. N-Hydroxyisatin from o-nitrobenzoyl chloride.", "type" : "article-journal", "volume" : "60B" }, "uris" : [ "http://www.mendeley.com/documents/?uuid=f08d6b3e-642c-43c3-a2c7-c3abfda773ba" ] }, { "id" : "ITEM-4", "itemData" : { "ISSN" : "0365-9488", "abstract" : "cf. C. A. 21, 2897.  \"Nitraldin,\" the chief product of the action of CH2N2 on o-O2NC6H4CHO, is o-nitrophenylethylene oxide (I), O2NC6H4CH.CH2.O, and the isomer obtained by mild treatment of I with acids is o-nitrosobenzoylcarbinol, ONC6H4COCH2OH (II), which in turn isomerizes into III.  This last change can be effected smoothly only in the presence of excess of HCHO; the HCHO prevents the dissocn. of III into HCHO and benzisoxazolone, which would lead to resinification or, in the presence of acids, to the formation of IV.  These reactions had already been described and the structures of III and IV had been established but had led to an erroneous conclusion as to the structures of I and II, viz., that in these compds. also the two C atoms of the side chain were not joined to each other.  When, however, II is treated with alkali, it gives, although in only small yield, N-hydroxyisatin, showing that the two C atoms are still joined to each other, probably as shown in formula II.  The best way to establish this seemed to be by reduction of II to o-aminobenzoylcarbinol (V), but as II undergoes deep-seated change under the influence of the very weakest acids or alkalies, in fact on mere heating alone, a reducing agent acting rapidly and specifically in almost neutral medium had to be used.  Dil. aq. N2H4.H2CO3 was found to answer the purpose; on gentle warming it smoothly reduces the NO group in II to NH2 with evolution of the calcd. quantity of N2.  That the product is really V is shown by the fact that it can be diazotized, yields mono- and diacyl derivs. and a phenylhydrazone and on warming with alkalies smoothly forms indoxyl, with loss of H2O.  For nitraldin there remained possible, in view of the lack of C:O and HO re-reactions, only the structures I and VI.  VI takes into account the apparently peculiar position occupied by o-O2NC6H4CHO, representing, as it does, a structural co.ovrddot.operation of the NO2 group; moreover, the 2 formulas are interchangeable into each other by a simple shifting of bonds and explain in essentially the same way all the reactions of the compd.  That I is the correct formula was established by the observation that aldehydes other than o-O2NC6H4CHO with CH2N2 give, instead of Me ketones, isomers which can be considered only as ethylene oxides (see following abstr.).  Unfortunately, the formation of ethylene oxides from aldehydes and CH2N2 was first discovered with o-O2NC6H4CHO, where the ethylene oxide properties of the pro\u2026", "author" : [ { "dropping-particle" : "", "family" : "Arndt", "given" : "F", "non-dropping-particle" : "", "parse-names" : false, "suffix" : "" }, { "dropping-particle" : "", "family" : "Eistert", "given" : "B", "non-dropping-particle" : "", "parse-names" : false, "suffix" : "" }, { "dropping-particle" : "", "family" : "Partale", "given" : "W", "non-dropping-particle" : "", "parse-names" : false, "suffix" : "" } ], "container-title" : "Berichte der Deutschen Chemischen Gesellschaft [Abteilung] B: Abhandlungen", "id" : "ITEM-4", "issued" : { "date-parts" : [ [ "1928" ] ] }, "note" : "CAPLUS AN 1928:25231(Journal)", "page" : "1107-1118", "title" : "Syntheses with diazomethane. III. o-Nitrophenylethylene oxide and the substances obtainable from it.", "type" : "article-journal", "volume" : "61B" }, "uris" : [ "http://www.mendeley.com/documents/?uuid=a990273e-bc50-428e-ab1e-75ee2150596a" ] } ], "mendeley" : { "formattedCitation" : "&lt;sup&gt;[21\u201324]&lt;/sup&gt;", "plainTextFormattedCitation" : "[21\u201324]", "previouslyFormattedCitation" : "&lt;sup&gt;[21\u201324]&lt;/sup&gt;" }, "properties" : { "noteIndex" : 0 }, "schema" : "https://github.com/citation-style-language/schema/raw/master/csl-citation.json" }</w:instrText>
      </w:r>
      <w:r w:rsidR="00983ABC">
        <w:rPr>
          <w:sz w:val="24"/>
          <w:szCs w:val="24"/>
        </w:rPr>
        <w:fldChar w:fldCharType="separate"/>
      </w:r>
      <w:r w:rsidR="0055300D" w:rsidRPr="0055300D">
        <w:rPr>
          <w:noProof/>
          <w:sz w:val="24"/>
          <w:szCs w:val="24"/>
          <w:vertAlign w:val="superscript"/>
        </w:rPr>
        <w:t>[21–24]</w:t>
      </w:r>
      <w:r w:rsidR="00983ABC">
        <w:rPr>
          <w:sz w:val="24"/>
          <w:szCs w:val="24"/>
        </w:rPr>
        <w:fldChar w:fldCharType="end"/>
      </w:r>
      <w:r w:rsidR="00983ABC">
        <w:rPr>
          <w:sz w:val="24"/>
          <w:szCs w:val="24"/>
        </w:rPr>
        <w:t xml:space="preserve"> and Bradley and Robinson in 1928.</w:t>
      </w:r>
      <w:r w:rsidR="00983ABC">
        <w:rPr>
          <w:sz w:val="24"/>
          <w:szCs w:val="24"/>
        </w:rPr>
        <w:fldChar w:fldCharType="begin" w:fldLock="1"/>
      </w:r>
      <w:r w:rsidR="00F168DA">
        <w:rPr>
          <w:sz w:val="24"/>
          <w:szCs w:val="24"/>
        </w:rPr>
        <w:instrText>ADDIN CSL_CITATION { "citationItems" : [ { "id" : "ITEM-1", "itemData" : { "DOI" : "10.1021/ja01367a040", "ISSN" : "0002-7863", "abstract" : "cf. preceding abstr.  Since CH2N2 and BzCl react at 0\u00b0 with great facility to yield BzCHN3. this substance is regarded as the primary product of the reaction.  The validity of the categorical summary of M. and N.s paper is questioned.  It is suggested that the formation of BzCH2Cl is a secondary process and the result of the action of HCl on BzCHN2.  The special conditions prescribed by M. and N. are such as to favor this secondary process.  The interaction of Bz2O and (CH2CO)2O with CH2N2 has been studied.  The formation of (CH2CO2Me2)2 in the latter case occurs in the presence of H2O (or MeOH), but, in all probability, (CH2CO2H)2 (or HO2CCH2CH2CO2Me) is not an intermediate in the process. [on SciFinder(R)]", "author" : [ { "dropping-particle" : "", "family" : "Bradley", "given" : "W", "non-dropping-particle" : "", "parse-names" : false, "suffix" : "" }, { "dropping-particle" : "", "family" : "Robinson", "given" : "R", "non-dropping-particle" : "", "parse-names" : false, "suffix" : "" } ], "container-title" : "Journal of the American Chemical Society", "id" : "ITEM-1", "issued" : { "date-parts" : [ [ "1930" ] ] }, "note" : "CAPLUS AN 1930:23022(Journal)", "page" : "1558-1565", "title" : "Action of diazomethane on benzoic and succinic anhydrides and a reply to Malkin And Nierenstein.", "type" : "article-journal", "volume" : "52" }, "uris" : [ "http://www.mendeley.com/documents/?uuid=2f33dbe5-7ad6-48be-9632-0a6005b80b8c" ] } ], "mendeley" : { "formattedCitation" : "&lt;sup&gt;[25]&lt;/sup&gt;", "plainTextFormattedCitation" : "[25]", "previouslyFormattedCitation" : "&lt;sup&gt;[25]&lt;/sup&gt;" }, "properties" : { "noteIndex" : 0 }, "schema" : "https://github.com/citation-style-language/schema/raw/master/csl-citation.json" }</w:instrText>
      </w:r>
      <w:r w:rsidR="00983ABC">
        <w:rPr>
          <w:sz w:val="24"/>
          <w:szCs w:val="24"/>
        </w:rPr>
        <w:fldChar w:fldCharType="separate"/>
      </w:r>
      <w:r w:rsidR="0055300D" w:rsidRPr="0055300D">
        <w:rPr>
          <w:noProof/>
          <w:sz w:val="24"/>
          <w:szCs w:val="24"/>
          <w:vertAlign w:val="superscript"/>
        </w:rPr>
        <w:t>[25]</w:t>
      </w:r>
      <w:r w:rsidR="00983ABC">
        <w:rPr>
          <w:sz w:val="24"/>
          <w:szCs w:val="24"/>
        </w:rPr>
        <w:fldChar w:fldCharType="end"/>
      </w:r>
      <w:r w:rsidR="00983ABC">
        <w:rPr>
          <w:sz w:val="24"/>
          <w:szCs w:val="24"/>
        </w:rPr>
        <w:t xml:space="preserve"> </w:t>
      </w:r>
      <w:r w:rsidR="00FF639C" w:rsidRPr="00EB4A40">
        <w:rPr>
          <w:sz w:val="24"/>
          <w:szCs w:val="24"/>
        </w:rPr>
        <w:t xml:space="preserve"> </w:t>
      </w:r>
      <w:r w:rsidR="00983ABC">
        <w:rPr>
          <w:sz w:val="24"/>
          <w:szCs w:val="24"/>
        </w:rPr>
        <w:t xml:space="preserve">The authors </w:t>
      </w:r>
      <w:r w:rsidR="00FF639C" w:rsidRPr="00EB4A40">
        <w:rPr>
          <w:sz w:val="24"/>
          <w:szCs w:val="24"/>
        </w:rPr>
        <w:t xml:space="preserve">reported the synthesis of </w:t>
      </w:r>
      <w:r w:rsidR="009C452D">
        <w:rPr>
          <w:sz w:val="24"/>
          <w:szCs w:val="24"/>
        </w:rPr>
        <w:t>diazoketone</w:t>
      </w:r>
      <w:r w:rsidR="00FF639C" w:rsidRPr="00EB4A40">
        <w:rPr>
          <w:sz w:val="24"/>
          <w:szCs w:val="24"/>
        </w:rPr>
        <w:t xml:space="preserve">s </w:t>
      </w:r>
      <w:r w:rsidR="00983ABC">
        <w:rPr>
          <w:sz w:val="24"/>
          <w:szCs w:val="24"/>
        </w:rPr>
        <w:t>by</w:t>
      </w:r>
      <w:r w:rsidR="00240AB2" w:rsidRPr="00EB4A40">
        <w:rPr>
          <w:sz w:val="24"/>
          <w:szCs w:val="24"/>
        </w:rPr>
        <w:t xml:space="preserve"> addition of an acyl chloride to ethereal diazomethane</w:t>
      </w:r>
      <w:r w:rsidR="00983ABC">
        <w:rPr>
          <w:sz w:val="24"/>
          <w:szCs w:val="24"/>
        </w:rPr>
        <w:t xml:space="preserve"> </w:t>
      </w:r>
      <w:r>
        <w:rPr>
          <w:b/>
          <w:sz w:val="24"/>
          <w:szCs w:val="24"/>
        </w:rPr>
        <w:t>13</w:t>
      </w:r>
      <w:r w:rsidR="00240AB2" w:rsidRPr="00EB4A40">
        <w:rPr>
          <w:sz w:val="24"/>
          <w:szCs w:val="24"/>
        </w:rPr>
        <w:t xml:space="preserve"> (at least 1-2 equiv excess</w:t>
      </w:r>
      <w:r w:rsidR="00180C03">
        <w:rPr>
          <w:sz w:val="24"/>
          <w:szCs w:val="24"/>
        </w:rPr>
        <w:t xml:space="preserve">) at or below 0 °C, illustrated below in </w:t>
      </w:r>
      <w:r w:rsidR="00180C03" w:rsidRPr="00180C03">
        <w:rPr>
          <w:b/>
          <w:sz w:val="24"/>
          <w:szCs w:val="24"/>
        </w:rPr>
        <w:t>Scheme 1.5</w:t>
      </w:r>
      <w:r w:rsidR="00180C03">
        <w:rPr>
          <w:sz w:val="24"/>
          <w:szCs w:val="24"/>
        </w:rPr>
        <w:t>.</w:t>
      </w:r>
    </w:p>
    <w:p w:rsidR="00983ABC" w:rsidRDefault="009C452D" w:rsidP="00983ABC">
      <w:pPr>
        <w:widowControl w:val="0"/>
        <w:autoSpaceDE w:val="0"/>
        <w:autoSpaceDN w:val="0"/>
        <w:adjustRightInd w:val="0"/>
        <w:spacing w:after="140" w:line="288" w:lineRule="auto"/>
        <w:jc w:val="center"/>
      </w:pPr>
      <w:r>
        <w:object w:dxaOrig="5783" w:dyaOrig="1096">
          <v:shape id="_x0000_i1031" type="#_x0000_t75" style="width:304.5pt;height:57.75pt" o:ole="">
            <v:imagedata r:id="rId21" o:title=""/>
          </v:shape>
          <o:OLEObject Type="Embed" ProgID="ChemDraw.Document.6.0" ShapeID="_x0000_i1031" DrawAspect="Content" ObjectID="_1531849572" r:id="rId22"/>
        </w:object>
      </w:r>
    </w:p>
    <w:p w:rsidR="00983ABC" w:rsidRDefault="00307B96" w:rsidP="00983ABC">
      <w:pPr>
        <w:widowControl w:val="0"/>
        <w:autoSpaceDE w:val="0"/>
        <w:autoSpaceDN w:val="0"/>
        <w:adjustRightInd w:val="0"/>
        <w:spacing w:after="140" w:line="288" w:lineRule="auto"/>
        <w:jc w:val="center"/>
        <w:rPr>
          <w:b/>
          <w:sz w:val="24"/>
          <w:szCs w:val="24"/>
        </w:rPr>
      </w:pPr>
      <w:r w:rsidRPr="00307B96">
        <w:rPr>
          <w:b/>
          <w:sz w:val="24"/>
          <w:szCs w:val="24"/>
        </w:rPr>
        <w:t>Scheme 1.5</w:t>
      </w:r>
    </w:p>
    <w:p w:rsidR="00307B96" w:rsidRPr="00307B96" w:rsidRDefault="00307B96" w:rsidP="00983ABC">
      <w:pPr>
        <w:widowControl w:val="0"/>
        <w:autoSpaceDE w:val="0"/>
        <w:autoSpaceDN w:val="0"/>
        <w:adjustRightInd w:val="0"/>
        <w:spacing w:after="140" w:line="288" w:lineRule="auto"/>
        <w:jc w:val="center"/>
        <w:rPr>
          <w:b/>
          <w:sz w:val="24"/>
          <w:szCs w:val="24"/>
        </w:rPr>
      </w:pPr>
    </w:p>
    <w:p w:rsidR="00983ABC" w:rsidRDefault="00983ABC" w:rsidP="0052531A">
      <w:pPr>
        <w:widowControl w:val="0"/>
        <w:autoSpaceDE w:val="0"/>
        <w:autoSpaceDN w:val="0"/>
        <w:adjustRightInd w:val="0"/>
        <w:spacing w:after="140" w:line="360" w:lineRule="auto"/>
        <w:jc w:val="both"/>
        <w:rPr>
          <w:sz w:val="24"/>
          <w:szCs w:val="24"/>
        </w:rPr>
      </w:pPr>
      <w:r>
        <w:rPr>
          <w:sz w:val="24"/>
          <w:szCs w:val="24"/>
        </w:rPr>
        <w:t xml:space="preserve">It was previously believed that this reaction was only capable of producing chloromethyl ketone. However the authors determined that by using an excess of diazomethane </w:t>
      </w:r>
      <w:r w:rsidR="00307B96">
        <w:rPr>
          <w:b/>
          <w:sz w:val="24"/>
          <w:szCs w:val="24"/>
        </w:rPr>
        <w:t>13</w:t>
      </w:r>
      <w:r>
        <w:rPr>
          <w:sz w:val="24"/>
          <w:szCs w:val="24"/>
        </w:rPr>
        <w:t xml:space="preserve">, it was possible to </w:t>
      </w:r>
      <w:r w:rsidR="0052531A">
        <w:rPr>
          <w:sz w:val="24"/>
          <w:szCs w:val="24"/>
        </w:rPr>
        <w:t xml:space="preserve">trap the hydrogen chloride produced in the course of the reaction, therefore preventing its reaction with </w:t>
      </w:r>
      <w:r w:rsidR="009C452D">
        <w:rPr>
          <w:sz w:val="24"/>
          <w:szCs w:val="24"/>
        </w:rPr>
        <w:t>diazoketone</w:t>
      </w:r>
      <w:r w:rsidR="0052531A">
        <w:rPr>
          <w:sz w:val="24"/>
          <w:szCs w:val="24"/>
        </w:rPr>
        <w:t>.</w:t>
      </w:r>
    </w:p>
    <w:p w:rsidR="002E79FE" w:rsidRDefault="002E79FE" w:rsidP="002E79FE">
      <w:pPr>
        <w:widowControl w:val="0"/>
        <w:autoSpaceDE w:val="0"/>
        <w:autoSpaceDN w:val="0"/>
        <w:adjustRightInd w:val="0"/>
        <w:spacing w:after="140" w:line="288" w:lineRule="auto"/>
        <w:jc w:val="both"/>
        <w:rPr>
          <w:sz w:val="24"/>
          <w:szCs w:val="24"/>
        </w:rPr>
      </w:pPr>
    </w:p>
    <w:p w:rsidR="00A97406" w:rsidRDefault="00A97406" w:rsidP="00DD231C">
      <w:pPr>
        <w:pStyle w:val="Heading3"/>
      </w:pPr>
    </w:p>
    <w:p w:rsidR="00A97406" w:rsidRDefault="00A97406" w:rsidP="00DD231C">
      <w:pPr>
        <w:pStyle w:val="Heading3"/>
      </w:pPr>
    </w:p>
    <w:p w:rsidR="009649D0" w:rsidRDefault="00DD231C" w:rsidP="00DD231C">
      <w:pPr>
        <w:pStyle w:val="Heading3"/>
      </w:pPr>
      <w:bookmarkStart w:id="4" w:name="_Toc446773057"/>
      <w:r>
        <w:lastRenderedPageBreak/>
        <w:t>1.</w:t>
      </w:r>
      <w:r w:rsidR="00591EF1">
        <w:t>1</w:t>
      </w:r>
      <w:r>
        <w:t xml:space="preserve">.2.2 </w:t>
      </w:r>
      <w:r w:rsidR="009C6875">
        <w:t>Regitz d</w:t>
      </w:r>
      <w:r w:rsidR="00EB4A40" w:rsidRPr="00EB4A40">
        <w:t xml:space="preserve">iazo </w:t>
      </w:r>
      <w:r w:rsidR="009C6875">
        <w:t>t</w:t>
      </w:r>
      <w:r w:rsidR="00EB4A40" w:rsidRPr="00EB4A40">
        <w:t xml:space="preserve">ransfer </w:t>
      </w:r>
      <w:r w:rsidR="009C6875">
        <w:t>m</w:t>
      </w:r>
      <w:r w:rsidR="00EB4A40" w:rsidRPr="00EB4A40">
        <w:t>ethod</w:t>
      </w:r>
      <w:bookmarkEnd w:id="4"/>
    </w:p>
    <w:p w:rsidR="00180C03" w:rsidRDefault="00EB4A40" w:rsidP="00180C03">
      <w:pPr>
        <w:spacing w:line="360" w:lineRule="auto"/>
        <w:jc w:val="both"/>
        <w:rPr>
          <w:sz w:val="24"/>
          <w:szCs w:val="24"/>
        </w:rPr>
      </w:pPr>
      <w:r>
        <w:rPr>
          <w:sz w:val="24"/>
          <w:szCs w:val="24"/>
        </w:rPr>
        <w:t>The most common method for the transf</w:t>
      </w:r>
      <w:r w:rsidR="00A14F63">
        <w:rPr>
          <w:sz w:val="24"/>
          <w:szCs w:val="24"/>
        </w:rPr>
        <w:t>er of a diazo group</w:t>
      </w:r>
      <w:r w:rsidR="00180C03">
        <w:rPr>
          <w:sz w:val="24"/>
          <w:szCs w:val="24"/>
        </w:rPr>
        <w:t xml:space="preserve"> is the procedure</w:t>
      </w:r>
      <w:r>
        <w:rPr>
          <w:sz w:val="24"/>
          <w:szCs w:val="24"/>
        </w:rPr>
        <w:t xml:space="preserve"> described by Regitz.</w:t>
      </w:r>
      <w:r>
        <w:rPr>
          <w:sz w:val="24"/>
          <w:szCs w:val="24"/>
        </w:rPr>
        <w:fldChar w:fldCharType="begin" w:fldLock="1"/>
      </w:r>
      <w:r w:rsidR="00F168DA">
        <w:rPr>
          <w:sz w:val="24"/>
          <w:szCs w:val="24"/>
        </w:rPr>
        <w:instrText>ADDIN CSL_CITATION { "citationItems" : [ { "id" : "ITEM-1", "itemData" : { "DOI" : "10.1002/anie.196707331", "ISSN" : "0570-0833", "abstract" : "A review, with 76 references, of the prepn. of diazo alkanes, diazo cycloalkadienes, 2-diazo-1,3-diketones, diazomalonic acid esters, diazomethylene disulfones, compds. of the general formulas RSO2CN2COR', RCN2COR', ArCN2COX, and RCOCHN2, and azo compds. from sulfonyl azides, e.g. p-MeC6H4SO2N3, the prepn. of 1,2,3-triazoles from \u03b2-imino ketones, the prepn. of 1,2,3-thiadiazoles from \u03b2-thioxo ketones. the prepn. of pyrazolones from 1,3,5-triketones, the reaction of compds. of the general formula RCH2CN with azides, the prepn. of amidinium salts from azidinium salts, and the cleavage of 1,2,3-triazoles prepd. by the treatment of \u03b1,\u03b2-unsatd. esters and alkynyl alkyl ethers with azides. [on SciFinder(R)]", "author" : [ { "dropping-particle" : "", "family" : "Regitz", "given" : "Manfred.", "non-dropping-particle" : "", "parse-names" : false, "suffix" : "" } ], "container-title" : "Angewandte Chemie, International Edition in English", "id" : "ITEM-1", "issue" : "9", "issued" : { "date-parts" : [ [ "1967" ] ] }, "note" : "CAPLUS AN 1967:499298(Journal; General Review)", "page" : "733-749", "title" : "Transfer of diazo groups.", "type" : "article-journal", "volume" : "6" }, "uris" : [ "http://www.mendeley.com/documents/?uuid=a14aff1b-06e5-4690-b286-cadc3a1a529b" ] }, { "id" : "ITEM-2", "itemData" : { "DOI" : "10.1055/s-1972-21883", "ISSN" : "0039-7881", "abstract" : "A review of the application of recently developed methods for the synthesis of aliphatic diazo compds. [on SciFinder(R)]", "author" : [ { "dropping-particle" : "", "family" : "Regitz", "given" : "Manfred.", "non-dropping-particle" : "", "parse-names" : false, "suffix" : "" } ], "container-title" : "Synthesis", "id" : "ITEM-2", "issue" : "7", "issued" : { "date-parts" : [ [ "1972" ] ] }, "page" : "351-373", "title" : "Recent synthetic methods in diazo chemistry.", "type" : "article-journal" }, "uris" : [ "http://www.mendeley.com/documents/?uuid=ed854c38-6b66-407b-aa06-e4da2198f70d" ] } ], "mendeley" : { "formattedCitation" : "&lt;sup&gt;[26,27]&lt;/sup&gt;", "plainTextFormattedCitation" : "[26,27]", "previouslyFormattedCitation" : "&lt;sup&gt;[26,27]&lt;/sup&gt;"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[26,27]</w:t>
      </w:r>
      <w:r>
        <w:rPr>
          <w:sz w:val="24"/>
          <w:szCs w:val="24"/>
        </w:rPr>
        <w:fldChar w:fldCharType="end"/>
      </w:r>
      <w:r w:rsidR="00811A43">
        <w:rPr>
          <w:sz w:val="24"/>
          <w:szCs w:val="24"/>
        </w:rPr>
        <w:t xml:space="preserve"> This method involves deprotonation of the substrate by a base of </w:t>
      </w:r>
      <w:r w:rsidR="00885002">
        <w:rPr>
          <w:sz w:val="24"/>
          <w:szCs w:val="24"/>
        </w:rPr>
        <w:t>sufficient</w:t>
      </w:r>
      <w:r w:rsidR="00811A43">
        <w:rPr>
          <w:sz w:val="24"/>
          <w:szCs w:val="24"/>
        </w:rPr>
        <w:t xml:space="preserve"> strength, followed by transfer of the N</w:t>
      </w:r>
      <w:r w:rsidR="00811A43" w:rsidRPr="00885002">
        <w:rPr>
          <w:sz w:val="24"/>
          <w:szCs w:val="24"/>
          <w:vertAlign w:val="subscript"/>
        </w:rPr>
        <w:t>2</w:t>
      </w:r>
      <w:r w:rsidR="00811A43">
        <w:rPr>
          <w:sz w:val="24"/>
          <w:szCs w:val="24"/>
        </w:rPr>
        <w:t xml:space="preserve"> group by a</w:t>
      </w:r>
      <w:r w:rsidR="00885002">
        <w:rPr>
          <w:sz w:val="24"/>
          <w:szCs w:val="24"/>
        </w:rPr>
        <w:t xml:space="preserve"> donor, i</w:t>
      </w:r>
      <w:r w:rsidR="00811A43">
        <w:rPr>
          <w:sz w:val="24"/>
          <w:szCs w:val="24"/>
        </w:rPr>
        <w:t>n</w:t>
      </w:r>
      <w:r w:rsidR="00885002">
        <w:rPr>
          <w:sz w:val="24"/>
          <w:szCs w:val="24"/>
        </w:rPr>
        <w:t>variably a</w:t>
      </w:r>
      <w:r w:rsidR="00811A43">
        <w:rPr>
          <w:sz w:val="24"/>
          <w:szCs w:val="24"/>
        </w:rPr>
        <w:t xml:space="preserve"> </w:t>
      </w:r>
      <w:r w:rsidR="00885002">
        <w:rPr>
          <w:sz w:val="24"/>
          <w:szCs w:val="24"/>
        </w:rPr>
        <w:t>s</w:t>
      </w:r>
      <w:r w:rsidR="00811A43">
        <w:rPr>
          <w:sz w:val="24"/>
          <w:szCs w:val="24"/>
        </w:rPr>
        <w:t>ulf</w:t>
      </w:r>
      <w:r w:rsidR="00885002">
        <w:rPr>
          <w:sz w:val="24"/>
          <w:szCs w:val="24"/>
        </w:rPr>
        <w:t>onyl</w:t>
      </w:r>
      <w:r w:rsidR="009966B6">
        <w:rPr>
          <w:sz w:val="24"/>
          <w:szCs w:val="24"/>
        </w:rPr>
        <w:t xml:space="preserve"> </w:t>
      </w:r>
      <w:r w:rsidR="00885002">
        <w:rPr>
          <w:sz w:val="24"/>
          <w:szCs w:val="24"/>
        </w:rPr>
        <w:t>azide</w:t>
      </w:r>
      <w:r w:rsidR="00180C03">
        <w:rPr>
          <w:sz w:val="24"/>
          <w:szCs w:val="24"/>
        </w:rPr>
        <w:t xml:space="preserve"> (</w:t>
      </w:r>
      <w:r w:rsidR="00180C03" w:rsidRPr="00180C03">
        <w:rPr>
          <w:b/>
          <w:sz w:val="24"/>
          <w:szCs w:val="24"/>
        </w:rPr>
        <w:t>Scheme 1.6</w:t>
      </w:r>
      <w:r w:rsidR="00180C03">
        <w:rPr>
          <w:sz w:val="24"/>
          <w:szCs w:val="24"/>
        </w:rPr>
        <w:t>)</w:t>
      </w:r>
      <w:r w:rsidR="00885002">
        <w:rPr>
          <w:sz w:val="24"/>
          <w:szCs w:val="24"/>
        </w:rPr>
        <w:t xml:space="preserve">. </w:t>
      </w:r>
      <w:r w:rsidR="009966B6">
        <w:rPr>
          <w:sz w:val="24"/>
          <w:szCs w:val="24"/>
        </w:rPr>
        <w:t xml:space="preserve">Of the sulfonyl azides, </w:t>
      </w:r>
      <w:r w:rsidR="009966B6" w:rsidRPr="009966B6">
        <w:rPr>
          <w:i/>
          <w:sz w:val="24"/>
          <w:szCs w:val="24"/>
        </w:rPr>
        <w:t>p</w:t>
      </w:r>
      <w:r w:rsidR="009966B6">
        <w:rPr>
          <w:sz w:val="24"/>
          <w:szCs w:val="24"/>
        </w:rPr>
        <w:t xml:space="preserve">-toluenesulfonyl azide (tosyl azide) </w:t>
      </w:r>
      <w:r w:rsidR="00180C03">
        <w:rPr>
          <w:b/>
          <w:sz w:val="24"/>
          <w:szCs w:val="24"/>
        </w:rPr>
        <w:t>14</w:t>
      </w:r>
      <w:r w:rsidR="009966B6">
        <w:rPr>
          <w:sz w:val="24"/>
          <w:szCs w:val="24"/>
        </w:rPr>
        <w:t xml:space="preserve"> is still the most widely used. </w:t>
      </w:r>
      <w:r w:rsidR="00885002">
        <w:rPr>
          <w:sz w:val="24"/>
          <w:szCs w:val="24"/>
        </w:rPr>
        <w:t>Prior activation of the substrate may be necessary to achieve good conversion to the desired products.</w:t>
      </w:r>
      <w:r w:rsidR="00885002">
        <w:rPr>
          <w:sz w:val="24"/>
          <w:szCs w:val="24"/>
        </w:rPr>
        <w:fldChar w:fldCharType="begin" w:fldLock="1"/>
      </w:r>
      <w:r w:rsidR="00F168DA">
        <w:rPr>
          <w:sz w:val="24"/>
          <w:szCs w:val="24"/>
        </w:rPr>
        <w:instrText>ADDIN CSL_CITATION { "citationItems" : [ { "id" : "ITEM-1", "itemData" : { "ISSN" : "0009-2940", "abstract" : "Methyl and \u03b1-methylene carbonyl compds. were \u03b1-formylated and then subjected to deformylating diazo group exchange with p-toluenesulfonyl azide (I).  RCOCHN2 (where R is iso-Pr, tert-Bu, Ph, substituted Ph, furyl, thienyl, pyridyl, or ferrocenyl) were prepd. by treating [RCOC-HCHO]Na+ with I.  RCOCR':N2 (where R = 1-4 C alkyl or Ph, and R' = Me, Et, or iso-Pr), RC(:N2)CHO (where R = Me, Et, iso-Pr, or PhCH2) and RC(:N2)CO2Et (where R = H, 1-6 C alkyl, Ph, or PhCH2) were obtained by treating the free formyl compds. with I in CH2Cl2 and Et3N.  The mechanism of the diazo group transfer is discussed.  36 references. [on SciFinder(R)]", "author" : [ { "dropping-particle" : "", "family" : "Regitz", "given" : "Manfred", "non-dropping-particle" : "", "parse-names" : false, "suffix" : "" }, { "dropping-particle" : "", "family" : "Menz", "given" : "Felix.", "non-dropping-particle" : "", "parse-names" : false, "suffix" : "" } ], "container-title" : "Chemische Berichte", "id" : "ITEM-1", "issue" : "8", "issued" : { "date-parts" : [ [ "1968" ] ] }, "note" : "CAPLUS AN 1968:467056(Journal)", "page" : "2622-2632", "title" : "Reactions of CH-active compounds with azides.  XXI.  Deformylating diazo group transfer - a new route to \u03b1-diazo ketones, aldehydes, and carboxylic esters.", "type" : "article-journal", "volume" : "101" }, "uris" : [ "http://www.mendeley.com/documents/?uuid=6d9c070b-2a2b-4903-bbd0-811702585836" ] } ], "mendeley" : { "formattedCitation" : "&lt;sup&gt;[28]&lt;/sup&gt;", "plainTextFormattedCitation" : "[28]", "previouslyFormattedCitation" : "&lt;sup&gt;[28]&lt;/sup&gt;" }, "properties" : { "noteIndex" : 0 }, "schema" : "https://github.com/citation-style-language/schema/raw/master/csl-citation.json" }</w:instrText>
      </w:r>
      <w:r w:rsidR="00885002">
        <w:rPr>
          <w:sz w:val="24"/>
          <w:szCs w:val="24"/>
        </w:rPr>
        <w:fldChar w:fldCharType="separate"/>
      </w:r>
      <w:r w:rsidR="0055300D" w:rsidRPr="0055300D">
        <w:rPr>
          <w:noProof/>
          <w:sz w:val="24"/>
          <w:szCs w:val="24"/>
          <w:vertAlign w:val="superscript"/>
        </w:rPr>
        <w:t>[28]</w:t>
      </w:r>
      <w:r w:rsidR="00885002">
        <w:rPr>
          <w:sz w:val="24"/>
          <w:szCs w:val="24"/>
        </w:rPr>
        <w:fldChar w:fldCharType="end"/>
      </w:r>
      <w:r w:rsidR="00885002">
        <w:rPr>
          <w:sz w:val="24"/>
          <w:szCs w:val="24"/>
        </w:rPr>
        <w:t xml:space="preserve"> Therefore substrates can</w:t>
      </w:r>
      <w:r w:rsidR="00180C03">
        <w:rPr>
          <w:sz w:val="24"/>
          <w:szCs w:val="24"/>
        </w:rPr>
        <w:t xml:space="preserve"> be divided </w:t>
      </w:r>
      <w:r w:rsidR="00A97406">
        <w:rPr>
          <w:sz w:val="24"/>
          <w:szCs w:val="24"/>
        </w:rPr>
        <w:t>into two categories – those</w:t>
      </w:r>
      <w:r w:rsidR="00180C03">
        <w:rPr>
          <w:sz w:val="24"/>
          <w:szCs w:val="24"/>
        </w:rPr>
        <w:t xml:space="preserve"> with sufficiently activated methylene protons such as</w:t>
      </w:r>
      <w:r w:rsidR="00A97406">
        <w:rPr>
          <w:sz w:val="24"/>
          <w:szCs w:val="24"/>
        </w:rPr>
        <w:t xml:space="preserve"> </w:t>
      </w:r>
      <w:r w:rsidR="00180C03" w:rsidRPr="00885002">
        <w:rPr>
          <w:rFonts w:ascii="Symbol" w:hAnsi="Symbol"/>
          <w:sz w:val="24"/>
          <w:szCs w:val="24"/>
        </w:rPr>
        <w:t></w:t>
      </w:r>
      <w:r w:rsidR="00180C03">
        <w:rPr>
          <w:sz w:val="24"/>
          <w:szCs w:val="24"/>
        </w:rPr>
        <w:t xml:space="preserve">-keto esters, malonic esters and </w:t>
      </w:r>
      <w:r w:rsidR="00180C03" w:rsidRPr="00885002">
        <w:rPr>
          <w:rFonts w:ascii="Symbol" w:hAnsi="Symbol"/>
          <w:sz w:val="24"/>
          <w:szCs w:val="24"/>
        </w:rPr>
        <w:t></w:t>
      </w:r>
      <w:r w:rsidR="00180C03">
        <w:rPr>
          <w:sz w:val="24"/>
          <w:szCs w:val="24"/>
        </w:rPr>
        <w:t>-diketones will readily undergo diazo transfer.</w:t>
      </w:r>
    </w:p>
    <w:p w:rsidR="00EB4A40" w:rsidRDefault="00EB4A40" w:rsidP="0078497E">
      <w:pPr>
        <w:spacing w:line="360" w:lineRule="auto"/>
        <w:jc w:val="both"/>
        <w:rPr>
          <w:sz w:val="24"/>
          <w:szCs w:val="24"/>
        </w:rPr>
      </w:pPr>
    </w:p>
    <w:p w:rsidR="00885002" w:rsidRDefault="00AF1884" w:rsidP="00885002">
      <w:pPr>
        <w:spacing w:line="360" w:lineRule="auto"/>
        <w:jc w:val="center"/>
      </w:pPr>
      <w:r>
        <w:pict>
          <v:shape id="_x0000_i1032" type="#_x0000_t75" style="width:282pt;height:100.5pt">
            <v:imagedata r:id="rId23" o:title=""/>
          </v:shape>
        </w:pict>
      </w:r>
    </w:p>
    <w:p w:rsidR="00180C03" w:rsidRPr="00180C03" w:rsidRDefault="00180C03" w:rsidP="00885002">
      <w:pPr>
        <w:spacing w:line="360" w:lineRule="auto"/>
        <w:jc w:val="center"/>
        <w:rPr>
          <w:b/>
          <w:sz w:val="24"/>
          <w:szCs w:val="24"/>
        </w:rPr>
      </w:pPr>
      <w:r w:rsidRPr="00180C03">
        <w:rPr>
          <w:b/>
          <w:sz w:val="24"/>
          <w:szCs w:val="24"/>
        </w:rPr>
        <w:t>Scheme 1.6</w:t>
      </w:r>
    </w:p>
    <w:p w:rsidR="00DC0085" w:rsidRDefault="00DC0085" w:rsidP="0078497E">
      <w:pPr>
        <w:spacing w:line="360" w:lineRule="auto"/>
        <w:jc w:val="both"/>
        <w:rPr>
          <w:sz w:val="24"/>
          <w:szCs w:val="24"/>
        </w:rPr>
      </w:pPr>
    </w:p>
    <w:p w:rsidR="00233CE0" w:rsidRDefault="00A97406" w:rsidP="0078497E">
      <w:pPr>
        <w:spacing w:line="360" w:lineRule="auto"/>
        <w:jc w:val="both"/>
        <w:rPr>
          <w:sz w:val="24"/>
          <w:szCs w:val="24"/>
        </w:rPr>
      </w:pPr>
      <w:r>
        <w:rPr>
          <w:sz w:val="24"/>
          <w:szCs w:val="24"/>
        </w:rPr>
        <w:t>For the second category of substrates,</w:t>
      </w:r>
      <w:r w:rsidR="00233CE0">
        <w:rPr>
          <w:sz w:val="24"/>
          <w:szCs w:val="24"/>
        </w:rPr>
        <w:t xml:space="preserve"> where the methylene group is activated by only a single carbonyl group, the standard Regitz methodology is less successful. In these cases it is often necessary to first activate the substrate by a method called </w:t>
      </w:r>
      <w:r w:rsidR="00094CC1">
        <w:rPr>
          <w:sz w:val="24"/>
          <w:szCs w:val="24"/>
        </w:rPr>
        <w:t>deformylating diazo transfer.</w:t>
      </w:r>
      <w:r w:rsidR="00094CC1">
        <w:rPr>
          <w:sz w:val="24"/>
          <w:szCs w:val="24"/>
        </w:rPr>
        <w:fldChar w:fldCharType="begin" w:fldLock="1"/>
      </w:r>
      <w:r w:rsidR="00F168DA">
        <w:rPr>
          <w:sz w:val="24"/>
          <w:szCs w:val="24"/>
        </w:rPr>
        <w:instrText>ADDIN CSL_CITATION { "citationItems" : [ { "id" : "ITEM-1", "itemData" : { "DOI" : "10.1002/anie.196707331", "ISSN" : "0570-0833", "abstract" : "A review, with 76 references, of the prepn. of diazo alkanes, diazo cycloalkadienes, 2-diazo-1,3-diketones, diazomalonic acid esters, diazomethylene disulfones, compds. of the general formulas RSO2CN2COR', RCN2COR', ArCN2COX, and RCOCHN2, and azo compds. from sulfonyl azides, e.g. p-MeC6H4SO2N3, the prepn. of 1,2,3-triazoles from \u03b2-imino ketones, the prepn. of 1,2,3-thiadiazoles from \u03b2-thioxo ketones. the prepn. of pyrazolones from 1,3,5-triketones, the reaction of compds. of the general formula RCH2CN with azides, the prepn. of amidinium salts from azidinium salts, and the cleavage of 1,2,3-triazoles prepd. by the treatment of \u03b1,\u03b2-unsatd. esters and alkynyl alkyl ethers with azides. [on SciFinder(R)]", "author" : [ { "dropping-particle" : "", "family" : "Regitz", "given" : "Manfred.", "non-dropping-particle" : "", "parse-names" : false, "suffix" : "" } ], "container-title" : "Angewandte Chemie, International Edition in English", "id" : "ITEM-1", "issue" : "9", "issued" : { "date-parts" : [ [ "1967" ] ] }, "note" : "CAPLUS AN 1967:499298(Journal; General Review)", "page" : "733-749", "title" : "Transfer of diazo groups.", "type" : "article-journal", "volume" : "6" }, "uris" : [ "http://www.mendeley.com/documents/?uuid=a14aff1b-06e5-4690-b286-cadc3a1a529b" ] }, { "id" : "ITEM-2", "itemData" : { "DOI" : "10.1055/s-1972-21883", "ISSN" : "0039-7881", "abstract" : "A review of the application of recently developed methods for the synthesis of aliphatic diazo compds. [on SciFinder(R)]", "author" : [ { "dropping-particle" : "", "family" : "Regitz", "given" : "Manfred.", "non-dropping-particle" : "", "parse-names" : false, "suffix" : "" } ], "container-title" : "Synthesis", "id" : "ITEM-2", "issue" : "7", "issued" : { "date-parts" : [ [ "1972" ] ] }, "page" : "351-373", "title" : "Recent synthetic methods in diazo chemistry.", "type" : "article-journal" }, "uris" : [ "http://www.mendeley.com/documents/?uuid=ed854c38-6b66-407b-aa06-e4da2198f70d" ] } ], "mendeley" : { "formattedCitation" : "&lt;sup&gt;[26,27]&lt;/sup&gt;", "plainTextFormattedCitation" : "[26,27]", "previouslyFormattedCitation" : "&lt;sup&gt;[26,27]&lt;/sup&gt;" }, "properties" : { "noteIndex" : 0 }, "schema" : "https://github.com/citation-style-language/schema/raw/master/csl-citation.json" }</w:instrText>
      </w:r>
      <w:r w:rsidR="00094CC1">
        <w:rPr>
          <w:sz w:val="24"/>
          <w:szCs w:val="24"/>
        </w:rPr>
        <w:fldChar w:fldCharType="separate"/>
      </w:r>
      <w:r w:rsidR="0055300D" w:rsidRPr="0055300D">
        <w:rPr>
          <w:noProof/>
          <w:sz w:val="24"/>
          <w:szCs w:val="24"/>
          <w:vertAlign w:val="superscript"/>
        </w:rPr>
        <w:t>[26,27]</w:t>
      </w:r>
      <w:r w:rsidR="00094CC1">
        <w:rPr>
          <w:sz w:val="24"/>
          <w:szCs w:val="24"/>
        </w:rPr>
        <w:fldChar w:fldCharType="end"/>
      </w:r>
      <w:r w:rsidR="00233CE0">
        <w:rPr>
          <w:sz w:val="24"/>
          <w:szCs w:val="24"/>
        </w:rPr>
        <w:t xml:space="preserve"> </w:t>
      </w:r>
      <w:r w:rsidR="00094CC1">
        <w:rPr>
          <w:sz w:val="24"/>
          <w:szCs w:val="24"/>
        </w:rPr>
        <w:t xml:space="preserve"> This is carried out by Claisen condensation of the ketone with ethyl formate</w:t>
      </w:r>
      <w:r w:rsidR="004465FA">
        <w:rPr>
          <w:sz w:val="24"/>
          <w:szCs w:val="24"/>
        </w:rPr>
        <w:t xml:space="preserve"> as shown in </w:t>
      </w:r>
      <w:r w:rsidR="004465FA" w:rsidRPr="004465FA">
        <w:rPr>
          <w:b/>
          <w:sz w:val="24"/>
          <w:szCs w:val="24"/>
        </w:rPr>
        <w:t>Scheme 1.7</w:t>
      </w:r>
      <w:r w:rsidR="00094CC1">
        <w:rPr>
          <w:sz w:val="24"/>
          <w:szCs w:val="24"/>
        </w:rPr>
        <w:t xml:space="preserve">. This introduces an additional </w:t>
      </w:r>
      <w:r w:rsidR="00094CC1" w:rsidRPr="00094CC1">
        <w:rPr>
          <w:sz w:val="24"/>
          <w:szCs w:val="24"/>
        </w:rPr>
        <w:t>electron withdrawing group</w:t>
      </w:r>
      <w:r w:rsidR="00094CC1">
        <w:rPr>
          <w:sz w:val="24"/>
          <w:szCs w:val="24"/>
        </w:rPr>
        <w:t xml:space="preserve"> in the form of the strongly activating formyl group, which is subsequently released as the </w:t>
      </w:r>
      <w:r w:rsidR="006119B2">
        <w:rPr>
          <w:sz w:val="24"/>
          <w:szCs w:val="24"/>
        </w:rPr>
        <w:t>sulfonyl amide</w:t>
      </w:r>
      <w:r w:rsidR="00094CC1">
        <w:rPr>
          <w:sz w:val="24"/>
          <w:szCs w:val="24"/>
        </w:rPr>
        <w:t xml:space="preserve"> in the course of the diazo transfer reaction. This allows the successful synthesis of most types of acyclic and cyclic </w:t>
      </w:r>
      <w:r w:rsidR="00094CC1" w:rsidRPr="00180C03">
        <w:rPr>
          <w:rFonts w:ascii="Symbol" w:hAnsi="Symbol"/>
          <w:sz w:val="24"/>
          <w:szCs w:val="24"/>
        </w:rPr>
        <w:t></w:t>
      </w:r>
      <w:r w:rsidR="00094CC1">
        <w:rPr>
          <w:sz w:val="24"/>
          <w:szCs w:val="24"/>
        </w:rPr>
        <w:t>-diazoketones.</w:t>
      </w:r>
      <w:r w:rsidR="00A6753E">
        <w:rPr>
          <w:sz w:val="24"/>
          <w:szCs w:val="24"/>
        </w:rPr>
        <w:fldChar w:fldCharType="begin" w:fldLock="1"/>
      </w:r>
      <w:r w:rsidR="00F168DA">
        <w:rPr>
          <w:sz w:val="24"/>
          <w:szCs w:val="24"/>
        </w:rPr>
        <w:instrText>ADDIN CSL_CITATION { "citationItems" : [ { "id" : "ITEM-1", "itemData" : { "author" : [ { "dropping-particle" : "", "family" : "Regitz, M.; Maas", "given" : "G.", "non-dropping-particle" : "", "parse-names" : false, "suffix" : "" } ], "id" : "ITEM-1", "issued" : { "date-parts" : [ [ "1986" ] ] }, "title" : "Diazo Compounds: Properties and Synthesis, Academic Press, Orlando", "type" : "book" }, "uris" : [ "http://www.mendeley.com/documents/?uuid=351074ea-8c2c-4ee7-8ad6-87d2bd9a81ea" ] }, { "id" : "ITEM-2", "itemData" : { "DOI" : "10.1021/jo01273a056", "ISSN" : "0022-3263", "abstract" : "For synthetic purposes introduction of the diazo function at methylene positions flanked by 2 carbonyl groups proceeds smoothly with tosyl azide NaH or p-carboxybenzenesulfonyl azide-Et3N and leads to no sepn. problems after reaction.  With methine positions the same introduction of diazo occurs with cleavage of 1 acyl residue as with an N-sulfonylamide.  Hydrolysis of diazo diketones with alkali is extremely facile so that several variations on these reactions allow the synthesis of most diazo ketones and esters.  Methylene or methine positions flanked by Ph and carbonyl also react, resulting chiefly in diazo compounds or Wolff rearrangement products, depending on exptl. conditions.  This method represents a substantial broadening of utility for the Wolff rearrangement as a synthetic tool.  The diazo transfer reaction also converts primary amines (as their Grignard salts) into azides, and reactions with nitroalkanes, phenols, indoles, and Grignard reagents are also described briefly.  48 references. [on SciFinder(R)]", "author" : [ { "dropping-particle" : "", "family" : "Hendrickson", "given" : "James B", "non-dropping-particle" : "", "parse-names" : false, "suffix" : "" }, { "dropping-particle" : "", "family" : "Wolf", "given" : "Walter A", "non-dropping-particle" : "", "parse-names" : false, "suffix" : "" } ], "container-title" : "Journal of Organic Chemistry", "id" : "ITEM-2", "issue" : "9", "issued" : { "date-parts" : [ [ "1968" ] ] }, "page" : "3610-3618", "title" : "Direct introduction of the diazo function in organic synthesis.", "type" : "article-journal", "volume" : "33" }, "uris" : [ "http://www.mendeley.com/documents/?uuid=ce6b41fb-8249-4220-8fbb-a4fc8a3776a8" ] } ], "mendeley" : { "formattedCitation" : "&lt;sup&gt;[29,30]&lt;/sup&gt;", "plainTextFormattedCitation" : "[29,30]", "previouslyFormattedCitation" : "&lt;sup&gt;[29,30]&lt;/sup&gt;" }, "properties" : { "noteIndex" : 0 }, "schema" : "https://github.com/citation-style-language/schema/raw/master/csl-citation.json" }</w:instrText>
      </w:r>
      <w:r w:rsidR="00A6753E">
        <w:rPr>
          <w:sz w:val="24"/>
          <w:szCs w:val="24"/>
        </w:rPr>
        <w:fldChar w:fldCharType="separate"/>
      </w:r>
      <w:r w:rsidR="0055300D" w:rsidRPr="0055300D">
        <w:rPr>
          <w:noProof/>
          <w:sz w:val="24"/>
          <w:szCs w:val="24"/>
          <w:vertAlign w:val="superscript"/>
        </w:rPr>
        <w:t>[29,30]</w:t>
      </w:r>
      <w:r w:rsidR="00A6753E">
        <w:rPr>
          <w:sz w:val="24"/>
          <w:szCs w:val="24"/>
        </w:rPr>
        <w:fldChar w:fldCharType="end"/>
      </w:r>
      <w:r w:rsidR="00753A8D">
        <w:rPr>
          <w:sz w:val="24"/>
          <w:szCs w:val="24"/>
        </w:rPr>
        <w:t xml:space="preserve"> </w:t>
      </w:r>
    </w:p>
    <w:p w:rsidR="00094CC1" w:rsidRDefault="00094CC1" w:rsidP="00094CC1">
      <w:pPr>
        <w:spacing w:line="360" w:lineRule="auto"/>
        <w:jc w:val="center"/>
      </w:pPr>
      <w:r>
        <w:object w:dxaOrig="7061" w:dyaOrig="1102">
          <v:shape id="_x0000_i1033" type="#_x0000_t75" style="width:353.25pt;height:54.75pt" o:ole="">
            <v:imagedata r:id="rId24" o:title=""/>
          </v:shape>
          <o:OLEObject Type="Embed" ProgID="ChemDraw.Document.6.0" ShapeID="_x0000_i1033" DrawAspect="Content" ObjectID="_1531849573" r:id="rId25"/>
        </w:object>
      </w:r>
    </w:p>
    <w:p w:rsidR="004465FA" w:rsidRPr="004465FA" w:rsidRDefault="004465FA" w:rsidP="00094CC1">
      <w:pPr>
        <w:spacing w:line="360" w:lineRule="auto"/>
        <w:jc w:val="center"/>
        <w:rPr>
          <w:b/>
          <w:sz w:val="24"/>
          <w:szCs w:val="24"/>
        </w:rPr>
      </w:pPr>
      <w:r w:rsidRPr="004465FA">
        <w:rPr>
          <w:b/>
          <w:sz w:val="24"/>
          <w:szCs w:val="24"/>
        </w:rPr>
        <w:t>Scheme 1.7</w:t>
      </w:r>
    </w:p>
    <w:p w:rsidR="00094CC1" w:rsidRDefault="00094CC1" w:rsidP="0078497E">
      <w:pPr>
        <w:spacing w:line="360" w:lineRule="auto"/>
        <w:jc w:val="both"/>
        <w:rPr>
          <w:sz w:val="24"/>
          <w:szCs w:val="24"/>
        </w:rPr>
      </w:pPr>
      <w:r>
        <w:rPr>
          <w:sz w:val="24"/>
          <w:szCs w:val="24"/>
        </w:rPr>
        <w:lastRenderedPageBreak/>
        <w:t xml:space="preserve">Improvements on this method have been described by Danheiser </w:t>
      </w:r>
      <w:r w:rsidRPr="00094CC1">
        <w:rPr>
          <w:i/>
          <w:sz w:val="24"/>
          <w:szCs w:val="24"/>
        </w:rPr>
        <w:t>et al</w:t>
      </w:r>
      <w:r>
        <w:rPr>
          <w:sz w:val="24"/>
          <w:szCs w:val="24"/>
        </w:rPr>
        <w:t>.</w:t>
      </w:r>
      <w:r>
        <w:rPr>
          <w:sz w:val="24"/>
          <w:szCs w:val="24"/>
        </w:rPr>
        <w:fldChar w:fldCharType="begin" w:fldLock="1"/>
      </w:r>
      <w:r w:rsidR="00F168DA">
        <w:rPr>
          <w:sz w:val="24"/>
          <w:szCs w:val="24"/>
        </w:rPr>
        <w:instrText>ADDIN CSL_CITATION { "citationItems" : [ { "id" : "ITEM-1", "itemData" : { "DOI" : "10.15227/orgsyn.073.0134", "ISSN" : "0078-6209", "abstract" : "The detrifluoroacetylation and diazo group transfer of aryl ketones was achieved by treatment with 2,2,2-trifluoroethyl trifluoroacetate and 4-dodecylbenzenesulfonyl azide or methanesulfonyl azide.  A key feature in this strategy is the activation of the ketones as the corresponding trifluoroacetyl deriv.  Similarly, detrifluoroacetylation and diazo group transfer of \u03b1,\u03b2-unsatd. aryl ketones was achieved by treatment with 2,2,2-trifluoroethyl trifluoroacetate and 4-dodecylbenzenesulfonyl azide to give \u03b1,\u03b2-unsatd. aryl diazo ketones.  For example, treatment of (E)-4-phenyl-3-buten-2-one with 2,2,2-trifluoroethyl trifluoroacetate and 4-dodecylbenzenesulfonyl azide gave (E)-1-diazo-4-phenyl-3-buten-2-one. [on SciFinder(R)]", "author" : [ { "dropping-particle" : "", "family" : "Danheiser", "given" : "Rick L", "non-dropping-particle" : "", "parse-names" : false, "suffix" : "" }, { "dropping-particle" : "", "family" : "Miller", "given" : "Raymond F", "non-dropping-particle" : "", "parse-names" : false, "suffix" : "" }, { "dropping-particle" : "", "family" : "Brisbois", "given" : "Ronald G", "non-dropping-particle" : "", "parse-names" : false, "suffix" : "" } ], "container-title" : "Organic Syntheses", "id" : "ITEM-1", "issued" : { "date-parts" : [ [ "1996" ] ] }, "note" : "CAPLUS AN 1996:72969(Journal)", "page" : "134-143", "publisher" : "Wiley", "title" : "Detrifluoroacetylative diazo group transfer: (E)-1-diazo-4-phenyl-3-buten-2-one (3-buten-2-one, 1-diazo-4-phenyl-).", "type" : "article-journal", "volume" : "73" }, "uris" : [ "http://www.mendeley.com/documents/?uuid=e4c68f26-53de-41c5-a77e-8e2fc6a870da" ] }, { "id" : "ITEM-2", "itemData" : { "DOI" : "10.1021/jo00293a053", "ISSN" : "0022-3263", "abstract" : "An improved method for the conversion of ketones to their \u03b1-diazo derivs. has been developed.  The new procedure involves the reaction of the ketone substrate with 1.1 equiv of lithium hexamethyldisilazide in THF at -78\u00b0 to form the corresponding lithium enolate, which is then acylated by exposure to 1.2 equiv of trifluoroethyl trifluoroacetate at -78\u00b0 for 5 min.  The resulting \u03b1-trifluoroacetyl ketone is treated at room temp. with methanesulfonyl azide in acetonitrile contg. 1 equiv of water and 1.5 equiv of triethylamine.  A wide variety of \u03b1-diazo ketones have been prepd. using this procedure, including \u03b1,\u03b2-unsatd. \u03b1'-diazo ketones that cannot be prepd. in good yield employing alternative methods. [on SciFinder(R)]", "author" : [ { "dropping-particle" : "", "family" : "Danheiser", "given" : "Rick L", "non-dropping-particle" : "", "parse-names" : false, "suffix" : "" }, { "dropping-particle" : "", "family" : "Miller", "given" : "Raymond F", "non-dropping-particle" : "", "parse-names" : false, "suffix" : "" }, { "dropping-particle" : "", "family" : "Brisbois", "given" : "Ronald G", "non-dropping-particle" : "", "parse-names" : false, "suffix" : "" }, { "dropping-particle" : "", "family" : "Park", "given" : "Saung Z", "non-dropping-particle" : "", "parse-names" : false, "suffix" : "" } ], "container-title" : "Journal of Organic Chemistry", "id" : "ITEM-2", "issue" : "6", "issued" : { "date-parts" : [ [ "1990" ] ] }, "note" : "CAPLUS AN 1990:138689(Journal)", "page" : "1959-1964", "title" : "An improved method for the synthesis of \u03b1-diazo ketones.", "type" : "article-journal", "volume" : "55" }, "uris" : [ "http://www.mendeley.com/documents/?uuid=bb367817-65de-4e92-8e84-7e98c0ab4b10" ] } ], "mendeley" : { "formattedCitation" : "&lt;sup&gt;[31,32]&lt;/sup&gt;", "plainTextFormattedCitation" : "[31,32]", "previouslyFormattedCitation" : "&lt;sup&gt;[31,32]&lt;/sup&gt;"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[31,32]</w:t>
      </w:r>
      <w:r>
        <w:rPr>
          <w:sz w:val="24"/>
          <w:szCs w:val="24"/>
        </w:rPr>
        <w:fldChar w:fldCharType="end"/>
      </w:r>
      <w:r>
        <w:rPr>
          <w:sz w:val="24"/>
          <w:szCs w:val="24"/>
        </w:rPr>
        <w:t xml:space="preserve"> </w:t>
      </w:r>
      <w:r w:rsidR="00DC0085">
        <w:rPr>
          <w:sz w:val="24"/>
          <w:szCs w:val="24"/>
        </w:rPr>
        <w:t xml:space="preserve">Danheiser found that the harsh conditions required for the Claisen condensation could be replaced by use of trifluoroacetylation of kinetically generated lithium enolates. This improved the efficiency </w:t>
      </w:r>
      <w:r w:rsidR="003B7D89">
        <w:rPr>
          <w:sz w:val="24"/>
          <w:szCs w:val="24"/>
        </w:rPr>
        <w:t>of the diazo transfer reactions, an</w:t>
      </w:r>
      <w:r w:rsidR="00F4502C">
        <w:rPr>
          <w:sz w:val="24"/>
          <w:szCs w:val="24"/>
        </w:rPr>
        <w:t>d</w:t>
      </w:r>
      <w:r w:rsidR="004465FA">
        <w:rPr>
          <w:sz w:val="24"/>
          <w:szCs w:val="24"/>
        </w:rPr>
        <w:t xml:space="preserve"> is referred to as</w:t>
      </w:r>
      <w:r w:rsidR="003B7D89">
        <w:rPr>
          <w:sz w:val="24"/>
          <w:szCs w:val="24"/>
        </w:rPr>
        <w:t xml:space="preserve"> a trifluoroacetylation/detrifluoroacetylation diazo transfer</w:t>
      </w:r>
      <w:r w:rsidR="004465FA">
        <w:rPr>
          <w:sz w:val="24"/>
          <w:szCs w:val="24"/>
        </w:rPr>
        <w:t xml:space="preserve"> (</w:t>
      </w:r>
      <w:r w:rsidR="004465FA" w:rsidRPr="004465FA">
        <w:rPr>
          <w:b/>
          <w:sz w:val="24"/>
          <w:szCs w:val="24"/>
        </w:rPr>
        <w:t>Scheme 1.8</w:t>
      </w:r>
      <w:r w:rsidR="004465FA">
        <w:rPr>
          <w:sz w:val="24"/>
          <w:szCs w:val="24"/>
        </w:rPr>
        <w:t>)</w:t>
      </w:r>
      <w:r w:rsidR="003B7D89">
        <w:rPr>
          <w:sz w:val="24"/>
          <w:szCs w:val="24"/>
        </w:rPr>
        <w:t>.</w:t>
      </w:r>
    </w:p>
    <w:p w:rsidR="00DC0085" w:rsidRDefault="004465FA" w:rsidP="00DC0085">
      <w:pPr>
        <w:spacing w:line="360" w:lineRule="auto"/>
        <w:jc w:val="center"/>
      </w:pPr>
      <w:r>
        <w:object w:dxaOrig="7396" w:dyaOrig="1236">
          <v:shape id="_x0000_i1034" type="#_x0000_t75" style="width:371.25pt;height:60.75pt" o:ole="">
            <v:imagedata r:id="rId26" o:title=""/>
          </v:shape>
          <o:OLEObject Type="Embed" ProgID="ChemDraw.Document.6.0" ShapeID="_x0000_i1034" DrawAspect="Content" ObjectID="_1531849574" r:id="rId27"/>
        </w:object>
      </w:r>
    </w:p>
    <w:p w:rsidR="004465FA" w:rsidRPr="004465FA" w:rsidRDefault="004465FA" w:rsidP="00DC0085">
      <w:pPr>
        <w:spacing w:line="360" w:lineRule="auto"/>
        <w:jc w:val="center"/>
        <w:rPr>
          <w:b/>
          <w:sz w:val="24"/>
          <w:szCs w:val="24"/>
        </w:rPr>
      </w:pPr>
      <w:r w:rsidRPr="004465FA">
        <w:rPr>
          <w:b/>
          <w:sz w:val="24"/>
          <w:szCs w:val="24"/>
        </w:rPr>
        <w:t>Scheme 1.8</w:t>
      </w:r>
    </w:p>
    <w:p w:rsidR="00DC0085" w:rsidRDefault="00DC0085" w:rsidP="0078497E">
      <w:pPr>
        <w:spacing w:line="360" w:lineRule="auto"/>
        <w:jc w:val="both"/>
        <w:rPr>
          <w:sz w:val="24"/>
          <w:szCs w:val="24"/>
        </w:rPr>
      </w:pPr>
    </w:p>
    <w:p w:rsidR="00EB4A40" w:rsidRDefault="00DC0085" w:rsidP="0078497E">
      <w:pPr>
        <w:spacing w:line="360" w:lineRule="auto"/>
        <w:jc w:val="both"/>
        <w:rPr>
          <w:sz w:val="24"/>
          <w:szCs w:val="24"/>
        </w:rPr>
      </w:pPr>
      <w:r w:rsidRPr="00DC0085">
        <w:rPr>
          <w:sz w:val="24"/>
          <w:szCs w:val="24"/>
        </w:rPr>
        <w:t xml:space="preserve">Another modification </w:t>
      </w:r>
      <w:r>
        <w:rPr>
          <w:sz w:val="24"/>
          <w:szCs w:val="24"/>
        </w:rPr>
        <w:t xml:space="preserve">of Regitz’s method was reported by Taber </w:t>
      </w:r>
      <w:r w:rsidRPr="00DC0085">
        <w:rPr>
          <w:i/>
          <w:sz w:val="24"/>
          <w:szCs w:val="24"/>
        </w:rPr>
        <w:t>et al</w:t>
      </w:r>
      <w:r>
        <w:rPr>
          <w:sz w:val="24"/>
          <w:szCs w:val="24"/>
        </w:rPr>
        <w:t>.</w:t>
      </w:r>
      <w:r>
        <w:rPr>
          <w:sz w:val="24"/>
          <w:szCs w:val="24"/>
        </w:rPr>
        <w:fldChar w:fldCharType="begin" w:fldLock="1"/>
      </w:r>
      <w:r w:rsidR="00F168DA">
        <w:rPr>
          <w:sz w:val="24"/>
          <w:szCs w:val="24"/>
        </w:rPr>
        <w:instrText>ADDIN CSL_CITATION { "citationItems" : [ { "id" : "ITEM-1", "itemData" : { "DOI" : "10.1021/jo048011o", "ISSN" : "0022-3263", "abstract" : "The TiCl4-mediated reaction of an ester with benzoyl chloride results in high yields of the \u03b1-benzoylated ester.  Diazo transfer of the benzoylated ester utilizing p-acetoamidobenzenesulfonyl azide affords the \u03b1-diazo ester in good yield.  Using this simplified procedure, it is easy to prep. gram quantities of \u03b1-diazo esters. [on SciFinder(R)]", "author" : [ { "dropping-particle" : "", "family" : "Taber", "given" : "Douglass F", "non-dropping-particle" : "", "parse-names" : false, "suffix" : "" }, { "dropping-particle" : "", "family" : "Sheth", "given" : "Ritesh B", "non-dropping-particle" : "", "parse-names" : false, "suffix" : "" }, { "dropping-particle" : "V", "family" : "Joshi", "given" : "Pramod", "non-dropping-particle" : "", "parse-names" : false, "suffix" : "" } ], "container-title" : "Journal of Organic Chemistry", "id" : "ITEM-1", "issue" : "7", "issued" : { "date-parts" : [ [ "2005" ] ] }, "note" : "CAPLUS AN 2005:164947(Journal)", "page" : "2851-2854", "publisher" : "American Chemical Society", "title" : "Simple Preparation of \u03b1-Diazo Esters.", "type" : "article-journal", "volume" : "70" }, "uris" : [ "http://www.mendeley.com/documents/?uuid=6b5f97f8-89af-4533-83df-7d1a37ad7588" ] } ], "mendeley" : { "formattedCitation" : "&lt;sup&gt;[33]&lt;/sup&gt;", "plainTextFormattedCitation" : "[33]", "previouslyFormattedCitation" : "&lt;sup&gt;[33]&lt;/sup&gt;"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[33]</w:t>
      </w:r>
      <w:r>
        <w:rPr>
          <w:sz w:val="24"/>
          <w:szCs w:val="24"/>
        </w:rPr>
        <w:fldChar w:fldCharType="end"/>
      </w:r>
      <w:r>
        <w:rPr>
          <w:sz w:val="24"/>
          <w:szCs w:val="24"/>
        </w:rPr>
        <w:t xml:space="preserve"> </w:t>
      </w:r>
      <w:r w:rsidR="00A97406">
        <w:rPr>
          <w:sz w:val="24"/>
          <w:szCs w:val="24"/>
        </w:rPr>
        <w:t>This method involves</w:t>
      </w:r>
      <w:r w:rsidR="00D8337F">
        <w:rPr>
          <w:sz w:val="24"/>
          <w:szCs w:val="24"/>
        </w:rPr>
        <w:t xml:space="preserve"> the TiC</w:t>
      </w:r>
      <w:r w:rsidR="004465FA">
        <w:rPr>
          <w:sz w:val="24"/>
          <w:szCs w:val="24"/>
        </w:rPr>
        <w:t>l</w:t>
      </w:r>
      <w:r w:rsidR="00D8337F" w:rsidRPr="00D8337F">
        <w:rPr>
          <w:sz w:val="24"/>
          <w:szCs w:val="24"/>
          <w:vertAlign w:val="subscript"/>
        </w:rPr>
        <w:t>4</w:t>
      </w:r>
      <w:r w:rsidR="00D8337F">
        <w:rPr>
          <w:sz w:val="24"/>
          <w:szCs w:val="24"/>
        </w:rPr>
        <w:t xml:space="preserve">-mediated reaction of an ester with benzoyl chloride resulting in high yields of the </w:t>
      </w:r>
      <w:r w:rsidR="00D8337F" w:rsidRPr="009C452D">
        <w:rPr>
          <w:rFonts w:ascii="Symbol" w:hAnsi="Symbol"/>
          <w:sz w:val="24"/>
          <w:szCs w:val="24"/>
        </w:rPr>
        <w:t></w:t>
      </w:r>
      <w:r w:rsidR="00D8337F">
        <w:rPr>
          <w:sz w:val="24"/>
          <w:szCs w:val="24"/>
        </w:rPr>
        <w:t>-benzoylated ester</w:t>
      </w:r>
      <w:r w:rsidR="004465FA">
        <w:rPr>
          <w:sz w:val="24"/>
          <w:szCs w:val="24"/>
        </w:rPr>
        <w:t>, which</w:t>
      </w:r>
      <w:r w:rsidR="00D8337F">
        <w:rPr>
          <w:sz w:val="24"/>
          <w:szCs w:val="24"/>
        </w:rPr>
        <w:t xml:space="preserve"> can then undergo efficient diazo transfer. This method allows the easy preparation of gram quantities of </w:t>
      </w:r>
      <w:r w:rsidR="00D8337F" w:rsidRPr="004465FA">
        <w:rPr>
          <w:rFonts w:ascii="Symbol" w:hAnsi="Symbol"/>
          <w:sz w:val="24"/>
          <w:szCs w:val="24"/>
        </w:rPr>
        <w:t></w:t>
      </w:r>
      <w:r w:rsidR="00D8337F">
        <w:rPr>
          <w:sz w:val="24"/>
          <w:szCs w:val="24"/>
        </w:rPr>
        <w:t xml:space="preserve">-diazo esters, and is more accessible than the Danheiser acylation method, which requires the use of an expensive strong base and cryogenic conditions. </w:t>
      </w:r>
      <w:r w:rsidR="003B7D89">
        <w:rPr>
          <w:sz w:val="24"/>
          <w:szCs w:val="24"/>
        </w:rPr>
        <w:t>This method is known as benzoylatio</w:t>
      </w:r>
      <w:r w:rsidR="004465FA">
        <w:rPr>
          <w:sz w:val="24"/>
          <w:szCs w:val="24"/>
        </w:rPr>
        <w:t xml:space="preserve">n/debenzoylation diazo transfer, and is illustrated below in </w:t>
      </w:r>
      <w:r w:rsidR="004465FA" w:rsidRPr="004465FA">
        <w:rPr>
          <w:b/>
          <w:sz w:val="24"/>
          <w:szCs w:val="24"/>
        </w:rPr>
        <w:t>Scheme 1.9</w:t>
      </w:r>
      <w:r w:rsidR="004465FA">
        <w:rPr>
          <w:sz w:val="24"/>
          <w:szCs w:val="24"/>
        </w:rPr>
        <w:t>.</w:t>
      </w:r>
    </w:p>
    <w:p w:rsidR="004465FA" w:rsidRDefault="004465FA" w:rsidP="0078497E">
      <w:pPr>
        <w:spacing w:line="360" w:lineRule="auto"/>
        <w:jc w:val="both"/>
        <w:rPr>
          <w:b/>
          <w:sz w:val="24"/>
          <w:szCs w:val="24"/>
        </w:rPr>
      </w:pPr>
    </w:p>
    <w:p w:rsidR="00EB4A40" w:rsidRDefault="00AF1884" w:rsidP="00D8337F">
      <w:pPr>
        <w:spacing w:line="360" w:lineRule="auto"/>
        <w:jc w:val="center"/>
      </w:pPr>
      <w:r>
        <w:object w:dxaOrig="7603" w:dyaOrig="3885">
          <v:shape id="_x0000_i1093" type="#_x0000_t75" style="width:378.75pt;height:195pt" o:ole="">
            <v:imagedata r:id="rId28" o:title=""/>
          </v:shape>
          <o:OLEObject Type="Embed" ProgID="ChemDraw.Document.6.0" ShapeID="_x0000_i1093" DrawAspect="Content" ObjectID="_1531849575" r:id="rId29"/>
        </w:object>
      </w:r>
    </w:p>
    <w:p w:rsidR="004465FA" w:rsidRPr="004465FA" w:rsidRDefault="004465FA" w:rsidP="00D8337F">
      <w:pPr>
        <w:spacing w:line="360" w:lineRule="auto"/>
        <w:jc w:val="center"/>
        <w:rPr>
          <w:b/>
          <w:sz w:val="24"/>
          <w:szCs w:val="24"/>
        </w:rPr>
      </w:pPr>
      <w:r w:rsidRPr="004465FA">
        <w:rPr>
          <w:b/>
          <w:sz w:val="24"/>
          <w:szCs w:val="24"/>
        </w:rPr>
        <w:t>Scheme 1.9</w:t>
      </w:r>
    </w:p>
    <w:p w:rsidR="0096663B" w:rsidRDefault="00DD231C" w:rsidP="00DD231C">
      <w:pPr>
        <w:pStyle w:val="Heading3"/>
      </w:pPr>
      <w:bookmarkStart w:id="5" w:name="_Toc446773058"/>
      <w:r>
        <w:lastRenderedPageBreak/>
        <w:t>1.</w:t>
      </w:r>
      <w:r w:rsidR="00591EF1">
        <w:t>1</w:t>
      </w:r>
      <w:r>
        <w:t xml:space="preserve">.2.3 </w:t>
      </w:r>
      <w:r w:rsidR="0096663B">
        <w:t>Oth</w:t>
      </w:r>
      <w:r w:rsidR="009C6875">
        <w:t>er modifications to the Regitz m</w:t>
      </w:r>
      <w:r w:rsidR="0096663B">
        <w:t>ethod</w:t>
      </w:r>
      <w:bookmarkEnd w:id="5"/>
    </w:p>
    <w:p w:rsidR="009B6902" w:rsidRDefault="009B6902" w:rsidP="0096663B">
      <w:pPr>
        <w:spacing w:line="360" w:lineRule="auto"/>
        <w:jc w:val="both"/>
        <w:rPr>
          <w:sz w:val="24"/>
          <w:szCs w:val="24"/>
        </w:rPr>
      </w:pPr>
      <w:r>
        <w:rPr>
          <w:sz w:val="24"/>
          <w:szCs w:val="24"/>
        </w:rPr>
        <w:t>There are two major concerns with the standard Regitz methodology that prevent it being used on an industrial scale. If these issues could be overcome, the potential of the diazo functionality could be unlocked and used to access a diverse range of chemistry and functionality</w:t>
      </w:r>
      <w:r w:rsidR="00A97406">
        <w:rPr>
          <w:sz w:val="24"/>
          <w:szCs w:val="24"/>
        </w:rPr>
        <w:t xml:space="preserve"> for pharmaceutical processes</w:t>
      </w:r>
      <w:r>
        <w:rPr>
          <w:sz w:val="24"/>
          <w:szCs w:val="24"/>
        </w:rPr>
        <w:t>. The first is the inherent instability of the diazo transfer reagents. Issues with their thermal and shock sensitivity must be addressed in order to use this method on an industrial scale</w:t>
      </w:r>
      <w:r w:rsidR="00A97406">
        <w:rPr>
          <w:sz w:val="24"/>
          <w:szCs w:val="24"/>
        </w:rPr>
        <w:t>, and t</w:t>
      </w:r>
      <w:r>
        <w:rPr>
          <w:sz w:val="24"/>
          <w:szCs w:val="24"/>
        </w:rPr>
        <w:t xml:space="preserve">his will be discussed in </w:t>
      </w:r>
      <w:r w:rsidR="009C452D">
        <w:rPr>
          <w:b/>
          <w:sz w:val="24"/>
          <w:szCs w:val="24"/>
        </w:rPr>
        <w:t>Section 1.2.2</w:t>
      </w:r>
      <w:r>
        <w:rPr>
          <w:sz w:val="24"/>
          <w:szCs w:val="24"/>
        </w:rPr>
        <w:t xml:space="preserve">. The second issue is the difficulty associated with removing the </w:t>
      </w:r>
      <w:r w:rsidR="006119B2">
        <w:rPr>
          <w:sz w:val="24"/>
          <w:szCs w:val="24"/>
        </w:rPr>
        <w:t>sulfonyl amide</w:t>
      </w:r>
      <w:r>
        <w:rPr>
          <w:sz w:val="24"/>
          <w:szCs w:val="24"/>
        </w:rPr>
        <w:t xml:space="preserve"> by-product to give the pure diazo product. While this has been addressed with some of the newer diazo transfer reagents,</w:t>
      </w:r>
      <w:r w:rsidR="005049C1">
        <w:rPr>
          <w:sz w:val="24"/>
          <w:szCs w:val="24"/>
        </w:rPr>
        <w:fldChar w:fldCharType="begin" w:fldLock="1"/>
      </w:r>
      <w:r w:rsidR="00F168DA">
        <w:rPr>
          <w:sz w:val="24"/>
          <w:szCs w:val="24"/>
        </w:rPr>
        <w:instrText>ADDIN CSL_CITATION { "citationItems" : [ { "id" : "ITEM-1", "itemData" : { "DOI" : "10.1021/jo301529b", "ISSN" : "0022-3263", "abstract" : "The paper describes synthesis of a novel ionic liq.-supported sulfonyl azide and its applications as diazotransfer reagent of active methylene compds. as well as deformylative diazo transfer reagent.  The diazo compds. were isolated in excellent yields (82-94%) and high purity.  The method offers better sepn. of product and reagent.  This method is exptl. simple and mild, and requires very short reaction time. [on SciFinder(R)]", "author" : [ { "dropping-particle" : "", "family" : "Muthyala", "given" : "Manoj Kumar", "non-dropping-particle" : "", "parse-names" : false, "suffix" : "" }, { "dropping-particle" : "", "family" : "Choudhary", "given" : "Sunita", "non-dropping-particle" : "", "parse-names" : false, "suffix" : "" }, { "dropping-particle" : "", "family" : "Kumar", "given" : "Anil.", "non-dropping-particle" : "", "parse-names" : false, "suffix" : "" } ], "container-title" : "Journal of Organic Chemistry", "id" : "ITEM-1", "issue" : "19", "issued" : { "date-parts" : [ [ "2012" ] ] }, "note" : "CAPLUS AN 2012:1321012(Journal; Online Computer File)", "page" : "8787-8791", "publisher" : "American Chemical Society", "title" : "Synthesis of ionic liquid-supported sulfonyl azide and its application in diazotransfer reaction.", "type" : "article-journal", "volume" : "77" }, "uris" : [ "http://www.mendeley.com/documents/?uuid=8703e8c2-3054-425b-a4b3-60873cbc6c19" ] }, { "id" : "ITEM-2", "itemData" : { "DOI" : "10.1016/j.tet.2005.08.120", "ISSN" : "0040-4020", "abstract" : "A sol. oligomeric sulfonyl azide is prepd. as a reagent for base-mediated diazo transfer reactions of \u03b2-dicarbonyl compds. and a \u03b2-oxophosphonate; reaction of di-Et 2-oxopropylphosphonate, dimedone, tert-Bu acetoacetate, di-tert-Bu malonate, and Et benzoylacetate with the oligomeric sulfonyl azide and potassium tert-butoxide in methylene chloride yields the corresponding diazo compds. in 74-97% yields. Chlorination of sodium 4-vinylbenzenesulfonate with thionyl chloride followed directly by a thermal Diels-Alder cycloaddn. with cyclopentadiene yields the sulfonyl chloride I stereoselectively; ring-opening metathesis polymn. of I with Grubbs' imidazolidinylideneruthenium metathesis catalyst followed by azidation with sodium azide and tetrahexylammonium chloride in THF provides the title oligomeric sulfonyl azide. The oligomeric sulfonyl azide slowly decomps. in the refrigerator, and should be used within 1-2 wk of prepn. Pptn. of an oligomeric sulfonamide from diazo transfer reactions occurs spontaneously in methylene chloride; solid-phase extn. using a silica gel cartridge removes the oligomeric sulfonamide from the products. Care should be taken in handling the oligomeric sulfonyl azide; safety shields should be used when handling large quantities, and metal tools should not be used for measuring or dispensing sodium azide in the prepn. of the oligomeric reagent. [on SciFinder(R)]", "author" : [ { "dropping-particle" : "", "family" : "Harned", "given" : "Andrew M", "non-dropping-particle" : "", "parse-names" : false, "suffix" : "" }, { "dropping-particle" : "", "family" : "Sherrill", "given" : "W Matthew", "non-dropping-particle" : "", "parse-names" : false, "suffix" : "" }, { "dropping-particle" : "", "family" : "Flynn", "given" : "Daniel L", "non-dropping-particle" : "", "parse-names" : false, "suffix" : "" }, { "dropping-particle" : "", "family" : "Hanson", "given" : "Paul R", "non-dropping-particle" : "", "parse-names" : false, "suffix" : "" } ], "container-title" : "Tetrahedron", "id" : "ITEM-2", "issue" : "51", "issued" : { "date-parts" : [ [ "2005" ] ] }, "note" : "CAPLUS AN 2005:1251478(Journal)", "page" : "12093-12099", "publisher" : "Elsevier B.V.", "title" : "High-load, soluble oligomeric benzenesulfonyl azide: application to facile diazo-transfer reactions.", "type" : "article-journal", "volume" : "61" }, "uris" : [ "http://www.mendeley.com/documents/?uuid=90fbc28b-10ec-49f8-9df6-a2bced8da327" ] }, { "id" : "ITEM-3", "itemData" : { "DOI" : "10.1021/jo005738d", "ISSN" : "0022-3263", "abstract" : "Polymer-supported benzenesulfonyl azide was prepd. in one step from polymer-supported benzenesulfonyl chloride.  Typically, 1.5 mmol resin was swollen in DMF and treated with sodium azide (3.0 mmol) dissolved in water (1 mL) and dild. with DMF (7 mL).  After 16 h the resin was washed with water (5 x 5 mL), DMF (5 x 5 mL) and finally with dichloromethane (3 x 5 mL) and dried under vacuum at 40\u00b0.  Loading of the resin was 1.0-1.5 mmol/g as detd. by combustion anal.; the resin appears to be stable at room temp. for an indefinite period of time.  Polystyrene-supported benzenesulfonyl azide (500 mg; 0.75 mmol) was placed in a 5.0 mL disposable polystyrene/polyethylene syringe and swollen with dichloromethane.  A mixt. of 1-phenyl-1,3-butanedione (0.5 mmol) and triethylamine (1.5 mmol) in dichloromethane (2.0 mL) was drawn into the resin-contg. syringe and placed on a LabQuake shaker and rotated at room temp.  After 4 h the supernatant was collected and resin was washed with dichloromethane.  After removal of org. solvents, the resulting yellow powder was purified on a silica column; the yield of 2-diazo-1-phenyl-1,3-butanedione was 98%. [on SciFinder(R)]", "author" : [ { "dropping-particle" : "", "family" : "Green", "given" : "Gary M", "non-dropping-particle" : "", "parse-names" : false, "suffix" : "" }, { "dropping-particle" : "", "family" : "Peet", "given" : "Norton P", "non-dropping-particle" : "", "parse-names" : false, "suffix" : "" }, { "dropping-particle" : "", "family" : "Metz", "given" : "William A", "non-dropping-particle" : "", "parse-names" : false, "suffix" : "" } ], "container-title" : "Journal of Organic Chemistry", "id" : "ITEM-3", "issue" : "7", "issued" : { "date-parts" : [ [ "2001" ] ] }, "note" : "CAPLUS AN 2001:156153(Journal)", "page" : "2509-2511", "publisher" : "American Chemical Society", "title" : "Polystyrene-Supported Benzenesulfonyl Azide: A Diazo Transfer Reagent That Is Both Efficient and Safe.", "type" : "article-journal", "volume" : "66" }, "uris" : [ "http://www.mendeley.com/documents/?uuid=52a8211d-6bd7-4d98-8b4d-eb26d933e798" ] } ], "mendeley" : { "formattedCitation" : "&lt;sup&gt;[34\u201336]&lt;/sup&gt;", "plainTextFormattedCitation" : "[34\u201336]", "previouslyFormattedCitation" : "&lt;sup&gt;[34\u201336]&lt;/sup&gt;" }, "properties" : { "noteIndex" : 0 }, "schema" : "https://github.com/citation-style-language/schema/raw/master/csl-citation.json" }</w:instrText>
      </w:r>
      <w:r w:rsidR="005049C1">
        <w:rPr>
          <w:sz w:val="24"/>
          <w:szCs w:val="24"/>
        </w:rPr>
        <w:fldChar w:fldCharType="separate"/>
      </w:r>
      <w:r w:rsidR="0055300D" w:rsidRPr="0055300D">
        <w:rPr>
          <w:noProof/>
          <w:sz w:val="24"/>
          <w:szCs w:val="24"/>
          <w:vertAlign w:val="superscript"/>
        </w:rPr>
        <w:t>[34–36]</w:t>
      </w:r>
      <w:r w:rsidR="005049C1">
        <w:rPr>
          <w:sz w:val="24"/>
          <w:szCs w:val="24"/>
        </w:rPr>
        <w:fldChar w:fldCharType="end"/>
      </w:r>
      <w:r>
        <w:rPr>
          <w:sz w:val="24"/>
          <w:szCs w:val="24"/>
        </w:rPr>
        <w:t xml:space="preserve"> other approaches have also been developed.</w:t>
      </w:r>
    </w:p>
    <w:p w:rsidR="009B6902" w:rsidRDefault="009B6902" w:rsidP="0096663B">
      <w:pPr>
        <w:spacing w:line="360" w:lineRule="auto"/>
        <w:jc w:val="both"/>
        <w:rPr>
          <w:sz w:val="24"/>
          <w:szCs w:val="24"/>
        </w:rPr>
      </w:pPr>
      <w:r>
        <w:rPr>
          <w:sz w:val="24"/>
          <w:szCs w:val="24"/>
        </w:rPr>
        <w:t xml:space="preserve"> Koskinen </w:t>
      </w:r>
      <w:r w:rsidRPr="009B6902">
        <w:rPr>
          <w:i/>
          <w:sz w:val="24"/>
          <w:szCs w:val="24"/>
        </w:rPr>
        <w:t>et al</w:t>
      </w:r>
      <w:r>
        <w:rPr>
          <w:sz w:val="24"/>
          <w:szCs w:val="24"/>
        </w:rPr>
        <w:t>. reported diazo transfer under mildly basic conditions, using potassium carbonate in acetonitrile.</w:t>
      </w:r>
      <w:r>
        <w:rPr>
          <w:sz w:val="24"/>
          <w:szCs w:val="24"/>
        </w:rPr>
        <w:fldChar w:fldCharType="begin" w:fldLock="1"/>
      </w:r>
      <w:r w:rsidR="00F168DA">
        <w:rPr>
          <w:sz w:val="24"/>
          <w:szCs w:val="24"/>
        </w:rPr>
        <w:instrText>ADDIN CSL_CITATION { "citationItems" : [ { "id" : "ITEM-1", "itemData" : { "DOI" : "10.1039/c39900000652", "ISSN" : "0022-4936", "abstract" : "Practically quant. diazo transfer from p-MeC6H4SO2N3 to active methylene compds. has been achieved rapidly under mildly basic conditions with K2CO3 in MeCN. [on SciFinder(R)]", "author" : [ { "dropping-particle" : "", "family" : "Koskinen", "given" : "Ari M P", "non-dropping-particle" : "", "parse-names" : false, "suffix" : "" }, { "dropping-particle" : "", "family" : "Munoz", "given" : "Luis.", "non-dropping-particle" : "", "parse-names" : false, "suffix" : "" } ], "container-title" : "Journal of the Chemical Society, Chemical Communications", "id" : "ITEM-1", "issue" : "8", "issued" : { "date-parts" : [ [ "1990" ] ] }, "note" : "CAPLUS AN 1990:477668(Journal)", "page" : "652-653", "title" : "Diazo transfer reactions under mildly basic conditions.", "type" : "article-journal" }, "uris" : [ "http://www.mendeley.com/documents/?uuid=48d05960-d4a7-4f75-8f87-101fb1b2a6c9" ] } ], "mendeley" : { "formattedCitation" : "&lt;sup&gt;[37]&lt;/sup&gt;", "plainTextFormattedCitation" : "[37]", "previouslyFormattedCitation" : "&lt;sup&gt;[37]&lt;/sup&gt;"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[37]</w:t>
      </w:r>
      <w:r>
        <w:rPr>
          <w:sz w:val="24"/>
          <w:szCs w:val="24"/>
        </w:rPr>
        <w:fldChar w:fldCharType="end"/>
      </w:r>
      <w:r w:rsidR="005049C1">
        <w:rPr>
          <w:sz w:val="24"/>
          <w:szCs w:val="24"/>
        </w:rPr>
        <w:t xml:space="preserve"> This method can be used to access a range of diazo-malonates and </w:t>
      </w:r>
      <w:r w:rsidR="005049C1" w:rsidRPr="005049C1">
        <w:rPr>
          <w:rFonts w:ascii="Symbol" w:hAnsi="Symbol"/>
          <w:sz w:val="24"/>
          <w:szCs w:val="24"/>
        </w:rPr>
        <w:t></w:t>
      </w:r>
      <w:r w:rsidR="005049C1">
        <w:rPr>
          <w:sz w:val="24"/>
          <w:szCs w:val="24"/>
        </w:rPr>
        <w:t>-diazo-</w:t>
      </w:r>
      <w:r w:rsidR="005049C1" w:rsidRPr="005049C1">
        <w:rPr>
          <w:rFonts w:ascii="Symbol" w:hAnsi="Symbol"/>
          <w:sz w:val="24"/>
          <w:szCs w:val="24"/>
        </w:rPr>
        <w:t></w:t>
      </w:r>
      <w:r w:rsidR="005049C1">
        <w:rPr>
          <w:sz w:val="24"/>
          <w:szCs w:val="24"/>
        </w:rPr>
        <w:t xml:space="preserve">-ketoesters, using equimolar quantities of potassium carbonate as base, at room temperature. An added bonus of this method is that addition of a non-polar organic co-solvent precipitates the </w:t>
      </w:r>
      <w:r w:rsidR="006119B2">
        <w:rPr>
          <w:sz w:val="24"/>
          <w:szCs w:val="24"/>
        </w:rPr>
        <w:t>sulfonyl amide</w:t>
      </w:r>
      <w:r w:rsidR="005049C1">
        <w:rPr>
          <w:sz w:val="24"/>
          <w:szCs w:val="24"/>
        </w:rPr>
        <w:t xml:space="preserve"> by-product, and so purification is by filtration only.</w:t>
      </w:r>
    </w:p>
    <w:p w:rsidR="005049C1" w:rsidRDefault="00A97406" w:rsidP="00E00058">
      <w:pPr>
        <w:spacing w:line="360" w:lineRule="auto"/>
        <w:jc w:val="center"/>
      </w:pPr>
      <w:r>
        <w:object w:dxaOrig="5066" w:dyaOrig="1987">
          <v:shape id="_x0000_i1035" type="#_x0000_t75" style="width:272.25pt;height:107.25pt" o:ole="">
            <v:imagedata r:id="rId30" o:title=""/>
          </v:shape>
          <o:OLEObject Type="Embed" ProgID="ChemDraw.Document.6.0" ShapeID="_x0000_i1035" DrawAspect="Content" ObjectID="_1531849576" r:id="rId31"/>
        </w:object>
      </w:r>
    </w:p>
    <w:p w:rsidR="00840F20" w:rsidRDefault="00840F20" w:rsidP="00E00058">
      <w:pPr>
        <w:spacing w:line="360" w:lineRule="auto"/>
        <w:jc w:val="center"/>
      </w:pPr>
      <w:r w:rsidRPr="00840F20">
        <w:rPr>
          <w:b/>
          <w:sz w:val="24"/>
          <w:szCs w:val="24"/>
        </w:rPr>
        <w:t>Scheme 1.10</w:t>
      </w:r>
    </w:p>
    <w:p w:rsidR="00E00058" w:rsidRDefault="00E00058" w:rsidP="00E00058">
      <w:pPr>
        <w:spacing w:line="360" w:lineRule="auto"/>
        <w:jc w:val="center"/>
      </w:pPr>
    </w:p>
    <w:p w:rsidR="00B40323" w:rsidRDefault="00840F20" w:rsidP="00E00058">
      <w:pPr>
        <w:spacing w:line="360" w:lineRule="auto"/>
        <w:jc w:val="both"/>
        <w:rPr>
          <w:sz w:val="24"/>
          <w:szCs w:val="24"/>
        </w:rPr>
      </w:pPr>
      <w:r>
        <w:rPr>
          <w:sz w:val="24"/>
          <w:szCs w:val="24"/>
        </w:rPr>
        <w:t xml:space="preserve">Another </w:t>
      </w:r>
      <w:r w:rsidR="00E00058" w:rsidRPr="00E00058">
        <w:rPr>
          <w:sz w:val="24"/>
          <w:szCs w:val="24"/>
        </w:rPr>
        <w:t>successful method for purifying diazo compounds from the Regitz methodology without diminishing the yield was described by Presset and co-workers.</w:t>
      </w:r>
      <w:r w:rsidR="00E00058">
        <w:rPr>
          <w:sz w:val="24"/>
          <w:szCs w:val="24"/>
        </w:rPr>
        <w:fldChar w:fldCharType="begin" w:fldLock="1"/>
      </w:r>
      <w:r w:rsidR="00F168DA">
        <w:rPr>
          <w:sz w:val="24"/>
          <w:szCs w:val="24"/>
        </w:rPr>
        <w:instrText>ADDIN CSL_CITATION { "citationItems" : [ { "id" : "ITEM-1", "itemData" : { "DOI" : "10.1055/s-0030-1260107", "ISSN" : "0039-7881", "abstract" : "A practical protocol for the large-scale prepn. of 2-diazo-1,3-dicarbonyl compds. is described by diazo-transfer reactions with tosyl azide followed by efficient chromatog. purifications on silica gel and/or alumina. [on SciFinder(R)]", "author" : [ { "dropping-particle" : "", "family" : "Presset", "given" : "Marc", "non-dropping-particle" : "", "parse-names" : false, "suffix" : "" }, { "dropping-particle" : "", "family" : "Mailhol", "given" : "Damien", "non-dropping-particle" : "", "parse-names" : false, "suffix" : "" }, { "dropping-particle" : "", "family" : "Coquerel", "given" : "Yoann", "non-dropping-particle" : "", "parse-names" : false, "suffix" : "" }, { "dropping-particle" : "", "family" : "Rodriguez", "given" : "Jean.", "non-dropping-particle" : "", "parse-names" : false, "suffix" : "" } ], "container-title" : "Synthesis", "id" : "ITEM-1", "issue" : "16", "issued" : { "date-parts" : [ [ "2011" ] ] }, "note" : "CAPLUS AN 2011:1273866(Journal)", "page" : "2549-2552", "publisher" : "Georg Thieme Verlag", "title" : "Diazo-transfer reactions to 1,3-dicarbonyl compounds with tosyl azide.", "type" : "article-journal" }, "uris" : [ "http://www.mendeley.com/documents/?uuid=940dcef9-ccfd-4c67-8124-2f5cd3f0a768" ] } ], "mendeley" : { "formattedCitation" : "&lt;sup&gt;[38]&lt;/sup&gt;", "plainTextFormattedCitation" : "[38]", "previouslyFormattedCitation" : "&lt;sup&gt;[38]&lt;/sup&gt;" }, "properties" : { "noteIndex" : 0 }, "schema" : "https://github.com/citation-style-language/schema/raw/master/csl-citation.json" }</w:instrText>
      </w:r>
      <w:r w:rsidR="00E00058">
        <w:rPr>
          <w:sz w:val="24"/>
          <w:szCs w:val="24"/>
        </w:rPr>
        <w:fldChar w:fldCharType="separate"/>
      </w:r>
      <w:r w:rsidR="0055300D" w:rsidRPr="0055300D">
        <w:rPr>
          <w:noProof/>
          <w:sz w:val="24"/>
          <w:szCs w:val="24"/>
          <w:vertAlign w:val="superscript"/>
        </w:rPr>
        <w:t>[38]</w:t>
      </w:r>
      <w:r w:rsidR="00E00058">
        <w:rPr>
          <w:sz w:val="24"/>
          <w:szCs w:val="24"/>
        </w:rPr>
        <w:fldChar w:fldCharType="end"/>
      </w:r>
      <w:r w:rsidR="00E00058">
        <w:rPr>
          <w:sz w:val="24"/>
          <w:szCs w:val="24"/>
        </w:rPr>
        <w:t xml:space="preserve"> A range of diazo transfer </w:t>
      </w:r>
      <w:r>
        <w:rPr>
          <w:sz w:val="24"/>
          <w:szCs w:val="24"/>
        </w:rPr>
        <w:t>reagents and purification technique</w:t>
      </w:r>
      <w:r w:rsidR="00E00058">
        <w:rPr>
          <w:sz w:val="24"/>
          <w:szCs w:val="24"/>
        </w:rPr>
        <w:t xml:space="preserve">s were tested, and </w:t>
      </w:r>
      <w:r w:rsidR="00E00058" w:rsidRPr="00840F20">
        <w:rPr>
          <w:i/>
          <w:sz w:val="24"/>
          <w:szCs w:val="24"/>
        </w:rPr>
        <w:t>p</w:t>
      </w:r>
      <w:r w:rsidR="00E00058">
        <w:rPr>
          <w:sz w:val="24"/>
          <w:szCs w:val="24"/>
        </w:rPr>
        <w:t xml:space="preserve">-tosyl azide </w:t>
      </w:r>
      <w:r w:rsidR="00180C03">
        <w:rPr>
          <w:b/>
          <w:sz w:val="24"/>
          <w:szCs w:val="24"/>
        </w:rPr>
        <w:t>14</w:t>
      </w:r>
      <w:r w:rsidR="00E00058">
        <w:rPr>
          <w:sz w:val="24"/>
          <w:szCs w:val="24"/>
        </w:rPr>
        <w:t xml:space="preserve"> followed by purification on silica gel and/or alumina gave the highest yields and the most reproducible results.</w:t>
      </w:r>
      <w:r w:rsidR="00B40323">
        <w:rPr>
          <w:sz w:val="24"/>
          <w:szCs w:val="24"/>
        </w:rPr>
        <w:t xml:space="preserve"> Use of both silica gel and alumina in the purification process allowed complete removal of the </w:t>
      </w:r>
      <w:r w:rsidR="006119B2">
        <w:rPr>
          <w:sz w:val="24"/>
          <w:szCs w:val="24"/>
        </w:rPr>
        <w:t>sulfonyl amide</w:t>
      </w:r>
      <w:r w:rsidR="00B40323">
        <w:rPr>
          <w:sz w:val="24"/>
          <w:szCs w:val="24"/>
        </w:rPr>
        <w:t xml:space="preserve"> by-product</w:t>
      </w:r>
      <w:r w:rsidR="00BD1F16">
        <w:rPr>
          <w:sz w:val="24"/>
          <w:szCs w:val="24"/>
        </w:rPr>
        <w:t xml:space="preserve"> (</w:t>
      </w:r>
      <w:r w:rsidR="000E3979">
        <w:rPr>
          <w:b/>
          <w:sz w:val="24"/>
          <w:szCs w:val="24"/>
        </w:rPr>
        <w:t>Scheme 1.11</w:t>
      </w:r>
      <w:r w:rsidR="00BD1F16">
        <w:rPr>
          <w:sz w:val="24"/>
          <w:szCs w:val="24"/>
        </w:rPr>
        <w:t>)</w:t>
      </w:r>
      <w:r w:rsidR="00B40323">
        <w:rPr>
          <w:sz w:val="24"/>
          <w:szCs w:val="24"/>
        </w:rPr>
        <w:t>.</w:t>
      </w:r>
    </w:p>
    <w:p w:rsidR="00BD1F16" w:rsidRDefault="006119B2" w:rsidP="00A3105C">
      <w:pPr>
        <w:spacing w:line="360" w:lineRule="auto"/>
        <w:jc w:val="center"/>
      </w:pPr>
      <w:r>
        <w:object w:dxaOrig="6052" w:dyaOrig="3259">
          <v:shape id="_x0000_i1036" type="#_x0000_t75" style="width:302.25pt;height:163.5pt" o:ole="">
            <v:imagedata r:id="rId32" o:title=""/>
          </v:shape>
          <o:OLEObject Type="Embed" ProgID="ChemDraw.Document.6.0" ShapeID="_x0000_i1036" DrawAspect="Content" ObjectID="_1531849577" r:id="rId33"/>
        </w:object>
      </w:r>
    </w:p>
    <w:p w:rsidR="000E3979" w:rsidRDefault="000E3979" w:rsidP="00A3105C">
      <w:pPr>
        <w:spacing w:line="360" w:lineRule="auto"/>
        <w:jc w:val="center"/>
        <w:rPr>
          <w:b/>
          <w:sz w:val="24"/>
          <w:szCs w:val="24"/>
        </w:rPr>
      </w:pPr>
    </w:p>
    <w:p w:rsidR="000E3979" w:rsidRPr="000E3979" w:rsidRDefault="000E3979" w:rsidP="00A3105C">
      <w:pPr>
        <w:spacing w:line="360" w:lineRule="auto"/>
        <w:jc w:val="center"/>
        <w:rPr>
          <w:b/>
          <w:sz w:val="24"/>
          <w:szCs w:val="24"/>
        </w:rPr>
      </w:pPr>
      <w:r w:rsidRPr="000E3979">
        <w:rPr>
          <w:b/>
          <w:sz w:val="24"/>
          <w:szCs w:val="24"/>
        </w:rPr>
        <w:t>Scheme 1.11</w:t>
      </w:r>
    </w:p>
    <w:p w:rsidR="00A3105C" w:rsidRDefault="00A3105C" w:rsidP="00A3105C">
      <w:pPr>
        <w:spacing w:line="360" w:lineRule="auto"/>
        <w:jc w:val="center"/>
        <w:rPr>
          <w:sz w:val="24"/>
          <w:szCs w:val="24"/>
        </w:rPr>
      </w:pPr>
    </w:p>
    <w:p w:rsidR="00B40323" w:rsidRDefault="00DD231C" w:rsidP="00DD231C">
      <w:pPr>
        <w:pStyle w:val="Heading1"/>
      </w:pPr>
      <w:bookmarkStart w:id="6" w:name="_Toc446773059"/>
      <w:r>
        <w:t>1.</w:t>
      </w:r>
      <w:r w:rsidR="00591EF1">
        <w:t>2</w:t>
      </w:r>
      <w:r w:rsidR="009C6875">
        <w:t xml:space="preserve"> Diazo transfer r</w:t>
      </w:r>
      <w:r>
        <w:t>eagents</w:t>
      </w:r>
      <w:bookmarkEnd w:id="6"/>
    </w:p>
    <w:p w:rsidR="00AB0760" w:rsidRPr="0078497E" w:rsidRDefault="00DD231C" w:rsidP="00DD231C">
      <w:pPr>
        <w:pStyle w:val="Heading2"/>
      </w:pPr>
      <w:bookmarkStart w:id="7" w:name="_Toc446773060"/>
      <w:r>
        <w:t>1.</w:t>
      </w:r>
      <w:r w:rsidR="00591EF1">
        <w:t>2</w:t>
      </w:r>
      <w:r>
        <w:t xml:space="preserve">.1 </w:t>
      </w:r>
      <w:r w:rsidR="009966B6">
        <w:t xml:space="preserve">Comparison of </w:t>
      </w:r>
      <w:r w:rsidR="009C6875">
        <w:t>c</w:t>
      </w:r>
      <w:r w:rsidR="009966B6">
        <w:t xml:space="preserve">lassical and </w:t>
      </w:r>
      <w:r w:rsidR="009C6875">
        <w:t>m</w:t>
      </w:r>
      <w:r w:rsidR="009966B6">
        <w:t xml:space="preserve">odern </w:t>
      </w:r>
      <w:r w:rsidR="009C6875">
        <w:t>d</w:t>
      </w:r>
      <w:r w:rsidR="006502EB" w:rsidRPr="00F90CBD">
        <w:t xml:space="preserve">iazo </w:t>
      </w:r>
      <w:r w:rsidR="009C6875">
        <w:t>t</w:t>
      </w:r>
      <w:r w:rsidR="006502EB" w:rsidRPr="00F90CBD">
        <w:t xml:space="preserve">ransfer </w:t>
      </w:r>
      <w:r w:rsidR="009C6875">
        <w:t>r</w:t>
      </w:r>
      <w:r w:rsidR="006502EB" w:rsidRPr="00F90CBD">
        <w:t>eagents</w:t>
      </w:r>
      <w:bookmarkEnd w:id="7"/>
    </w:p>
    <w:p w:rsidR="00AB0760" w:rsidRPr="0078497E" w:rsidRDefault="00AB0760" w:rsidP="0078497E">
      <w:pPr>
        <w:spacing w:line="360" w:lineRule="auto"/>
        <w:jc w:val="both"/>
        <w:rPr>
          <w:sz w:val="24"/>
          <w:szCs w:val="24"/>
        </w:rPr>
      </w:pPr>
      <w:r w:rsidRPr="0078497E">
        <w:rPr>
          <w:sz w:val="24"/>
          <w:szCs w:val="24"/>
        </w:rPr>
        <w:t>As no single reagent is suitable for all diazo transfer reactions, a number of factors must be considered when choosing an appropriate reagent. The reagent of choice will satisfy the following criteria:</w:t>
      </w:r>
    </w:p>
    <w:p w:rsidR="00AB0760" w:rsidRPr="0078497E" w:rsidRDefault="00AB0760" w:rsidP="0078497E">
      <w:pPr>
        <w:pStyle w:val="ListParagraph"/>
        <w:numPr>
          <w:ilvl w:val="0"/>
          <w:numId w:val="1"/>
        </w:numPr>
        <w:spacing w:line="360" w:lineRule="auto"/>
        <w:jc w:val="both"/>
        <w:rPr>
          <w:sz w:val="24"/>
          <w:szCs w:val="24"/>
        </w:rPr>
      </w:pPr>
      <w:r w:rsidRPr="0078497E">
        <w:rPr>
          <w:sz w:val="24"/>
          <w:szCs w:val="24"/>
        </w:rPr>
        <w:t>Have readily available starting materials</w:t>
      </w:r>
    </w:p>
    <w:p w:rsidR="00AB0760" w:rsidRPr="0078497E" w:rsidRDefault="00AB0760" w:rsidP="0078497E">
      <w:pPr>
        <w:pStyle w:val="ListParagraph"/>
        <w:numPr>
          <w:ilvl w:val="0"/>
          <w:numId w:val="1"/>
        </w:numPr>
        <w:spacing w:line="360" w:lineRule="auto"/>
        <w:jc w:val="both"/>
        <w:rPr>
          <w:sz w:val="24"/>
          <w:szCs w:val="24"/>
        </w:rPr>
      </w:pPr>
      <w:r w:rsidRPr="0078497E">
        <w:rPr>
          <w:sz w:val="24"/>
          <w:szCs w:val="24"/>
        </w:rPr>
        <w:t>These starting materials should be inexpensive</w:t>
      </w:r>
    </w:p>
    <w:p w:rsidR="00AB0760" w:rsidRPr="0078497E" w:rsidRDefault="00AB0760" w:rsidP="0078497E">
      <w:pPr>
        <w:pStyle w:val="ListParagraph"/>
        <w:numPr>
          <w:ilvl w:val="0"/>
          <w:numId w:val="1"/>
        </w:numPr>
        <w:spacing w:line="360" w:lineRule="auto"/>
        <w:jc w:val="both"/>
        <w:rPr>
          <w:sz w:val="24"/>
          <w:szCs w:val="24"/>
        </w:rPr>
      </w:pPr>
      <w:r w:rsidRPr="0078497E">
        <w:rPr>
          <w:sz w:val="24"/>
          <w:szCs w:val="24"/>
        </w:rPr>
        <w:t xml:space="preserve">The azide would preferably </w:t>
      </w:r>
      <w:r w:rsidR="0078497E" w:rsidRPr="0078497E">
        <w:rPr>
          <w:sz w:val="24"/>
          <w:szCs w:val="24"/>
        </w:rPr>
        <w:t>h</w:t>
      </w:r>
      <w:r w:rsidRPr="0078497E">
        <w:rPr>
          <w:sz w:val="24"/>
          <w:szCs w:val="24"/>
        </w:rPr>
        <w:t>a</w:t>
      </w:r>
      <w:r w:rsidR="0078497E" w:rsidRPr="0078497E">
        <w:rPr>
          <w:sz w:val="24"/>
          <w:szCs w:val="24"/>
        </w:rPr>
        <w:t>v</w:t>
      </w:r>
      <w:r w:rsidRPr="0078497E">
        <w:rPr>
          <w:sz w:val="24"/>
          <w:szCs w:val="24"/>
        </w:rPr>
        <w:t>e a low explosive potential, and</w:t>
      </w:r>
    </w:p>
    <w:p w:rsidR="00AB0760" w:rsidRPr="0078497E" w:rsidRDefault="00AB0760" w:rsidP="0078497E">
      <w:pPr>
        <w:pStyle w:val="ListParagraph"/>
        <w:numPr>
          <w:ilvl w:val="0"/>
          <w:numId w:val="1"/>
        </w:numPr>
        <w:spacing w:line="360" w:lineRule="auto"/>
        <w:jc w:val="both"/>
        <w:rPr>
          <w:sz w:val="24"/>
          <w:szCs w:val="24"/>
        </w:rPr>
      </w:pPr>
      <w:r w:rsidRPr="0078497E">
        <w:rPr>
          <w:sz w:val="24"/>
          <w:szCs w:val="24"/>
        </w:rPr>
        <w:t xml:space="preserve">The resulting </w:t>
      </w:r>
      <w:r w:rsidR="006119B2">
        <w:rPr>
          <w:sz w:val="24"/>
          <w:szCs w:val="24"/>
        </w:rPr>
        <w:t>sulfonyl amide</w:t>
      </w:r>
      <w:r w:rsidRPr="0078497E">
        <w:rPr>
          <w:sz w:val="24"/>
          <w:szCs w:val="24"/>
        </w:rPr>
        <w:t xml:space="preserve"> </w:t>
      </w:r>
      <w:r w:rsidR="0078497E" w:rsidRPr="0078497E">
        <w:rPr>
          <w:sz w:val="24"/>
          <w:szCs w:val="24"/>
        </w:rPr>
        <w:t xml:space="preserve">should be easily </w:t>
      </w:r>
      <w:r w:rsidR="0056713D" w:rsidRPr="0078497E">
        <w:rPr>
          <w:sz w:val="24"/>
          <w:szCs w:val="24"/>
        </w:rPr>
        <w:t>separable</w:t>
      </w:r>
      <w:r w:rsidR="0078497E" w:rsidRPr="0078497E">
        <w:rPr>
          <w:sz w:val="24"/>
          <w:szCs w:val="24"/>
        </w:rPr>
        <w:t xml:space="preserve"> from</w:t>
      </w:r>
      <w:r w:rsidRPr="0078497E">
        <w:rPr>
          <w:sz w:val="24"/>
          <w:szCs w:val="24"/>
        </w:rPr>
        <w:t xml:space="preserve"> the diazo product.</w:t>
      </w:r>
    </w:p>
    <w:p w:rsidR="006502EB" w:rsidRPr="0078497E" w:rsidRDefault="006502EB" w:rsidP="0078497E">
      <w:pPr>
        <w:spacing w:line="360" w:lineRule="auto"/>
        <w:jc w:val="both"/>
        <w:rPr>
          <w:sz w:val="24"/>
          <w:szCs w:val="24"/>
        </w:rPr>
      </w:pPr>
    </w:p>
    <w:p w:rsidR="00C56CEC" w:rsidRDefault="00C56CEC" w:rsidP="0078497E">
      <w:pPr>
        <w:spacing w:line="360" w:lineRule="auto"/>
        <w:jc w:val="both"/>
        <w:rPr>
          <w:sz w:val="24"/>
          <w:szCs w:val="24"/>
        </w:rPr>
      </w:pPr>
      <w:r w:rsidRPr="0078497E">
        <w:rPr>
          <w:sz w:val="24"/>
          <w:szCs w:val="24"/>
        </w:rPr>
        <w:t>There are numerous reviews in the literature</w:t>
      </w:r>
      <w:r w:rsidR="002620E1">
        <w:rPr>
          <w:sz w:val="24"/>
          <w:szCs w:val="24"/>
        </w:rPr>
        <w:fldChar w:fldCharType="begin" w:fldLock="1"/>
      </w:r>
      <w:r w:rsidR="00F168DA">
        <w:rPr>
          <w:sz w:val="24"/>
          <w:szCs w:val="24"/>
        </w:rPr>
        <w:instrText>ADDIN CSL_CITATION { "citationItems" : [ { "id" : "ITEM-1", "itemData" : { "author" : [ { "dropping-particle" : "", "family" : "Regitz", "given" : "Manfred", "non-dropping-particle" : "", "parse-names" : false, "suffix" : "" }, { "dropping-particle" : "", "family" : "Maas", "given" : "Gerhard.", "non-dropping-particle" : "", "parse-names" : false, "suffix" : "" } ], "id" : "ITEM-1", "issued" : { "date-parts" : [ [ "1986" ] ] }, "note" : "CAPLUS AN 1987:195553(Book)", "number-of-pages" : "596 pp.", "publisher" : "Academic", "title" : "Diazo Compounds. Properties and Synthesis.", "type" : "book" }, "uris" : [ "http://www.mendeley.com/documents/?uuid=c54f7eeb-e24e-4975-bbad-9a9697cedf7c" ] }, { "id" : "ITEM-2", "itemData" : { "DOI" : "10.1002/anie.196707331", "ISSN" : "0570-0833", "abstract" : "A review, with 76 references, of the prepn. of diazo alkanes, diazo cycloalkadienes, 2-diazo-1,3-diketones, diazomalonic acid esters, diazomethylene disulfones, compds. of the general formulas RSO2CN2COR', RCN2COR', ArCN2COX, and RCOCHN2, and azo compds. from sulfonyl azides, e.g. p-MeC6H4SO2N3, the prepn. of 1,2,3-triazoles from \u03b2-imino ketones, the prepn. of 1,2,3-thiadiazoles from \u03b2-thioxo ketones. the prepn. of pyrazolones from 1,3,5-triketones, the reaction of compds. of the general formula RCH2CN with azides, the prepn. of amidinium salts from azidinium salts, and the cleavage of 1,2,3-triazoles prepd. by the treatment of \u03b1,\u03b2-unsatd. esters and alkynyl alkyl ethers with azides. [on SciFinder(R)]", "author" : [ { "dropping-particle" : "", "family" : "Regitz", "given" : "Manfred.", "non-dropping-particle" : "", "parse-names" : false, "suffix" : "" } ], "container-title" : "Angewandte Chemie, International Edition in English", "id" : "ITEM-2", "issue" : "9", "issued" : { "date-parts" : [ [ "1967" ] ] }, "note" : "CAPLUS AN 1967:499298(Journal; General Review)", "page" : "733-749", "title" : "Transfer of diazo groups.", "type" : "article-journal", "volume" : "6" }, "uris" : [ "http://www.mendeley.com/documents/?uuid=a14aff1b-06e5-4690-b286-cadc3a1a529b" ] }, { "id" : "ITEM-3", "itemData" : { "author" : [ { "dropping-particle" : "", "family" : "Regitz", "given" : "M", "non-dropping-particle" : "", "parse-names" : false, "suffix" : "" } ], "container-title" : "Newer methods of Preparative Organic Chemistry", "id" : "ITEM-3", "issued" : { "date-parts" : [ [ "1971" ] ] }, "page" : "81-126", "title" : "Transfer of Diazo Groups", "type" : "chapter" }, "uris" : [ "http://www.mendeley.com/documents/?uuid=dbe5012f-5a3d-4d33-978b-11007f3eb160" ] }, { "id" : "ITEM-4", "itemData" : { "DOI" : "10.1055/s-1972-21883", "ISSN" : "0039-7881", "abstract" : "A review of the application of recently developed methods for the synthesis of aliphatic diazo compds. [on SciFinder(R)]", "author" : [ { "dropping-particle" : "", "family" : "Regitz", "given" : "Manfred.", "non-dropping-particle" : "", "parse-names" : false, "suffix" : "" } ], "container-title" : "Synthesis", "id" : "ITEM-4", "issue" : "7", "issued" : { "date-parts" : [ [ "1972" ] ] }, "page" : "351-373", "title" : "Recent synthetic methods in diazo chemistry.", "type" : "article-journal" }, "uris" : [ "http://www.mendeley.com/documents/?uuid=ed854c38-6b66-407b-aa06-e4da2198f70d" ] } ], "mendeley" : { "formattedCitation" : "&lt;sup&gt;[7,26,27,39]&lt;/sup&gt;", "plainTextFormattedCitation" : "[7,26,27,39]", "previouslyFormattedCitation" : "&lt;sup&gt;[7,26,27,39]&lt;/sup&gt;" }, "properties" : { "noteIndex" : 0 }, "schema" : "https://github.com/citation-style-language/schema/raw/master/csl-citation.json" }</w:instrText>
      </w:r>
      <w:r w:rsidR="002620E1">
        <w:rPr>
          <w:sz w:val="24"/>
          <w:szCs w:val="24"/>
        </w:rPr>
        <w:fldChar w:fldCharType="separate"/>
      </w:r>
      <w:r w:rsidR="0055300D" w:rsidRPr="0055300D">
        <w:rPr>
          <w:noProof/>
          <w:sz w:val="24"/>
          <w:szCs w:val="24"/>
          <w:vertAlign w:val="superscript"/>
        </w:rPr>
        <w:t>[7,26,27,39]</w:t>
      </w:r>
      <w:r w:rsidR="002620E1">
        <w:rPr>
          <w:sz w:val="24"/>
          <w:szCs w:val="24"/>
        </w:rPr>
        <w:fldChar w:fldCharType="end"/>
      </w:r>
      <w:r w:rsidRPr="0078497E">
        <w:rPr>
          <w:sz w:val="24"/>
          <w:szCs w:val="24"/>
        </w:rPr>
        <w:t xml:space="preserve"> on the wide range of </w:t>
      </w:r>
      <w:r w:rsidR="009C452D">
        <w:rPr>
          <w:sz w:val="24"/>
          <w:szCs w:val="24"/>
        </w:rPr>
        <w:t>diazo transfer</w:t>
      </w:r>
      <w:r w:rsidRPr="0078497E">
        <w:rPr>
          <w:sz w:val="24"/>
          <w:szCs w:val="24"/>
        </w:rPr>
        <w:t xml:space="preserve"> reagents available</w:t>
      </w:r>
      <w:r w:rsidR="00DD05B0" w:rsidRPr="0078497E">
        <w:rPr>
          <w:sz w:val="24"/>
          <w:szCs w:val="24"/>
        </w:rPr>
        <w:fldChar w:fldCharType="begin" w:fldLock="1"/>
      </w:r>
      <w:r w:rsidR="00F168DA">
        <w:rPr>
          <w:sz w:val="24"/>
          <w:szCs w:val="24"/>
        </w:rPr>
        <w:instrText>ADDIN CSL_CITATION { "citationItems" : [ { "id" : "ITEM-1", "itemData" : { "DOI" : "10.15227/orgsyn.073.0144", "ISSN" : "0078-6209", "abstract" : "Treatment of 4-dodecylbenzenesulfonyl chloride, prepd. from 4-dodecylbenzenesulfonic acid and thionyl chloride, with sodium azide under phase transfer catalysis gave 95% title compd. [on SciFinder(R)]", "author" : [ { "dropping-particle" : "", "family" : "Hazen", "given" : "G G", "non-dropping-particle" : "", "parse-names" : false, "suffix" : "" }, { "dropping-particle" : "", "family" : "Bollinger", "given" : "F W", "non-dropping-particle" : "", "parse-names" : false, "suffix" : "" }, { "dropping-particle" : "", "family" : "Roberts", "given" : "F E", "non-dropping-particle" : "", "parse-names" : false, "suffix" : "" }, { "dropping-particle" : "", "family" : "Russ", "given" : "W K", "non-dropping-particle" : "", "parse-names" : false, "suffix" : "" }, { "dropping-particle" : "", "family" : "Seman", "given" : "J J", "non-dropping-particle" : "", "parse-names" : false, "suffix" : "" }, { "dropping-particle" : "", "family" : "Staskiewicz", "given" : "S", "non-dropping-particle" : "", "parse-names" : false, "suffix" : "" } ], "container-title" : "Organic Syntheses", "id" : "ITEM-1", "issued" : { "date-parts" : [ [ "1996" ] ] }, "note" : "CAPLUS AN 1996:72951(Journal)", "page" : "144-151", "publisher" : "Wiley", "title" : "4-Dodecylbenzenesulfonyl azides (benzenesulfonyl azides, 4-dodecyl-).", "type" : "article-journal", "volume" : "73" }, "uris" : [ "http://www.mendeley.com/documents/?uuid=e77f442c-d642-403f-8e9c-b191e3806be7", "http://www.mendeley.com/documents/?uuid=ef65649a-3267-4bd5-96ae-9da30ce03459" ] }, { "id" : "ITEM-2", "itemData" : { "DOI" : "10.1055/s-1991-26478", "ISSN" : "0039-7881", "abstract" : "2-Naphthalenesulfonyl azide is a superior diazo transfer reagent for synthesis of diazo phosphonates (RO)2P(O)C(N2)R1 [R = Me, Et, R1 = P(O)(OR)2, CO2R] from the corresponding methylenephosphonates. [on SciFinder(R)]", "author" : [ { "dropping-particle" : "", "family" : "Khare", "given" : "Anil B", "non-dropping-particle" : "", "parse-names" : false, "suffix" : "" }, { "dropping-particle" : "", "family" : "McKenna", "given" : "Charles E", "non-dropping-particle" : "", "parse-names" : false, "suffix" : "" } ], "container-title" : "Synthesis", "id" : "ITEM-2", "issue" : "5", "issued" : { "date-parts" : [ [ "1991" ] ] }, "note" : "CAPLUS AN 1991:471728(Journal)", "page" : "405-406", "title" : "An improved synthesis of tetraalkyl diazomethylenediphosphonates and alkyl diazo(dialkoxyphosphoryl)acetates.", "type" : "article-journal" }, "uris" : [ "http://www.mendeley.com/documents/?uuid=0e193939-c3b9-4233-9018-9f03765db583", "http://www.mendeley.com/documents/?uuid=52abb818-986d-4c79-9871-aac6408df010" ] }, { "id" : "ITEM-3", "itemData" : { "DOI" : "10.15227/orgsyn.070.0093", "ISSN" : "0078-6209", "abstract" : "Diazo-transfer reaction of AcCH2CO2Et with p-(N3SO2)C6H4NHAc afforded AcC(:N2)CO2Et (I; 74%, safety with azides is a concern); Rh2(OAc)2-catalyzed cyclization of keto carbenoid derived from I with PhC\u2261CH afforded the title compd. in 50% yield. [on SciFinder(R)]", "author" : [ { "dropping-particle" : "", "family" : "Davies", "given" : "Huw M L", "non-dropping-particle" : "", "parse-names" : false, "suffix" : "" }, { "dropping-particle" : "", "family" : "Cantrell  Jr.", "given" : "William R", "non-dropping-particle" : "", "parse-names" : false, "suffix" : "" }, { "dropping-particle" : "", "family" : "Romines", "given" : "Karen R", "non-dropping-particle" : "", "parse-names" : false, "suffix" : "" }, { "dropping-particle" : "", "family" : "Baum", "given" : "Jonathan S", "non-dropping-particle" : "", "parse-names" : false, "suffix" : "" } ], "container-title" : "Organic Syntheses", "id" : "ITEM-3", "issued" : { "date-parts" : [ [ "1992" ] ] }, "note" : "CAPLUS AN 1993:191453(Journal)", "page" : "93-100", "title" : "Synthesis of furans via rhodium(II) acetate-catalyzed reaction of acetylenes with \u03b1-diazocarbonyls: ethyl 2-methyl-5-phenyl-3-furancarboxylate.", "type" : "article-journal", "volume" : "70" }, "uris" : [ "http://www.mendeley.com/documents/?uuid=dcf2cdbf-8116-4fb6-832d-50a633adc543", "http://www.mendeley.com/documents/?uuid=2d7cd453-a030-4b9e-8b07-d1cc6c416cb3" ] }, { "id" : "ITEM-4", "itemData" : { "DOI" : "10.1021/jo01304a028", "ISSN" : "0022-3263", "abstract" : "A highly stereospecific synthesis of (1R, 3R)-cis-3-(2,2-dichlorovinyl)-2,2-dimethylcyclopropanecarboxylic acid was devised which allowed for a total synthesis of the potent synthetic pyrethroid insecticide (S)-cyano(3-phenoxyphenyl)methyl (1R,3R)-cis-3-(2,2-dichlorovinyl)-2,2-dimethylcyclopropanecarboylate (NRDC 182).  Asym. redn. of 1,1,1-trichloromesityl oxide with a LiAlH4-ephedrine complex produced (2R)-1,1,1-trichloro-2-hydroxy-4-methyl-3-pentene, which was transformed to a diazoacetate ester via the corresponding diazoacetoacetate.  Cu-catalyzed thermal decompn. of the diazoacetate resulted in internal carbenoid cyclization onto the olefin in nearly quant. stereoselectivity.  The resultant bicyclic lactone was ring opened via a Boord-type reaction to give the requisite cyclopropane acid which was esterified with racemic 3-phenoxybenzaldehyde cyanohydrin followed by crystn. and epimerization of the mother liquor to produce NRDC 182. [on SciFinder(R)]", "author" : [ { "dropping-particle" : "", "family" : "Hatch  III", "given" : "Charles E", "non-dropping-particle" : "", "parse-names" : false, "suffix" : "" }, { "dropping-particle" : "", "family" : "Baum", "given" : "Jonathan S", "non-dropping-particle" : "", "parse-names" : false, "suffix" : "" }, { "dropping-particle" : "", "family" : "Takashima", "given" : "Toshiyuki", "non-dropping-particle" : "", "parse-names" : false, "suffix" : "" }, { "dropping-particle" : "", "family" : "Kondo", "given" : "Kiyosi.", "non-dropping-particle" : "", "parse-names" : false, "suffix" : "" } ], "container-title" : "Journal of Organic Chemistry", "id" : "ITEM-4", "issue" : "16", "issued" : { "date-parts" : [ [ "1980" ] ] }, "note" : "CAPLUS AN 1980:513992(Journal)", "page" : "3281-3285", "title" : "Stereospecific total synthesis of the potent synthetic pyrethroid NRDC 182.", "type" : "article-journal", "volume" : "45" }, "uris" : [ "http://www.mendeley.com/documents/?uuid=668fb949-0073-4062-a856-01c2ff863f93", "http://www.mendeley.com/documents/?uuid=83a2b2bf-79fe-4eb3-8ff4-e29f40385a12" ] }, { "id" : "ITEM-5", "itemData" : { "DOI" : "10.1080/00304948109356105", "ISSN" : "0030-4948", "abstract" : "The reaction of 4-MeC6H4SO2Cl with NaN3 in aq. Me2CO gave 4-MeC6H4SO2N3; the use of aq. Me2CO prevented the formation of tosylate ester impurities. [on SciFinder(R)]", "author" : [ { "dropping-particle" : "", "family" : "Curphey", "given" : "Thomas J", "non-dropping-particle" : "", "parse-names" : false, "suffix" : "" } ], "container-title" : "Organic Preparations and Procedures International", "id" : "ITEM-5", "issue" : "2", "issued" : { "date-parts" : [ [ "1981" ] ] }, "page" : "112-115", "title" : "Preparation of p-toluenesulfonyl azide.  A cautionary note.", "type" : "article-journal", "volume" : "13" }, "uris" : [ "http://www.mendeley.com/documents/?uuid=2610bf9f-14e4-47e9-ae1d-2aa5fdb76abc" ] }, { "id" : "ITEM-6", "itemData" : { "DOI" : "10.1016/0040-6031(94)85051-8", "ISSN" : "0040-6031", "abstract" : "Eight effective diazotransfer reagents were evaluated for their thermal stability using DSC anal. and impact sensitivity testing.  P-Dodecylbenzenesulfonyl azide was the least hazardous reagent of those tested.  The results of contamination studies and detonation velocity tests were also reported for p-dodecylbenzenesulfonyl azide. [on SciFinder(R)]", "author" : [ { "dropping-particle" : "", "family" : "Tuma", "given" : "Linda D", "non-dropping-particle" : "", "parse-names" : false, "suffix" : "" } ], "container-title" : "Thermochimica Acta", "id" : "ITEM-6", "issue" : "2", "issued" : { "date-parts" : [ [ "1994" ] ] }, "page" : "161-167", "title" : "Identification of a safe diazotransfer reagent.", "type" : "article-journal", "volume" : "243" }, "uris" : [ "http://www.mendeley.com/documents/?uuid=5714b72a-acb0-44d2-8b36-c4d774f6a77b" ] }, { "id" : "ITEM-7", "itemData" : { "DOI" : "10.1021/jo01273a056", "ISSN" : "0022-3263", "abstract" : "For synthetic purposes introduction of the diazo function at methylene positions flanked by 2 carbonyl groups proceeds smoothly with tosyl azide NaH or p-carboxybenzenesulfonyl azide-Et3N and leads to no sepn. problems after reaction.  With methine positions the same introduction of diazo occurs with cleavage of 1 acyl residue as with an N-sulfonylamide.  Hydrolysis of diazo diketones with alkali is extremely facile so that several variations on these reactions allow the synthesis of most diazo ketones and esters.  Methylene or methine positions flanked by Ph and carbonyl also react, resulting chiefly in diazo compounds or Wolff rearrangement products, depending on exptl. conditions.  This method represents a substantial broadening of utility for the Wolff rearrangement as a synthetic tool.  The diazo transfer reaction also converts primary amines (as their Grignard salts) into azides, and reactions with nitroalkanes, phenols, indoles, and Grignard reagents are also described briefly.  48 references. [on SciFinder(R)]", "author" : [ { "dropping-particle" : "", "family" : "Hendrickson", "given" : "James B", "non-dropping-particle" : "", "parse-names" : false, "suffix" : "" }, { "dropping-particle" : "", "family" : "Wolf", "given" : "Walter A", "non-dropping-particle" : "", "parse-names" : false, "suffix" : "" } ], "container-title" : "Journal of Organic Chemistry", "id" : "ITEM-7", "issue" : "9", "issued" : { "date-parts" : [ [ "1968" ] ] }, "note" : "CAPLUS AN 1968:466556(Journal)", "page" : "3610-3618", "title" : "Direct introduction of the diazo function in organic synthesis.", "type" : "article-journal", "volume" : "33" }, "uris" : [ "http://www.mendeley.com/documents/?uuid=51826198-e3c9-432a-9ce0-0b471594e9bf", "http://www.mendeley.com/documents/?uuid=ce6b41fb-8249-4220-8fbb-a4fc8a3776a8" ] } ], "mendeley" : { "formattedCitation" : "&lt;sup&gt;[40\u201346]&lt;/sup&gt;", "plainTextFormattedCitation" : "[40\u201346]", "previouslyFormattedCitation" : "&lt;sup&gt;[40\u201346]&lt;/sup&gt;" }, "properties" : { "noteIndex" : 0 }, "schema" : "https://github.com/citation-style-language/schema/raw/master/csl-citation.json" }</w:instrText>
      </w:r>
      <w:r w:rsidR="00DD05B0" w:rsidRPr="0078497E">
        <w:rPr>
          <w:sz w:val="24"/>
          <w:szCs w:val="24"/>
        </w:rPr>
        <w:fldChar w:fldCharType="separate"/>
      </w:r>
      <w:r w:rsidR="0055300D" w:rsidRPr="0055300D">
        <w:rPr>
          <w:noProof/>
          <w:sz w:val="24"/>
          <w:szCs w:val="24"/>
          <w:vertAlign w:val="superscript"/>
        </w:rPr>
        <w:t>[40–46]</w:t>
      </w:r>
      <w:r w:rsidR="00DD05B0" w:rsidRPr="0078497E">
        <w:rPr>
          <w:sz w:val="24"/>
          <w:szCs w:val="24"/>
        </w:rPr>
        <w:fldChar w:fldCharType="end"/>
      </w:r>
      <w:r w:rsidRPr="0078497E">
        <w:rPr>
          <w:sz w:val="24"/>
          <w:szCs w:val="24"/>
        </w:rPr>
        <w:t xml:space="preserve"> as well as their individual properties including hazards, stability and safety.</w:t>
      </w:r>
      <w:r w:rsidR="00DD05B0" w:rsidRPr="0078497E">
        <w:rPr>
          <w:sz w:val="24"/>
          <w:szCs w:val="24"/>
        </w:rPr>
        <w:fldChar w:fldCharType="begin" w:fldLock="1"/>
      </w:r>
      <w:r w:rsidR="00F168DA">
        <w:rPr>
          <w:sz w:val="24"/>
          <w:szCs w:val="24"/>
        </w:rPr>
        <w:instrText>ADDIN CSL_CITATION { "citationItems" : [ { "id" : "ITEM-1", "itemData" : { "ISSN" : "0936-5214", "abstract" : "A review with 30 refs. The explosive hazard of widely used diazotransfer reagents has been measured. Since no single reagent is suitable for all uses, selection must be based on minimization of hazard and ease of purifn. of the product. In general, azidotransfer reagents are more energetic than diazotransfer reagents, therefore more hazardous to the researcher. Users of azidotransfer reagents are invited to det. the inherent hazards of these compds. [on SciFinder(R)]", "author" : [ { "dropping-particle" : "", "family" : "Bollinger", "given" : "Frederick W", "non-dropping-particle" : "", "parse-names" : false, "suffix" : "" }, { "dropping-particle" : "", "family" : "Tuma", "given" : "Linda D", "non-dropping-particle" : "", "parse-names" : false, "suffix" : "" } ], "container-title" : "Synlett", "id" : "ITEM-1", "issue" : "5", "issued" : { "date-parts" : [ [ "1996" ] ] }, "note" : "CAPLUS AN 1996:339089(Journal; General Review)", "page" : "407-413", "publisher" : "Thieme", "title" : "Diazotransfer reagents.", "type" : "article-journal" }, "uris" : [ "http://www.mendeley.com/documents/?uuid=a96952d8-7a81-4b6f-b61d-aba6dde60f1e" ] }, { "id" : "ITEM-2", "itemData" : { "DOI" : "10.1016/0040-6031(94)85051-8", "ISSN" : "0040-6031", "abstract" : "Eight effective diazotransfer reagents were evaluated for their thermal stability using DSC anal. and impact sensitivity testing.  P-Dodecylbenzenesulfonyl azide was the least hazardous reagent of those tested.  The results of contamination studies and detonation velocity tests were also reported for p-dodecylbenzenesulfonyl azide. [on SciFinder(R)]", "author" : [ { "dropping-particle" : "", "family" : "Tuma", "given" : "Linda D", "non-dropping-particle" : "", "parse-names" : false, "suffix" : "" } ], "container-title" : "Thermochimica Acta", "id" : "ITEM-2", "issue" : "2", "issued" : { "date-parts" : [ [ "1994" ] ] }, "page" : "161-167", "title" : "Identification of a safe diazotransfer reagent.", "type" : "article-journal", "volume" : "243" }, "uris" : [ "http://www.mendeley.com/documents/?uuid=5714b72a-acb0-44d2-8b36-c4d774f6a77b" ] } ], "mendeley" : { "formattedCitation" : "&lt;sup&gt;[10,45]&lt;/sup&gt;", "plainTextFormattedCitation" : "[10,45]", "previouslyFormattedCitation" : "&lt;sup&gt;[10,45]&lt;/sup&gt;" }, "properties" : { "noteIndex" : 0 }, "schema" : "https://github.com/citation-style-language/schema/raw/master/csl-citation.json" }</w:instrText>
      </w:r>
      <w:r w:rsidR="00DD05B0" w:rsidRPr="0078497E">
        <w:rPr>
          <w:sz w:val="24"/>
          <w:szCs w:val="24"/>
        </w:rPr>
        <w:fldChar w:fldCharType="separate"/>
      </w:r>
      <w:r w:rsidR="0055300D" w:rsidRPr="0055300D">
        <w:rPr>
          <w:noProof/>
          <w:sz w:val="24"/>
          <w:szCs w:val="24"/>
          <w:vertAlign w:val="superscript"/>
        </w:rPr>
        <w:t>[10,45]</w:t>
      </w:r>
      <w:r w:rsidR="00DD05B0" w:rsidRPr="0078497E">
        <w:rPr>
          <w:sz w:val="24"/>
          <w:szCs w:val="24"/>
        </w:rPr>
        <w:fldChar w:fldCharType="end"/>
      </w:r>
      <w:r w:rsidRPr="0078497E">
        <w:rPr>
          <w:sz w:val="24"/>
          <w:szCs w:val="24"/>
        </w:rPr>
        <w:t xml:space="preserve"> A review has been carried out by Bollinger </w:t>
      </w:r>
      <w:r w:rsidRPr="008F714D">
        <w:rPr>
          <w:i/>
          <w:sz w:val="24"/>
          <w:szCs w:val="24"/>
        </w:rPr>
        <w:t>et al</w:t>
      </w:r>
      <w:r w:rsidR="008F714D">
        <w:rPr>
          <w:sz w:val="24"/>
          <w:szCs w:val="24"/>
        </w:rPr>
        <w:t>.</w:t>
      </w:r>
      <w:r w:rsidRPr="0078497E">
        <w:rPr>
          <w:sz w:val="24"/>
          <w:szCs w:val="24"/>
        </w:rPr>
        <w:t>,</w:t>
      </w:r>
      <w:r w:rsidR="00DD05B0" w:rsidRPr="0078497E">
        <w:rPr>
          <w:sz w:val="24"/>
          <w:szCs w:val="24"/>
          <w:vertAlign w:val="superscript"/>
        </w:rPr>
        <w:fldChar w:fldCharType="begin" w:fldLock="1"/>
      </w:r>
      <w:r w:rsidR="00E2013D">
        <w:rPr>
          <w:sz w:val="24"/>
          <w:szCs w:val="24"/>
          <w:vertAlign w:val="superscript"/>
        </w:rPr>
        <w:instrText>ADDIN CSL_CITATION { "citationItems" : [ { "id" : "ITEM-1", "itemData" : { "ISSN" : "0936-5214", "abstract" : "A review with 30 refs. The explosive hazard of widely used diazotransfer reagents has been measured. Since no single reagent is suitable for all uses, selection must be based on minimization of hazard and ease of purifn. of the product. In general, azidotransfer reagents are more energetic than diazotransfer reagents, therefore more hazardous to the researcher. Users of azidotransfer reagents are invited to det. the inherent hazards of these compds. [on SciFinder(R)]", "author" : [ { "dropping-particle" : "", "family" : "Bollinger", "given" : "Frederick W", "non-dropping-particle" : "", "parse-names" : false, "suffix" : "" }, { "dropping-particle" : "", "family" : "Tuma", "given" : "Linda D", "non-dropping-particle" : "", "parse-names" : false, "suffix" : "" } ], "container-title" : "Synlett", "id" : "ITEM-1", "issue" : "5", "issued" : { "date-parts" : [ [ "1996" ] ] }, "note" : "CAPLUS AN 1996:339089(Journal; General Review)", "page" : "407-413", "publisher" : "Thieme", "title" : "Diazotransfer reagents.", "type" : "article-journal" }, "uris" : [ "http://www.mendeley.com/documents/?uuid=a96952d8-7a81-4b6f-b61d-aba6dde60f1e" ] } ], "mendeley" : { "formattedCitation" : "&lt;sup&gt;[10]&lt;/sup&gt;", "plainTextFormattedCitation" : "[10]", "previouslyFormattedCitation" : "&lt;sup&gt;[10]&lt;/sup&gt;" }, "properties" : { "noteIndex" : 0 }, "schema" : "https://github.com/citation-style-language/schema/raw/master/csl-citation.json" }</w:instrText>
      </w:r>
      <w:r w:rsidR="00DD05B0" w:rsidRPr="0078497E">
        <w:rPr>
          <w:sz w:val="24"/>
          <w:szCs w:val="24"/>
          <w:vertAlign w:val="superscript"/>
        </w:rPr>
        <w:fldChar w:fldCharType="separate"/>
      </w:r>
      <w:r w:rsidR="00DF4000" w:rsidRPr="00DF4000">
        <w:rPr>
          <w:noProof/>
          <w:sz w:val="24"/>
          <w:szCs w:val="24"/>
          <w:vertAlign w:val="superscript"/>
        </w:rPr>
        <w:t>[10]</w:t>
      </w:r>
      <w:r w:rsidR="00DD05B0" w:rsidRPr="0078497E">
        <w:rPr>
          <w:sz w:val="24"/>
          <w:szCs w:val="24"/>
          <w:vertAlign w:val="superscript"/>
        </w:rPr>
        <w:fldChar w:fldCharType="end"/>
      </w:r>
      <w:r w:rsidRPr="0078497E">
        <w:rPr>
          <w:sz w:val="24"/>
          <w:szCs w:val="24"/>
        </w:rPr>
        <w:t xml:space="preserve"> which found that </w:t>
      </w:r>
      <w:r w:rsidR="0078497E">
        <w:rPr>
          <w:sz w:val="24"/>
          <w:szCs w:val="24"/>
        </w:rPr>
        <w:t>methanesulfonyl</w:t>
      </w:r>
      <w:r w:rsidR="00AB0760" w:rsidRPr="0078497E">
        <w:rPr>
          <w:sz w:val="24"/>
          <w:szCs w:val="24"/>
        </w:rPr>
        <w:t xml:space="preserve"> azide</w:t>
      </w:r>
      <w:r w:rsidR="0078497E">
        <w:rPr>
          <w:sz w:val="24"/>
          <w:szCs w:val="24"/>
        </w:rPr>
        <w:t xml:space="preserve"> (mesyl azide)</w:t>
      </w:r>
      <w:r w:rsidR="00AB0760" w:rsidRPr="0078497E">
        <w:rPr>
          <w:sz w:val="24"/>
          <w:szCs w:val="24"/>
        </w:rPr>
        <w:t xml:space="preserve"> </w:t>
      </w:r>
      <w:r w:rsidR="00840F20">
        <w:rPr>
          <w:b/>
          <w:sz w:val="24"/>
          <w:szCs w:val="24"/>
        </w:rPr>
        <w:t>15</w:t>
      </w:r>
      <w:r w:rsidRPr="0078497E">
        <w:rPr>
          <w:sz w:val="24"/>
          <w:szCs w:val="24"/>
        </w:rPr>
        <w:t xml:space="preserve"> was the most dangerous of the reagents reviewed, with t</w:t>
      </w:r>
      <w:r w:rsidR="0078497E">
        <w:rPr>
          <w:sz w:val="24"/>
          <w:szCs w:val="24"/>
        </w:rPr>
        <w:t>he highest impact sensitivity</w:t>
      </w:r>
      <w:r w:rsidRPr="0078497E">
        <w:rPr>
          <w:sz w:val="24"/>
          <w:szCs w:val="24"/>
        </w:rPr>
        <w:t xml:space="preserve"> and the largest heat of decomposition.</w:t>
      </w:r>
      <w:r w:rsidR="0078497E">
        <w:rPr>
          <w:sz w:val="24"/>
          <w:szCs w:val="24"/>
        </w:rPr>
        <w:t xml:space="preserve"> A close second to mesyl azide in impact sensitivity is </w:t>
      </w:r>
      <w:r w:rsidR="0078497E" w:rsidRPr="0078497E">
        <w:rPr>
          <w:i/>
          <w:sz w:val="24"/>
          <w:szCs w:val="24"/>
        </w:rPr>
        <w:t>p</w:t>
      </w:r>
      <w:r w:rsidR="0078497E">
        <w:rPr>
          <w:sz w:val="24"/>
          <w:szCs w:val="24"/>
        </w:rPr>
        <w:t xml:space="preserve">-toluenesulfonyl azide (tosyl azide) </w:t>
      </w:r>
      <w:r w:rsidR="00180C03">
        <w:rPr>
          <w:b/>
          <w:sz w:val="24"/>
          <w:szCs w:val="24"/>
        </w:rPr>
        <w:t>14</w:t>
      </w:r>
      <w:r w:rsidR="0078497E">
        <w:rPr>
          <w:sz w:val="24"/>
          <w:szCs w:val="24"/>
        </w:rPr>
        <w:t>, and although the authors strongly advise against the use of mesyl azide, they acknowledge tosyl azide as being widely used</w:t>
      </w:r>
      <w:r w:rsidR="000E3979">
        <w:rPr>
          <w:sz w:val="24"/>
          <w:szCs w:val="24"/>
        </w:rPr>
        <w:t xml:space="preserve"> (</w:t>
      </w:r>
      <w:r w:rsidR="000E3979" w:rsidRPr="000E3979">
        <w:rPr>
          <w:b/>
          <w:sz w:val="24"/>
          <w:szCs w:val="24"/>
        </w:rPr>
        <w:t>Figure 1.3</w:t>
      </w:r>
      <w:r w:rsidR="000E3979">
        <w:rPr>
          <w:sz w:val="24"/>
          <w:szCs w:val="24"/>
        </w:rPr>
        <w:t>)</w:t>
      </w:r>
      <w:r w:rsidR="0078497E">
        <w:rPr>
          <w:sz w:val="24"/>
          <w:szCs w:val="24"/>
        </w:rPr>
        <w:t>.</w:t>
      </w:r>
    </w:p>
    <w:p w:rsidR="009966B6" w:rsidRDefault="00840F20" w:rsidP="009966B6">
      <w:pPr>
        <w:spacing w:line="360" w:lineRule="auto"/>
        <w:jc w:val="center"/>
      </w:pPr>
      <w:r>
        <w:object w:dxaOrig="3064" w:dyaOrig="1415">
          <v:shape id="_x0000_i1037" type="#_x0000_t75" style="width:152.25pt;height:70.5pt" o:ole="">
            <v:imagedata r:id="rId34" o:title=""/>
          </v:shape>
          <o:OLEObject Type="Embed" ProgID="ChemDraw.Document.6.0" ShapeID="_x0000_i1037" DrawAspect="Content" ObjectID="_1531849578" r:id="rId35"/>
        </w:object>
      </w:r>
    </w:p>
    <w:p w:rsidR="00840F20" w:rsidRDefault="00840F20" w:rsidP="009966B6">
      <w:pPr>
        <w:spacing w:line="360" w:lineRule="auto"/>
        <w:jc w:val="center"/>
        <w:rPr>
          <w:b/>
          <w:sz w:val="24"/>
          <w:szCs w:val="24"/>
        </w:rPr>
      </w:pPr>
      <w:r w:rsidRPr="00840F20">
        <w:rPr>
          <w:b/>
          <w:sz w:val="24"/>
          <w:szCs w:val="24"/>
        </w:rPr>
        <w:t>Figure 1.</w:t>
      </w:r>
      <w:r w:rsidR="000E3979">
        <w:rPr>
          <w:b/>
          <w:sz w:val="24"/>
          <w:szCs w:val="24"/>
        </w:rPr>
        <w:t>3</w:t>
      </w:r>
    </w:p>
    <w:p w:rsidR="00840F20" w:rsidRPr="00840F20" w:rsidRDefault="00840F20" w:rsidP="009966B6">
      <w:pPr>
        <w:spacing w:line="360" w:lineRule="auto"/>
        <w:jc w:val="center"/>
        <w:rPr>
          <w:b/>
          <w:sz w:val="24"/>
          <w:szCs w:val="24"/>
        </w:rPr>
      </w:pPr>
    </w:p>
    <w:p w:rsidR="00AB0760" w:rsidRDefault="00861F54" w:rsidP="0078497E">
      <w:pPr>
        <w:spacing w:line="360" w:lineRule="auto"/>
        <w:jc w:val="both"/>
        <w:rPr>
          <w:rFonts w:cs="Times New Roman"/>
          <w:sz w:val="24"/>
          <w:szCs w:val="24"/>
        </w:rPr>
      </w:pPr>
      <w:r>
        <w:rPr>
          <w:sz w:val="24"/>
          <w:szCs w:val="24"/>
        </w:rPr>
        <w:t xml:space="preserve">Bollinger </w:t>
      </w:r>
      <w:r w:rsidR="000E3979" w:rsidRPr="000E3979">
        <w:rPr>
          <w:i/>
          <w:sz w:val="24"/>
          <w:szCs w:val="24"/>
        </w:rPr>
        <w:t>e</w:t>
      </w:r>
      <w:r w:rsidRPr="000E3979">
        <w:rPr>
          <w:i/>
          <w:sz w:val="24"/>
          <w:szCs w:val="24"/>
        </w:rPr>
        <w:t>t al</w:t>
      </w:r>
      <w:r>
        <w:rPr>
          <w:sz w:val="24"/>
          <w:szCs w:val="24"/>
        </w:rPr>
        <w:t>. reported</w:t>
      </w:r>
      <w:r w:rsidR="003A7FD4">
        <w:rPr>
          <w:sz w:val="24"/>
          <w:szCs w:val="24"/>
        </w:rPr>
        <w:t xml:space="preserve"> the </w:t>
      </w:r>
      <w:r w:rsidRPr="00861F54">
        <w:rPr>
          <w:i/>
          <w:sz w:val="24"/>
          <w:szCs w:val="24"/>
        </w:rPr>
        <w:t>p</w:t>
      </w:r>
      <w:r>
        <w:rPr>
          <w:sz w:val="24"/>
          <w:szCs w:val="24"/>
        </w:rPr>
        <w:t>-dodecylbenzenesulfonyl azide</w:t>
      </w:r>
      <w:r w:rsidR="003A7FD4">
        <w:rPr>
          <w:sz w:val="24"/>
          <w:szCs w:val="24"/>
        </w:rPr>
        <w:t>s</w:t>
      </w:r>
      <w:r>
        <w:rPr>
          <w:sz w:val="24"/>
          <w:szCs w:val="24"/>
        </w:rPr>
        <w:t xml:space="preserve"> </w:t>
      </w:r>
      <w:r w:rsidR="00BD1F16">
        <w:rPr>
          <w:b/>
          <w:sz w:val="24"/>
          <w:szCs w:val="24"/>
        </w:rPr>
        <w:t>16</w:t>
      </w:r>
      <w:r>
        <w:rPr>
          <w:sz w:val="24"/>
          <w:szCs w:val="24"/>
        </w:rPr>
        <w:t xml:space="preserve"> as having the smallest specific heat of decomposition, as</w:t>
      </w:r>
      <w:r w:rsidR="00BD1F16">
        <w:rPr>
          <w:sz w:val="24"/>
          <w:szCs w:val="24"/>
        </w:rPr>
        <w:t xml:space="preserve"> </w:t>
      </w:r>
      <w:r>
        <w:rPr>
          <w:sz w:val="24"/>
          <w:szCs w:val="24"/>
        </w:rPr>
        <w:t xml:space="preserve">well as second highest initiation temperature of the ten azides tested. </w:t>
      </w:r>
      <w:r w:rsidR="003A7FD4" w:rsidRPr="003A7FD4">
        <w:rPr>
          <w:i/>
          <w:sz w:val="24"/>
          <w:szCs w:val="24"/>
        </w:rPr>
        <w:t>p</w:t>
      </w:r>
      <w:r>
        <w:rPr>
          <w:sz w:val="24"/>
          <w:szCs w:val="24"/>
        </w:rPr>
        <w:t xml:space="preserve">-Dodecylbenzenesulfonyl azide also displayed no impact sensitivity at the highest test levels making it the safest reagent reported. </w:t>
      </w:r>
      <w:r w:rsidR="00155EE7">
        <w:rPr>
          <w:sz w:val="24"/>
          <w:szCs w:val="24"/>
        </w:rPr>
        <w:t xml:space="preserve">As can be seen in </w:t>
      </w:r>
      <w:r w:rsidR="00155EE7" w:rsidRPr="00155EE7">
        <w:rPr>
          <w:b/>
          <w:sz w:val="24"/>
          <w:szCs w:val="24"/>
        </w:rPr>
        <w:t>Table 1.1</w:t>
      </w:r>
      <w:r w:rsidR="00155EE7">
        <w:rPr>
          <w:sz w:val="24"/>
          <w:szCs w:val="24"/>
        </w:rPr>
        <w:t>,</w:t>
      </w:r>
      <w:r>
        <w:rPr>
          <w:sz w:val="24"/>
          <w:szCs w:val="24"/>
        </w:rPr>
        <w:t xml:space="preserve"> the corresponding </w:t>
      </w:r>
      <w:r w:rsidR="006119B2">
        <w:rPr>
          <w:sz w:val="24"/>
          <w:szCs w:val="24"/>
        </w:rPr>
        <w:t>sulfonyl amide</w:t>
      </w:r>
      <w:r w:rsidR="00155EE7">
        <w:rPr>
          <w:sz w:val="24"/>
          <w:szCs w:val="24"/>
        </w:rPr>
        <w:t xml:space="preserve"> is a liquid, and therefore</w:t>
      </w:r>
      <w:r>
        <w:rPr>
          <w:sz w:val="24"/>
          <w:szCs w:val="24"/>
        </w:rPr>
        <w:t xml:space="preserve"> has the extra advantage of ease of separation from any crystalline diazo products.</w:t>
      </w:r>
      <w:r w:rsidR="003A7FD4">
        <w:rPr>
          <w:sz w:val="24"/>
          <w:szCs w:val="24"/>
        </w:rPr>
        <w:t xml:space="preserve"> The relatively good safety profile of reagent </w:t>
      </w:r>
      <w:r w:rsidR="00BD1F16">
        <w:rPr>
          <w:b/>
          <w:sz w:val="24"/>
          <w:szCs w:val="24"/>
        </w:rPr>
        <w:t>16</w:t>
      </w:r>
      <w:r w:rsidR="003A7FD4">
        <w:rPr>
          <w:sz w:val="24"/>
          <w:szCs w:val="24"/>
        </w:rPr>
        <w:t xml:space="preserve"> is reflected by their use</w:t>
      </w:r>
      <w:r w:rsidR="003A7FD4" w:rsidRPr="003A7FD4">
        <w:rPr>
          <w:rFonts w:cs="Times New Roman"/>
          <w:sz w:val="24"/>
          <w:szCs w:val="24"/>
        </w:rPr>
        <w:t xml:space="preserve"> for large scale </w:t>
      </w:r>
      <w:r w:rsidR="009C452D">
        <w:rPr>
          <w:rFonts w:cs="Times New Roman"/>
          <w:sz w:val="24"/>
          <w:szCs w:val="24"/>
        </w:rPr>
        <w:t>diazo transfer</w:t>
      </w:r>
      <w:r w:rsidR="003A7FD4" w:rsidRPr="003A7FD4">
        <w:rPr>
          <w:rFonts w:cs="Times New Roman"/>
          <w:sz w:val="24"/>
          <w:szCs w:val="24"/>
        </w:rPr>
        <w:t xml:space="preserve"> reactions for over 9 years at Merck without incident</w:t>
      </w:r>
      <w:r w:rsidR="008F6111">
        <w:rPr>
          <w:rFonts w:cs="Times New Roman"/>
          <w:sz w:val="24"/>
          <w:szCs w:val="24"/>
        </w:rPr>
        <w:t>.</w:t>
      </w:r>
      <w:r w:rsidR="008F6111">
        <w:rPr>
          <w:rFonts w:cs="Times New Roman"/>
          <w:sz w:val="24"/>
          <w:szCs w:val="24"/>
        </w:rPr>
        <w:fldChar w:fldCharType="begin" w:fldLock="1"/>
      </w:r>
      <w:r w:rsidR="00F168DA">
        <w:rPr>
          <w:rFonts w:cs="Times New Roman"/>
          <w:sz w:val="24"/>
          <w:szCs w:val="24"/>
        </w:rPr>
        <w:instrText>ADDIN CSL_CITATION { "citationItems" : [ { "id" : "ITEM-1", "itemData" : { "DOI" : "10.1016/0040-6031(94)85051-8", "ISSN" : "0040-6031", "abstract" : "Eight effective diazotransfer reagents were evaluated for their thermal stability using DSC anal. and impact sensitivity testing.  P-Dodecylbenzenesulfonyl azide was the least hazardous reagent of those tested.  The results of contamination studies and detonation velocity tests were also reported for p-dodecylbenzenesulfonyl azide. [on SciFinder(R)]", "author" : [ { "dropping-particle" : "", "family" : "Tuma", "given" : "Linda D", "non-dropping-particle" : "", "parse-names" : false, "suffix" : "" } ], "container-title" : "Thermochimica Acta", "id" : "ITEM-1", "issue" : "2", "issued" : { "date-parts" : [ [ "1994" ] ] }, "page" : "161-167", "title" : "Identification of a safe diazotransfer reagent.", "type" : "article-journal", "volume" : "243" }, "uris" : [ "http://www.mendeley.com/documents/?uuid=5714b72a-acb0-44d2-8b36-c4d774f6a77b" ] } ], "mendeley" : { "formattedCitation" : "&lt;sup&gt;[45]&lt;/sup&gt;", "plainTextFormattedCitation" : "[45]", "previouslyFormattedCitation" : "&lt;sup&gt;[45]&lt;/sup&gt;" }, "properties" : { "noteIndex" : 0 }, "schema" : "https://github.com/citation-style-language/schema/raw/master/csl-citation.json" }</w:instrText>
      </w:r>
      <w:r w:rsidR="008F6111">
        <w:rPr>
          <w:rFonts w:cs="Times New Roman"/>
          <w:sz w:val="24"/>
          <w:szCs w:val="24"/>
        </w:rPr>
        <w:fldChar w:fldCharType="separate"/>
      </w:r>
      <w:r w:rsidR="0055300D" w:rsidRPr="0055300D">
        <w:rPr>
          <w:rFonts w:cs="Times New Roman"/>
          <w:noProof/>
          <w:sz w:val="24"/>
          <w:szCs w:val="24"/>
          <w:vertAlign w:val="superscript"/>
        </w:rPr>
        <w:t>[45]</w:t>
      </w:r>
      <w:r w:rsidR="008F6111">
        <w:rPr>
          <w:rFonts w:cs="Times New Roman"/>
          <w:sz w:val="24"/>
          <w:szCs w:val="24"/>
        </w:rPr>
        <w:fldChar w:fldCharType="end"/>
      </w:r>
      <w:r w:rsidR="003A7FD4" w:rsidRPr="003A7FD4">
        <w:rPr>
          <w:rFonts w:cs="Times New Roman"/>
          <w:sz w:val="24"/>
          <w:szCs w:val="24"/>
        </w:rPr>
        <w:t xml:space="preserve"> The reagent </w:t>
      </w:r>
      <w:r w:rsidR="00BD1F16">
        <w:rPr>
          <w:rFonts w:cs="Times New Roman"/>
          <w:b/>
          <w:sz w:val="24"/>
          <w:szCs w:val="24"/>
        </w:rPr>
        <w:t>16</w:t>
      </w:r>
      <w:r w:rsidR="003A7FD4" w:rsidRPr="003A7FD4">
        <w:rPr>
          <w:rFonts w:cs="Times New Roman"/>
          <w:sz w:val="24"/>
          <w:szCs w:val="24"/>
        </w:rPr>
        <w:t xml:space="preserve"> is stable for prolonged periods of storage without noticeable deterioration in the freezer (-20 °C).</w:t>
      </w:r>
    </w:p>
    <w:p w:rsidR="00AB0760" w:rsidRPr="0078497E" w:rsidRDefault="00AB0760" w:rsidP="0078497E">
      <w:pPr>
        <w:spacing w:line="360" w:lineRule="auto"/>
        <w:jc w:val="both"/>
        <w:rPr>
          <w:sz w:val="24"/>
          <w:szCs w:val="24"/>
        </w:rPr>
      </w:pPr>
    </w:p>
    <w:tbl>
      <w:tblPr>
        <w:tblStyle w:val="TableGrid"/>
        <w:tblpPr w:leftFromText="180" w:rightFromText="180" w:vertAnchor="text" w:horzAnchor="margin" w:tblpY="325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1025"/>
        <w:gridCol w:w="1363"/>
        <w:gridCol w:w="1208"/>
        <w:gridCol w:w="2096"/>
        <w:gridCol w:w="1713"/>
      </w:tblGrid>
      <w:tr w:rsidR="00155EE7" w:rsidRPr="0078497E" w:rsidTr="00155EE7">
        <w:tc>
          <w:tcPr>
            <w:tcW w:w="898" w:type="pct"/>
            <w:tcBorders>
              <w:top w:val="single" w:sz="4" w:space="0" w:color="auto"/>
              <w:bottom w:val="single" w:sz="4" w:space="0" w:color="auto"/>
            </w:tcBorders>
          </w:tcPr>
          <w:p w:rsidR="00155EE7" w:rsidRPr="0078497E" w:rsidRDefault="00155EE7" w:rsidP="00155EE7">
            <w:pPr>
              <w:spacing w:line="360" w:lineRule="auto"/>
              <w:jc w:val="center"/>
              <w:rPr>
                <w:rFonts w:cs="Times New Roman"/>
                <w:b/>
                <w:sz w:val="24"/>
                <w:szCs w:val="24"/>
              </w:rPr>
            </w:pPr>
            <w:r w:rsidRPr="0078497E">
              <w:rPr>
                <w:rFonts w:cs="Times New Roman"/>
                <w:b/>
                <w:sz w:val="24"/>
                <w:szCs w:val="24"/>
              </w:rPr>
              <w:t>Sulfonylazide</w:t>
            </w:r>
          </w:p>
        </w:tc>
        <w:tc>
          <w:tcPr>
            <w:tcW w:w="568" w:type="pct"/>
            <w:tcBorders>
              <w:top w:val="single" w:sz="4" w:space="0" w:color="auto"/>
              <w:bottom w:val="single" w:sz="4" w:space="0" w:color="auto"/>
            </w:tcBorders>
          </w:tcPr>
          <w:p w:rsidR="00155EE7" w:rsidRPr="0078497E" w:rsidRDefault="00155EE7" w:rsidP="00155EE7">
            <w:pPr>
              <w:spacing w:line="360" w:lineRule="auto"/>
              <w:jc w:val="center"/>
              <w:rPr>
                <w:rFonts w:cs="Times New Roman"/>
                <w:b/>
                <w:sz w:val="24"/>
                <w:szCs w:val="24"/>
              </w:rPr>
            </w:pPr>
            <w:r w:rsidRPr="0078497E">
              <w:rPr>
                <w:rFonts w:cs="Times New Roman"/>
                <w:b/>
                <w:sz w:val="24"/>
                <w:szCs w:val="24"/>
              </w:rPr>
              <w:t>m.p.</w:t>
            </w:r>
          </w:p>
          <w:p w:rsidR="00155EE7" w:rsidRPr="0078497E" w:rsidRDefault="00155EE7" w:rsidP="00155EE7">
            <w:pPr>
              <w:spacing w:line="360" w:lineRule="auto"/>
              <w:jc w:val="center"/>
              <w:rPr>
                <w:rFonts w:cs="Times New Roman"/>
                <w:b/>
                <w:sz w:val="24"/>
                <w:szCs w:val="24"/>
              </w:rPr>
            </w:pPr>
            <w:r w:rsidRPr="0078497E">
              <w:rPr>
                <w:rFonts w:cs="Times New Roman"/>
                <w:b/>
                <w:sz w:val="24"/>
                <w:szCs w:val="24"/>
              </w:rPr>
              <w:t>(ºC)</w:t>
            </w:r>
          </w:p>
        </w:tc>
        <w:tc>
          <w:tcPr>
            <w:tcW w:w="755" w:type="pct"/>
            <w:tcBorders>
              <w:top w:val="single" w:sz="4" w:space="0" w:color="auto"/>
              <w:bottom w:val="single" w:sz="4" w:space="0" w:color="auto"/>
            </w:tcBorders>
          </w:tcPr>
          <w:p w:rsidR="00155EE7" w:rsidRPr="0078497E" w:rsidRDefault="00155EE7" w:rsidP="00155EE7">
            <w:pPr>
              <w:spacing w:line="360" w:lineRule="auto"/>
              <w:jc w:val="center"/>
              <w:rPr>
                <w:rFonts w:cs="Times New Roman"/>
                <w:b/>
                <w:sz w:val="24"/>
                <w:szCs w:val="24"/>
              </w:rPr>
            </w:pPr>
            <w:r w:rsidRPr="0078497E">
              <w:rPr>
                <w:rFonts w:cs="Times New Roman"/>
                <w:b/>
                <w:sz w:val="24"/>
                <w:szCs w:val="24"/>
              </w:rPr>
              <w:t>Initiation</w:t>
            </w:r>
          </w:p>
          <w:p w:rsidR="00155EE7" w:rsidRPr="0078497E" w:rsidRDefault="00155EE7" w:rsidP="00155EE7">
            <w:pPr>
              <w:spacing w:line="360" w:lineRule="auto"/>
              <w:jc w:val="center"/>
              <w:rPr>
                <w:rFonts w:cs="Times New Roman"/>
                <w:b/>
                <w:sz w:val="24"/>
                <w:szCs w:val="24"/>
              </w:rPr>
            </w:pPr>
            <w:r w:rsidRPr="0078497E">
              <w:rPr>
                <w:rFonts w:cs="Times New Roman"/>
                <w:b/>
                <w:sz w:val="24"/>
                <w:szCs w:val="24"/>
              </w:rPr>
              <w:t>Temp. (ºC)</w:t>
            </w:r>
          </w:p>
        </w:tc>
        <w:tc>
          <w:tcPr>
            <w:tcW w:w="669" w:type="pct"/>
            <w:tcBorders>
              <w:top w:val="single" w:sz="4" w:space="0" w:color="auto"/>
              <w:bottom w:val="single" w:sz="4" w:space="0" w:color="auto"/>
            </w:tcBorders>
          </w:tcPr>
          <w:p w:rsidR="00155EE7" w:rsidRPr="0078497E" w:rsidRDefault="00155EE7" w:rsidP="00155EE7">
            <w:pPr>
              <w:spacing w:line="360" w:lineRule="auto"/>
              <w:jc w:val="center"/>
              <w:rPr>
                <w:rFonts w:cs="Times New Roman"/>
                <w:b/>
                <w:sz w:val="24"/>
                <w:szCs w:val="24"/>
              </w:rPr>
            </w:pPr>
            <w:r w:rsidRPr="0078497E">
              <w:rPr>
                <w:rFonts w:cs="Times New Roman"/>
                <w:b/>
                <w:sz w:val="24"/>
                <w:szCs w:val="24"/>
              </w:rPr>
              <w:t>Rate of</w:t>
            </w:r>
          </w:p>
          <w:p w:rsidR="00155EE7" w:rsidRPr="0078497E" w:rsidRDefault="00155EE7" w:rsidP="00155EE7">
            <w:pPr>
              <w:spacing w:line="360" w:lineRule="auto"/>
              <w:jc w:val="center"/>
              <w:rPr>
                <w:rFonts w:cs="Times New Roman"/>
                <w:b/>
                <w:sz w:val="24"/>
                <w:szCs w:val="24"/>
              </w:rPr>
            </w:pPr>
            <w:r w:rsidRPr="0078497E">
              <w:rPr>
                <w:rFonts w:cs="Times New Roman"/>
                <w:b/>
                <w:sz w:val="24"/>
                <w:szCs w:val="24"/>
              </w:rPr>
              <w:t>Decomp.</w:t>
            </w:r>
            <w:r w:rsidRPr="0078497E">
              <w:rPr>
                <w:rFonts w:cs="Times New Roman"/>
                <w:b/>
                <w:sz w:val="24"/>
                <w:szCs w:val="24"/>
                <w:vertAlign w:val="superscript"/>
              </w:rPr>
              <w:t>a</w:t>
            </w:r>
          </w:p>
        </w:tc>
        <w:tc>
          <w:tcPr>
            <w:tcW w:w="1161" w:type="pct"/>
            <w:tcBorders>
              <w:top w:val="single" w:sz="4" w:space="0" w:color="auto"/>
              <w:bottom w:val="single" w:sz="4" w:space="0" w:color="auto"/>
            </w:tcBorders>
          </w:tcPr>
          <w:p w:rsidR="00155EE7" w:rsidRPr="0078497E" w:rsidRDefault="00155EE7" w:rsidP="00155EE7">
            <w:pPr>
              <w:spacing w:line="360" w:lineRule="auto"/>
              <w:jc w:val="center"/>
              <w:rPr>
                <w:rFonts w:cs="Times New Roman"/>
                <w:b/>
                <w:sz w:val="24"/>
                <w:szCs w:val="24"/>
              </w:rPr>
            </w:pPr>
            <w:r w:rsidRPr="0078497E">
              <w:rPr>
                <w:rFonts w:cs="Times New Roman"/>
                <w:b/>
                <w:sz w:val="24"/>
                <w:szCs w:val="24"/>
              </w:rPr>
              <w:t>Impact Sensitivity</w:t>
            </w:r>
          </w:p>
          <w:p w:rsidR="00155EE7" w:rsidRPr="0078497E" w:rsidRDefault="00155EE7" w:rsidP="00155EE7">
            <w:pPr>
              <w:spacing w:line="360" w:lineRule="auto"/>
              <w:jc w:val="center"/>
              <w:rPr>
                <w:rFonts w:cs="Times New Roman"/>
                <w:b/>
                <w:sz w:val="24"/>
                <w:szCs w:val="24"/>
              </w:rPr>
            </w:pPr>
            <w:r w:rsidRPr="0078497E">
              <w:rPr>
                <w:rFonts w:cs="Times New Roman"/>
                <w:b/>
                <w:sz w:val="24"/>
                <w:szCs w:val="24"/>
              </w:rPr>
              <w:t>Kg cm</w:t>
            </w:r>
            <w:r w:rsidRPr="0078497E">
              <w:rPr>
                <w:rFonts w:cs="Times New Roman"/>
                <w:b/>
                <w:sz w:val="24"/>
                <w:szCs w:val="24"/>
                <w:vertAlign w:val="superscript"/>
              </w:rPr>
              <w:t>-1</w:t>
            </w:r>
          </w:p>
        </w:tc>
        <w:tc>
          <w:tcPr>
            <w:tcW w:w="949" w:type="pct"/>
            <w:tcBorders>
              <w:top w:val="single" w:sz="4" w:space="0" w:color="auto"/>
              <w:bottom w:val="single" w:sz="4" w:space="0" w:color="auto"/>
            </w:tcBorders>
          </w:tcPr>
          <w:p w:rsidR="00155EE7" w:rsidRPr="0078497E" w:rsidRDefault="00155EE7" w:rsidP="00155EE7">
            <w:pPr>
              <w:spacing w:line="360" w:lineRule="auto"/>
              <w:jc w:val="center"/>
              <w:rPr>
                <w:rFonts w:cs="Times New Roman"/>
                <w:b/>
                <w:sz w:val="24"/>
                <w:szCs w:val="24"/>
              </w:rPr>
            </w:pPr>
            <w:r w:rsidRPr="0078497E">
              <w:rPr>
                <w:rFonts w:cs="Times New Roman"/>
                <w:b/>
                <w:sz w:val="24"/>
                <w:szCs w:val="24"/>
              </w:rPr>
              <w:t>Sulfonylamide</w:t>
            </w:r>
          </w:p>
          <w:p w:rsidR="00155EE7" w:rsidRPr="0078497E" w:rsidRDefault="00155EE7" w:rsidP="00155EE7">
            <w:pPr>
              <w:spacing w:line="360" w:lineRule="auto"/>
              <w:jc w:val="center"/>
              <w:rPr>
                <w:rFonts w:cs="Times New Roman"/>
                <w:b/>
                <w:sz w:val="24"/>
                <w:szCs w:val="24"/>
              </w:rPr>
            </w:pPr>
            <w:r w:rsidRPr="0078497E">
              <w:rPr>
                <w:rFonts w:cs="Times New Roman"/>
                <w:b/>
                <w:sz w:val="24"/>
                <w:szCs w:val="24"/>
              </w:rPr>
              <w:t>m.p. (ºC)</w:t>
            </w:r>
          </w:p>
        </w:tc>
      </w:tr>
      <w:tr w:rsidR="00155EE7" w:rsidRPr="0078497E" w:rsidTr="00155EE7">
        <w:tc>
          <w:tcPr>
            <w:tcW w:w="898" w:type="pct"/>
            <w:tcBorders>
              <w:top w:val="single" w:sz="4" w:space="0" w:color="auto"/>
              <w:bottom w:val="nil"/>
            </w:tcBorders>
          </w:tcPr>
          <w:p w:rsidR="00155EE7" w:rsidRPr="0078497E" w:rsidRDefault="00180C03" w:rsidP="00155EE7">
            <w:pPr>
              <w:spacing w:line="360" w:lineRule="auto"/>
              <w:jc w:val="center"/>
              <w:rPr>
                <w:rFonts w:cs="Times New Roman"/>
                <w:b/>
                <w:sz w:val="24"/>
                <w:szCs w:val="24"/>
              </w:rPr>
            </w:pPr>
            <w:r>
              <w:rPr>
                <w:rFonts w:cs="Times New Roman"/>
                <w:b/>
                <w:sz w:val="24"/>
                <w:szCs w:val="24"/>
              </w:rPr>
              <w:t>14</w:t>
            </w:r>
          </w:p>
        </w:tc>
        <w:tc>
          <w:tcPr>
            <w:tcW w:w="568" w:type="pct"/>
            <w:tcBorders>
              <w:top w:val="single" w:sz="4" w:space="0" w:color="auto"/>
              <w:bottom w:val="nil"/>
            </w:tcBorders>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19-20</w:t>
            </w:r>
          </w:p>
        </w:tc>
        <w:tc>
          <w:tcPr>
            <w:tcW w:w="755" w:type="pct"/>
            <w:tcBorders>
              <w:top w:val="single" w:sz="4" w:space="0" w:color="auto"/>
              <w:bottom w:val="nil"/>
            </w:tcBorders>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~120</w:t>
            </w:r>
          </w:p>
        </w:tc>
        <w:tc>
          <w:tcPr>
            <w:tcW w:w="669" w:type="pct"/>
            <w:tcBorders>
              <w:top w:val="single" w:sz="4" w:space="0" w:color="auto"/>
              <w:bottom w:val="nil"/>
            </w:tcBorders>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1.00</w:t>
            </w:r>
          </w:p>
        </w:tc>
        <w:tc>
          <w:tcPr>
            <w:tcW w:w="1161" w:type="pct"/>
            <w:tcBorders>
              <w:top w:val="single" w:sz="4" w:space="0" w:color="auto"/>
              <w:bottom w:val="nil"/>
            </w:tcBorders>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50</w:t>
            </w:r>
          </w:p>
        </w:tc>
        <w:tc>
          <w:tcPr>
            <w:tcW w:w="949" w:type="pct"/>
            <w:tcBorders>
              <w:top w:val="single" w:sz="4" w:space="0" w:color="auto"/>
              <w:bottom w:val="nil"/>
            </w:tcBorders>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135.7-137</w:t>
            </w:r>
          </w:p>
        </w:tc>
      </w:tr>
      <w:tr w:rsidR="00155EE7" w:rsidRPr="0078497E" w:rsidTr="00155EE7">
        <w:tc>
          <w:tcPr>
            <w:tcW w:w="898" w:type="pct"/>
            <w:tcBorders>
              <w:top w:val="nil"/>
            </w:tcBorders>
          </w:tcPr>
          <w:p w:rsidR="00155EE7" w:rsidRPr="0078497E" w:rsidRDefault="00BD1F16" w:rsidP="00155EE7">
            <w:pPr>
              <w:spacing w:line="360" w:lineRule="auto"/>
              <w:jc w:val="center"/>
              <w:rPr>
                <w:rFonts w:cs="Times New Roman"/>
                <w:b/>
                <w:sz w:val="24"/>
                <w:szCs w:val="24"/>
              </w:rPr>
            </w:pPr>
            <w:r>
              <w:rPr>
                <w:rFonts w:cs="Times New Roman"/>
                <w:b/>
                <w:sz w:val="24"/>
                <w:szCs w:val="24"/>
              </w:rPr>
              <w:t>16</w:t>
            </w:r>
          </w:p>
        </w:tc>
        <w:tc>
          <w:tcPr>
            <w:tcW w:w="568" w:type="pct"/>
            <w:tcBorders>
              <w:top w:val="nil"/>
            </w:tcBorders>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Liquid</w:t>
            </w:r>
          </w:p>
        </w:tc>
        <w:tc>
          <w:tcPr>
            <w:tcW w:w="755" w:type="pct"/>
            <w:tcBorders>
              <w:top w:val="nil"/>
            </w:tcBorders>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~151</w:t>
            </w:r>
          </w:p>
        </w:tc>
        <w:tc>
          <w:tcPr>
            <w:tcW w:w="669" w:type="pct"/>
            <w:tcBorders>
              <w:top w:val="nil"/>
            </w:tcBorders>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0.36</w:t>
            </w:r>
          </w:p>
        </w:tc>
        <w:tc>
          <w:tcPr>
            <w:tcW w:w="1161" w:type="pct"/>
            <w:tcBorders>
              <w:top w:val="nil"/>
            </w:tcBorders>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-ve to 150</w:t>
            </w:r>
          </w:p>
        </w:tc>
        <w:tc>
          <w:tcPr>
            <w:tcW w:w="949" w:type="pct"/>
            <w:tcBorders>
              <w:top w:val="nil"/>
            </w:tcBorders>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Liquid</w:t>
            </w:r>
          </w:p>
        </w:tc>
      </w:tr>
      <w:tr w:rsidR="00155EE7" w:rsidRPr="0078497E" w:rsidTr="00155EE7">
        <w:tc>
          <w:tcPr>
            <w:tcW w:w="898" w:type="pct"/>
          </w:tcPr>
          <w:p w:rsidR="00155EE7" w:rsidRPr="0078497E" w:rsidRDefault="00BD1F16" w:rsidP="00155EE7">
            <w:pPr>
              <w:spacing w:line="360" w:lineRule="auto"/>
              <w:jc w:val="center"/>
              <w:rPr>
                <w:rFonts w:cs="Times New Roman"/>
                <w:b/>
                <w:sz w:val="24"/>
                <w:szCs w:val="24"/>
              </w:rPr>
            </w:pPr>
            <w:r>
              <w:rPr>
                <w:rFonts w:cs="Times New Roman"/>
                <w:b/>
                <w:sz w:val="24"/>
                <w:szCs w:val="24"/>
              </w:rPr>
              <w:t>17</w:t>
            </w:r>
          </w:p>
        </w:tc>
        <w:tc>
          <w:tcPr>
            <w:tcW w:w="568" w:type="pct"/>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41-43</w:t>
            </w:r>
          </w:p>
        </w:tc>
        <w:tc>
          <w:tcPr>
            <w:tcW w:w="755" w:type="pct"/>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~146</w:t>
            </w:r>
          </w:p>
        </w:tc>
        <w:tc>
          <w:tcPr>
            <w:tcW w:w="669" w:type="pct"/>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0.96</w:t>
            </w:r>
          </w:p>
        </w:tc>
        <w:tc>
          <w:tcPr>
            <w:tcW w:w="1161" w:type="pct"/>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300</w:t>
            </w:r>
          </w:p>
        </w:tc>
        <w:tc>
          <w:tcPr>
            <w:tcW w:w="949" w:type="pct"/>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218.5</w:t>
            </w:r>
          </w:p>
        </w:tc>
      </w:tr>
      <w:tr w:rsidR="00155EE7" w:rsidRPr="0078497E" w:rsidTr="00155EE7">
        <w:tc>
          <w:tcPr>
            <w:tcW w:w="898" w:type="pct"/>
          </w:tcPr>
          <w:p w:rsidR="00155EE7" w:rsidRPr="0078497E" w:rsidRDefault="00BD1F16" w:rsidP="00155EE7">
            <w:pPr>
              <w:spacing w:line="360" w:lineRule="auto"/>
              <w:jc w:val="center"/>
              <w:rPr>
                <w:rFonts w:cs="Times New Roman"/>
                <w:b/>
                <w:sz w:val="24"/>
                <w:szCs w:val="24"/>
              </w:rPr>
            </w:pPr>
            <w:r>
              <w:rPr>
                <w:rFonts w:cs="Times New Roman"/>
                <w:b/>
                <w:sz w:val="24"/>
                <w:szCs w:val="24"/>
              </w:rPr>
              <w:t>18</w:t>
            </w:r>
          </w:p>
        </w:tc>
        <w:tc>
          <w:tcPr>
            <w:tcW w:w="568" w:type="pct"/>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184-186</w:t>
            </w:r>
          </w:p>
        </w:tc>
        <w:tc>
          <w:tcPr>
            <w:tcW w:w="755" w:type="pct"/>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~163</w:t>
            </w:r>
          </w:p>
        </w:tc>
        <w:tc>
          <w:tcPr>
            <w:tcW w:w="669" w:type="pct"/>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2.29</w:t>
            </w:r>
          </w:p>
        </w:tc>
        <w:tc>
          <w:tcPr>
            <w:tcW w:w="1161" w:type="pct"/>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300</w:t>
            </w:r>
          </w:p>
        </w:tc>
        <w:tc>
          <w:tcPr>
            <w:tcW w:w="949" w:type="pct"/>
          </w:tcPr>
          <w:p w:rsidR="00155EE7" w:rsidRPr="0078497E" w:rsidRDefault="00155EE7" w:rsidP="00155EE7">
            <w:pPr>
              <w:spacing w:line="360" w:lineRule="auto"/>
              <w:jc w:val="center"/>
              <w:rPr>
                <w:rFonts w:cs="Times New Roman"/>
                <w:sz w:val="24"/>
                <w:szCs w:val="24"/>
              </w:rPr>
            </w:pPr>
            <w:r w:rsidRPr="0078497E">
              <w:rPr>
                <w:rFonts w:cs="Times New Roman"/>
                <w:sz w:val="24"/>
                <w:szCs w:val="24"/>
              </w:rPr>
              <w:t>295-296</w:t>
            </w:r>
          </w:p>
        </w:tc>
      </w:tr>
    </w:tbl>
    <w:p w:rsidR="00155EE7" w:rsidRDefault="00155EE7" w:rsidP="00155EE7">
      <w:pPr>
        <w:spacing w:line="360" w:lineRule="auto"/>
        <w:jc w:val="both"/>
        <w:rPr>
          <w:rFonts w:cs="Times New Roman"/>
          <w:b/>
          <w:i/>
          <w:sz w:val="24"/>
          <w:szCs w:val="24"/>
        </w:rPr>
      </w:pPr>
      <w:r w:rsidRPr="00155EE7">
        <w:rPr>
          <w:rFonts w:cs="Times New Roman"/>
          <w:b/>
          <w:sz w:val="24"/>
          <w:szCs w:val="24"/>
        </w:rPr>
        <w:t xml:space="preserve">Table 1.1 </w:t>
      </w:r>
      <w:r w:rsidRPr="00155EE7">
        <w:rPr>
          <w:rFonts w:cs="Times New Roman"/>
          <w:b/>
          <w:i/>
          <w:sz w:val="24"/>
          <w:szCs w:val="24"/>
        </w:rPr>
        <w:t xml:space="preserve">Properties of some common </w:t>
      </w:r>
      <w:r w:rsidR="009C452D">
        <w:rPr>
          <w:rFonts w:cs="Times New Roman"/>
          <w:b/>
          <w:i/>
          <w:sz w:val="24"/>
          <w:szCs w:val="24"/>
        </w:rPr>
        <w:t>diazo transfer</w:t>
      </w:r>
      <w:r w:rsidRPr="00155EE7">
        <w:rPr>
          <w:rFonts w:cs="Times New Roman"/>
          <w:b/>
          <w:i/>
          <w:sz w:val="24"/>
          <w:szCs w:val="24"/>
        </w:rPr>
        <w:t xml:space="preserve"> reagents</w:t>
      </w:r>
    </w:p>
    <w:p w:rsidR="000E3979" w:rsidRPr="00155EE7" w:rsidRDefault="000E3979" w:rsidP="000E3979">
      <w:pPr>
        <w:spacing w:line="360" w:lineRule="auto"/>
        <w:jc w:val="center"/>
        <w:rPr>
          <w:rFonts w:cs="Times New Roman"/>
          <w:i/>
          <w:sz w:val="24"/>
          <w:szCs w:val="24"/>
          <w:vertAlign w:val="superscript"/>
        </w:rPr>
      </w:pPr>
      <w:r>
        <w:object w:dxaOrig="8062" w:dyaOrig="1735">
          <v:shape id="_x0000_i1038" type="#_x0000_t75" style="width:402pt;height:87.75pt" o:ole="">
            <v:imagedata r:id="rId36" o:title=""/>
          </v:shape>
          <o:OLEObject Type="Embed" ProgID="ChemDraw.Document.6.0" ShapeID="_x0000_i1038" DrawAspect="Content" ObjectID="_1531849579" r:id="rId37"/>
        </w:object>
      </w:r>
    </w:p>
    <w:p w:rsidR="00AB0760" w:rsidRDefault="00AB0760" w:rsidP="0078497E">
      <w:pPr>
        <w:spacing w:line="360" w:lineRule="auto"/>
        <w:jc w:val="both"/>
        <w:rPr>
          <w:sz w:val="24"/>
          <w:szCs w:val="24"/>
        </w:rPr>
      </w:pPr>
    </w:p>
    <w:p w:rsidR="003A7FD4" w:rsidRDefault="003A7FD4" w:rsidP="0078497E">
      <w:pPr>
        <w:spacing w:line="360" w:lineRule="auto"/>
        <w:jc w:val="both"/>
        <w:rPr>
          <w:sz w:val="24"/>
          <w:szCs w:val="24"/>
        </w:rPr>
      </w:pPr>
    </w:p>
    <w:p w:rsidR="009966B6" w:rsidRDefault="009966B6" w:rsidP="008837DF">
      <w:pPr>
        <w:spacing w:line="360" w:lineRule="auto"/>
        <w:jc w:val="both"/>
        <w:rPr>
          <w:b/>
          <w:sz w:val="24"/>
          <w:szCs w:val="24"/>
        </w:rPr>
      </w:pPr>
      <w:r w:rsidRPr="00155EE7">
        <w:rPr>
          <w:rFonts w:cs="Times New Roman"/>
          <w:b/>
          <w:sz w:val="24"/>
          <w:szCs w:val="24"/>
        </w:rPr>
        <w:lastRenderedPageBreak/>
        <w:t>Table 1.1</w:t>
      </w:r>
      <w:r>
        <w:rPr>
          <w:rFonts w:cs="Times New Roman"/>
          <w:sz w:val="24"/>
          <w:szCs w:val="24"/>
        </w:rPr>
        <w:t xml:space="preserve"> shows that naphthalene-2-sulfonyl azide </w:t>
      </w:r>
      <w:r w:rsidR="00BD1F16">
        <w:rPr>
          <w:rFonts w:cs="Times New Roman"/>
          <w:b/>
          <w:sz w:val="24"/>
          <w:szCs w:val="24"/>
        </w:rPr>
        <w:t>17</w:t>
      </w:r>
      <w:r>
        <w:rPr>
          <w:rFonts w:cs="Times New Roman"/>
          <w:sz w:val="24"/>
          <w:szCs w:val="24"/>
        </w:rPr>
        <w:t xml:space="preserve"> has low impact sensitivity and a highly crystalline, poorly soluble by-product, which allows easy separation from liquid diazo products. Another diazo transfer regent found to have an improved safety profile over tosyl azide </w:t>
      </w:r>
      <w:r w:rsidR="00180C03">
        <w:rPr>
          <w:rFonts w:cs="Times New Roman"/>
          <w:b/>
          <w:sz w:val="24"/>
          <w:szCs w:val="24"/>
        </w:rPr>
        <w:t>14</w:t>
      </w:r>
      <w:r>
        <w:rPr>
          <w:rFonts w:cs="Times New Roman"/>
          <w:sz w:val="24"/>
          <w:szCs w:val="24"/>
        </w:rPr>
        <w:t xml:space="preserve"> is </w:t>
      </w:r>
      <w:r w:rsidRPr="00136D99">
        <w:rPr>
          <w:rFonts w:cs="Times New Roman"/>
          <w:i/>
          <w:sz w:val="24"/>
          <w:szCs w:val="24"/>
        </w:rPr>
        <w:t>p</w:t>
      </w:r>
      <w:r>
        <w:rPr>
          <w:rFonts w:cs="Times New Roman"/>
          <w:sz w:val="24"/>
          <w:szCs w:val="24"/>
        </w:rPr>
        <w:t xml:space="preserve">-carboxybenzenesulfonyl azide </w:t>
      </w:r>
      <w:r w:rsidR="00BD1F16">
        <w:rPr>
          <w:rFonts w:cs="Times New Roman"/>
          <w:b/>
          <w:sz w:val="24"/>
          <w:szCs w:val="24"/>
        </w:rPr>
        <w:t>18</w:t>
      </w:r>
      <w:r>
        <w:rPr>
          <w:rFonts w:cs="Times New Roman"/>
          <w:sz w:val="24"/>
          <w:szCs w:val="24"/>
        </w:rPr>
        <w:t>. This reagent has the advantage of being water soluble, but the disadvantage of requiring an excess of base for activation, making it unsuitable for base sensitive substrates. The trimethylamine salt of this acid is soluble in acetonitrile, while its by-product is insoluble – which can be used to facilitate purification of the diazo product.</w:t>
      </w:r>
    </w:p>
    <w:p w:rsidR="009966B6" w:rsidRDefault="009966B6" w:rsidP="008837DF">
      <w:pPr>
        <w:spacing w:line="360" w:lineRule="auto"/>
        <w:jc w:val="both"/>
        <w:rPr>
          <w:b/>
          <w:sz w:val="24"/>
          <w:szCs w:val="24"/>
        </w:rPr>
      </w:pPr>
    </w:p>
    <w:p w:rsidR="008837DF" w:rsidRPr="008837DF" w:rsidRDefault="00DD231C" w:rsidP="00DD231C">
      <w:pPr>
        <w:pStyle w:val="Heading2"/>
      </w:pPr>
      <w:bookmarkStart w:id="8" w:name="_Toc446773061"/>
      <w:r>
        <w:t>1.</w:t>
      </w:r>
      <w:r w:rsidR="00591EF1">
        <w:t>2</w:t>
      </w:r>
      <w:r>
        <w:t xml:space="preserve">.2 </w:t>
      </w:r>
      <w:r w:rsidR="00270F50">
        <w:t>P</w:t>
      </w:r>
      <w:r w:rsidR="008837DF" w:rsidRPr="008837DF">
        <w:t xml:space="preserve">rogress towards safer </w:t>
      </w:r>
      <w:r w:rsidR="009C452D">
        <w:t>diazo transfer</w:t>
      </w:r>
      <w:r w:rsidR="008837DF" w:rsidRPr="008837DF">
        <w:t xml:space="preserve"> reactions/reagents</w:t>
      </w:r>
      <w:bookmarkEnd w:id="8"/>
      <w:r w:rsidR="008837DF" w:rsidRPr="008837DF">
        <w:t xml:space="preserve"> </w:t>
      </w:r>
    </w:p>
    <w:p w:rsidR="008837DF" w:rsidRPr="008837DF" w:rsidRDefault="000E3979" w:rsidP="008837DF">
      <w:pPr>
        <w:spacing w:line="360" w:lineRule="auto"/>
        <w:jc w:val="both"/>
        <w:rPr>
          <w:b/>
          <w:sz w:val="24"/>
          <w:szCs w:val="24"/>
        </w:rPr>
      </w:pPr>
      <w:r>
        <w:rPr>
          <w:sz w:val="24"/>
          <w:szCs w:val="24"/>
        </w:rPr>
        <w:t xml:space="preserve">Various diazo transfer reagents have been developed in an attempt to demonstrate </w:t>
      </w:r>
      <w:r w:rsidR="00A14F63">
        <w:rPr>
          <w:sz w:val="24"/>
          <w:szCs w:val="24"/>
        </w:rPr>
        <w:t>t</w:t>
      </w:r>
      <w:r>
        <w:rPr>
          <w:sz w:val="24"/>
          <w:szCs w:val="24"/>
        </w:rPr>
        <w:t xml:space="preserve">o the pharmaceutical industry </w:t>
      </w:r>
      <w:r w:rsidR="00A14F63">
        <w:rPr>
          <w:sz w:val="24"/>
          <w:szCs w:val="24"/>
        </w:rPr>
        <w:t>that diazo compounds could be part of their chemical armoury if their synthesis could be scaled up safely.</w:t>
      </w:r>
      <w:r>
        <w:rPr>
          <w:sz w:val="24"/>
          <w:szCs w:val="24"/>
        </w:rPr>
        <w:t xml:space="preserve"> </w:t>
      </w:r>
      <w:r w:rsidR="008837DF">
        <w:rPr>
          <w:sz w:val="24"/>
          <w:szCs w:val="24"/>
        </w:rPr>
        <w:t>The risks associated with preparing and using traditional diazo transfer reagents have been well reported in the liter</w:t>
      </w:r>
      <w:r w:rsidR="005564E7">
        <w:rPr>
          <w:sz w:val="24"/>
          <w:szCs w:val="24"/>
        </w:rPr>
        <w:t>ature.</w:t>
      </w:r>
      <w:r w:rsidR="005564E7">
        <w:rPr>
          <w:sz w:val="24"/>
          <w:szCs w:val="24"/>
        </w:rPr>
        <w:fldChar w:fldCharType="begin" w:fldLock="1"/>
      </w:r>
      <w:r w:rsidR="00F168DA">
        <w:rPr>
          <w:sz w:val="24"/>
          <w:szCs w:val="24"/>
        </w:rPr>
        <w:instrText>ADDIN CSL_CITATION { "citationItems" : [ { "id" : "ITEM-1", "itemData" : { "DOI" : "10.1016/0040-6031(94)85051-8", "ISSN" : "0040-6031", "abstract" : "Eight effective diazotransfer reagents were evaluated for their thermal stability using DSC anal. and impact sensitivity testing.  P-Dodecylbenzenesulfonyl azide was the least hazardous reagent of those tested.  The results of contamination studies and detonation velocity tests were also reported for p-dodecylbenzenesulfonyl azide. [on SciFinder(R)]", "author" : [ { "dropping-particle" : "", "family" : "Tuma", "given" : "Linda D", "non-dropping-particle" : "", "parse-names" : false, "suffix" : "" } ], "container-title" : "Thermochimica Acta", "id" : "ITEM-1", "issue" : "2", "issued" : { "date-parts" : [ [ "1994" ] ] }, "page" : "161-167", "title" : "Identification of a safe diazotransfer reagent.", "type" : "article-journal", "volume" : "243" }, "uris" : [ "http://www.mendeley.com/documents/?uuid=5714b72a-acb0-44d2-8b36-c4d774f6a77b" ] }, { "id" : "ITEM-2", "itemData" : { "ISSN" : "0936-5214", "abstract" : "A review with 30 refs. The explosive hazard of widely used diazotransfer reagents has been measured. Since no single reagent is suitable for all uses, selection must be based on minimization of hazard and ease of purifn. of the product. In general, azidotransfer reagents are more energetic than diazotransfer reagents, therefore more hazardous to the researcher. Users of azidotransfer reagents are invited to det. the inherent hazards of these compds. [on SciFinder(R)]", "author" : [ { "dropping-particle" : "", "family" : "Bollinger", "given" : "Frederick W", "non-dropping-particle" : "", "parse-names" : false, "suffix" : "" }, { "dropping-particle" : "", "family" : "Tuma", "given" : "Linda D", "non-dropping-particle" : "", "parse-names" : false, "suffix" : "" } ], "container-title" : "Synlett", "id" : "ITEM-2", "issue" : "5", "issued" : { "date-parts" : [ [ "1996" ] ] }, "note" : "CAPLUS AN 1996:339089(Journal; General Review)", "page" : "407-413", "publisher" : "Thieme", "title" : "Diazotransfer reagents.", "type" : "article-journal" }, "uris" : [ "http://www.mendeley.com/documents/?uuid=a96952d8-7a81-4b6f-b61d-aba6dde60f1e" ] } ], "mendeley" : { "formattedCitation" : "&lt;sup&gt;[10,45]&lt;/sup&gt;", "plainTextFormattedCitation" : "[10,45]", "previouslyFormattedCitation" : "&lt;sup&gt;[10,45]&lt;/sup&gt;" }, "properties" : { "noteIndex" : 0 }, "schema" : "https://github.com/citation-style-language/schema/raw/master/csl-citation.json" }</w:instrText>
      </w:r>
      <w:r w:rsidR="005564E7">
        <w:rPr>
          <w:sz w:val="24"/>
          <w:szCs w:val="24"/>
        </w:rPr>
        <w:fldChar w:fldCharType="separate"/>
      </w:r>
      <w:r w:rsidR="0055300D" w:rsidRPr="0055300D">
        <w:rPr>
          <w:noProof/>
          <w:sz w:val="24"/>
          <w:szCs w:val="24"/>
          <w:vertAlign w:val="superscript"/>
        </w:rPr>
        <w:t>[10,45]</w:t>
      </w:r>
      <w:r w:rsidR="005564E7">
        <w:rPr>
          <w:sz w:val="24"/>
          <w:szCs w:val="24"/>
        </w:rPr>
        <w:fldChar w:fldCharType="end"/>
      </w:r>
      <w:r w:rsidR="008837DF" w:rsidRPr="008837DF">
        <w:rPr>
          <w:sz w:val="24"/>
          <w:szCs w:val="24"/>
        </w:rPr>
        <w:t xml:space="preserve"> Consequently</w:t>
      </w:r>
      <w:r w:rsidR="00E2013D">
        <w:rPr>
          <w:sz w:val="24"/>
          <w:szCs w:val="24"/>
        </w:rPr>
        <w:t>,</w:t>
      </w:r>
      <w:r w:rsidR="008837DF" w:rsidRPr="008837DF">
        <w:rPr>
          <w:sz w:val="24"/>
          <w:szCs w:val="24"/>
        </w:rPr>
        <w:t xml:space="preserve"> interest in the development of safer alternatives has seen the development of a range of </w:t>
      </w:r>
      <w:r w:rsidR="009C452D">
        <w:rPr>
          <w:sz w:val="24"/>
          <w:szCs w:val="24"/>
        </w:rPr>
        <w:t>diazo transfer</w:t>
      </w:r>
      <w:r w:rsidR="008837DF" w:rsidRPr="008837DF">
        <w:rPr>
          <w:sz w:val="24"/>
          <w:szCs w:val="24"/>
        </w:rPr>
        <w:t xml:space="preserve"> reagents with improved safety profiles, greater </w:t>
      </w:r>
      <w:r w:rsidR="005564E7">
        <w:rPr>
          <w:sz w:val="24"/>
          <w:szCs w:val="24"/>
        </w:rPr>
        <w:t>ease of handling,</w:t>
      </w:r>
      <w:r w:rsidR="008837DF" w:rsidRPr="008837DF">
        <w:rPr>
          <w:sz w:val="24"/>
          <w:szCs w:val="24"/>
        </w:rPr>
        <w:t xml:space="preserve"> and easier isolation of the diazo-product. </w:t>
      </w:r>
      <w:r w:rsidR="005564E7">
        <w:rPr>
          <w:sz w:val="24"/>
          <w:szCs w:val="24"/>
        </w:rPr>
        <w:t>The following section shows a selection of</w:t>
      </w:r>
      <w:r w:rsidR="008837DF" w:rsidRPr="008837DF">
        <w:rPr>
          <w:sz w:val="24"/>
          <w:szCs w:val="24"/>
        </w:rPr>
        <w:t xml:space="preserve"> the recent breakthroughs in safer alternatives to the traditional transfer reagents.</w:t>
      </w:r>
    </w:p>
    <w:p w:rsidR="00EB58ED" w:rsidRDefault="00EB58ED" w:rsidP="005564E7">
      <w:pPr>
        <w:spacing w:line="360" w:lineRule="auto"/>
        <w:jc w:val="both"/>
        <w:rPr>
          <w:b/>
          <w:sz w:val="24"/>
          <w:szCs w:val="24"/>
        </w:rPr>
      </w:pPr>
    </w:p>
    <w:p w:rsidR="005564E7" w:rsidRPr="00ED6262" w:rsidRDefault="005564E7" w:rsidP="005564E7">
      <w:pPr>
        <w:spacing w:line="360" w:lineRule="auto"/>
        <w:jc w:val="both"/>
        <w:rPr>
          <w:sz w:val="24"/>
          <w:szCs w:val="24"/>
          <w:vertAlign w:val="superscript"/>
        </w:rPr>
      </w:pPr>
      <w:r w:rsidRPr="00ED6262">
        <w:rPr>
          <w:b/>
          <w:sz w:val="24"/>
          <w:szCs w:val="24"/>
        </w:rPr>
        <w:t>P</w:t>
      </w:r>
      <w:r w:rsidR="009C6875">
        <w:rPr>
          <w:b/>
          <w:sz w:val="24"/>
          <w:szCs w:val="24"/>
        </w:rPr>
        <w:t>olystyrene-s</w:t>
      </w:r>
      <w:r w:rsidR="007F5B50">
        <w:rPr>
          <w:b/>
          <w:sz w:val="24"/>
          <w:szCs w:val="24"/>
        </w:rPr>
        <w:t xml:space="preserve">upported </w:t>
      </w:r>
      <w:r w:rsidR="009C6875">
        <w:rPr>
          <w:b/>
          <w:sz w:val="24"/>
          <w:szCs w:val="24"/>
        </w:rPr>
        <w:t>b</w:t>
      </w:r>
      <w:r w:rsidR="007F5B50">
        <w:rPr>
          <w:b/>
          <w:sz w:val="24"/>
          <w:szCs w:val="24"/>
        </w:rPr>
        <w:t>enzenesulfon</w:t>
      </w:r>
      <w:r>
        <w:rPr>
          <w:b/>
          <w:sz w:val="24"/>
          <w:szCs w:val="24"/>
        </w:rPr>
        <w:t xml:space="preserve">yl </w:t>
      </w:r>
      <w:r w:rsidR="009C6875">
        <w:rPr>
          <w:b/>
          <w:sz w:val="24"/>
          <w:szCs w:val="24"/>
        </w:rPr>
        <w:t>a</w:t>
      </w:r>
      <w:r>
        <w:rPr>
          <w:b/>
          <w:sz w:val="24"/>
          <w:szCs w:val="24"/>
        </w:rPr>
        <w:t>zide</w:t>
      </w:r>
    </w:p>
    <w:p w:rsidR="005564E7" w:rsidRDefault="005564E7" w:rsidP="005564E7">
      <w:pPr>
        <w:spacing w:line="360" w:lineRule="auto"/>
        <w:jc w:val="both"/>
        <w:rPr>
          <w:sz w:val="24"/>
          <w:szCs w:val="24"/>
        </w:rPr>
      </w:pPr>
      <w:r>
        <w:rPr>
          <w:sz w:val="24"/>
          <w:szCs w:val="24"/>
        </w:rPr>
        <w:t>Green</w:t>
      </w:r>
      <w:r w:rsidRPr="00ED6262">
        <w:rPr>
          <w:sz w:val="24"/>
          <w:szCs w:val="24"/>
        </w:rPr>
        <w:t xml:space="preserve"> and co-workers</w:t>
      </w:r>
      <w:r w:rsidR="00E2013D">
        <w:rPr>
          <w:sz w:val="24"/>
          <w:szCs w:val="24"/>
        </w:rPr>
        <w:fldChar w:fldCharType="begin" w:fldLock="1"/>
      </w:r>
      <w:r w:rsidR="00F168DA">
        <w:rPr>
          <w:sz w:val="24"/>
          <w:szCs w:val="24"/>
        </w:rPr>
        <w:instrText>ADDIN CSL_CITATION { "citationItems" : [ { "id" : "ITEM-1", "itemData" : { "DOI" : "10.1021/jo005738d", "ISSN" : "0022-3263", "abstract" : "Polymer-supported benzenesulfonyl azide was prepd. in one step from polymer-supported benzenesulfonyl chloride.  Typically, 1.5 mmol resin was swollen in DMF and treated with sodium azide (3.0 mmol) dissolved in water (1 mL) and dild. with DMF (7 mL).  After 16 h the resin was washed with water (5 x 5 mL), DMF (5 x 5 mL) and finally with dichloromethane (3 x 5 mL) and dried under vacuum at 40\u00b0.  Loading of the resin was 1.0-1.5 mmol/g as detd. by combustion anal.; the resin appears to be stable at room temp. for an indefinite period of time.  Polystyrene-supported benzenesulfonyl azide (500 mg; 0.75 mmol) was placed in a 5.0 mL disposable polystyrene/polyethylene syringe and swollen with dichloromethane.  A mixt. of 1-phenyl-1,3-butanedione (0.5 mmol) and triethylamine (1.5 mmol) in dichloromethane (2.0 mL) was drawn into the resin-contg. syringe and placed on a LabQuake shaker and rotated at room temp.  After 4 h the supernatant was collected and resin was washed with dichloromethane.  After removal of org. solvents, the resulting yellow powder was purified on a silica column; the yield of 2-diazo-1-phenyl-1,3-butanedione was 98%. [on SciFinder(R)]", "author" : [ { "dropping-particle" : "", "family" : "Green", "given" : "Gary M", "non-dropping-particle" : "", "parse-names" : false, "suffix" : "" }, { "dropping-particle" : "", "family" : "Peet", "given" : "Norton P", "non-dropping-particle" : "", "parse-names" : false, "suffix" : "" }, { "dropping-particle" : "", "family" : "Metz", "given" : "William A", "non-dropping-particle" : "", "parse-names" : false, "suffix" : "" } ], "container-title" : "Journal of Organic Chemistry", "id" : "ITEM-1", "issue" : "7", "issued" : { "date-parts" : [ [ "2001" ] ] }, "note" : "CAPLUS AN 2001:156153(Journal)", "page" : "2509-2511", "publisher" : "American Chemical Society", "title" : "Polystyrene-Supported Benzenesulfonyl Azide: A Diazo Transfer Reagent That Is Both Efficient and Safe.", "type" : "article-journal", "volume" : "66" }, "uris" : [ "http://www.mendeley.com/documents/?uuid=52a8211d-6bd7-4d98-8b4d-eb26d933e798" ] } ], "mendeley" : { "formattedCitation" : "&lt;sup&gt;[36]&lt;/sup&gt;", "plainTextFormattedCitation" : "[36]", "previouslyFormattedCitation" : "&lt;sup&gt;[36]&lt;/sup&gt;" }, "properties" : { "noteIndex" : 0 }, "schema" : "https://github.com/citation-style-language/schema/raw/master/csl-citation.json" }</w:instrText>
      </w:r>
      <w:r w:rsidR="00E2013D">
        <w:rPr>
          <w:sz w:val="24"/>
          <w:szCs w:val="24"/>
        </w:rPr>
        <w:fldChar w:fldCharType="separate"/>
      </w:r>
      <w:r w:rsidR="0055300D" w:rsidRPr="0055300D">
        <w:rPr>
          <w:noProof/>
          <w:sz w:val="24"/>
          <w:szCs w:val="24"/>
          <w:vertAlign w:val="superscript"/>
        </w:rPr>
        <w:t>[36]</w:t>
      </w:r>
      <w:r w:rsidR="00E2013D">
        <w:rPr>
          <w:sz w:val="24"/>
          <w:szCs w:val="24"/>
        </w:rPr>
        <w:fldChar w:fldCharType="end"/>
      </w:r>
      <w:r w:rsidRPr="00ED6262">
        <w:rPr>
          <w:sz w:val="24"/>
          <w:szCs w:val="24"/>
        </w:rPr>
        <w:t xml:space="preserve"> dev</w:t>
      </w:r>
      <w:r w:rsidR="007F5B50">
        <w:rPr>
          <w:sz w:val="24"/>
          <w:szCs w:val="24"/>
        </w:rPr>
        <w:t>eloped a polymer-supported benzenesulfonyl</w:t>
      </w:r>
      <w:r w:rsidRPr="00ED6262">
        <w:rPr>
          <w:sz w:val="24"/>
          <w:szCs w:val="24"/>
        </w:rPr>
        <w:t xml:space="preserve"> azide</w:t>
      </w:r>
      <w:r w:rsidR="00270F50">
        <w:rPr>
          <w:sz w:val="24"/>
          <w:szCs w:val="24"/>
        </w:rPr>
        <w:t xml:space="preserve"> </w:t>
      </w:r>
      <w:r w:rsidR="00E2013D">
        <w:rPr>
          <w:b/>
          <w:sz w:val="24"/>
          <w:szCs w:val="24"/>
        </w:rPr>
        <w:t>19</w:t>
      </w:r>
      <w:r w:rsidRPr="00ED6262">
        <w:rPr>
          <w:sz w:val="24"/>
          <w:szCs w:val="24"/>
        </w:rPr>
        <w:t xml:space="preserve"> which has</w:t>
      </w:r>
      <w:r>
        <w:rPr>
          <w:sz w:val="24"/>
          <w:szCs w:val="24"/>
        </w:rPr>
        <w:t xml:space="preserve"> the following benefits compared to the standard unmodified reagent:</w:t>
      </w:r>
    </w:p>
    <w:p w:rsidR="005564E7" w:rsidRDefault="005564E7" w:rsidP="005564E7">
      <w:pPr>
        <w:pStyle w:val="ListParagraph"/>
        <w:numPr>
          <w:ilvl w:val="0"/>
          <w:numId w:val="2"/>
        </w:numPr>
        <w:spacing w:line="360" w:lineRule="auto"/>
        <w:jc w:val="both"/>
        <w:rPr>
          <w:sz w:val="24"/>
          <w:szCs w:val="24"/>
        </w:rPr>
      </w:pPr>
      <w:r>
        <w:rPr>
          <w:sz w:val="24"/>
          <w:szCs w:val="24"/>
        </w:rPr>
        <w:t>Thermally stable</w:t>
      </w:r>
    </w:p>
    <w:p w:rsidR="005564E7" w:rsidRDefault="005564E7" w:rsidP="005564E7">
      <w:pPr>
        <w:pStyle w:val="ListParagraph"/>
        <w:numPr>
          <w:ilvl w:val="0"/>
          <w:numId w:val="2"/>
        </w:numPr>
        <w:spacing w:line="360" w:lineRule="auto"/>
        <w:jc w:val="both"/>
        <w:rPr>
          <w:sz w:val="24"/>
          <w:szCs w:val="24"/>
        </w:rPr>
      </w:pPr>
      <w:r>
        <w:rPr>
          <w:sz w:val="24"/>
          <w:szCs w:val="24"/>
        </w:rPr>
        <w:t>Is not friction sensitive</w:t>
      </w:r>
    </w:p>
    <w:p w:rsidR="005564E7" w:rsidRDefault="005564E7" w:rsidP="005564E7">
      <w:pPr>
        <w:pStyle w:val="ListParagraph"/>
        <w:numPr>
          <w:ilvl w:val="0"/>
          <w:numId w:val="2"/>
        </w:numPr>
        <w:spacing w:line="360" w:lineRule="auto"/>
        <w:jc w:val="both"/>
        <w:rPr>
          <w:sz w:val="24"/>
          <w:szCs w:val="24"/>
        </w:rPr>
      </w:pPr>
      <w:r>
        <w:rPr>
          <w:sz w:val="24"/>
          <w:szCs w:val="24"/>
        </w:rPr>
        <w:t>Easy preparation and handling</w:t>
      </w:r>
    </w:p>
    <w:p w:rsidR="005564E7" w:rsidRDefault="005564E7" w:rsidP="005564E7">
      <w:pPr>
        <w:pStyle w:val="ListParagraph"/>
        <w:numPr>
          <w:ilvl w:val="0"/>
          <w:numId w:val="2"/>
        </w:numPr>
        <w:spacing w:line="360" w:lineRule="auto"/>
        <w:jc w:val="both"/>
        <w:rPr>
          <w:sz w:val="24"/>
          <w:szCs w:val="24"/>
        </w:rPr>
      </w:pPr>
      <w:r>
        <w:rPr>
          <w:sz w:val="24"/>
          <w:szCs w:val="24"/>
        </w:rPr>
        <w:t>Improved safety profile</w:t>
      </w:r>
    </w:p>
    <w:p w:rsidR="005564E7" w:rsidRDefault="005564E7" w:rsidP="005564E7">
      <w:pPr>
        <w:pStyle w:val="ListParagraph"/>
        <w:numPr>
          <w:ilvl w:val="0"/>
          <w:numId w:val="2"/>
        </w:numPr>
        <w:spacing w:line="360" w:lineRule="auto"/>
        <w:jc w:val="both"/>
        <w:rPr>
          <w:sz w:val="24"/>
          <w:szCs w:val="24"/>
        </w:rPr>
      </w:pPr>
      <w:r>
        <w:rPr>
          <w:sz w:val="24"/>
          <w:szCs w:val="24"/>
        </w:rPr>
        <w:t>Ease of purification of the diazocarbonyl product – the resin</w:t>
      </w:r>
      <w:r w:rsidR="006119B2">
        <w:rPr>
          <w:sz w:val="24"/>
          <w:szCs w:val="24"/>
        </w:rPr>
        <w:t xml:space="preserve"> containing sulfonyl amide by-product</w:t>
      </w:r>
      <w:r>
        <w:rPr>
          <w:sz w:val="24"/>
          <w:szCs w:val="24"/>
        </w:rPr>
        <w:t xml:space="preserve"> can be removed by filtration, with no need for an aqueous work-up.</w:t>
      </w:r>
    </w:p>
    <w:p w:rsidR="00F706C8" w:rsidRPr="00F706C8" w:rsidRDefault="00F706C8" w:rsidP="00F706C8">
      <w:pPr>
        <w:spacing w:line="360" w:lineRule="auto"/>
        <w:jc w:val="center"/>
        <w:rPr>
          <w:sz w:val="24"/>
          <w:szCs w:val="24"/>
        </w:rPr>
      </w:pPr>
      <w:r>
        <w:object w:dxaOrig="5085" w:dyaOrig="1622">
          <v:shape id="_x0000_i1039" type="#_x0000_t75" style="width:254.25pt;height:80.25pt" o:ole="">
            <v:imagedata r:id="rId38" o:title=""/>
          </v:shape>
          <o:OLEObject Type="Embed" ProgID="ChemDraw.Document.6.0" ShapeID="_x0000_i1039" DrawAspect="Content" ObjectID="_1531849580" r:id="rId39"/>
        </w:object>
      </w:r>
    </w:p>
    <w:p w:rsidR="00E2013D" w:rsidRDefault="00F706C8" w:rsidP="00E2013D">
      <w:pPr>
        <w:spacing w:line="360" w:lineRule="auto"/>
        <w:jc w:val="center"/>
        <w:rPr>
          <w:sz w:val="24"/>
          <w:szCs w:val="24"/>
        </w:rPr>
      </w:pPr>
      <w:r>
        <w:rPr>
          <w:b/>
          <w:sz w:val="24"/>
          <w:szCs w:val="24"/>
        </w:rPr>
        <w:t>Scheme 1.12</w:t>
      </w:r>
    </w:p>
    <w:p w:rsidR="005564E7" w:rsidRDefault="005564E7" w:rsidP="005564E7">
      <w:pPr>
        <w:spacing w:line="360" w:lineRule="auto"/>
        <w:jc w:val="both"/>
        <w:rPr>
          <w:sz w:val="24"/>
          <w:szCs w:val="24"/>
        </w:rPr>
      </w:pPr>
      <w:r w:rsidRPr="008F6111">
        <w:rPr>
          <w:sz w:val="24"/>
          <w:szCs w:val="24"/>
        </w:rPr>
        <w:t xml:space="preserve">The polymer-supported benzenesulfonyl azide resin </w:t>
      </w:r>
      <w:r w:rsidR="00E2013D">
        <w:rPr>
          <w:b/>
          <w:sz w:val="24"/>
          <w:szCs w:val="24"/>
        </w:rPr>
        <w:t>19</w:t>
      </w:r>
      <w:r w:rsidRPr="008F6111">
        <w:rPr>
          <w:sz w:val="24"/>
          <w:szCs w:val="24"/>
        </w:rPr>
        <w:t xml:space="preserve"> is prepared in one step from commercially available polymer-supported benzenesulfonyl chloride </w:t>
      </w:r>
      <w:r w:rsidR="00E2013D">
        <w:rPr>
          <w:b/>
          <w:sz w:val="24"/>
          <w:szCs w:val="24"/>
        </w:rPr>
        <w:t>20</w:t>
      </w:r>
      <w:r w:rsidRPr="008F6111">
        <w:rPr>
          <w:sz w:val="24"/>
          <w:szCs w:val="24"/>
        </w:rPr>
        <w:t xml:space="preserve"> by reaction with s</w:t>
      </w:r>
      <w:r>
        <w:rPr>
          <w:sz w:val="24"/>
          <w:szCs w:val="24"/>
        </w:rPr>
        <w:t>odium azide at room temperature</w:t>
      </w:r>
      <w:r w:rsidR="00E2013D">
        <w:rPr>
          <w:sz w:val="24"/>
          <w:szCs w:val="24"/>
        </w:rPr>
        <w:t xml:space="preserve">, as illustrated above in </w:t>
      </w:r>
      <w:r w:rsidR="00E2013D" w:rsidRPr="00E2013D">
        <w:rPr>
          <w:b/>
          <w:sz w:val="24"/>
          <w:szCs w:val="24"/>
        </w:rPr>
        <w:t>Scheme 1.1</w:t>
      </w:r>
      <w:r w:rsidR="00F706C8">
        <w:rPr>
          <w:b/>
          <w:sz w:val="24"/>
          <w:szCs w:val="24"/>
        </w:rPr>
        <w:t>2</w:t>
      </w:r>
      <w:r w:rsidR="00E2013D">
        <w:rPr>
          <w:sz w:val="24"/>
          <w:szCs w:val="24"/>
        </w:rPr>
        <w:t>.</w:t>
      </w:r>
      <w:r w:rsidRPr="008F6111">
        <w:rPr>
          <w:sz w:val="24"/>
          <w:szCs w:val="24"/>
        </w:rPr>
        <w:t xml:space="preserve"> </w:t>
      </w:r>
    </w:p>
    <w:p w:rsidR="005564E7" w:rsidRDefault="005564E7" w:rsidP="005564E7">
      <w:pPr>
        <w:spacing w:line="360" w:lineRule="auto"/>
        <w:jc w:val="both"/>
        <w:rPr>
          <w:sz w:val="24"/>
          <w:szCs w:val="24"/>
        </w:rPr>
      </w:pPr>
      <w:r w:rsidRPr="00B30178">
        <w:rPr>
          <w:sz w:val="24"/>
          <w:szCs w:val="24"/>
        </w:rPr>
        <w:t xml:space="preserve">The standard tosyl azide </w:t>
      </w:r>
      <w:r w:rsidR="00180C03">
        <w:rPr>
          <w:b/>
          <w:sz w:val="24"/>
          <w:szCs w:val="24"/>
        </w:rPr>
        <w:t>14</w:t>
      </w:r>
      <w:r w:rsidRPr="00B30178">
        <w:rPr>
          <w:sz w:val="24"/>
          <w:szCs w:val="24"/>
        </w:rPr>
        <w:t xml:space="preserve"> needs to be stored in the freezer in an isolated container and then carefully warmed to room temperature before use. Extreme caution must be taken in its handling and care must be taken when pipetting the liquid that it doesn’t come into contact with any sharp edges. In cont</w:t>
      </w:r>
      <w:r w:rsidR="007F5B50">
        <w:rPr>
          <w:sz w:val="24"/>
          <w:szCs w:val="24"/>
        </w:rPr>
        <w:t>rast the polymer-supported benzenesulfonyl</w:t>
      </w:r>
      <w:r w:rsidRPr="00B30178">
        <w:rPr>
          <w:sz w:val="24"/>
          <w:szCs w:val="24"/>
        </w:rPr>
        <w:t xml:space="preserve"> azide </w:t>
      </w:r>
      <w:r w:rsidR="00E2013D">
        <w:rPr>
          <w:b/>
          <w:sz w:val="24"/>
          <w:szCs w:val="24"/>
        </w:rPr>
        <w:t>19</w:t>
      </w:r>
      <w:r w:rsidRPr="00B30178">
        <w:rPr>
          <w:sz w:val="24"/>
          <w:szCs w:val="24"/>
        </w:rPr>
        <w:t xml:space="preserve"> can be stored on the bench and has much easier handling as it can be easily weighed out in the solid form.  </w:t>
      </w:r>
    </w:p>
    <w:p w:rsidR="005564E7" w:rsidRDefault="005564E7" w:rsidP="005564E7">
      <w:pPr>
        <w:spacing w:line="360" w:lineRule="auto"/>
        <w:jc w:val="both"/>
        <w:rPr>
          <w:sz w:val="24"/>
          <w:szCs w:val="24"/>
        </w:rPr>
      </w:pPr>
      <w:r>
        <w:rPr>
          <w:sz w:val="24"/>
          <w:szCs w:val="24"/>
        </w:rPr>
        <w:t>Green and co-workers achieved successful diazo transfer to a range</w:t>
      </w:r>
      <w:r w:rsidRPr="00B30178">
        <w:rPr>
          <w:sz w:val="24"/>
          <w:szCs w:val="24"/>
        </w:rPr>
        <w:t xml:space="preserve"> of substrates including β-ketoesters and diketones</w:t>
      </w:r>
      <w:r>
        <w:rPr>
          <w:sz w:val="24"/>
          <w:szCs w:val="24"/>
        </w:rPr>
        <w:t xml:space="preserve"> in good to excellent</w:t>
      </w:r>
      <w:r w:rsidRPr="00B30178">
        <w:rPr>
          <w:sz w:val="24"/>
          <w:szCs w:val="24"/>
        </w:rPr>
        <w:t xml:space="preserve"> yields</w:t>
      </w:r>
      <w:r w:rsidR="006F25EC">
        <w:rPr>
          <w:sz w:val="24"/>
          <w:szCs w:val="24"/>
        </w:rPr>
        <w:t xml:space="preserve"> (</w:t>
      </w:r>
      <w:r w:rsidR="006F25EC" w:rsidRPr="006F25EC">
        <w:rPr>
          <w:b/>
          <w:sz w:val="24"/>
          <w:szCs w:val="24"/>
        </w:rPr>
        <w:t>Scheme 1.1</w:t>
      </w:r>
      <w:r w:rsidR="00F706C8">
        <w:rPr>
          <w:b/>
          <w:sz w:val="24"/>
          <w:szCs w:val="24"/>
        </w:rPr>
        <w:t>3</w:t>
      </w:r>
      <w:r w:rsidR="006F25EC">
        <w:rPr>
          <w:sz w:val="24"/>
          <w:szCs w:val="24"/>
        </w:rPr>
        <w:t>).</w:t>
      </w:r>
      <w:r>
        <w:rPr>
          <w:sz w:val="24"/>
          <w:szCs w:val="24"/>
        </w:rPr>
        <w:t xml:space="preserve"> Once the reaction was comp</w:t>
      </w:r>
      <w:r w:rsidR="007F5B50">
        <w:rPr>
          <w:sz w:val="24"/>
          <w:szCs w:val="24"/>
        </w:rPr>
        <w:t>lete, the polymer-supported benz</w:t>
      </w:r>
      <w:r>
        <w:rPr>
          <w:sz w:val="24"/>
          <w:szCs w:val="24"/>
        </w:rPr>
        <w:t xml:space="preserve">enesulfonyl amide was removed by filtration to give pure </w:t>
      </w:r>
      <w:r w:rsidRPr="00B30178">
        <w:rPr>
          <w:rFonts w:ascii="Symbol" w:hAnsi="Symbol"/>
          <w:sz w:val="24"/>
          <w:szCs w:val="24"/>
        </w:rPr>
        <w:t></w:t>
      </w:r>
      <w:r>
        <w:rPr>
          <w:sz w:val="24"/>
          <w:szCs w:val="24"/>
        </w:rPr>
        <w:t xml:space="preserve">-diazocarbonyl product on removal of solvent. This is in direct contrast to standard tosyl azide which requires an aqueous work-up to remove </w:t>
      </w:r>
      <w:r w:rsidRPr="00B30178">
        <w:rPr>
          <w:i/>
          <w:sz w:val="24"/>
          <w:szCs w:val="24"/>
        </w:rPr>
        <w:t>p</w:t>
      </w:r>
      <w:r>
        <w:rPr>
          <w:sz w:val="24"/>
          <w:szCs w:val="24"/>
        </w:rPr>
        <w:t xml:space="preserve">-toluenesulfonyl </w:t>
      </w:r>
      <w:r w:rsidR="00412D6F">
        <w:rPr>
          <w:sz w:val="24"/>
          <w:szCs w:val="24"/>
        </w:rPr>
        <w:t>amide by</w:t>
      </w:r>
      <w:r>
        <w:rPr>
          <w:sz w:val="24"/>
          <w:szCs w:val="24"/>
        </w:rPr>
        <w:t>-product</w:t>
      </w:r>
      <w:r w:rsidR="00F706C8">
        <w:rPr>
          <w:sz w:val="24"/>
          <w:szCs w:val="24"/>
        </w:rPr>
        <w:t xml:space="preserve"> </w:t>
      </w:r>
      <w:r w:rsidR="00F706C8" w:rsidRPr="00E2013D">
        <w:rPr>
          <w:b/>
          <w:sz w:val="24"/>
          <w:szCs w:val="24"/>
        </w:rPr>
        <w:t>21</w:t>
      </w:r>
      <w:r>
        <w:rPr>
          <w:sz w:val="24"/>
          <w:szCs w:val="24"/>
        </w:rPr>
        <w:t>, and sometimes column chromatography to remove any unreacted tosyl az</w:t>
      </w:r>
      <w:r w:rsidR="00F706C8">
        <w:rPr>
          <w:sz w:val="24"/>
          <w:szCs w:val="24"/>
        </w:rPr>
        <w:t xml:space="preserve">ide and residual </w:t>
      </w:r>
      <w:r w:rsidR="006119B2">
        <w:rPr>
          <w:sz w:val="24"/>
          <w:szCs w:val="24"/>
        </w:rPr>
        <w:t>sulfonyl amide</w:t>
      </w:r>
      <w:r w:rsidR="00F706C8">
        <w:rPr>
          <w:sz w:val="24"/>
          <w:szCs w:val="24"/>
        </w:rPr>
        <w:t>.</w:t>
      </w:r>
    </w:p>
    <w:p w:rsidR="00F706C8" w:rsidRDefault="00F706C8" w:rsidP="00F706C8">
      <w:pPr>
        <w:spacing w:line="360" w:lineRule="auto"/>
        <w:jc w:val="both"/>
        <w:rPr>
          <w:sz w:val="24"/>
          <w:szCs w:val="24"/>
        </w:rPr>
      </w:pPr>
      <w:r>
        <w:rPr>
          <w:sz w:val="24"/>
          <w:szCs w:val="24"/>
        </w:rPr>
        <w:t xml:space="preserve">Green </w:t>
      </w:r>
      <w:r w:rsidRPr="00AA1AAE">
        <w:rPr>
          <w:sz w:val="24"/>
          <w:szCs w:val="24"/>
        </w:rPr>
        <w:t>used solution-phase reagent 4-carbox</w:t>
      </w:r>
      <w:r>
        <w:rPr>
          <w:sz w:val="24"/>
          <w:szCs w:val="24"/>
        </w:rPr>
        <w:t>ybenzenesulfonyl azide (</w:t>
      </w:r>
      <w:r w:rsidRPr="00AA1AAE">
        <w:rPr>
          <w:i/>
          <w:sz w:val="24"/>
          <w:szCs w:val="24"/>
        </w:rPr>
        <w:t>p</w:t>
      </w:r>
      <w:r>
        <w:rPr>
          <w:sz w:val="24"/>
          <w:szCs w:val="24"/>
        </w:rPr>
        <w:t>-CBSA)</w:t>
      </w:r>
      <w:r>
        <w:rPr>
          <w:sz w:val="24"/>
          <w:szCs w:val="24"/>
        </w:rPr>
        <w:fldChar w:fldCharType="begin" w:fldLock="1"/>
      </w:r>
      <w:r w:rsidR="00F168DA">
        <w:rPr>
          <w:sz w:val="24"/>
          <w:szCs w:val="24"/>
        </w:rPr>
        <w:instrText>ADDIN CSL_CITATION { "citationItems" : [ { "id" : "ITEM-1", "itemData" : { "DOI" : "10.1021/jo01273a056", "ISSN" : "0022-3263", "abstract" : "For synthetic purposes introduction of the diazo function at methylene positions flanked by 2 carbonyl groups proceeds smoothly with tosyl azide NaH or p-carboxybenzenesulfonyl azide-Et3N and leads to no sepn. problems after reaction.  With methine positions the same introduction of diazo occurs with cleavage of 1 acyl residue as with an N-sulfonylamide.  Hydrolysis of diazo diketones with alkali is extremely facile so that several variations on these reactions allow the synthesis of most diazo ketones and esters.  Methylene or methine positions flanked by Ph and carbonyl also react, resulting chiefly in diazo compounds or Wolff rearrangement products, depending on exptl. conditions.  This method represents a substantial broadening of utility for the Wolff rearrangement as a synthetic tool.  The diazo transfer reaction also converts primary amines (as their Grignard salts) into azides, and reactions with nitroalkanes, phenols, indoles, and Grignard reagents are also described briefly.  48 references. [on SciFinder(R)]", "author" : [ { "dropping-particle" : "", "family" : "Hendrickson", "given" : "James B", "non-dropping-particle" : "", "parse-names" : false, "suffix" : "" }, { "dropping-particle" : "", "family" : "Wolf", "given" : "Walter A", "non-dropping-particle" : "", "parse-names" : false, "suffix" : "" } ], "container-title" : "Journal of Organic Chemistry", "id" : "ITEM-1", "issue" : "9", "issued" : { "date-parts" : [ [ "1968" ] ] }, "page" : "3610-3618", "title" : "Direct introduction of the diazo function in organic synthesis.", "type" : "article-journal", "volume" : "33" }, "uris" : [ "http://www.mendeley.com/documents/?uuid=ce6b41fb-8249-4220-8fbb-a4fc8a3776a8" ] } ], "mendeley" : { "formattedCitation" : "&lt;sup&gt;[30]&lt;/sup&gt;", "plainTextFormattedCitation" : "[30]", "previouslyFormattedCitation" : "&lt;sup&gt;[30]&lt;/sup&gt;"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[30]</w:t>
      </w:r>
      <w:r>
        <w:rPr>
          <w:sz w:val="24"/>
          <w:szCs w:val="24"/>
        </w:rPr>
        <w:fldChar w:fldCharType="end"/>
      </w:r>
      <w:r>
        <w:rPr>
          <w:sz w:val="24"/>
          <w:szCs w:val="24"/>
        </w:rPr>
        <w:t xml:space="preserve"> </w:t>
      </w:r>
      <w:r>
        <w:rPr>
          <w:b/>
          <w:sz w:val="24"/>
          <w:szCs w:val="24"/>
        </w:rPr>
        <w:t>18</w:t>
      </w:r>
      <w:r>
        <w:rPr>
          <w:sz w:val="24"/>
          <w:szCs w:val="24"/>
        </w:rPr>
        <w:t xml:space="preserve"> in direct comparison reactions, and found that yields in both cases were similar, although </w:t>
      </w:r>
      <w:r w:rsidRPr="00AA1AAE">
        <w:rPr>
          <w:i/>
          <w:sz w:val="24"/>
          <w:szCs w:val="24"/>
        </w:rPr>
        <w:t>p</w:t>
      </w:r>
      <w:r>
        <w:rPr>
          <w:sz w:val="24"/>
          <w:szCs w:val="24"/>
        </w:rPr>
        <w:t>-CBSA often required longer reaction times.</w:t>
      </w:r>
    </w:p>
    <w:p w:rsidR="00F706C8" w:rsidRDefault="00F706C8" w:rsidP="005564E7">
      <w:pPr>
        <w:spacing w:line="360" w:lineRule="auto"/>
        <w:jc w:val="both"/>
        <w:rPr>
          <w:sz w:val="24"/>
          <w:szCs w:val="24"/>
        </w:rPr>
      </w:pPr>
    </w:p>
    <w:p w:rsidR="005564E7" w:rsidRDefault="00AF1884" w:rsidP="005564E7">
      <w:pPr>
        <w:spacing w:line="360" w:lineRule="auto"/>
        <w:jc w:val="both"/>
        <w:rPr>
          <w:sz w:val="24"/>
          <w:szCs w:val="24"/>
        </w:rPr>
      </w:pPr>
      <w:r>
        <w:rPr>
          <w:noProof/>
          <w:sz w:val="24"/>
          <w:szCs w:val="24"/>
          <w:lang w:eastAsia="en-IE"/>
        </w:rPr>
        <w:lastRenderedPageBreak/>
        <w:object w:dxaOrig="0" w:dyaOrig="0">
          <v:shape id="_x0000_s1035" type="#_x0000_t75" style="position:absolute;left:0;text-align:left;margin-left:81.65pt;margin-top:3.75pt;width:300.9pt;height:201.05pt;z-index:251657216">
            <v:imagedata r:id="rId40" o:title=""/>
            <w10:wrap type="square"/>
          </v:shape>
          <o:OLEObject Type="Embed" ProgID="ChemDraw.Document.6.0" ShapeID="_x0000_s1035" DrawAspect="Content" ObjectID="_1531849644" r:id="rId41"/>
        </w:object>
      </w:r>
    </w:p>
    <w:p w:rsidR="005564E7" w:rsidRDefault="005564E7" w:rsidP="005564E7">
      <w:pPr>
        <w:spacing w:line="360" w:lineRule="auto"/>
        <w:jc w:val="both"/>
        <w:rPr>
          <w:sz w:val="24"/>
          <w:szCs w:val="24"/>
        </w:rPr>
      </w:pPr>
    </w:p>
    <w:p w:rsidR="005564E7" w:rsidRDefault="005564E7" w:rsidP="005564E7">
      <w:pPr>
        <w:spacing w:line="360" w:lineRule="auto"/>
        <w:jc w:val="both"/>
        <w:rPr>
          <w:sz w:val="24"/>
          <w:szCs w:val="24"/>
        </w:rPr>
      </w:pPr>
    </w:p>
    <w:p w:rsidR="00EB58ED" w:rsidRDefault="00EB58ED" w:rsidP="005564E7">
      <w:pPr>
        <w:spacing w:line="360" w:lineRule="auto"/>
        <w:jc w:val="both"/>
        <w:rPr>
          <w:sz w:val="24"/>
          <w:szCs w:val="24"/>
        </w:rPr>
      </w:pPr>
    </w:p>
    <w:p w:rsidR="006F25EC" w:rsidRDefault="006F25EC" w:rsidP="005564E7">
      <w:pPr>
        <w:spacing w:line="360" w:lineRule="auto"/>
        <w:jc w:val="both"/>
        <w:rPr>
          <w:sz w:val="24"/>
          <w:szCs w:val="24"/>
        </w:rPr>
      </w:pPr>
    </w:p>
    <w:p w:rsidR="006F25EC" w:rsidRDefault="006F25EC" w:rsidP="005564E7">
      <w:pPr>
        <w:spacing w:line="360" w:lineRule="auto"/>
        <w:jc w:val="both"/>
        <w:rPr>
          <w:sz w:val="24"/>
          <w:szCs w:val="24"/>
        </w:rPr>
      </w:pPr>
    </w:p>
    <w:p w:rsidR="006F25EC" w:rsidRDefault="006F25EC" w:rsidP="005564E7">
      <w:pPr>
        <w:spacing w:line="360" w:lineRule="auto"/>
        <w:jc w:val="both"/>
        <w:rPr>
          <w:sz w:val="24"/>
          <w:szCs w:val="24"/>
        </w:rPr>
      </w:pPr>
    </w:p>
    <w:p w:rsidR="006F25EC" w:rsidRPr="006F25EC" w:rsidRDefault="00F706C8" w:rsidP="006F25EC">
      <w:pPr>
        <w:spacing w:line="360" w:lineRule="auto"/>
        <w:jc w:val="center"/>
        <w:rPr>
          <w:b/>
          <w:sz w:val="24"/>
          <w:szCs w:val="24"/>
        </w:rPr>
      </w:pPr>
      <w:r>
        <w:rPr>
          <w:b/>
          <w:sz w:val="24"/>
          <w:szCs w:val="24"/>
        </w:rPr>
        <w:t>Scheme 1.13</w:t>
      </w:r>
    </w:p>
    <w:p w:rsidR="006F25EC" w:rsidRDefault="006F25EC" w:rsidP="005564E7">
      <w:pPr>
        <w:spacing w:line="360" w:lineRule="auto"/>
        <w:jc w:val="both"/>
        <w:rPr>
          <w:sz w:val="24"/>
          <w:szCs w:val="24"/>
        </w:rPr>
      </w:pPr>
    </w:p>
    <w:p w:rsidR="006F661F" w:rsidRPr="005564E7" w:rsidRDefault="001412A4" w:rsidP="0078497E">
      <w:pPr>
        <w:spacing w:line="360" w:lineRule="auto"/>
        <w:jc w:val="both"/>
        <w:rPr>
          <w:b/>
          <w:sz w:val="24"/>
          <w:szCs w:val="24"/>
        </w:rPr>
      </w:pPr>
      <w:r w:rsidRPr="005564E7">
        <w:rPr>
          <w:b/>
          <w:sz w:val="24"/>
          <w:szCs w:val="24"/>
        </w:rPr>
        <w:t>Oligomeric benzenesulfonyl azide</w:t>
      </w:r>
    </w:p>
    <w:p w:rsidR="00936E4E" w:rsidRDefault="0032493C" w:rsidP="00936E4E">
      <w:pPr>
        <w:spacing w:line="360" w:lineRule="auto"/>
        <w:jc w:val="both"/>
        <w:rPr>
          <w:sz w:val="24"/>
          <w:szCs w:val="24"/>
        </w:rPr>
      </w:pPr>
      <w:r>
        <w:rPr>
          <w:sz w:val="24"/>
          <w:szCs w:val="24"/>
        </w:rPr>
        <w:t xml:space="preserve">Hanson </w:t>
      </w:r>
      <w:r w:rsidRPr="008F714D">
        <w:rPr>
          <w:i/>
          <w:sz w:val="24"/>
          <w:szCs w:val="24"/>
        </w:rPr>
        <w:t>et al</w:t>
      </w:r>
      <w:r>
        <w:rPr>
          <w:sz w:val="24"/>
          <w:szCs w:val="24"/>
        </w:rPr>
        <w:t>. reported construction of a high load</w:t>
      </w:r>
      <w:r w:rsidR="006119B2">
        <w:rPr>
          <w:sz w:val="24"/>
          <w:szCs w:val="24"/>
        </w:rPr>
        <w:t>ing</w:t>
      </w:r>
      <w:r>
        <w:rPr>
          <w:sz w:val="24"/>
          <w:szCs w:val="24"/>
        </w:rPr>
        <w:t xml:space="preserve">, soluble oligomeric </w:t>
      </w:r>
      <w:r w:rsidR="00936E4E">
        <w:rPr>
          <w:sz w:val="24"/>
          <w:szCs w:val="24"/>
        </w:rPr>
        <w:t>benzene</w:t>
      </w:r>
      <w:r>
        <w:rPr>
          <w:sz w:val="24"/>
          <w:szCs w:val="24"/>
        </w:rPr>
        <w:t xml:space="preserve">sulfonyl azide </w:t>
      </w:r>
      <w:r w:rsidR="006F25EC">
        <w:rPr>
          <w:b/>
          <w:sz w:val="24"/>
          <w:szCs w:val="24"/>
        </w:rPr>
        <w:t>2</w:t>
      </w:r>
      <w:r w:rsidR="00F706C8">
        <w:rPr>
          <w:b/>
          <w:sz w:val="24"/>
          <w:szCs w:val="24"/>
        </w:rPr>
        <w:t>3</w:t>
      </w:r>
      <w:r w:rsidR="00D112CF">
        <w:rPr>
          <w:sz w:val="24"/>
          <w:szCs w:val="24"/>
        </w:rPr>
        <w:t xml:space="preserve"> </w:t>
      </w:r>
      <w:r>
        <w:rPr>
          <w:sz w:val="24"/>
          <w:szCs w:val="24"/>
        </w:rPr>
        <w:t xml:space="preserve">using </w:t>
      </w:r>
      <w:r w:rsidR="00936E4E" w:rsidRPr="00936E4E">
        <w:rPr>
          <w:sz w:val="24"/>
          <w:szCs w:val="24"/>
        </w:rPr>
        <w:t xml:space="preserve">cheap, readily available starting materials </w:t>
      </w:r>
      <w:r w:rsidR="00936E4E" w:rsidRPr="00936E4E">
        <w:rPr>
          <w:i/>
          <w:sz w:val="24"/>
          <w:szCs w:val="24"/>
        </w:rPr>
        <w:t>via</w:t>
      </w:r>
      <w:r w:rsidR="00936E4E">
        <w:rPr>
          <w:sz w:val="24"/>
          <w:szCs w:val="24"/>
        </w:rPr>
        <w:t xml:space="preserve"> </w:t>
      </w:r>
      <w:r>
        <w:rPr>
          <w:sz w:val="24"/>
          <w:szCs w:val="24"/>
        </w:rPr>
        <w:t>ring-opening metathesis (ROM) polymerization.</w:t>
      </w:r>
      <w:r w:rsidR="006F25EC">
        <w:rPr>
          <w:sz w:val="24"/>
          <w:szCs w:val="24"/>
        </w:rPr>
        <w:fldChar w:fldCharType="begin" w:fldLock="1"/>
      </w:r>
      <w:r w:rsidR="00F168DA">
        <w:rPr>
          <w:sz w:val="24"/>
          <w:szCs w:val="24"/>
        </w:rPr>
        <w:instrText>ADDIN CSL_CITATION { "citationItems" : [ { "id" : "ITEM-1", "itemData" : { "DOI" : "10.1016/j.tet.2005.08.120", "ISSN" : "0040-4020", "abstract" : "A sol. oligomeric sulfonyl azide is prepd. as a reagent for base-mediated diazo transfer reactions of \u03b2-dicarbonyl compds. and a \u03b2-oxophosphonate; reaction of di-Et 2-oxopropylphosphonate, dimedone, tert-Bu acetoacetate, di-tert-Bu malonate, and Et benzoylacetate with the oligomeric sulfonyl azide and potassium tert-butoxide in methylene chloride yields the corresponding diazo compds. in 74-97% yields. Chlorination of sodium 4-vinylbenzenesulfonate with thionyl chloride followed directly by a thermal Diels-Alder cycloaddn. with cyclopentadiene yields the sulfonyl chloride I stereoselectively; ring-opening metathesis polymn. of I with Grubbs' imidazolidinylideneruthenium metathesis catalyst followed by azidation with sodium azide and tetrahexylammonium chloride in THF provides the title oligomeric sulfonyl azide. The oligomeric sulfonyl azide slowly decomps. in the refrigerator, and should be used within 1-2 wk of prepn. Pptn. of an oligomeric sulfonamide from diazo transfer reactions occurs spontaneously in methylene chloride; solid-phase extn. using a silica gel cartridge removes the oligomeric sulfonamide from the products. Care should be taken in handling the oligomeric sulfonyl azide; safety shields should be used when handling large quantities, and metal tools should not be used for measuring or dispensing sodium azide in the prepn. of the oligomeric reagent. [on SciFinder(R)]", "author" : [ { "dropping-particle" : "", "family" : "Harned", "given" : "Andrew M", "non-dropping-particle" : "", "parse-names" : false, "suffix" : "" }, { "dropping-particle" : "", "family" : "Sherrill", "given" : "W Matthew", "non-dropping-particle" : "", "parse-names" : false, "suffix" : "" }, { "dropping-particle" : "", "family" : "Flynn", "given" : "Daniel L", "non-dropping-particle" : "", "parse-names" : false, "suffix" : "" }, { "dropping-particle" : "", "family" : "Hanson", "given" : "Paul R", "non-dropping-particle" : "", "parse-names" : false, "suffix" : "" } ], "container-title" : "Tetrahedron", "id" : "ITEM-1", "issue" : "51", "issued" : { "date-parts" : [ [ "2005" ] ] }, "note" : "CAPLUS AN 2005:1251478(Journal)", "page" : "12093-12099", "publisher" : "Elsevier B.V.", "title" : "High-load, soluble oligomeric benzenesulfonyl azide: application to facile diazo-transfer reactions.", "type" : "article-journal", "volume" : "61" }, "uris" : [ "http://www.mendeley.com/documents/?uuid=90fbc28b-10ec-49f8-9df6-a2bced8da327" ] } ], "mendeley" : { "formattedCitation" : "&lt;sup&gt;[35]&lt;/sup&gt;", "plainTextFormattedCitation" : "[35]", "previouslyFormattedCitation" : "&lt;sup&gt;[35]&lt;/sup&gt;" }, "properties" : { "noteIndex" : 0 }, "schema" : "https://github.com/citation-style-language/schema/raw/master/csl-citation.json" }</w:instrText>
      </w:r>
      <w:r w:rsidR="006F25EC">
        <w:rPr>
          <w:sz w:val="24"/>
          <w:szCs w:val="24"/>
        </w:rPr>
        <w:fldChar w:fldCharType="separate"/>
      </w:r>
      <w:r w:rsidR="0055300D" w:rsidRPr="0055300D">
        <w:rPr>
          <w:noProof/>
          <w:sz w:val="24"/>
          <w:szCs w:val="24"/>
          <w:vertAlign w:val="superscript"/>
        </w:rPr>
        <w:t>[35]</w:t>
      </w:r>
      <w:r w:rsidR="006F25EC">
        <w:rPr>
          <w:sz w:val="24"/>
          <w:szCs w:val="24"/>
        </w:rPr>
        <w:fldChar w:fldCharType="end"/>
      </w:r>
      <w:r>
        <w:rPr>
          <w:sz w:val="24"/>
          <w:szCs w:val="24"/>
        </w:rPr>
        <w:t xml:space="preserve"> </w:t>
      </w:r>
      <w:r w:rsidR="00936E4E">
        <w:rPr>
          <w:sz w:val="24"/>
          <w:szCs w:val="24"/>
        </w:rPr>
        <w:t xml:space="preserve">High loading on the oligomer is ensured by functionalising the monomer, before forming the active polymer </w:t>
      </w:r>
      <w:r w:rsidR="00936E4E" w:rsidRPr="00936E4E">
        <w:rPr>
          <w:i/>
          <w:sz w:val="24"/>
          <w:szCs w:val="24"/>
        </w:rPr>
        <w:t>via</w:t>
      </w:r>
      <w:r w:rsidR="00936E4E">
        <w:rPr>
          <w:sz w:val="24"/>
          <w:szCs w:val="24"/>
        </w:rPr>
        <w:t xml:space="preserve"> (ROM) polymerization. In this case, monomeric benzenesulfonyl chloride was formed, polymerized and then treated with sodium a</w:t>
      </w:r>
      <w:r w:rsidR="00F706C8">
        <w:rPr>
          <w:sz w:val="24"/>
          <w:szCs w:val="24"/>
        </w:rPr>
        <w:t>z</w:t>
      </w:r>
      <w:r w:rsidR="00936E4E">
        <w:rPr>
          <w:sz w:val="24"/>
          <w:szCs w:val="24"/>
        </w:rPr>
        <w:t>ide in the presence of a phase transfer catalyst, Hex</w:t>
      </w:r>
      <w:r w:rsidR="00936E4E" w:rsidRPr="00936E4E">
        <w:rPr>
          <w:sz w:val="24"/>
          <w:szCs w:val="24"/>
          <w:vertAlign w:val="subscript"/>
        </w:rPr>
        <w:t>4</w:t>
      </w:r>
      <w:r w:rsidR="00936E4E">
        <w:rPr>
          <w:sz w:val="24"/>
          <w:szCs w:val="24"/>
        </w:rPr>
        <w:t>NBr, to give o</w:t>
      </w:r>
      <w:r w:rsidR="006F25EC">
        <w:rPr>
          <w:sz w:val="24"/>
          <w:szCs w:val="24"/>
        </w:rPr>
        <w:t xml:space="preserve">ligomeric benzenesulfonyl azide, as shown in </w:t>
      </w:r>
      <w:r w:rsidR="00F706C8">
        <w:rPr>
          <w:b/>
          <w:sz w:val="24"/>
          <w:szCs w:val="24"/>
        </w:rPr>
        <w:t>Scheme 1.14</w:t>
      </w:r>
      <w:r w:rsidR="006F25EC">
        <w:rPr>
          <w:sz w:val="24"/>
          <w:szCs w:val="24"/>
        </w:rPr>
        <w:t>.</w:t>
      </w:r>
    </w:p>
    <w:p w:rsidR="00F706C8" w:rsidRDefault="00F706C8" w:rsidP="00936E4E">
      <w:pPr>
        <w:spacing w:line="360" w:lineRule="auto"/>
        <w:jc w:val="both"/>
        <w:rPr>
          <w:sz w:val="24"/>
          <w:szCs w:val="24"/>
        </w:rPr>
      </w:pPr>
    </w:p>
    <w:p w:rsidR="00F706C8" w:rsidRDefault="00F706C8" w:rsidP="00F706C8">
      <w:pPr>
        <w:spacing w:line="360" w:lineRule="auto"/>
        <w:jc w:val="center"/>
        <w:rPr>
          <w:sz w:val="24"/>
          <w:szCs w:val="24"/>
        </w:rPr>
      </w:pPr>
      <w:r>
        <w:object w:dxaOrig="9259" w:dyaOrig="2184">
          <v:shape id="_x0000_i1040" type="#_x0000_t75" style="width:451.5pt;height:105.75pt" o:ole="">
            <v:imagedata r:id="rId42" o:title=""/>
          </v:shape>
          <o:OLEObject Type="Embed" ProgID="ChemDraw.Document.6.0" ShapeID="_x0000_i1040" DrawAspect="Content" ObjectID="_1531849581" r:id="rId43"/>
        </w:object>
      </w:r>
    </w:p>
    <w:p w:rsidR="00AB0760" w:rsidRDefault="00F706C8" w:rsidP="006F25EC">
      <w:pPr>
        <w:spacing w:line="360" w:lineRule="auto"/>
        <w:jc w:val="center"/>
        <w:rPr>
          <w:b/>
          <w:sz w:val="24"/>
          <w:szCs w:val="24"/>
        </w:rPr>
      </w:pPr>
      <w:r>
        <w:rPr>
          <w:b/>
          <w:sz w:val="24"/>
          <w:szCs w:val="24"/>
        </w:rPr>
        <w:t>Scheme 1.14</w:t>
      </w:r>
    </w:p>
    <w:p w:rsidR="006F25EC" w:rsidRPr="006F25EC" w:rsidRDefault="006F25EC" w:rsidP="006F25EC">
      <w:pPr>
        <w:spacing w:line="360" w:lineRule="auto"/>
        <w:jc w:val="center"/>
        <w:rPr>
          <w:b/>
          <w:sz w:val="24"/>
          <w:szCs w:val="24"/>
        </w:rPr>
      </w:pPr>
    </w:p>
    <w:p w:rsidR="006502EB" w:rsidRDefault="00936E4E" w:rsidP="0078497E">
      <w:pPr>
        <w:spacing w:line="360" w:lineRule="auto"/>
        <w:jc w:val="both"/>
        <w:rPr>
          <w:sz w:val="24"/>
          <w:szCs w:val="24"/>
        </w:rPr>
      </w:pPr>
      <w:r>
        <w:rPr>
          <w:sz w:val="24"/>
          <w:szCs w:val="24"/>
        </w:rPr>
        <w:lastRenderedPageBreak/>
        <w:t xml:space="preserve">A major benefit of this reagent is that it is soluble in organic solvents such as DCM, THF and DMF, while its </w:t>
      </w:r>
      <w:r w:rsidR="006119B2">
        <w:rPr>
          <w:sz w:val="24"/>
          <w:szCs w:val="24"/>
        </w:rPr>
        <w:t>sulfonyl amide</w:t>
      </w:r>
      <w:r>
        <w:rPr>
          <w:sz w:val="24"/>
          <w:szCs w:val="24"/>
        </w:rPr>
        <w:t xml:space="preserve"> by-product is not. Therefore, filtration through a silica gel solid-phase extraction (SPE) cartridge yields pure diazo product.</w:t>
      </w:r>
    </w:p>
    <w:p w:rsidR="00F706C8" w:rsidRDefault="00F706C8" w:rsidP="0078497E">
      <w:pPr>
        <w:spacing w:line="360" w:lineRule="auto"/>
        <w:jc w:val="both"/>
        <w:rPr>
          <w:sz w:val="24"/>
          <w:szCs w:val="24"/>
        </w:rPr>
      </w:pPr>
    </w:p>
    <w:p w:rsidR="00AB0760" w:rsidRDefault="00F706C8" w:rsidP="00F706C8">
      <w:pPr>
        <w:spacing w:line="360" w:lineRule="auto"/>
        <w:jc w:val="center"/>
        <w:rPr>
          <w:b/>
          <w:sz w:val="24"/>
          <w:szCs w:val="24"/>
        </w:rPr>
      </w:pPr>
      <w:r>
        <w:object w:dxaOrig="9053" w:dyaOrig="1941">
          <v:shape id="_x0000_i1041" type="#_x0000_t75" style="width:453pt;height:97.5pt" o:ole="">
            <v:imagedata r:id="rId44" o:title=""/>
          </v:shape>
          <o:OLEObject Type="Embed" ProgID="ChemDraw.Document.6.0" ShapeID="_x0000_i1041" DrawAspect="Content" ObjectID="_1531849582" r:id="rId45"/>
        </w:object>
      </w:r>
      <w:r>
        <w:rPr>
          <w:b/>
          <w:sz w:val="24"/>
          <w:szCs w:val="24"/>
        </w:rPr>
        <w:t>Scheme 1.15</w:t>
      </w:r>
    </w:p>
    <w:p w:rsidR="00F706C8" w:rsidRPr="00B151AB" w:rsidRDefault="00F706C8" w:rsidP="00F706C8">
      <w:pPr>
        <w:spacing w:line="360" w:lineRule="auto"/>
        <w:jc w:val="center"/>
        <w:rPr>
          <w:b/>
          <w:sz w:val="24"/>
          <w:szCs w:val="24"/>
        </w:rPr>
      </w:pPr>
    </w:p>
    <w:p w:rsidR="00AB0760" w:rsidRDefault="00936E4E" w:rsidP="0078497E">
      <w:pPr>
        <w:spacing w:line="360" w:lineRule="auto"/>
        <w:jc w:val="both"/>
        <w:rPr>
          <w:sz w:val="24"/>
          <w:szCs w:val="24"/>
        </w:rPr>
      </w:pPr>
      <w:r>
        <w:rPr>
          <w:sz w:val="24"/>
          <w:szCs w:val="24"/>
        </w:rPr>
        <w:t>The authors reported successful diazo transfer to a range of esters, ketones and phosphonate esters</w:t>
      </w:r>
      <w:r w:rsidR="006119B2">
        <w:rPr>
          <w:sz w:val="24"/>
          <w:szCs w:val="24"/>
        </w:rPr>
        <w:t xml:space="preserve">, as shown above in </w:t>
      </w:r>
      <w:r w:rsidR="006119B2">
        <w:rPr>
          <w:b/>
          <w:sz w:val="24"/>
          <w:szCs w:val="24"/>
        </w:rPr>
        <w:t xml:space="preserve">Scheme 1.15. </w:t>
      </w:r>
      <w:r w:rsidR="006119B2" w:rsidRPr="006119B2">
        <w:rPr>
          <w:sz w:val="24"/>
          <w:szCs w:val="24"/>
        </w:rPr>
        <w:t>The diazo compounds were formed</w:t>
      </w:r>
      <w:r>
        <w:rPr>
          <w:sz w:val="24"/>
          <w:szCs w:val="24"/>
        </w:rPr>
        <w:t xml:space="preserve"> in good to excellent yields (74-97%) and excellent purities following purification by </w:t>
      </w:r>
      <w:r w:rsidR="00B151AB">
        <w:rPr>
          <w:sz w:val="24"/>
          <w:szCs w:val="24"/>
        </w:rPr>
        <w:t>filtration of the crude mixture</w:t>
      </w:r>
      <w:r w:rsidR="006119B2">
        <w:rPr>
          <w:sz w:val="24"/>
          <w:szCs w:val="24"/>
        </w:rPr>
        <w:t>.</w:t>
      </w:r>
    </w:p>
    <w:p w:rsidR="00EB58ED" w:rsidRPr="0078497E" w:rsidRDefault="00EB58ED" w:rsidP="0078497E">
      <w:pPr>
        <w:spacing w:line="360" w:lineRule="auto"/>
        <w:jc w:val="both"/>
        <w:rPr>
          <w:sz w:val="24"/>
          <w:szCs w:val="24"/>
        </w:rPr>
      </w:pPr>
    </w:p>
    <w:p w:rsidR="00AB0760" w:rsidRPr="005564E7" w:rsidRDefault="009E485A" w:rsidP="0078497E">
      <w:pPr>
        <w:spacing w:line="360" w:lineRule="auto"/>
        <w:jc w:val="both"/>
        <w:rPr>
          <w:b/>
          <w:sz w:val="24"/>
          <w:szCs w:val="24"/>
        </w:rPr>
      </w:pPr>
      <w:r w:rsidRPr="005564E7">
        <w:rPr>
          <w:b/>
          <w:sz w:val="24"/>
          <w:szCs w:val="24"/>
        </w:rPr>
        <w:t xml:space="preserve">Imidazole-1-sulfonyl </w:t>
      </w:r>
      <w:r w:rsidR="009C6875">
        <w:rPr>
          <w:b/>
          <w:sz w:val="24"/>
          <w:szCs w:val="24"/>
        </w:rPr>
        <w:t>a</w:t>
      </w:r>
      <w:r w:rsidRPr="005564E7">
        <w:rPr>
          <w:b/>
          <w:sz w:val="24"/>
          <w:szCs w:val="24"/>
        </w:rPr>
        <w:t xml:space="preserve">zide </w:t>
      </w:r>
      <w:r w:rsidR="009C6875">
        <w:rPr>
          <w:b/>
          <w:sz w:val="24"/>
          <w:szCs w:val="24"/>
        </w:rPr>
        <w:t>h</w:t>
      </w:r>
      <w:r w:rsidRPr="005564E7">
        <w:rPr>
          <w:b/>
          <w:sz w:val="24"/>
          <w:szCs w:val="24"/>
        </w:rPr>
        <w:t>ydrochloride</w:t>
      </w:r>
    </w:p>
    <w:p w:rsidR="00F31396" w:rsidRDefault="00C00595" w:rsidP="0078497E">
      <w:pPr>
        <w:spacing w:line="360" w:lineRule="auto"/>
        <w:jc w:val="both"/>
        <w:rPr>
          <w:sz w:val="24"/>
          <w:szCs w:val="24"/>
        </w:rPr>
      </w:pPr>
      <w:r>
        <w:rPr>
          <w:sz w:val="24"/>
          <w:szCs w:val="24"/>
        </w:rPr>
        <w:t>Goddard-</w:t>
      </w:r>
      <w:r w:rsidR="00257598">
        <w:rPr>
          <w:sz w:val="24"/>
          <w:szCs w:val="24"/>
        </w:rPr>
        <w:t xml:space="preserve">Borger </w:t>
      </w:r>
      <w:r w:rsidR="00257598" w:rsidRPr="008F714D">
        <w:rPr>
          <w:i/>
          <w:sz w:val="24"/>
          <w:szCs w:val="24"/>
        </w:rPr>
        <w:t>et al</w:t>
      </w:r>
      <w:r w:rsidR="008F714D">
        <w:rPr>
          <w:sz w:val="24"/>
          <w:szCs w:val="24"/>
        </w:rPr>
        <w:t>.</w:t>
      </w:r>
      <w:r w:rsidR="00257598">
        <w:rPr>
          <w:sz w:val="24"/>
          <w:szCs w:val="24"/>
        </w:rPr>
        <w:t xml:space="preserve"> reported imidazole-1-sulfonyl azide hydrochloride</w:t>
      </w:r>
      <w:r w:rsidR="006119B2">
        <w:rPr>
          <w:sz w:val="24"/>
          <w:szCs w:val="24"/>
        </w:rPr>
        <w:t xml:space="preserve"> </w:t>
      </w:r>
      <w:r w:rsidR="006119B2" w:rsidRPr="006119B2">
        <w:rPr>
          <w:b/>
          <w:sz w:val="24"/>
          <w:szCs w:val="24"/>
        </w:rPr>
        <w:t>25</w:t>
      </w:r>
      <w:r w:rsidR="006119B2">
        <w:rPr>
          <w:sz w:val="24"/>
          <w:szCs w:val="24"/>
        </w:rPr>
        <w:t>.HCl</w:t>
      </w:r>
      <w:r w:rsidR="00257598">
        <w:rPr>
          <w:sz w:val="24"/>
          <w:szCs w:val="24"/>
        </w:rPr>
        <w:t xml:space="preserve"> as a </w:t>
      </w:r>
      <w:r>
        <w:rPr>
          <w:sz w:val="24"/>
          <w:szCs w:val="24"/>
        </w:rPr>
        <w:t>crystalline,</w:t>
      </w:r>
      <w:r w:rsidR="00F706C8">
        <w:rPr>
          <w:sz w:val="24"/>
          <w:szCs w:val="24"/>
        </w:rPr>
        <w:t xml:space="preserve"> shelf-</w:t>
      </w:r>
      <w:r w:rsidR="00257598">
        <w:rPr>
          <w:sz w:val="24"/>
          <w:szCs w:val="24"/>
        </w:rPr>
        <w:t>stable, and easily prepared alternative to trifyl azide (TfN</w:t>
      </w:r>
      <w:r w:rsidR="00257598" w:rsidRPr="00B151AB">
        <w:rPr>
          <w:sz w:val="24"/>
          <w:szCs w:val="24"/>
          <w:vertAlign w:val="subscript"/>
        </w:rPr>
        <w:t>3</w:t>
      </w:r>
      <w:r w:rsidR="00257598">
        <w:rPr>
          <w:sz w:val="24"/>
          <w:szCs w:val="24"/>
        </w:rPr>
        <w:t>)</w:t>
      </w:r>
      <w:r w:rsidR="00DC1FC3">
        <w:rPr>
          <w:sz w:val="24"/>
          <w:szCs w:val="24"/>
        </w:rPr>
        <w:t xml:space="preserve"> </w:t>
      </w:r>
      <w:r w:rsidR="00DC1FC3" w:rsidRPr="00DC1FC3">
        <w:rPr>
          <w:b/>
          <w:sz w:val="24"/>
          <w:szCs w:val="24"/>
        </w:rPr>
        <w:t>24</w:t>
      </w:r>
      <w:r w:rsidR="00D112CF">
        <w:rPr>
          <w:sz w:val="24"/>
          <w:szCs w:val="24"/>
        </w:rPr>
        <w:t xml:space="preserve"> </w:t>
      </w:r>
      <w:r w:rsidR="00257598">
        <w:rPr>
          <w:sz w:val="24"/>
          <w:szCs w:val="24"/>
        </w:rPr>
        <w:t>in diazo transfer reactions.</w:t>
      </w:r>
      <w:r>
        <w:rPr>
          <w:sz w:val="24"/>
          <w:szCs w:val="24"/>
        </w:rPr>
        <w:fldChar w:fldCharType="begin" w:fldLock="1"/>
      </w:r>
      <w:r w:rsidR="00F168DA">
        <w:rPr>
          <w:sz w:val="24"/>
          <w:szCs w:val="24"/>
        </w:rPr>
        <w:instrText>ADDIN CSL_CITATION { "citationItems" : [ { "id" : "ITEM-1", "itemData" : { "DOI" : "10.1021/ol701581g", "ISSN" : "1523-7060", "abstract" : "The design and synthesis of a new diazotransfer reagent, imidazole-1-sulfonyl azide hydrochloride, are reported.  This reagent has proven to equal triflyl azide in its ability to act as a \"diazo donor\" in the conversion of both primary amines into azides and activated methylene substrates into diazo compds.  Crucially, this reagent can be prepd. in a one-pot reaction on a large scale from inexpensive materials, is shelf-stable, and is conveniently cryst. [on SciFinder(R)]", "author" : [ { "dropping-particle" : "", "family" : "Goddard-Borger", "given" : "Ethan D", "non-dropping-particle" : "", "parse-names" : false, "suffix" : "" }, { "dropping-particle" : "V", "family" : "Stick", "given" : "Robert", "non-dropping-particle" : "", "parse-names" : false, "suffix" : "" } ], "container-title" : "Organic Letters", "id" : "ITEM-1", "issue" : "19", "issued" : { "date-parts" : [ [ "2007" ] ] }, "note" : "CAPLUS AN 2007:943644(Journal)", "page" : "3797-3800", "publisher" : "American Chemical Society", "title" : "An Efficient, Inexpensive, and Shelf-Stable Diazotransfer Reagent: Imidazole-1-sulfonyl Azide Hydrochloride.", "type" : "article-journal", "volume" : "9" }, "uris" : [ "http://www.mendeley.com/documents/?uuid=dd32f58b-1826-4c59-901c-6963d659cc7f" ] } ], "mendeley" : { "formattedCitation" : "&lt;sup&gt;[47]&lt;/sup&gt;", "plainTextFormattedCitation" : "[47]", "previouslyFormattedCitation" : "&lt;sup&gt;[47]&lt;/sup&gt;"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[47]</w:t>
      </w:r>
      <w:r>
        <w:rPr>
          <w:sz w:val="24"/>
          <w:szCs w:val="24"/>
        </w:rPr>
        <w:fldChar w:fldCharType="end"/>
      </w:r>
      <w:r w:rsidR="00F706C8">
        <w:rPr>
          <w:sz w:val="24"/>
          <w:szCs w:val="24"/>
        </w:rPr>
        <w:t xml:space="preserve"> </w:t>
      </w:r>
      <w:r w:rsidR="00DC1FC3">
        <w:rPr>
          <w:sz w:val="24"/>
          <w:szCs w:val="24"/>
        </w:rPr>
        <w:t xml:space="preserve">Trifyl azide </w:t>
      </w:r>
      <w:r w:rsidR="00DC1FC3" w:rsidRPr="00DC1FC3">
        <w:rPr>
          <w:b/>
          <w:sz w:val="24"/>
          <w:szCs w:val="24"/>
        </w:rPr>
        <w:t>24</w:t>
      </w:r>
      <w:r>
        <w:rPr>
          <w:sz w:val="24"/>
          <w:szCs w:val="24"/>
        </w:rPr>
        <w:t xml:space="preserve"> </w:t>
      </w:r>
      <w:r w:rsidR="00DC1FC3">
        <w:rPr>
          <w:sz w:val="24"/>
          <w:szCs w:val="24"/>
        </w:rPr>
        <w:t xml:space="preserve">has a poor </w:t>
      </w:r>
      <w:r w:rsidR="00F31396">
        <w:rPr>
          <w:sz w:val="24"/>
          <w:szCs w:val="24"/>
        </w:rPr>
        <w:t>shelf and</w:t>
      </w:r>
      <w:r w:rsidR="00DC1FC3">
        <w:rPr>
          <w:sz w:val="24"/>
          <w:szCs w:val="24"/>
        </w:rPr>
        <w:t xml:space="preserve"> must therefore be prepared in solution before use.</w:t>
      </w:r>
      <w:r w:rsidR="00F31396">
        <w:rPr>
          <w:sz w:val="24"/>
          <w:szCs w:val="24"/>
        </w:rPr>
        <w:fldChar w:fldCharType="begin" w:fldLock="1"/>
      </w:r>
      <w:r w:rsidR="00F168DA">
        <w:rPr>
          <w:sz w:val="24"/>
          <w:szCs w:val="24"/>
        </w:rPr>
        <w:instrText>ADDIN CSL_CITATION { "citationItems" : [ { "id" : "ITEM-1", "itemData" : { "ISSN" : "0002-7863", "abstract" : "Azides have proven to be useful precursors to amines in organic syntheses.  This report describes an improvement of the diazotransfer reaction and the first example of a regioselective azide reduction of compounds containing multiple azides.  The use of a specific ratio of solvents and zinc chloride as a catalyst resulted in a more efficient diazotransfer reaction capable of delivering &gt;90% conversion per amine with shorter reaction times than those previously reported.  Azides can be reduced with good regioselectivity in moderate yields by a modification of the Staudinger reaction using trimethylphosphine at low temperatures.  Electronic factors determine the selectivity for azide reduction, and the reaction is predictable by NMR analysis of the starting material.  Several examples for the diazotransfer and regioselective azide reduction reactions are given, and a mechanistic hypothesis for both is proposed.[on SciFinder (R)]", "author" : [ { "dropping-particle" : "", "family" : "Nyffeler", "given" : "Paul T", "non-dropping-particle" : "", "parse-names" : false, "suffix" : "" }, { "dropping-particle" : "", "family" : "Liang", "given" : "Chang-Hsing", "non-dropping-particle" : "", "parse-names" : false, "suffix" : "" }, { "dropping-particle" : "", "family" : "Koeller", "given" : "Kathryn M", "non-dropping-particle" : "", "parse-names" : false, "suffix" : "" }, { "dropping-particle" : "", "family" : "Wong", "given" : "Chi-Huey", "non-dropping-particle" : "", "parse-names" : false, "suffix" : "" } ], "container-title" : "Journal of the American Chemical Society", "id" : "ITEM-1", "issue" : "36", "issued" : { "date-parts" : [ [ "2002" ] ] }, "note" : "MEDLINE AN 2002453754(Journal; Article; (JOURNAL ARTICLE); (RESEARCH SUPPORT, U.S. GOV'T, P.H.S.))", "page" : "10773-10778", "title" : "The chemistry of amine-azide interconversion: catalytic diazotransfer and regioselective azide reduction", "type" : "article-journal", "volume" : "124" }, "uris" : [ "http://www.mendeley.com/documents/?uuid=adc76eea-26f9-4ecd-b49f-3550f8252459" ] } ], "mendeley" : { "formattedCitation" : "&lt;sup&gt;[48]&lt;/sup&gt;", "plainTextFormattedCitation" : "[48]", "previouslyFormattedCitation" : "&lt;sup&gt;[48]&lt;/sup&gt;" }, "properties" : { "noteIndex" : 0 }, "schema" : "https://github.com/citation-style-language/schema/raw/master/csl-citation.json" }</w:instrText>
      </w:r>
      <w:r w:rsidR="00F31396">
        <w:rPr>
          <w:sz w:val="24"/>
          <w:szCs w:val="24"/>
        </w:rPr>
        <w:fldChar w:fldCharType="separate"/>
      </w:r>
      <w:r w:rsidR="0055300D" w:rsidRPr="0055300D">
        <w:rPr>
          <w:noProof/>
          <w:sz w:val="24"/>
          <w:szCs w:val="24"/>
          <w:vertAlign w:val="superscript"/>
        </w:rPr>
        <w:t>[48]</w:t>
      </w:r>
      <w:r w:rsidR="00F31396">
        <w:rPr>
          <w:sz w:val="24"/>
          <w:szCs w:val="24"/>
        </w:rPr>
        <w:fldChar w:fldCharType="end"/>
      </w:r>
      <w:r w:rsidR="00DC1FC3">
        <w:rPr>
          <w:sz w:val="24"/>
          <w:szCs w:val="24"/>
        </w:rPr>
        <w:t xml:space="preserve"> The expense of trifluoromethanesulfonic anhydride, used in the preparation of </w:t>
      </w:r>
      <w:r w:rsidR="00DC1FC3" w:rsidRPr="00EE61AD">
        <w:rPr>
          <w:b/>
          <w:sz w:val="24"/>
          <w:szCs w:val="24"/>
        </w:rPr>
        <w:t>24</w:t>
      </w:r>
      <w:r w:rsidR="00444A7B">
        <w:rPr>
          <w:sz w:val="24"/>
          <w:szCs w:val="24"/>
        </w:rPr>
        <w:t>, prevents its</w:t>
      </w:r>
      <w:r w:rsidR="00DC1FC3">
        <w:rPr>
          <w:sz w:val="24"/>
          <w:szCs w:val="24"/>
        </w:rPr>
        <w:t xml:space="preserve"> use on a large scale. </w:t>
      </w:r>
      <w:r w:rsidR="00F31396">
        <w:rPr>
          <w:sz w:val="24"/>
          <w:szCs w:val="24"/>
        </w:rPr>
        <w:t>In addition to this, inconsistent yields in the synthesis of trifyl azide mean that the solution must either be standardised or used in a liberal excess.</w:t>
      </w:r>
    </w:p>
    <w:p w:rsidR="00454681" w:rsidRDefault="00454681" w:rsidP="0078497E">
      <w:pPr>
        <w:spacing w:line="360" w:lineRule="auto"/>
        <w:jc w:val="both"/>
        <w:rPr>
          <w:sz w:val="24"/>
          <w:szCs w:val="24"/>
        </w:rPr>
      </w:pPr>
      <w:r>
        <w:rPr>
          <w:sz w:val="24"/>
          <w:szCs w:val="24"/>
        </w:rPr>
        <w:t>Due to the drawbacks associated with trifyl azide, the authors endeavoured to generate a diazo transfer reagent that was equally efficient but without the associated problems. This required finding an electron-withdrawing group capable of replacing the trifluor</w:t>
      </w:r>
      <w:r w:rsidR="00B151AB">
        <w:rPr>
          <w:sz w:val="24"/>
          <w:szCs w:val="24"/>
        </w:rPr>
        <w:t>o</w:t>
      </w:r>
      <w:r>
        <w:rPr>
          <w:sz w:val="24"/>
          <w:szCs w:val="24"/>
        </w:rPr>
        <w:t xml:space="preserve">methanesulfonyl moiety. Imidazylates exhibit similar reactivity while having the advantage </w:t>
      </w:r>
      <w:r w:rsidR="00B151AB">
        <w:rPr>
          <w:sz w:val="24"/>
          <w:szCs w:val="24"/>
        </w:rPr>
        <w:t xml:space="preserve">of </w:t>
      </w:r>
      <w:r>
        <w:rPr>
          <w:sz w:val="24"/>
          <w:szCs w:val="24"/>
        </w:rPr>
        <w:t>being relatively inexpensive to prepare, while enjoying a longer shelf life</w:t>
      </w:r>
      <w:r w:rsidR="00B151AB">
        <w:rPr>
          <w:sz w:val="24"/>
          <w:szCs w:val="24"/>
        </w:rPr>
        <w:t>.</w:t>
      </w:r>
    </w:p>
    <w:p w:rsidR="003122E6" w:rsidRDefault="006119B2" w:rsidP="003122E6">
      <w:pPr>
        <w:spacing w:line="360" w:lineRule="auto"/>
        <w:jc w:val="center"/>
        <w:rPr>
          <w:sz w:val="24"/>
          <w:szCs w:val="24"/>
        </w:rPr>
      </w:pPr>
      <w:r>
        <w:object w:dxaOrig="5188" w:dyaOrig="4010">
          <v:shape id="_x0000_i1042" type="#_x0000_t75" style="width:258.75pt;height:199.5pt" o:ole="">
            <v:imagedata r:id="rId46" o:title=""/>
          </v:shape>
          <o:OLEObject Type="Embed" ProgID="ChemDraw.Document.6.0" ShapeID="_x0000_i1042" DrawAspect="Content" ObjectID="_1531849583" r:id="rId47"/>
        </w:object>
      </w:r>
    </w:p>
    <w:p w:rsidR="00C00595" w:rsidRDefault="00B151AB" w:rsidP="00B151AB">
      <w:pPr>
        <w:spacing w:line="360" w:lineRule="auto"/>
        <w:jc w:val="center"/>
        <w:rPr>
          <w:b/>
          <w:sz w:val="24"/>
          <w:szCs w:val="24"/>
        </w:rPr>
      </w:pPr>
      <w:r w:rsidRPr="00B151AB">
        <w:rPr>
          <w:b/>
          <w:sz w:val="24"/>
          <w:szCs w:val="24"/>
        </w:rPr>
        <w:t>Scheme 1.1</w:t>
      </w:r>
      <w:r w:rsidR="003122E6">
        <w:rPr>
          <w:b/>
          <w:sz w:val="24"/>
          <w:szCs w:val="24"/>
        </w:rPr>
        <w:t>6</w:t>
      </w:r>
    </w:p>
    <w:p w:rsidR="00B151AB" w:rsidRDefault="00B151AB" w:rsidP="00B151AB">
      <w:pPr>
        <w:spacing w:line="360" w:lineRule="auto"/>
        <w:jc w:val="center"/>
        <w:rPr>
          <w:sz w:val="24"/>
          <w:szCs w:val="24"/>
        </w:rPr>
      </w:pPr>
    </w:p>
    <w:p w:rsidR="00E10AB4" w:rsidRDefault="00E10AB4" w:rsidP="0078497E">
      <w:pPr>
        <w:spacing w:line="360" w:lineRule="auto"/>
        <w:jc w:val="both"/>
        <w:rPr>
          <w:sz w:val="24"/>
          <w:szCs w:val="24"/>
        </w:rPr>
      </w:pPr>
      <w:r>
        <w:rPr>
          <w:sz w:val="24"/>
          <w:szCs w:val="24"/>
        </w:rPr>
        <w:t>One of the main</w:t>
      </w:r>
      <w:r w:rsidR="00C00595">
        <w:rPr>
          <w:sz w:val="24"/>
          <w:szCs w:val="24"/>
        </w:rPr>
        <w:t xml:space="preserve"> aims </w:t>
      </w:r>
      <w:r w:rsidR="00454681">
        <w:rPr>
          <w:sz w:val="24"/>
          <w:szCs w:val="24"/>
        </w:rPr>
        <w:t>h</w:t>
      </w:r>
      <w:r w:rsidR="00C00595">
        <w:rPr>
          <w:sz w:val="24"/>
          <w:szCs w:val="24"/>
        </w:rPr>
        <w:t xml:space="preserve">ad been to generate a </w:t>
      </w:r>
      <w:r w:rsidR="00454681">
        <w:rPr>
          <w:sz w:val="24"/>
          <w:szCs w:val="24"/>
        </w:rPr>
        <w:t xml:space="preserve">convenient </w:t>
      </w:r>
      <w:r w:rsidR="00C00595">
        <w:rPr>
          <w:sz w:val="24"/>
          <w:szCs w:val="24"/>
        </w:rPr>
        <w:t xml:space="preserve">crystalline diazo transfer reagent and so </w:t>
      </w:r>
      <w:r w:rsidR="00D112CF">
        <w:rPr>
          <w:sz w:val="24"/>
          <w:szCs w:val="24"/>
        </w:rPr>
        <w:t xml:space="preserve">the hydrochloride salt of </w:t>
      </w:r>
      <w:r w:rsidR="00B151AB">
        <w:rPr>
          <w:b/>
          <w:sz w:val="24"/>
          <w:szCs w:val="24"/>
        </w:rPr>
        <w:t>2</w:t>
      </w:r>
      <w:r w:rsidR="003122E6">
        <w:rPr>
          <w:b/>
          <w:sz w:val="24"/>
          <w:szCs w:val="24"/>
        </w:rPr>
        <w:t>5</w:t>
      </w:r>
      <w:r w:rsidR="00C00595">
        <w:rPr>
          <w:sz w:val="24"/>
          <w:szCs w:val="24"/>
        </w:rPr>
        <w:t xml:space="preserve"> was formed as </w:t>
      </w:r>
      <w:r>
        <w:rPr>
          <w:sz w:val="24"/>
          <w:szCs w:val="24"/>
        </w:rPr>
        <w:t>a colourless crystalline solid</w:t>
      </w:r>
      <w:r w:rsidR="00B151AB">
        <w:rPr>
          <w:sz w:val="24"/>
          <w:szCs w:val="24"/>
        </w:rPr>
        <w:t xml:space="preserve"> </w:t>
      </w:r>
      <w:r w:rsidR="006119B2">
        <w:rPr>
          <w:sz w:val="24"/>
          <w:szCs w:val="24"/>
        </w:rPr>
        <w:t>(</w:t>
      </w:r>
      <w:r w:rsidR="00B151AB" w:rsidRPr="00B151AB">
        <w:rPr>
          <w:b/>
          <w:sz w:val="24"/>
          <w:szCs w:val="24"/>
        </w:rPr>
        <w:t>Scheme 1.1</w:t>
      </w:r>
      <w:r w:rsidR="003122E6">
        <w:rPr>
          <w:b/>
          <w:sz w:val="24"/>
          <w:szCs w:val="24"/>
        </w:rPr>
        <w:t>6</w:t>
      </w:r>
      <w:r w:rsidR="006119B2">
        <w:rPr>
          <w:b/>
          <w:sz w:val="24"/>
          <w:szCs w:val="24"/>
        </w:rPr>
        <w:t>)</w:t>
      </w:r>
      <w:r>
        <w:rPr>
          <w:sz w:val="24"/>
          <w:szCs w:val="24"/>
        </w:rPr>
        <w:t>. This salt</w:t>
      </w:r>
      <w:r w:rsidR="00454681">
        <w:rPr>
          <w:sz w:val="24"/>
          <w:szCs w:val="24"/>
        </w:rPr>
        <w:t xml:space="preserve"> was successfully used to prepare a range of </w:t>
      </w:r>
      <w:r>
        <w:rPr>
          <w:sz w:val="24"/>
          <w:szCs w:val="24"/>
        </w:rPr>
        <w:t>diazo compounds, as well as being used to convert a range of amines into the corresponding azides in excellent yields</w:t>
      </w:r>
      <w:r w:rsidR="00801FFD">
        <w:rPr>
          <w:sz w:val="24"/>
          <w:szCs w:val="24"/>
        </w:rPr>
        <w:t xml:space="preserve">, as seen in </w:t>
      </w:r>
      <w:r w:rsidR="00801FFD" w:rsidRPr="00801FFD">
        <w:rPr>
          <w:b/>
          <w:sz w:val="24"/>
          <w:szCs w:val="24"/>
        </w:rPr>
        <w:t>Scheme 1.1</w:t>
      </w:r>
      <w:r w:rsidR="003122E6">
        <w:rPr>
          <w:b/>
          <w:sz w:val="24"/>
          <w:szCs w:val="24"/>
        </w:rPr>
        <w:t>7</w:t>
      </w:r>
      <w:r>
        <w:rPr>
          <w:sz w:val="24"/>
          <w:szCs w:val="24"/>
        </w:rPr>
        <w:t>.</w:t>
      </w:r>
    </w:p>
    <w:p w:rsidR="00801FFD" w:rsidRDefault="00953D86" w:rsidP="003122E6">
      <w:pPr>
        <w:spacing w:line="360" w:lineRule="auto"/>
        <w:jc w:val="center"/>
        <w:rPr>
          <w:sz w:val="24"/>
          <w:szCs w:val="24"/>
        </w:rPr>
      </w:pPr>
      <w:r>
        <w:object w:dxaOrig="6525" w:dyaOrig="4077">
          <v:shape id="_x0000_i1094" type="#_x0000_t75" style="width:326.25pt;height:203.25pt" o:ole="">
            <v:imagedata r:id="rId48" o:title=""/>
          </v:shape>
          <o:OLEObject Type="Embed" ProgID="ChemDraw.Document.6.0" ShapeID="_x0000_i1094" DrawAspect="Content" ObjectID="_1531849584" r:id="rId49"/>
        </w:object>
      </w:r>
    </w:p>
    <w:p w:rsidR="00405ACE" w:rsidRDefault="003122E6" w:rsidP="00197FDD">
      <w:pPr>
        <w:spacing w:line="360" w:lineRule="auto"/>
        <w:jc w:val="center"/>
        <w:rPr>
          <w:b/>
          <w:sz w:val="24"/>
          <w:szCs w:val="24"/>
        </w:rPr>
      </w:pPr>
      <w:r>
        <w:rPr>
          <w:b/>
          <w:sz w:val="24"/>
          <w:szCs w:val="24"/>
        </w:rPr>
        <w:t>Scheme 1.17</w:t>
      </w:r>
    </w:p>
    <w:p w:rsidR="00405ACE" w:rsidRDefault="00405ACE" w:rsidP="00405ACE">
      <w:pPr>
        <w:spacing w:line="360" w:lineRule="auto"/>
        <w:jc w:val="center"/>
        <w:rPr>
          <w:sz w:val="24"/>
          <w:szCs w:val="24"/>
        </w:rPr>
      </w:pPr>
    </w:p>
    <w:p w:rsidR="00ED3015" w:rsidRDefault="00E10AB4" w:rsidP="0078497E">
      <w:pPr>
        <w:spacing w:line="360" w:lineRule="auto"/>
        <w:jc w:val="both"/>
        <w:rPr>
          <w:sz w:val="24"/>
          <w:szCs w:val="24"/>
        </w:rPr>
      </w:pPr>
      <w:r>
        <w:rPr>
          <w:sz w:val="24"/>
          <w:szCs w:val="24"/>
        </w:rPr>
        <w:lastRenderedPageBreak/>
        <w:t>Ye and co-workers</w:t>
      </w:r>
      <w:r w:rsidR="001E19E8">
        <w:rPr>
          <w:sz w:val="24"/>
          <w:szCs w:val="24"/>
        </w:rPr>
        <w:fldChar w:fldCharType="begin" w:fldLock="1"/>
      </w:r>
      <w:r w:rsidR="00F168DA">
        <w:rPr>
          <w:sz w:val="24"/>
          <w:szCs w:val="24"/>
        </w:rPr>
        <w:instrText>ADDIN CSL_CITATION { "citationItems" : [ { "id" : "ITEM-1", "itemData" : { "DOI" : "10.1021/ol3028708", "ISSN" : "1523-7052", "abstract" : "A facile approach to the diazo-transfer reagent of imidazole-1-sulfonyl azide was reported.  The procedure was well optimized to clarify potential explosion risks.  A high prodn. yield as well as small batch variation was achieved even without careful pretreatment of reagents and solvents.  HPLC and NMR methods to monitor the process were provided.  These features made this protocol suitable for large scale prepn. in academia and industry as well. [on SciFinder(R)]", "author" : [ { "dropping-particle" : "", "family" : "Ye", "given" : "Hui", "non-dropping-particle" : "", "parse-names" : false, "suffix" : "" }, { "dropping-particle" : "", "family" : "Liu", "given" : "Ruihua", "non-dropping-particle" : "", "parse-names" : false, "suffix" : "" }, { "dropping-particle" : "", "family" : "Li", "given" : "Dongmei", "non-dropping-particle" : "", "parse-names" : false, "suffix" : "" }, { "dropping-particle" : "", "family" : "Liu", "given" : "Yonghui", "non-dropping-particle" : "", "parse-names" : false, "suffix" : "" }, { "dropping-particle" : "", "family" : "Yuan", "given" : "Haixin", "non-dropping-particle" : "", "parse-names" : false, "suffix" : "" }, { "dropping-particle" : "", "family" : "Guo", "given" : "Weikang", "non-dropping-particle" : "", "parse-names" : false, "suffix" : "" }, { "dropping-particle" : "", "family" : "Zhou", "given" : "Lifei", "non-dropping-particle" : "", "parse-names" : false, "suffix" : "" }, { "dropping-particle" : "", "family" : "Cao", "given" : "Xuefeng", "non-dropping-particle" : "", "parse-names" : false, "suffix" : "" }, { "dropping-particle" : "", "family" : "Tian", "given" : "Hongqi", "non-dropping-particle" : "", "parse-names" : false, "suffix" : "" }, { "dropping-particle" : "", "family" : "Shen", "given" : "Jie", "non-dropping-particle" : "", "parse-names" : false, "suffix" : "" }, { "dropping-particle" : "", "family" : "Wang", "given" : "Peng George.", "non-dropping-particle" : "", "parse-names" : false, "suffix" : "" } ], "container-title" : "Organic Letters", "id" : "ITEM-1", "issue" : "1", "issued" : { "date-parts" : [ [ "2013" ] ] }, "note" : "CAPLUS AN 2012:1840886(Journal; Online Computer File)", "page" : "18-21", "publisher" : "American Chemical Society", "title" : "A Safe and Facile Route to Imidazole-1-sulfonyl Azide as a Diazotransfer Reagent.", "type" : "article-journal", "volume" : "15" }, "uris" : [ "http://www.mendeley.com/documents/?uuid=d275b839-e8bc-4e51-8ac8-50de15726e87" ] } ], "mendeley" : { "formattedCitation" : "&lt;sup&gt;[49]&lt;/sup&gt;", "plainTextFormattedCitation" : "[49]", "previouslyFormattedCitation" : "&lt;sup&gt;[49]&lt;/sup&gt;" }, "properties" : { "noteIndex" : 0 }, "schema" : "https://github.com/citation-style-language/schema/raw/master/csl-citation.json" }</w:instrText>
      </w:r>
      <w:r w:rsidR="001E19E8">
        <w:rPr>
          <w:sz w:val="24"/>
          <w:szCs w:val="24"/>
        </w:rPr>
        <w:fldChar w:fldCharType="separate"/>
      </w:r>
      <w:r w:rsidR="0055300D" w:rsidRPr="0055300D">
        <w:rPr>
          <w:noProof/>
          <w:sz w:val="24"/>
          <w:szCs w:val="24"/>
          <w:vertAlign w:val="superscript"/>
        </w:rPr>
        <w:t>[49]</w:t>
      </w:r>
      <w:r w:rsidR="001E19E8">
        <w:rPr>
          <w:sz w:val="24"/>
          <w:szCs w:val="24"/>
        </w:rPr>
        <w:fldChar w:fldCharType="end"/>
      </w:r>
      <w:r>
        <w:rPr>
          <w:sz w:val="24"/>
          <w:szCs w:val="24"/>
        </w:rPr>
        <w:t xml:space="preserve"> later repo</w:t>
      </w:r>
      <w:r w:rsidR="00D112CF">
        <w:rPr>
          <w:sz w:val="24"/>
          <w:szCs w:val="24"/>
        </w:rPr>
        <w:t xml:space="preserve">rted a safer synthesis of </w:t>
      </w:r>
      <w:r w:rsidR="00B151AB">
        <w:rPr>
          <w:b/>
          <w:sz w:val="24"/>
          <w:szCs w:val="24"/>
        </w:rPr>
        <w:t>2</w:t>
      </w:r>
      <w:r w:rsidR="003122E6">
        <w:rPr>
          <w:b/>
          <w:sz w:val="24"/>
          <w:szCs w:val="24"/>
        </w:rPr>
        <w:t>5</w:t>
      </w:r>
      <w:r>
        <w:rPr>
          <w:sz w:val="24"/>
          <w:szCs w:val="24"/>
        </w:rPr>
        <w:t xml:space="preserve"> in a bid to eliminate the explosion hazard associated with hydrazoic acid</w:t>
      </w:r>
      <w:r w:rsidR="003122E6">
        <w:rPr>
          <w:sz w:val="24"/>
          <w:szCs w:val="24"/>
        </w:rPr>
        <w:t>,</w:t>
      </w:r>
      <w:r>
        <w:rPr>
          <w:sz w:val="24"/>
          <w:szCs w:val="24"/>
        </w:rPr>
        <w:t xml:space="preserve"> which can form as a by-product in the Goddard-Borger synthesis from reaction of hydrochloride with sodium azide. This new synthesis</w:t>
      </w:r>
      <w:r w:rsidR="00405ACE">
        <w:rPr>
          <w:sz w:val="24"/>
          <w:szCs w:val="24"/>
        </w:rPr>
        <w:t xml:space="preserve">, shown in </w:t>
      </w:r>
      <w:r w:rsidR="00405ACE" w:rsidRPr="00405ACE">
        <w:rPr>
          <w:b/>
          <w:sz w:val="24"/>
          <w:szCs w:val="24"/>
        </w:rPr>
        <w:t>Scheme 1.1</w:t>
      </w:r>
      <w:r w:rsidR="003122E6">
        <w:rPr>
          <w:b/>
          <w:sz w:val="24"/>
          <w:szCs w:val="24"/>
        </w:rPr>
        <w:t>8</w:t>
      </w:r>
      <w:r w:rsidR="00405ACE">
        <w:rPr>
          <w:sz w:val="24"/>
          <w:szCs w:val="24"/>
        </w:rPr>
        <w:t xml:space="preserve">, </w:t>
      </w:r>
      <w:r w:rsidR="001E19E8">
        <w:rPr>
          <w:sz w:val="24"/>
          <w:szCs w:val="24"/>
        </w:rPr>
        <w:t>involves reaction of sulfuryl diimidazole</w:t>
      </w:r>
      <w:r w:rsidR="00A5710F">
        <w:rPr>
          <w:sz w:val="24"/>
          <w:szCs w:val="24"/>
        </w:rPr>
        <w:t xml:space="preserve"> </w:t>
      </w:r>
      <w:r w:rsidR="00B151AB">
        <w:rPr>
          <w:b/>
          <w:sz w:val="24"/>
          <w:szCs w:val="24"/>
        </w:rPr>
        <w:t>2</w:t>
      </w:r>
      <w:r w:rsidR="003122E6">
        <w:rPr>
          <w:b/>
          <w:sz w:val="24"/>
          <w:szCs w:val="24"/>
        </w:rPr>
        <w:t>6</w:t>
      </w:r>
      <w:r w:rsidR="001E19E8">
        <w:rPr>
          <w:sz w:val="24"/>
          <w:szCs w:val="24"/>
        </w:rPr>
        <w:t xml:space="preserve"> with methyl triflate, with subsequent addition of sodium azide in water-ethyl acetate (95:5). </w:t>
      </w:r>
    </w:p>
    <w:p w:rsidR="00ED3015" w:rsidRDefault="00F92837" w:rsidP="00A5710F">
      <w:pPr>
        <w:spacing w:line="360" w:lineRule="auto"/>
        <w:jc w:val="center"/>
      </w:pPr>
      <w:r>
        <w:object w:dxaOrig="4898" w:dyaOrig="1451">
          <v:shape id="_x0000_i1043" type="#_x0000_t75" style="width:237pt;height:70.5pt" o:ole="">
            <v:imagedata r:id="rId50" o:title=""/>
          </v:shape>
          <o:OLEObject Type="Embed" ProgID="ChemDraw.Document.6.0" ShapeID="_x0000_i1043" DrawAspect="Content" ObjectID="_1531849585" r:id="rId51"/>
        </w:object>
      </w:r>
    </w:p>
    <w:p w:rsidR="00405ACE" w:rsidRDefault="00405ACE" w:rsidP="00A5710F">
      <w:pPr>
        <w:spacing w:line="360" w:lineRule="auto"/>
        <w:jc w:val="center"/>
        <w:rPr>
          <w:sz w:val="24"/>
          <w:szCs w:val="24"/>
        </w:rPr>
      </w:pPr>
      <w:r w:rsidRPr="00405ACE">
        <w:rPr>
          <w:b/>
          <w:sz w:val="24"/>
          <w:szCs w:val="24"/>
        </w:rPr>
        <w:t>Scheme 1.1</w:t>
      </w:r>
      <w:r w:rsidR="003122E6">
        <w:rPr>
          <w:b/>
          <w:sz w:val="24"/>
          <w:szCs w:val="24"/>
        </w:rPr>
        <w:t>8</w:t>
      </w:r>
    </w:p>
    <w:p w:rsidR="005217A9" w:rsidRDefault="001E19E8" w:rsidP="0078497E">
      <w:pPr>
        <w:spacing w:line="360" w:lineRule="auto"/>
        <w:jc w:val="both"/>
        <w:rPr>
          <w:sz w:val="24"/>
          <w:szCs w:val="24"/>
        </w:rPr>
      </w:pPr>
      <w:r>
        <w:rPr>
          <w:sz w:val="24"/>
          <w:szCs w:val="24"/>
        </w:rPr>
        <w:t>This synthesis can be scaled up considerably and is the first report of a safe preparation of a sulfonyl azide derivative at &gt;100g scale.</w:t>
      </w:r>
      <w:r w:rsidR="00ED3015">
        <w:rPr>
          <w:sz w:val="24"/>
          <w:szCs w:val="24"/>
        </w:rPr>
        <w:t xml:space="preserve"> Some st</w:t>
      </w:r>
      <w:r w:rsidR="003C083E">
        <w:rPr>
          <w:sz w:val="24"/>
          <w:szCs w:val="24"/>
        </w:rPr>
        <w:t xml:space="preserve">ructural modifications of </w:t>
      </w:r>
      <w:r w:rsidR="003122E6">
        <w:rPr>
          <w:b/>
          <w:sz w:val="24"/>
          <w:szCs w:val="24"/>
        </w:rPr>
        <w:t>25</w:t>
      </w:r>
      <w:r w:rsidR="006119B2">
        <w:rPr>
          <w:b/>
          <w:sz w:val="24"/>
          <w:szCs w:val="24"/>
        </w:rPr>
        <w:t xml:space="preserve"> </w:t>
      </w:r>
      <w:r w:rsidR="006119B2" w:rsidRPr="006119B2">
        <w:rPr>
          <w:sz w:val="24"/>
          <w:szCs w:val="24"/>
        </w:rPr>
        <w:t>such as</w:t>
      </w:r>
      <w:r w:rsidR="003C083E">
        <w:rPr>
          <w:sz w:val="24"/>
          <w:szCs w:val="24"/>
        </w:rPr>
        <w:t xml:space="preserve"> </w:t>
      </w:r>
      <w:r w:rsidR="003122E6">
        <w:rPr>
          <w:b/>
          <w:sz w:val="24"/>
          <w:szCs w:val="24"/>
        </w:rPr>
        <w:t>27</w:t>
      </w:r>
      <w:r w:rsidR="003122E6" w:rsidRPr="003122E6">
        <w:rPr>
          <w:sz w:val="24"/>
          <w:szCs w:val="24"/>
        </w:rPr>
        <w:t>-</w:t>
      </w:r>
      <w:r w:rsidR="003122E6">
        <w:rPr>
          <w:b/>
          <w:sz w:val="24"/>
          <w:szCs w:val="24"/>
        </w:rPr>
        <w:t>30</w:t>
      </w:r>
      <w:r w:rsidR="003C083E">
        <w:rPr>
          <w:sz w:val="24"/>
          <w:szCs w:val="24"/>
        </w:rPr>
        <w:t>,</w:t>
      </w:r>
      <w:r w:rsidR="00ED3015">
        <w:rPr>
          <w:sz w:val="24"/>
          <w:szCs w:val="24"/>
        </w:rPr>
        <w:t xml:space="preserve"> have been investigated and reported to have improved chemical properties or an increased safety threshold</w:t>
      </w:r>
      <w:r w:rsidR="00B151AB">
        <w:rPr>
          <w:sz w:val="24"/>
          <w:szCs w:val="24"/>
        </w:rPr>
        <w:t xml:space="preserve"> (</w:t>
      </w:r>
      <w:r w:rsidR="00B151AB" w:rsidRPr="00B151AB">
        <w:rPr>
          <w:b/>
          <w:sz w:val="24"/>
          <w:szCs w:val="24"/>
        </w:rPr>
        <w:t>Figure 1.</w:t>
      </w:r>
      <w:r w:rsidR="003122E6">
        <w:rPr>
          <w:b/>
          <w:sz w:val="24"/>
          <w:szCs w:val="24"/>
        </w:rPr>
        <w:t>4</w:t>
      </w:r>
      <w:r w:rsidR="00B151AB">
        <w:rPr>
          <w:sz w:val="24"/>
          <w:szCs w:val="24"/>
        </w:rPr>
        <w:t>)</w:t>
      </w:r>
      <w:r w:rsidR="00ED3015">
        <w:rPr>
          <w:sz w:val="24"/>
          <w:szCs w:val="24"/>
        </w:rPr>
        <w:t>.</w:t>
      </w:r>
      <w:r w:rsidR="00ED3015">
        <w:rPr>
          <w:sz w:val="24"/>
          <w:szCs w:val="24"/>
        </w:rPr>
        <w:fldChar w:fldCharType="begin" w:fldLock="1"/>
      </w:r>
      <w:r w:rsidR="00F168DA">
        <w:rPr>
          <w:sz w:val="24"/>
          <w:szCs w:val="24"/>
        </w:rPr>
        <w:instrText>ADDIN CSL_CITATION { "citationItems" : [ { "id" : "ITEM-1", "itemData" : { "DOI" : "10.1021/jo101296s", "ISBN" : "0022-3263", "ISSN" : "00223263", "PMID" : "20825153", "URL" : "http://pubs.acs.org/doi/pdf/10.1021/jo101296s", "abstract" : "Benzotriazol-1-yl-sulfonyl azide, a new crystalline, stable, and easily available diazotransfer reagent provides N-(\u03b1-azidoacyl)benzotriazoles convenient for N-, O-, C- and S-acylations. The efficient syntheses of various amides, azido protected peptides, esters, ketones and thioesters is reported together with a wide range of azides (including \u03b1-azido acids from \u03b1- amino acids in partially aqueous conditions) and diazo compounds.", "accessed" : { "date-parts" : [ [ "2015", "2", "20" ] ] }, "author" : [ { "dropping-particle" : "", "family" : "Katritzky", "given" : "Alan R.", "non-dropping-particle" : "", "parse-names" : false, "suffix" : "" }, { "dropping-particle" : "", "family" : "Khatib", "given" : "Mirna", "non-dropping-particle" : "El", "parse-names" : false, "suffix" : "" }, { "dropping-particle" : "", "family" : "Bol'shakov", "given" : "Oleg", "non-dropping-particle" : "", "parse-names" : false, "suffix" : "" }, { "dropping-particle" : "", "family" : "Khelashvili", "given" : "Levan", "non-dropping-particle" : "", "parse-names" : false, "suffix" : "" }, { "dropping-particle" : "", "family" : "Steel", "given" : "Peter J.", "non-dropping-particle" : "", "parse-names" : false, "suffix" : "" } ], "container-title" : "Journal of Organic Chemistry", "id" : "ITEM-1", "issue" : "19", "issued" : { "date-parts" : [ [ "2010" ] ] }, "page" : "6532-6539", "title" : "Benzotriazol-1-yl-sulfonyl azide for diazotransfer and preparation of azidoacylbenzotriazoles", "type" : "webpage", "volume" : "75" }, "uris" : [ "http://www.mendeley.com/documents/?uuid=83d6a2b0-b6d5-4bed-b202-dd33ef9d5ac5" ] }, { "id" : "ITEM-2", "itemData" : { "DOI" : "10.1021/ol3028708", "ISSN" : "1523-7052", "abstract" : "A facile approach to the diazo-transfer reagent of imidazole-1-sulfonyl azide was reported.  The procedure was well optimized to clarify potential explosion risks.  A high prodn. yield as well as small batch variation was achieved even without careful pretreatment of reagents and solvents.  HPLC and NMR methods to monitor the process were provided.  These features made this protocol suitable for large scale prepn. in academia and industry as well. [on SciFinder(R)]", "author" : [ { "dropping-particle" : "", "family" : "Ye", "given" : "Hui", "non-dropping-particle" : "", "parse-names" : false, "suffix" : "" }, { "dropping-particle" : "", "family" : "Liu", "given" : "Ruihua", "non-dropping-particle" : "", "parse-names" : false, "suffix" : "" }, { "dropping-particle" : "", "family" : "Li", "given" : "Dongmei", "non-dropping-particle" : "", "parse-names" : false, "suffix" : "" }, { "dropping-particle" : "", "family" : "Liu", "given" : "Yonghui", "non-dropping-particle" : "", "parse-names" : false, "suffix" : "" }, { "dropping-particle" : "", "family" : "Yuan", "given" : "Haixin", "non-dropping-particle" : "", "parse-names" : false, "suffix" : "" }, { "dropping-particle" : "", "family" : "Guo", "given" : "Weikang", "non-dropping-particle" : "", "parse-names" : false, "suffix" : "" }, { "dropping-particle" : "", "family" : "Zhou", "given" : "Lifei", "non-dropping-particle" : "", "parse-names" : false, "suffix" : "" }, { "dropping-particle" : "", "family" : "Cao", "given" : "Xuefeng", "non-dropping-particle" : "", "parse-names" : false, "suffix" : "" }, { "dropping-particle" : "", "family" : "Tian", "given" : "Hongqi", "non-dropping-particle" : "", "parse-names" : false, "suffix" : "" }, { "dropping-particle" : "", "family" : "Shen", "given" : "Jie", "non-dropping-particle" : "", "parse-names" : false, "suffix" : "" }, { "dropping-particle" : "", "family" : "Wang", "given" : "Peng George.", "non-dropping-particle" : "", "parse-names" : false, "suffix" : "" } ], "container-title" : "Organic Letters", "id" : "ITEM-2", "issue" : "1", "issued" : { "date-parts" : [ [ "2013" ] ] }, "note" : "CAPLUS AN 2012:1840886(Journal; Online Computer File)", "page" : "18-21", "publisher" : "American Chemical Society", "title" : "A Safe and Facile Route to Imidazole-1-sulfonyl Azide as a Diazotransfer Reagent.", "type" : "article-journal", "volume" : "15" }, "uris" : [ "http://www.mendeley.com/documents/?uuid=d275b839-e8bc-4e51-8ac8-50de15726e87" ] }, { "id" : "ITEM-3", "itemData" : { "DOI" : "10.3390/cryst2010118", "ISSN" : "2073-4352", "abstract" : "Cryst. 2-ethylimidazole-1-sulfonyl azide was designed as a convenient reagent with improved thermal stability for electrophilic azidation of carbanions.  The compd. crystd. in the monoclinic space group P21/c.  Crystallog. data are given.  The mols. are arranged into chains by short C-H\u00b7\u00b7\u00b7O contacts along a 2-fold screw axis.  The quaternary 1-azidosulfonyl-2-methyl-3-ethylimidazolium tetrafluoroborate crystd. in Fdd2 with two independent ion pairs which engage in C-H\u00b7\u00b7\u00b7F interactions. [on SciFinder(R)]", "author" : [ { "dropping-particle" : "", "family" : "Laus", "given" : "Gerhard", "non-dropping-particle" : "", "parse-names" : false, "suffix" : "" }, { "dropping-particle" : "", "family" : "Adamer", "given" : "Verena", "non-dropping-particle" : "", "parse-names" : false, "suffix" : "" }, { "dropping-particle" : "", "family" : "Hummel", "given" : "Michael", "non-dropping-particle" : "", "parse-names" : false, "suffix" : "" }, { "dropping-particle" : "", "family" : "Kahlenberg", "given" : "Volker", "non-dropping-particle" : "", "parse-names" : false, "suffix" : "" }, { "dropping-particle" : "", "family" : "Wurst", "given" : "Klaus", "non-dropping-particle" : "", "parse-names" : false, "suffix" : "" }, { "dropping-particle" : "", "family" : "Nerdinger", "given" : "Sven", "non-dropping-particle" : "", "parse-names" : false, "suffix" : "" }, { "dropping-particle" : "", "family" : "Schottenberger", "given" : "Herwig.", "non-dropping-particle" : "", "parse-names" : false, "suffix" : "" } ], "container-title" : "Crystals", "id" : "ITEM-3", "issued" : { "date-parts" : [ [ "2012" ] ] }, "note" : "CAPLUS AN 2012:472205(Journal; Online Computer File)", "page" : "118-126", "publisher" : "MDPI AG", "title" : "Crystal structure of 2-ethylimidazole-1-sulfonyl azide: a new azidation reagent.", "type" : "article-journal", "volume" : "2" }, "uris" : [ "http://www.mendeley.com/documents/?uuid=c341900a-537d-4628-ad03-38bffce260dc" ] }, { "id" : "ITEM-4", "itemData" : { "DOI" : "10.1021/jo202264r", "ISSN" : "0022-3263", "abstract" : "Imidazole-1-sulfonyl azide hydrochloride, an inexpensive and effective diazo transfer reagent, was recently found to be impact sensitive.  To identify safer-to-handle forms of this reagent, several different salts of imidazole-1-sulfonyl azide were prepd., and their sensitivity to heat, impact, friction, and electrostatic discharge was quant. detd.  A no. of these salts exhibited improved properties and can be considered safer than the aforementioned hydrochloride.  The solid-state structures of the chloride and less sensitive hydrogen sulfate were detd. by single-crystal x-ray diffraction in an effort to provide some insight into the different properties of the materials. [on SciFinder(R)]", "author" : [ { "dropping-particle" : "", "family" : "Fischer", "given" : "Niko", "non-dropping-particle" : "", "parse-names" : false, "suffix" : "" }, { "dropping-particle" : "", "family" : "Goddard-Borger", "given" : "Ethan D", "non-dropping-particle" : "", "parse-names" : false, "suffix" : "" }, { "dropping-particle" : "", "family" : "Greiner", "given" : "Robert", "non-dropping-particle" : "", "parse-names" : false, "suffix" : "" }, { "dropping-particle" : "", "family" : "Klapoetke", "given" : "Thomas M", "non-dropping-particle" : "", "parse-names" : false, "suffix" : "" }, { "dropping-particle" : "", "family" : "Skelton", "given" : "Brian W", "non-dropping-particle" : "", "parse-names" : false, "suffix" : "" }, { "dropping-particle" : "", "family" : "Stierstorfer", "given" : "Joerg.", "non-dropping-particle" : "", "parse-names" : false, "suffix" : "" } ], "container-title" : "Journal of Organic Chemistry", "id" : "ITEM-4", "issue" : "4", "issued" : { "date-parts" : [ [ "2012" ] ] }, "note" : "CAPLUS AN 2012:108542(Journal; Online Computer File)", "page" : "1760-1764", "publisher" : "American Chemical Society", "title" : "Sensitivities of Some Imidazole-1-sulfonyl Azide Salts.", "type" : "article-journal", "volume" : "77" }, "uris" : [ "http://www.mendeley.com/documents/?uuid=68947f18-0d0d-49d5-b6f7-6017db4df3fa" ] } ], "mendeley" : { "formattedCitation" : "&lt;sup&gt;[49\u201352]&lt;/sup&gt;", "plainTextFormattedCitation" : "[49\u201352]", "previouslyFormattedCitation" : "&lt;sup&gt;[49\u201352]&lt;/sup&gt;" }, "properties" : { "noteIndex" : 0 }, "schema" : "https://github.com/citation-style-language/schema/raw/master/csl-citation.json" }</w:instrText>
      </w:r>
      <w:r w:rsidR="00ED3015">
        <w:rPr>
          <w:sz w:val="24"/>
          <w:szCs w:val="24"/>
        </w:rPr>
        <w:fldChar w:fldCharType="separate"/>
      </w:r>
      <w:r w:rsidR="0055300D" w:rsidRPr="0055300D">
        <w:rPr>
          <w:noProof/>
          <w:sz w:val="24"/>
          <w:szCs w:val="24"/>
          <w:vertAlign w:val="superscript"/>
        </w:rPr>
        <w:t>[49–52]</w:t>
      </w:r>
      <w:r w:rsidR="00ED3015">
        <w:rPr>
          <w:sz w:val="24"/>
          <w:szCs w:val="24"/>
        </w:rPr>
        <w:fldChar w:fldCharType="end"/>
      </w:r>
    </w:p>
    <w:p w:rsidR="00ED3015" w:rsidRDefault="007A2A52" w:rsidP="002C4DBF">
      <w:pPr>
        <w:spacing w:line="360" w:lineRule="auto"/>
        <w:jc w:val="center"/>
      </w:pPr>
      <w:r>
        <w:object w:dxaOrig="5997" w:dyaOrig="1694">
          <v:shape id="_x0000_i1044" type="#_x0000_t75" style="width:286.5pt;height:80.25pt" o:ole="">
            <v:imagedata r:id="rId52" o:title=""/>
          </v:shape>
          <o:OLEObject Type="Embed" ProgID="ChemDraw.Document.6.0" ShapeID="_x0000_i1044" DrawAspect="Content" ObjectID="_1531849586" r:id="rId53"/>
        </w:object>
      </w:r>
    </w:p>
    <w:p w:rsidR="00B151AB" w:rsidRDefault="007A2A52" w:rsidP="002C4DBF">
      <w:pPr>
        <w:spacing w:line="360" w:lineRule="auto"/>
        <w:jc w:val="center"/>
        <w:rPr>
          <w:sz w:val="24"/>
          <w:szCs w:val="24"/>
        </w:rPr>
      </w:pPr>
      <w:r>
        <w:rPr>
          <w:b/>
          <w:sz w:val="24"/>
          <w:szCs w:val="24"/>
        </w:rPr>
        <w:t>Figure 1.4</w:t>
      </w:r>
    </w:p>
    <w:p w:rsidR="002A5052" w:rsidRDefault="002A5052" w:rsidP="0078497E">
      <w:pPr>
        <w:spacing w:line="360" w:lineRule="auto"/>
        <w:jc w:val="both"/>
        <w:rPr>
          <w:sz w:val="24"/>
          <w:szCs w:val="24"/>
        </w:rPr>
      </w:pPr>
    </w:p>
    <w:p w:rsidR="002A5052" w:rsidRDefault="00715A71" w:rsidP="0078497E">
      <w:pPr>
        <w:spacing w:line="360" w:lineRule="auto"/>
        <w:jc w:val="both"/>
        <w:rPr>
          <w:sz w:val="24"/>
          <w:szCs w:val="24"/>
        </w:rPr>
      </w:pPr>
      <w:r>
        <w:rPr>
          <w:sz w:val="24"/>
          <w:szCs w:val="24"/>
        </w:rPr>
        <w:t>Since imidazole-1-sulfonyl azide was first reported, it has been wide</w:t>
      </w:r>
      <w:r w:rsidR="00A5710F">
        <w:rPr>
          <w:sz w:val="24"/>
          <w:szCs w:val="24"/>
        </w:rPr>
        <w:t xml:space="preserve">ly used: Smith </w:t>
      </w:r>
      <w:r w:rsidR="00A5710F" w:rsidRPr="008F714D">
        <w:rPr>
          <w:i/>
          <w:sz w:val="24"/>
          <w:szCs w:val="24"/>
        </w:rPr>
        <w:t>et al</w:t>
      </w:r>
      <w:r w:rsidR="00A5710F">
        <w:rPr>
          <w:sz w:val="24"/>
          <w:szCs w:val="24"/>
        </w:rPr>
        <w:t xml:space="preserve">. used </w:t>
      </w:r>
      <w:r w:rsidR="007A2A52">
        <w:rPr>
          <w:b/>
          <w:sz w:val="24"/>
          <w:szCs w:val="24"/>
        </w:rPr>
        <w:t>25</w:t>
      </w:r>
      <w:r>
        <w:rPr>
          <w:sz w:val="24"/>
          <w:szCs w:val="24"/>
        </w:rPr>
        <w:t xml:space="preserve"> to establish a one pot procedure for the synthesis of 1,2,3-triazoles from primary amines and terminal acetylenes </w:t>
      </w:r>
      <w:r w:rsidRPr="007A2A52">
        <w:rPr>
          <w:i/>
          <w:sz w:val="24"/>
          <w:szCs w:val="24"/>
        </w:rPr>
        <w:t>via</w:t>
      </w:r>
      <w:r>
        <w:rPr>
          <w:sz w:val="24"/>
          <w:szCs w:val="24"/>
        </w:rPr>
        <w:t xml:space="preserve"> copper-catalysed click chemistry</w:t>
      </w:r>
      <w:r w:rsidR="00405ACE">
        <w:rPr>
          <w:sz w:val="24"/>
          <w:szCs w:val="24"/>
        </w:rPr>
        <w:t xml:space="preserve"> (</w:t>
      </w:r>
      <w:r w:rsidR="007A2A52">
        <w:rPr>
          <w:b/>
          <w:sz w:val="24"/>
          <w:szCs w:val="24"/>
        </w:rPr>
        <w:t>Scheme 1.19</w:t>
      </w:r>
      <w:r w:rsidR="00405ACE">
        <w:rPr>
          <w:sz w:val="24"/>
          <w:szCs w:val="24"/>
        </w:rPr>
        <w:t>)</w:t>
      </w:r>
      <w:r>
        <w:rPr>
          <w:sz w:val="24"/>
          <w:szCs w:val="24"/>
        </w:rPr>
        <w:t>.</w:t>
      </w:r>
      <w:r>
        <w:rPr>
          <w:sz w:val="24"/>
          <w:szCs w:val="24"/>
        </w:rPr>
        <w:fldChar w:fldCharType="begin" w:fldLock="1"/>
      </w:r>
      <w:r w:rsidR="00F168DA">
        <w:rPr>
          <w:sz w:val="24"/>
          <w:szCs w:val="24"/>
        </w:rPr>
        <w:instrText>ADDIN CSL_CITATION { "citationItems" : [ { "id" : "ITEM-1", "itemData" : { "DOI" : "10.1055/s-0029-1217175", "ISSN" : "0936-5214", "abstract" : "A practical and efficient one-pot procedure for the regioselective synthesis of functionalized 1,4-disubstituted 1,2,3-triazoles from primary amines and terminal acetylenes has been established utilizing the inexpensive, shelf-stable diazotransfer reagent imidazole-1-sulfonyl azide hydrochloride. [on SciFinder(R)]", "author" : [ { "dropping-particle" : "", "family" : "Smith", "given" : "Neal M", "non-dropping-particle" : "", "parse-names" : false, "suffix" : "" }, { "dropping-particle" : "", "family" : "Greaves", "given" : "Michelle J", "non-dropping-particle" : "", "parse-names" : false, "suffix" : "" }, { "dropping-particle" : "", "family" : "Jewell", "given" : "Robert", "non-dropping-particle" : "", "parse-names" : false, "suffix" : "" }, { "dropping-particle" : "", "family" : "Perry", "given" : "Matthew W D", "non-dropping-particle" : "", "parse-names" : false, "suffix" : "" }, { "dropping-particle" : "", "family" : "Stocks", "given" : "Michael J", "non-dropping-particle" : "", "parse-names" : false, "suffix" : "" }, { "dropping-particle" : "", "family" : "Stonehouse", "given" : "Jeffrey P", "non-dropping-particle" : "", "parse-names" : false, "suffix" : "" } ], "container-title" : "Synlett", "id" : "ITEM-1", "issue" : "9", "issued" : { "date-parts" : [ [ "2009" ] ] }, "note" : "CAPLUS AN 2009:770527(Journal)", "page" : "1391-1394", "publisher" : "Georg Thieme Verlag", "title" : "One-pot, three-component copper-catalyzed 'click' triazole synthesis utilizing the inexpensive, shelf-stable diazotransfer reagent imidazole-1-sulfonyl azide hydrochloride.", "type" : "article-journal" }, "uris" : [ "http://www.mendeley.com/documents/?uuid=c5282556-6e08-4f83-9261-30ebeeb8202d" ] } ], "mendeley" : { "formattedCitation" : "&lt;sup&gt;[53]&lt;/sup&gt;", "plainTextFormattedCitation" : "[53]", "previouslyFormattedCitation" : "&lt;sup&gt;[53]&lt;/sup&gt;"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[53]</w:t>
      </w:r>
      <w:r>
        <w:rPr>
          <w:sz w:val="24"/>
          <w:szCs w:val="24"/>
        </w:rPr>
        <w:fldChar w:fldCharType="end"/>
      </w:r>
      <w:r w:rsidR="00B418F5">
        <w:rPr>
          <w:sz w:val="24"/>
          <w:szCs w:val="24"/>
        </w:rPr>
        <w:t xml:space="preserve"> </w:t>
      </w:r>
    </w:p>
    <w:p w:rsidR="002C4DBF" w:rsidRDefault="00E05812" w:rsidP="0078497E">
      <w:pPr>
        <w:spacing w:line="360" w:lineRule="auto"/>
        <w:jc w:val="both"/>
        <w:rPr>
          <w:sz w:val="24"/>
          <w:szCs w:val="24"/>
        </w:rPr>
      </w:pPr>
      <w:r>
        <w:object w:dxaOrig="9160" w:dyaOrig="1250">
          <v:shape id="_x0000_i1095" type="#_x0000_t75" style="width:451.5pt;height:62.25pt" o:ole="">
            <v:imagedata r:id="rId54" o:title=""/>
          </v:shape>
          <o:OLEObject Type="Embed" ProgID="ChemDraw.Document.6.0" ShapeID="_x0000_i1095" DrawAspect="Content" ObjectID="_1531849587" r:id="rId55"/>
        </w:object>
      </w:r>
    </w:p>
    <w:p w:rsidR="00405ACE" w:rsidRDefault="007A2A52" w:rsidP="00EB58ED">
      <w:pPr>
        <w:spacing w:line="360" w:lineRule="auto"/>
        <w:jc w:val="center"/>
        <w:rPr>
          <w:sz w:val="24"/>
          <w:szCs w:val="24"/>
        </w:rPr>
      </w:pPr>
      <w:r>
        <w:rPr>
          <w:b/>
          <w:sz w:val="24"/>
          <w:szCs w:val="24"/>
        </w:rPr>
        <w:t>Scheme 1.19</w:t>
      </w:r>
    </w:p>
    <w:p w:rsidR="00B418F5" w:rsidRDefault="00205D0C" w:rsidP="0078497E">
      <w:pPr>
        <w:spacing w:line="360" w:lineRule="auto"/>
        <w:jc w:val="both"/>
        <w:rPr>
          <w:sz w:val="24"/>
          <w:szCs w:val="24"/>
        </w:rPr>
      </w:pPr>
      <w:r>
        <w:rPr>
          <w:sz w:val="24"/>
          <w:szCs w:val="24"/>
        </w:rPr>
        <w:lastRenderedPageBreak/>
        <w:t>Del</w:t>
      </w:r>
      <w:r w:rsidR="00A5710F">
        <w:rPr>
          <w:sz w:val="24"/>
          <w:szCs w:val="24"/>
        </w:rPr>
        <w:t xml:space="preserve">ville and co-workers used </w:t>
      </w:r>
      <w:r w:rsidR="007A2A52">
        <w:rPr>
          <w:b/>
          <w:sz w:val="24"/>
          <w:szCs w:val="24"/>
        </w:rPr>
        <w:t>25</w:t>
      </w:r>
      <w:r>
        <w:rPr>
          <w:sz w:val="24"/>
          <w:szCs w:val="24"/>
        </w:rPr>
        <w:t xml:space="preserve"> for the optimization of a continuous flow system for the preparation of organic azides</w:t>
      </w:r>
      <w:r w:rsidR="00130F7B">
        <w:rPr>
          <w:sz w:val="24"/>
          <w:szCs w:val="24"/>
        </w:rPr>
        <w:t xml:space="preserve">, as shown in </w:t>
      </w:r>
      <w:r w:rsidR="00130F7B" w:rsidRPr="00130F7B">
        <w:rPr>
          <w:b/>
          <w:sz w:val="24"/>
          <w:szCs w:val="24"/>
        </w:rPr>
        <w:t>Scheme 1.</w:t>
      </w:r>
      <w:r w:rsidR="007A2A52">
        <w:rPr>
          <w:b/>
          <w:sz w:val="24"/>
          <w:szCs w:val="24"/>
        </w:rPr>
        <w:t>20</w:t>
      </w:r>
      <w:r>
        <w:rPr>
          <w:sz w:val="24"/>
          <w:szCs w:val="24"/>
        </w:rPr>
        <w:t>.</w:t>
      </w:r>
      <w:r>
        <w:rPr>
          <w:sz w:val="24"/>
          <w:szCs w:val="24"/>
        </w:rPr>
        <w:fldChar w:fldCharType="begin" w:fldLock="1"/>
      </w:r>
      <w:r w:rsidR="00F168DA">
        <w:rPr>
          <w:sz w:val="24"/>
          <w:szCs w:val="24"/>
        </w:rPr>
        <w:instrText>ADDIN CSL_CITATION { "citationItems" : [ { "id" : "ITEM-1", "itemData" : { "DOI" : "10.1016/j.cej.2010.08.087", "ISSN" : "1385-8947", "abstract" : "The intrinsically small vols. and highly controlled reaction conditions render continuous flow microreactors ideal systems for the synthesis of potentially explosive compds. such as org. azides.  In this article, we report the formation of benzyl azide from benzylamine using imidazole-1-sulfonyl azide hydrochloride as diazotransfer reagent.  In a small scale (semi-automated) continuous flow setup the diazotransfer reaction was optimized using minimal amts. of reagents; less than 400 mg of benzylamine was required to perform 60 optimization reactions.  The optimal reaction conditions were identified to be room temp., 600 s of residence time and an imidazole-1-sulfonyl hydrochloride to benzylamine stoichiometric ratio of 3 to 4.  Furthermore, we successfully scaled up the reaction with a factor of 200 to gram scale using one single continuous flow reactor. [on SciFinder(R)]", "author" : [ { "dropping-particle" : "", "family" : "Delville", "given" : "Marielle M E", "non-dropping-particle" : "", "parse-names" : false, "suffix" : "" }, { "dropping-particle" : "", "family" : "Nieuwland", "given" : "Pieter J", "non-dropping-particle" : "", "parse-names" : false, "suffix" : "" }, { "dropping-particle" : "", "family" : "Janssen", "given" : "Paul", "non-dropping-particle" : "", "parse-names" : false, "suffix" : "" }, { "dropping-particle" : "", "family" : "Koch", "given" : "Kaspar", "non-dropping-particle" : "", "parse-names" : false, "suffix" : "" }, { "dropping-particle" : "", "family" : "Hest", "given" : "Jan C M", "non-dropping-particle" : "van", "parse-names" : false, "suffix" : "" }, { "dropping-particle" : "", "family" : "Rutjes", "given" : "Floris P J T", "non-dropping-particle" : "", "parse-names" : false, "suffix" : "" } ], "container-title" : "Chemical Engineering Journal (Amsterdam, Netherlands)", "id" : "ITEM-1", "issue" : "2-3", "issued" : { "date-parts" : [ [ "2011" ] ] }, "note" : "CAPLUS AN 2011:315588(Journal)", "page" : "556-559", "publisher" : "Elsevier B.V.", "title" : "Continuous flow azide formation: Optimization and scale-up.", "type" : "article-journal", "volume" : "167" }, "uris" : [ "http://www.mendeley.com/documents/?uuid=980bafda-2949-4758-a570-09e8c4fe5b6e" ] } ], "mendeley" : { "formattedCitation" : "&lt;sup&gt;[54]&lt;/sup&gt;", "plainTextFormattedCitation" : "[54]", "previouslyFormattedCitation" : "&lt;sup&gt;[54]&lt;/sup&gt;"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[54]</w:t>
      </w:r>
      <w:r>
        <w:rPr>
          <w:sz w:val="24"/>
          <w:szCs w:val="24"/>
        </w:rPr>
        <w:fldChar w:fldCharType="end"/>
      </w:r>
      <w:r>
        <w:rPr>
          <w:sz w:val="24"/>
          <w:szCs w:val="24"/>
        </w:rPr>
        <w:t xml:space="preserve"> C</w:t>
      </w:r>
      <w:r w:rsidRPr="00205D0C">
        <w:rPr>
          <w:sz w:val="24"/>
          <w:szCs w:val="24"/>
        </w:rPr>
        <w:t>ontinuous flow microreactors</w:t>
      </w:r>
      <w:r>
        <w:rPr>
          <w:sz w:val="24"/>
          <w:szCs w:val="24"/>
        </w:rPr>
        <w:t xml:space="preserve"> are ideally suited to potentially explosive azide synthesis due to t</w:t>
      </w:r>
      <w:r w:rsidRPr="00205D0C">
        <w:rPr>
          <w:sz w:val="24"/>
          <w:szCs w:val="24"/>
        </w:rPr>
        <w:t>he intrinsically small volumes and highly controlled reaction conditions</w:t>
      </w:r>
      <w:r>
        <w:rPr>
          <w:sz w:val="24"/>
          <w:szCs w:val="24"/>
        </w:rPr>
        <w:t>.</w:t>
      </w:r>
    </w:p>
    <w:p w:rsidR="003C083E" w:rsidRDefault="003C083E" w:rsidP="0078497E">
      <w:pPr>
        <w:spacing w:line="360" w:lineRule="auto"/>
        <w:jc w:val="both"/>
        <w:rPr>
          <w:sz w:val="24"/>
          <w:szCs w:val="24"/>
        </w:rPr>
      </w:pPr>
    </w:p>
    <w:p w:rsidR="003C083E" w:rsidRDefault="007A2A52" w:rsidP="003C083E">
      <w:pPr>
        <w:spacing w:line="360" w:lineRule="auto"/>
        <w:jc w:val="center"/>
      </w:pPr>
      <w:r>
        <w:object w:dxaOrig="6287" w:dyaOrig="3328">
          <v:shape id="_x0000_i1045" type="#_x0000_t75" style="width:331.5pt;height:174.75pt" o:ole="">
            <v:imagedata r:id="rId56" o:title=""/>
          </v:shape>
          <o:OLEObject Type="Embed" ProgID="ChemDraw.Document.6.0" ShapeID="_x0000_i1045" DrawAspect="Content" ObjectID="_1531849588" r:id="rId57"/>
        </w:object>
      </w:r>
    </w:p>
    <w:p w:rsidR="00EB58ED" w:rsidRDefault="00130F7B" w:rsidP="00130F7B">
      <w:pPr>
        <w:spacing w:line="360" w:lineRule="auto"/>
        <w:jc w:val="center"/>
        <w:rPr>
          <w:b/>
          <w:sz w:val="24"/>
          <w:szCs w:val="24"/>
        </w:rPr>
      </w:pPr>
      <w:r w:rsidRPr="00130F7B">
        <w:rPr>
          <w:b/>
          <w:sz w:val="24"/>
          <w:szCs w:val="24"/>
        </w:rPr>
        <w:t>Scheme 1.</w:t>
      </w:r>
      <w:r w:rsidR="007A2A52">
        <w:rPr>
          <w:b/>
          <w:sz w:val="24"/>
          <w:szCs w:val="24"/>
        </w:rPr>
        <w:t>20</w:t>
      </w:r>
    </w:p>
    <w:p w:rsidR="00EB58ED" w:rsidRDefault="00EB58ED" w:rsidP="005564E7">
      <w:pPr>
        <w:spacing w:line="360" w:lineRule="auto"/>
        <w:jc w:val="both"/>
        <w:rPr>
          <w:b/>
          <w:sz w:val="24"/>
          <w:szCs w:val="24"/>
        </w:rPr>
      </w:pPr>
    </w:p>
    <w:p w:rsidR="005564E7" w:rsidRPr="005564E7" w:rsidRDefault="005564E7" w:rsidP="005564E7">
      <w:pPr>
        <w:spacing w:line="360" w:lineRule="auto"/>
        <w:jc w:val="both"/>
        <w:rPr>
          <w:b/>
          <w:sz w:val="24"/>
          <w:szCs w:val="24"/>
        </w:rPr>
      </w:pPr>
      <w:r w:rsidRPr="005564E7">
        <w:rPr>
          <w:b/>
          <w:sz w:val="24"/>
          <w:szCs w:val="24"/>
        </w:rPr>
        <w:t xml:space="preserve">Benzotriazol-1-yl-sulfonyl </w:t>
      </w:r>
      <w:r w:rsidR="009C6875">
        <w:rPr>
          <w:b/>
          <w:sz w:val="24"/>
          <w:szCs w:val="24"/>
        </w:rPr>
        <w:t>a</w:t>
      </w:r>
      <w:r w:rsidRPr="005564E7">
        <w:rPr>
          <w:b/>
          <w:sz w:val="24"/>
          <w:szCs w:val="24"/>
        </w:rPr>
        <w:t>zide</w:t>
      </w:r>
    </w:p>
    <w:p w:rsidR="005564E7" w:rsidRDefault="005564E7" w:rsidP="005564E7">
      <w:pPr>
        <w:spacing w:line="360" w:lineRule="auto"/>
        <w:jc w:val="both"/>
        <w:rPr>
          <w:sz w:val="24"/>
          <w:szCs w:val="24"/>
        </w:rPr>
      </w:pPr>
      <w:r>
        <w:rPr>
          <w:sz w:val="24"/>
          <w:szCs w:val="24"/>
        </w:rPr>
        <w:t>The preparation of benzotriazol-1-yl-sulfonyl azide</w:t>
      </w:r>
      <w:r w:rsidR="009C5B9B">
        <w:rPr>
          <w:sz w:val="24"/>
          <w:szCs w:val="24"/>
        </w:rPr>
        <w:t xml:space="preserve"> </w:t>
      </w:r>
      <w:r w:rsidR="00130F7B">
        <w:rPr>
          <w:b/>
          <w:sz w:val="24"/>
          <w:szCs w:val="24"/>
        </w:rPr>
        <w:t>3</w:t>
      </w:r>
      <w:r w:rsidR="007A2A52">
        <w:rPr>
          <w:b/>
          <w:sz w:val="24"/>
          <w:szCs w:val="24"/>
        </w:rPr>
        <w:t>1</w:t>
      </w:r>
      <w:r>
        <w:rPr>
          <w:sz w:val="24"/>
          <w:szCs w:val="24"/>
        </w:rPr>
        <w:t xml:space="preserve"> was reported by Katritzky and co-workers.</w:t>
      </w:r>
      <w:r w:rsidR="00130F7B">
        <w:rPr>
          <w:sz w:val="24"/>
          <w:szCs w:val="24"/>
        </w:rPr>
        <w:fldChar w:fldCharType="begin" w:fldLock="1"/>
      </w:r>
      <w:r w:rsidR="00F168DA">
        <w:rPr>
          <w:sz w:val="24"/>
          <w:szCs w:val="24"/>
        </w:rPr>
        <w:instrText>ADDIN CSL_CITATION { "citationItems" : [ { "id" : "ITEM-1", "itemData" : { "DOI" : "10.1021/jo101296s", "ISBN" : "0022-3263", "ISSN" : "00223263", "PMID" : "20825153", "URL" : "http://pubs.acs.org/doi/pdf/10.1021/jo101296s", "abstract" : "Benzotriazol-1-yl-sulfonyl azide, a new crystalline, stable, and easily available diazotransfer reagent provides N-(\u03b1-azidoacyl)benzotriazoles convenient for N-, O-, C- and S-acylations. The efficient syntheses of various amides, azido protected peptides, esters, ketones and thioesters is reported together with a wide range of azides (including \u03b1-azido acids from \u03b1- amino acids in partially aqueous conditions) and diazo compounds.", "accessed" : { "date-parts" : [ [ "2015", "2", "20" ] ] }, "author" : [ { "dropping-particle" : "", "family" : "Katritzky", "given" : "Alan R.", "non-dropping-particle" : "", "parse-names" : false, "suffix" : "" }, { "dropping-particle" : "", "family" : "Khatib", "given" : "Mirna", "non-dropping-particle" : "El", "parse-names" : false, "suffix" : "" }, { "dropping-particle" : "", "family" : "Bol'shakov", "given" : "Oleg", "non-dropping-particle" : "", "parse-names" : false, "suffix" : "" }, { "dropping-particle" : "", "family" : "Khelashvili", "given" : "Levan", "non-dropping-particle" : "", "parse-names" : false, "suffix" : "" }, { "dropping-particle" : "", "family" : "Steel", "given" : "Peter J.", "non-dropping-particle" : "", "parse-names" : false, "suffix" : "" } ], "container-title" : "Journal of Organic Chemistry", "id" : "ITEM-1", "issue" : "19", "issued" : { "date-parts" : [ [ "2010" ] ] }, "page" : "6532-6539", "title" : "Benzotriazol-1-yl-sulfonyl azide for diazotransfer and preparation of azidoacylbenzotriazoles", "type" : "webpage", "volume" : "75" }, "uris" : [ "http://www.mendeley.com/documents/?uuid=83d6a2b0-b6d5-4bed-b202-dd33ef9d5ac5" ] } ], "mendeley" : { "formattedCitation" : "&lt;sup&gt;[50]&lt;/sup&gt;", "plainTextFormattedCitation" : "[50]", "previouslyFormattedCitation" : "&lt;sup&gt;[50]&lt;/sup&gt;" }, "properties" : { "noteIndex" : 0 }, "schema" : "https://github.com/citation-style-language/schema/raw/master/csl-citation.json" }</w:instrText>
      </w:r>
      <w:r w:rsidR="00130F7B">
        <w:rPr>
          <w:sz w:val="24"/>
          <w:szCs w:val="24"/>
        </w:rPr>
        <w:fldChar w:fldCharType="separate"/>
      </w:r>
      <w:r w:rsidR="0055300D" w:rsidRPr="0055300D">
        <w:rPr>
          <w:noProof/>
          <w:sz w:val="24"/>
          <w:szCs w:val="24"/>
          <w:vertAlign w:val="superscript"/>
        </w:rPr>
        <w:t>[50]</w:t>
      </w:r>
      <w:r w:rsidR="00130F7B">
        <w:rPr>
          <w:sz w:val="24"/>
          <w:szCs w:val="24"/>
        </w:rPr>
        <w:fldChar w:fldCharType="end"/>
      </w:r>
      <w:r>
        <w:rPr>
          <w:sz w:val="24"/>
          <w:szCs w:val="24"/>
        </w:rPr>
        <w:t xml:space="preserve"> They reported a new crystalline, stable and easily available diazo transfer reagent, which was intended for use forming azido-protected peptides, esters, ketones and thioesters. Chlorosulfonyl azide was prepared </w:t>
      </w:r>
      <w:r w:rsidRPr="00130F7B">
        <w:rPr>
          <w:i/>
          <w:sz w:val="24"/>
          <w:szCs w:val="24"/>
        </w:rPr>
        <w:t>in situ</w:t>
      </w:r>
      <w:r>
        <w:rPr>
          <w:sz w:val="24"/>
          <w:szCs w:val="24"/>
        </w:rPr>
        <w:t xml:space="preserve"> from sodium azide and sulfuryl chloride, then reacted with benzotriazole and pyridine in acetonitrile to access benzotriazol-1-yl-sulfonyl azide</w:t>
      </w:r>
      <w:r w:rsidR="009C5B9B">
        <w:rPr>
          <w:sz w:val="24"/>
          <w:szCs w:val="24"/>
        </w:rPr>
        <w:t xml:space="preserve"> </w:t>
      </w:r>
      <w:r w:rsidR="00130F7B">
        <w:rPr>
          <w:b/>
          <w:sz w:val="24"/>
          <w:szCs w:val="24"/>
        </w:rPr>
        <w:t>3</w:t>
      </w:r>
      <w:r w:rsidR="007A2A52">
        <w:rPr>
          <w:b/>
          <w:sz w:val="24"/>
          <w:szCs w:val="24"/>
        </w:rPr>
        <w:t>1</w:t>
      </w:r>
      <w:r>
        <w:rPr>
          <w:sz w:val="24"/>
          <w:szCs w:val="24"/>
        </w:rPr>
        <w:t xml:space="preserve"> in good yields</w:t>
      </w:r>
      <w:r w:rsidR="00B017B4">
        <w:rPr>
          <w:sz w:val="24"/>
          <w:szCs w:val="24"/>
        </w:rPr>
        <w:t xml:space="preserve">, as shown in </w:t>
      </w:r>
      <w:r w:rsidR="00B017B4" w:rsidRPr="00B017B4">
        <w:rPr>
          <w:b/>
          <w:sz w:val="24"/>
          <w:szCs w:val="24"/>
        </w:rPr>
        <w:t>Scheme 1.2</w:t>
      </w:r>
      <w:r w:rsidR="007A2A52">
        <w:rPr>
          <w:b/>
          <w:sz w:val="24"/>
          <w:szCs w:val="24"/>
        </w:rPr>
        <w:t>1</w:t>
      </w:r>
      <w:r>
        <w:rPr>
          <w:sz w:val="24"/>
          <w:szCs w:val="24"/>
        </w:rPr>
        <w:t>. The reagent remained stable six weeks after its preparation and has high solubility in both organic and partially aqueous solvent</w:t>
      </w:r>
      <w:r w:rsidR="009C5B9B">
        <w:rPr>
          <w:sz w:val="24"/>
          <w:szCs w:val="24"/>
        </w:rPr>
        <w:t>s.  Benzotriazol-1-yl-sulfonyl a</w:t>
      </w:r>
      <w:r>
        <w:rPr>
          <w:sz w:val="24"/>
          <w:szCs w:val="24"/>
        </w:rPr>
        <w:t>zide</w:t>
      </w:r>
      <w:r w:rsidR="009C5B9B">
        <w:rPr>
          <w:sz w:val="24"/>
          <w:szCs w:val="24"/>
        </w:rPr>
        <w:t xml:space="preserve"> </w:t>
      </w:r>
      <w:r w:rsidR="00130F7B">
        <w:rPr>
          <w:b/>
          <w:sz w:val="24"/>
          <w:szCs w:val="24"/>
        </w:rPr>
        <w:t>3</w:t>
      </w:r>
      <w:r w:rsidR="007A2A52">
        <w:rPr>
          <w:b/>
          <w:sz w:val="24"/>
          <w:szCs w:val="24"/>
        </w:rPr>
        <w:t xml:space="preserve">1 </w:t>
      </w:r>
      <w:r>
        <w:rPr>
          <w:sz w:val="24"/>
          <w:szCs w:val="24"/>
        </w:rPr>
        <w:t>was successfully used by the authors to synthesise a wide range of azides and diazo compounds</w:t>
      </w:r>
      <w:r w:rsidR="007A2A52">
        <w:rPr>
          <w:sz w:val="24"/>
          <w:szCs w:val="24"/>
        </w:rPr>
        <w:t xml:space="preserve">, </w:t>
      </w:r>
      <w:r w:rsidR="006119B2">
        <w:rPr>
          <w:sz w:val="24"/>
          <w:szCs w:val="24"/>
        </w:rPr>
        <w:t>an example of which is shown in</w:t>
      </w:r>
      <w:r w:rsidR="007A2A52">
        <w:rPr>
          <w:sz w:val="24"/>
          <w:szCs w:val="24"/>
        </w:rPr>
        <w:t xml:space="preserve"> </w:t>
      </w:r>
      <w:r w:rsidR="007A2A52" w:rsidRPr="007A2A52">
        <w:rPr>
          <w:b/>
          <w:sz w:val="24"/>
          <w:szCs w:val="24"/>
        </w:rPr>
        <w:t>Scheme 1.21</w:t>
      </w:r>
      <w:r>
        <w:rPr>
          <w:sz w:val="24"/>
          <w:szCs w:val="24"/>
        </w:rPr>
        <w:t>.</w:t>
      </w:r>
    </w:p>
    <w:p w:rsidR="00B017B4" w:rsidRDefault="00B017B4" w:rsidP="005564E7">
      <w:pPr>
        <w:spacing w:line="360" w:lineRule="auto"/>
        <w:jc w:val="both"/>
        <w:rPr>
          <w:sz w:val="24"/>
          <w:szCs w:val="24"/>
        </w:rPr>
      </w:pPr>
    </w:p>
    <w:p w:rsidR="002C4DBF" w:rsidRDefault="002C4DBF" w:rsidP="005564E7">
      <w:pPr>
        <w:spacing w:line="360" w:lineRule="auto"/>
        <w:jc w:val="both"/>
        <w:rPr>
          <w:sz w:val="24"/>
          <w:szCs w:val="24"/>
        </w:rPr>
      </w:pPr>
    </w:p>
    <w:p w:rsidR="007A2A52" w:rsidRDefault="007A2A52" w:rsidP="007A2A52">
      <w:pPr>
        <w:spacing w:line="360" w:lineRule="auto"/>
        <w:jc w:val="center"/>
        <w:rPr>
          <w:sz w:val="24"/>
          <w:szCs w:val="24"/>
        </w:rPr>
      </w:pPr>
      <w:r>
        <w:object w:dxaOrig="7443" w:dyaOrig="3732">
          <v:shape id="_x0000_i1046" type="#_x0000_t75" style="width:372.75pt;height:186.75pt" o:ole="">
            <v:imagedata r:id="rId58" o:title=""/>
          </v:shape>
          <o:OLEObject Type="Embed" ProgID="ChemDraw.Document.6.0" ShapeID="_x0000_i1046" DrawAspect="Content" ObjectID="_1531849589" r:id="rId59"/>
        </w:object>
      </w:r>
    </w:p>
    <w:p w:rsidR="00B017B4" w:rsidRDefault="00B017B4" w:rsidP="00B017B4">
      <w:pPr>
        <w:spacing w:line="360" w:lineRule="auto"/>
        <w:jc w:val="center"/>
        <w:rPr>
          <w:b/>
          <w:sz w:val="24"/>
          <w:szCs w:val="24"/>
        </w:rPr>
      </w:pPr>
      <w:r w:rsidRPr="00B017B4">
        <w:rPr>
          <w:b/>
          <w:sz w:val="24"/>
          <w:szCs w:val="24"/>
        </w:rPr>
        <w:t>Scheme 1.2</w:t>
      </w:r>
      <w:r w:rsidR="007A2A52">
        <w:rPr>
          <w:b/>
          <w:sz w:val="24"/>
          <w:szCs w:val="24"/>
        </w:rPr>
        <w:t>1</w:t>
      </w:r>
    </w:p>
    <w:p w:rsidR="00B017B4" w:rsidRDefault="00B017B4" w:rsidP="0078497E">
      <w:pPr>
        <w:spacing w:line="360" w:lineRule="auto"/>
        <w:jc w:val="both"/>
        <w:rPr>
          <w:b/>
          <w:sz w:val="24"/>
          <w:szCs w:val="24"/>
        </w:rPr>
      </w:pPr>
    </w:p>
    <w:p w:rsidR="00AA1AAE" w:rsidRDefault="00AA1AAE" w:rsidP="0078497E">
      <w:pPr>
        <w:spacing w:line="360" w:lineRule="auto"/>
        <w:jc w:val="both"/>
        <w:rPr>
          <w:b/>
          <w:sz w:val="24"/>
          <w:szCs w:val="24"/>
        </w:rPr>
      </w:pPr>
      <w:r w:rsidRPr="00AA1AAE">
        <w:rPr>
          <w:b/>
          <w:sz w:val="24"/>
          <w:szCs w:val="24"/>
        </w:rPr>
        <w:t xml:space="preserve">Ionic </w:t>
      </w:r>
      <w:r w:rsidR="009C6875">
        <w:rPr>
          <w:b/>
          <w:sz w:val="24"/>
          <w:szCs w:val="24"/>
        </w:rPr>
        <w:t>liquid-supported s</w:t>
      </w:r>
      <w:r w:rsidRPr="00AA1AAE">
        <w:rPr>
          <w:b/>
          <w:sz w:val="24"/>
          <w:szCs w:val="24"/>
        </w:rPr>
        <w:t xml:space="preserve">ulfonyl </w:t>
      </w:r>
      <w:r w:rsidR="009C6875">
        <w:rPr>
          <w:b/>
          <w:sz w:val="24"/>
          <w:szCs w:val="24"/>
        </w:rPr>
        <w:t>a</w:t>
      </w:r>
      <w:r w:rsidRPr="00AA1AAE">
        <w:rPr>
          <w:b/>
          <w:sz w:val="24"/>
          <w:szCs w:val="24"/>
        </w:rPr>
        <w:t>zide</w:t>
      </w:r>
    </w:p>
    <w:p w:rsidR="00323BBC" w:rsidRDefault="003C083E" w:rsidP="0078497E">
      <w:pPr>
        <w:spacing w:line="360" w:lineRule="auto"/>
        <w:jc w:val="both"/>
        <w:rPr>
          <w:sz w:val="24"/>
          <w:szCs w:val="24"/>
        </w:rPr>
      </w:pPr>
      <w:r>
        <w:rPr>
          <w:sz w:val="24"/>
          <w:szCs w:val="24"/>
        </w:rPr>
        <w:t xml:space="preserve">A unique diazo transfer reagent was reported by Kumar </w:t>
      </w:r>
      <w:r w:rsidRPr="008F714D">
        <w:rPr>
          <w:i/>
          <w:sz w:val="24"/>
          <w:szCs w:val="24"/>
        </w:rPr>
        <w:t>et al</w:t>
      </w:r>
      <w:r>
        <w:rPr>
          <w:sz w:val="24"/>
          <w:szCs w:val="24"/>
        </w:rPr>
        <w:t xml:space="preserve">. </w:t>
      </w:r>
      <w:r w:rsidR="00323BBC">
        <w:rPr>
          <w:sz w:val="24"/>
          <w:szCs w:val="24"/>
        </w:rPr>
        <w:t>in the form of an ionic liquid-supported sulfonyl azide.</w:t>
      </w:r>
      <w:r w:rsidR="00B017B4">
        <w:rPr>
          <w:sz w:val="24"/>
          <w:szCs w:val="24"/>
        </w:rPr>
        <w:fldChar w:fldCharType="begin" w:fldLock="1"/>
      </w:r>
      <w:r w:rsidR="00F168DA">
        <w:rPr>
          <w:sz w:val="24"/>
          <w:szCs w:val="24"/>
        </w:rPr>
        <w:instrText>ADDIN CSL_CITATION { "citationItems" : [ { "id" : "ITEM-1", "itemData" : { "DOI" : "10.1021/jo301529b", "ISSN" : "0022-3263", "abstract" : "The paper describes synthesis of a novel ionic liq.-supported sulfonyl azide and its applications as diazotransfer reagent of active methylene compds. as well as deformylative diazo transfer reagent.  The diazo compds. were isolated in excellent yields (82-94%) and high purity.  The method offers better sepn. of product and reagent.  This method is exptl. simple and mild, and requires very short reaction time. [on SciFinder(R)]", "author" : [ { "dropping-particle" : "", "family" : "Muthyala", "given" : "Manoj Kumar", "non-dropping-particle" : "", "parse-names" : false, "suffix" : "" }, { "dropping-particle" : "", "family" : "Choudhary", "given" : "Sunita", "non-dropping-particle" : "", "parse-names" : false, "suffix" : "" }, { "dropping-particle" : "", "family" : "Kumar", "given" : "Anil.", "non-dropping-particle" : "", "parse-names" : false, "suffix" : "" } ], "container-title" : "Journal of Organic Chemistry", "id" : "ITEM-1", "issue" : "19", "issued" : { "date-parts" : [ [ "2012" ] ] }, "note" : "CAPLUS AN 2012:1321012(Journal; Online Computer File)", "page" : "8787-8791", "publisher" : "American Chemical Society", "title" : "Synthesis of ionic liquid-supported sulfonyl azide and its application in diazotransfer reaction.", "type" : "article-journal", "volume" : "77" }, "uris" : [ "http://www.mendeley.com/documents/?uuid=8703e8c2-3054-425b-a4b3-60873cbc6c19" ] } ], "mendeley" : { "formattedCitation" : "&lt;sup&gt;[34]&lt;/sup&gt;", "plainTextFormattedCitation" : "[34]", "previouslyFormattedCitation" : "&lt;sup&gt;[34]&lt;/sup&gt;" }, "properties" : { "noteIndex" : 0 }, "schema" : "https://github.com/citation-style-language/schema/raw/master/csl-citation.json" }</w:instrText>
      </w:r>
      <w:r w:rsidR="00B017B4">
        <w:rPr>
          <w:sz w:val="24"/>
          <w:szCs w:val="24"/>
        </w:rPr>
        <w:fldChar w:fldCharType="separate"/>
      </w:r>
      <w:r w:rsidR="0055300D" w:rsidRPr="0055300D">
        <w:rPr>
          <w:noProof/>
          <w:sz w:val="24"/>
          <w:szCs w:val="24"/>
          <w:vertAlign w:val="superscript"/>
        </w:rPr>
        <w:t>[34]</w:t>
      </w:r>
      <w:r w:rsidR="00B017B4">
        <w:rPr>
          <w:sz w:val="24"/>
          <w:szCs w:val="24"/>
        </w:rPr>
        <w:fldChar w:fldCharType="end"/>
      </w:r>
      <w:r w:rsidR="00323BBC">
        <w:rPr>
          <w:sz w:val="24"/>
          <w:szCs w:val="24"/>
        </w:rPr>
        <w:t xml:space="preserve"> Ramachary and co-workers had achieved ionic liquid promoted </w:t>
      </w:r>
      <w:r w:rsidR="009C452D">
        <w:rPr>
          <w:sz w:val="24"/>
          <w:szCs w:val="24"/>
        </w:rPr>
        <w:t>diazo transfer</w:t>
      </w:r>
      <w:r w:rsidR="00323BBC">
        <w:rPr>
          <w:sz w:val="24"/>
          <w:szCs w:val="24"/>
        </w:rPr>
        <w:t xml:space="preserve"> reactions using traditional diazo transfer reagents.</w:t>
      </w:r>
      <w:r w:rsidR="00323BBC">
        <w:rPr>
          <w:sz w:val="24"/>
          <w:szCs w:val="24"/>
        </w:rPr>
        <w:fldChar w:fldCharType="begin" w:fldLock="1"/>
      </w:r>
      <w:r w:rsidR="00F168DA">
        <w:rPr>
          <w:sz w:val="24"/>
          <w:szCs w:val="24"/>
        </w:rPr>
        <w:instrText>ADDIN CSL_CITATION { "citationItems" : [ { "id" : "ITEM-1", "itemData" : { "DOI" : "10.1016/j.tetlet.2008.02.159", "ISSN" : "0040-4039", "abstract" : "A practical and novel ionic liq. promoted organocatalytic selective diazo-transfer process for the synthesis of highly substituted diazo compds. in high yields is reported.  The ionic liq. can be reused without affecting the reaction rates or yields over five runs. [on SciFinder(R)]", "author" : [ { "dropping-particle" : "", "family" : "Ramachary", "given" : "Dhevalapally B", "non-dropping-particle" : "", "parse-names" : false, "suffix" : "" }, { "dropping-particle" : "V", "family" : "Narayana", "given" : "Vidadala", "non-dropping-particle" : "", "parse-names" : false, "suffix" : "" }, { "dropping-particle" : "", "family" : "Ramakumar", "given" : "Kinthada.", "non-dropping-particle" : "", "parse-names" : false, "suffix" : "" } ], "container-title" : "Tetrahedron Letters", "id" : "ITEM-1", "issue" : "17", "issued" : { "date-parts" : [ [ "2008" ] ] }, "note" : "CAPLUS AN 2008:399934(Journal)", "page" : "2704-2709", "publisher" : "Elsevier Ltd.", "title" : "Direct ionic liquid promoted organocatalyzed diazo-transfer reactions: diversity-oriented synthesis of diazo-compounds.", "type" : "article-journal", "volume" : "49" }, "uris" : [ "http://www.mendeley.com/documents/?uuid=9ef37c26-0cb3-4760-b231-7e86323cdb7d" ] } ], "mendeley" : { "formattedCitation" : "&lt;sup&gt;[55]&lt;/sup&gt;", "plainTextFormattedCitation" : "[55]", "previouslyFormattedCitation" : "&lt;sup&gt;[55]&lt;/sup&gt;" }, "properties" : { "noteIndex" : 0 }, "schema" : "https://github.com/citation-style-language/schema/raw/master/csl-citation.json" }</w:instrText>
      </w:r>
      <w:r w:rsidR="00323BBC">
        <w:rPr>
          <w:sz w:val="24"/>
          <w:szCs w:val="24"/>
        </w:rPr>
        <w:fldChar w:fldCharType="separate"/>
      </w:r>
      <w:r w:rsidR="0055300D" w:rsidRPr="0055300D">
        <w:rPr>
          <w:noProof/>
          <w:sz w:val="24"/>
          <w:szCs w:val="24"/>
          <w:vertAlign w:val="superscript"/>
        </w:rPr>
        <w:t>[55]</w:t>
      </w:r>
      <w:r w:rsidR="00323BBC">
        <w:rPr>
          <w:sz w:val="24"/>
          <w:szCs w:val="24"/>
        </w:rPr>
        <w:fldChar w:fldCharType="end"/>
      </w:r>
      <w:r w:rsidR="00323BBC">
        <w:rPr>
          <w:sz w:val="24"/>
          <w:szCs w:val="24"/>
        </w:rPr>
        <w:t xml:space="preserve"> Kumar </w:t>
      </w:r>
      <w:r w:rsidR="006119B2">
        <w:rPr>
          <w:sz w:val="24"/>
          <w:szCs w:val="24"/>
        </w:rPr>
        <w:t xml:space="preserve">extended this work </w:t>
      </w:r>
      <w:r w:rsidR="00323BBC">
        <w:rPr>
          <w:sz w:val="24"/>
          <w:szCs w:val="24"/>
        </w:rPr>
        <w:t>and create</w:t>
      </w:r>
      <w:r w:rsidR="006119B2">
        <w:rPr>
          <w:sz w:val="24"/>
          <w:szCs w:val="24"/>
        </w:rPr>
        <w:t>d</w:t>
      </w:r>
      <w:r w:rsidR="00323BBC">
        <w:rPr>
          <w:sz w:val="24"/>
          <w:szCs w:val="24"/>
        </w:rPr>
        <w:t xml:space="preserve"> an ionic liquid that acted as both reagent and solvent. The reagent </w:t>
      </w:r>
      <w:r w:rsidR="00B017B4">
        <w:rPr>
          <w:b/>
          <w:sz w:val="24"/>
          <w:szCs w:val="24"/>
        </w:rPr>
        <w:t>3</w:t>
      </w:r>
      <w:r w:rsidR="007A2A52">
        <w:rPr>
          <w:b/>
          <w:sz w:val="24"/>
          <w:szCs w:val="24"/>
        </w:rPr>
        <w:t>5</w:t>
      </w:r>
      <w:r w:rsidR="00323BBC">
        <w:rPr>
          <w:sz w:val="24"/>
          <w:szCs w:val="24"/>
        </w:rPr>
        <w:t xml:space="preserve"> was successfully synthesised by reaction of 1-methylimidazole </w:t>
      </w:r>
      <w:r w:rsidR="00B017B4">
        <w:rPr>
          <w:b/>
          <w:sz w:val="24"/>
          <w:szCs w:val="24"/>
        </w:rPr>
        <w:t>32</w:t>
      </w:r>
      <w:r w:rsidR="00323BBC">
        <w:rPr>
          <w:sz w:val="24"/>
          <w:szCs w:val="24"/>
        </w:rPr>
        <w:t xml:space="preserve"> with 1,3-propanesultone </w:t>
      </w:r>
      <w:r w:rsidR="00B017B4">
        <w:rPr>
          <w:b/>
          <w:sz w:val="24"/>
          <w:szCs w:val="24"/>
        </w:rPr>
        <w:t>33</w:t>
      </w:r>
      <w:r w:rsidR="00323BBC">
        <w:rPr>
          <w:sz w:val="24"/>
          <w:szCs w:val="24"/>
        </w:rPr>
        <w:t>, followed by reaction with trifluoromethanesulfonic acid (TfOH)</w:t>
      </w:r>
      <w:r w:rsidR="00B017B4">
        <w:rPr>
          <w:sz w:val="24"/>
          <w:szCs w:val="24"/>
        </w:rPr>
        <w:t>.</w:t>
      </w:r>
      <w:r w:rsidR="00323BBC">
        <w:rPr>
          <w:sz w:val="24"/>
          <w:szCs w:val="24"/>
        </w:rPr>
        <w:t xml:space="preserve"> The resulting ionic liquid </w:t>
      </w:r>
      <w:r w:rsidR="00B017B4">
        <w:rPr>
          <w:b/>
          <w:sz w:val="24"/>
          <w:szCs w:val="24"/>
        </w:rPr>
        <w:t>34</w:t>
      </w:r>
      <w:r w:rsidR="00323BBC">
        <w:rPr>
          <w:sz w:val="24"/>
          <w:szCs w:val="24"/>
        </w:rPr>
        <w:t xml:space="preserve"> was then further functionalised by reaction with thionyl chloride, followed by sodium azide to give the ionic liquid-supported sulfonyl azide </w:t>
      </w:r>
      <w:r w:rsidR="00B017B4">
        <w:rPr>
          <w:b/>
          <w:sz w:val="24"/>
          <w:szCs w:val="24"/>
        </w:rPr>
        <w:t>3</w:t>
      </w:r>
      <w:r w:rsidR="007A2A52">
        <w:rPr>
          <w:b/>
          <w:sz w:val="24"/>
          <w:szCs w:val="24"/>
        </w:rPr>
        <w:t>5</w:t>
      </w:r>
      <w:r w:rsidR="00B017B4" w:rsidRPr="00B017B4">
        <w:rPr>
          <w:sz w:val="24"/>
          <w:szCs w:val="24"/>
        </w:rPr>
        <w:t xml:space="preserve">, as seen below in </w:t>
      </w:r>
      <w:r w:rsidR="00B017B4">
        <w:rPr>
          <w:b/>
          <w:sz w:val="24"/>
          <w:szCs w:val="24"/>
        </w:rPr>
        <w:t>Scheme 1.2</w:t>
      </w:r>
      <w:r w:rsidR="007A2A52">
        <w:rPr>
          <w:b/>
          <w:sz w:val="24"/>
          <w:szCs w:val="24"/>
        </w:rPr>
        <w:t>2</w:t>
      </w:r>
      <w:r w:rsidR="00323BBC">
        <w:rPr>
          <w:sz w:val="24"/>
          <w:szCs w:val="24"/>
        </w:rPr>
        <w:t>.</w:t>
      </w:r>
    </w:p>
    <w:p w:rsidR="00323BBC" w:rsidRDefault="007A2A52" w:rsidP="009D1353">
      <w:pPr>
        <w:spacing w:line="360" w:lineRule="auto"/>
        <w:jc w:val="center"/>
      </w:pPr>
      <w:r>
        <w:object w:dxaOrig="8721" w:dyaOrig="2041">
          <v:shape id="_x0000_i1047" type="#_x0000_t75" style="width:423.75pt;height:99pt" o:ole="">
            <v:imagedata r:id="rId60" o:title=""/>
          </v:shape>
          <o:OLEObject Type="Embed" ProgID="ChemDraw.Document.6.0" ShapeID="_x0000_i1047" DrawAspect="Content" ObjectID="_1531849590" r:id="rId61"/>
        </w:object>
      </w:r>
    </w:p>
    <w:p w:rsidR="00B017B4" w:rsidRDefault="00B017B4" w:rsidP="009D1353">
      <w:pPr>
        <w:spacing w:line="360" w:lineRule="auto"/>
        <w:jc w:val="center"/>
      </w:pPr>
    </w:p>
    <w:p w:rsidR="00B017B4" w:rsidRPr="003C083E" w:rsidRDefault="00B017B4" w:rsidP="009D1353">
      <w:pPr>
        <w:spacing w:line="360" w:lineRule="auto"/>
        <w:jc w:val="center"/>
        <w:rPr>
          <w:sz w:val="24"/>
          <w:szCs w:val="24"/>
        </w:rPr>
      </w:pPr>
      <w:r w:rsidRPr="00B017B4">
        <w:rPr>
          <w:b/>
          <w:sz w:val="24"/>
          <w:szCs w:val="24"/>
        </w:rPr>
        <w:t xml:space="preserve">Scheme </w:t>
      </w:r>
      <w:r>
        <w:rPr>
          <w:b/>
          <w:sz w:val="24"/>
          <w:szCs w:val="24"/>
        </w:rPr>
        <w:t>1.2</w:t>
      </w:r>
      <w:r w:rsidR="007A2A52">
        <w:rPr>
          <w:b/>
          <w:sz w:val="24"/>
          <w:szCs w:val="24"/>
        </w:rPr>
        <w:t>2</w:t>
      </w:r>
    </w:p>
    <w:p w:rsidR="00C00595" w:rsidRDefault="00C00595" w:rsidP="0078497E">
      <w:pPr>
        <w:spacing w:line="360" w:lineRule="auto"/>
        <w:jc w:val="both"/>
        <w:rPr>
          <w:sz w:val="24"/>
          <w:szCs w:val="24"/>
        </w:rPr>
      </w:pPr>
    </w:p>
    <w:p w:rsidR="00AB0760" w:rsidRDefault="007A2A52" w:rsidP="0078497E">
      <w:pPr>
        <w:spacing w:line="360" w:lineRule="auto"/>
        <w:jc w:val="both"/>
        <w:rPr>
          <w:sz w:val="24"/>
          <w:szCs w:val="24"/>
        </w:rPr>
      </w:pPr>
      <w:r>
        <w:rPr>
          <w:b/>
          <w:sz w:val="24"/>
          <w:szCs w:val="24"/>
        </w:rPr>
        <w:lastRenderedPageBreak/>
        <w:t>35</w:t>
      </w:r>
      <w:r w:rsidR="009D1353" w:rsidRPr="009D1353">
        <w:rPr>
          <w:b/>
          <w:sz w:val="24"/>
          <w:szCs w:val="24"/>
        </w:rPr>
        <w:t xml:space="preserve"> </w:t>
      </w:r>
      <w:r w:rsidR="009D1353" w:rsidRPr="009D1353">
        <w:rPr>
          <w:sz w:val="24"/>
          <w:szCs w:val="24"/>
        </w:rPr>
        <w:t>is t</w:t>
      </w:r>
      <w:r w:rsidR="00B017B4">
        <w:rPr>
          <w:sz w:val="24"/>
          <w:szCs w:val="24"/>
        </w:rPr>
        <w:t xml:space="preserve">hemally stable and shelf stable, and </w:t>
      </w:r>
      <w:r w:rsidR="009D1353">
        <w:rPr>
          <w:sz w:val="24"/>
          <w:szCs w:val="24"/>
        </w:rPr>
        <w:t>has been used successfully as a diazo transfer for a range of active methylene compounds</w:t>
      </w:r>
      <w:r w:rsidR="009F34CE">
        <w:rPr>
          <w:sz w:val="24"/>
          <w:szCs w:val="24"/>
        </w:rPr>
        <w:t xml:space="preserve">, such as </w:t>
      </w:r>
      <w:r w:rsidR="009F34CE" w:rsidRPr="009F34CE">
        <w:rPr>
          <w:rFonts w:ascii="Symbol" w:hAnsi="Symbol"/>
          <w:sz w:val="24"/>
          <w:szCs w:val="24"/>
        </w:rPr>
        <w:t></w:t>
      </w:r>
      <w:r w:rsidR="009F34CE">
        <w:rPr>
          <w:sz w:val="24"/>
          <w:szCs w:val="24"/>
        </w:rPr>
        <w:t>-ketoesters, ketones and sulfoxides,</w:t>
      </w:r>
      <w:r w:rsidR="009D1353">
        <w:rPr>
          <w:sz w:val="24"/>
          <w:szCs w:val="24"/>
        </w:rPr>
        <w:t xml:space="preserve"> in excellent yields (83-94%) in less than 5 m</w:t>
      </w:r>
      <w:r w:rsidR="009F34CE">
        <w:rPr>
          <w:sz w:val="24"/>
          <w:szCs w:val="24"/>
        </w:rPr>
        <w:t>inutes. Extraction into hexane-ethyl acetate gives pure diazo compound without the need for chromatography.</w:t>
      </w:r>
    </w:p>
    <w:p w:rsidR="00EB58ED" w:rsidRDefault="00EB58ED" w:rsidP="0078497E">
      <w:pPr>
        <w:spacing w:line="360" w:lineRule="auto"/>
        <w:jc w:val="both"/>
        <w:rPr>
          <w:sz w:val="24"/>
          <w:szCs w:val="24"/>
        </w:rPr>
      </w:pPr>
    </w:p>
    <w:p w:rsidR="003B7D89" w:rsidRDefault="00DD231C" w:rsidP="00DD231C">
      <w:pPr>
        <w:pStyle w:val="Heading1"/>
      </w:pPr>
      <w:bookmarkStart w:id="9" w:name="_Toc446773062"/>
      <w:r>
        <w:t>1.</w:t>
      </w:r>
      <w:r w:rsidR="00591EF1">
        <w:t>3</w:t>
      </w:r>
      <w:r>
        <w:t xml:space="preserve"> </w:t>
      </w:r>
      <w:r w:rsidR="009C6875">
        <w:t>Alternative s</w:t>
      </w:r>
      <w:r w:rsidR="00EB58ED">
        <w:t xml:space="preserve">olvents for </w:t>
      </w:r>
      <w:r w:rsidR="009C6875">
        <w:t>d</w:t>
      </w:r>
      <w:r w:rsidR="00EB58ED">
        <w:t xml:space="preserve">iazo </w:t>
      </w:r>
      <w:r w:rsidR="009C6875">
        <w:t>t</w:t>
      </w:r>
      <w:r w:rsidR="00EB58ED">
        <w:t>ransfer</w:t>
      </w:r>
      <w:bookmarkEnd w:id="9"/>
    </w:p>
    <w:p w:rsidR="00EB58ED" w:rsidRDefault="00EB58ED" w:rsidP="00DD231C">
      <w:pPr>
        <w:pStyle w:val="Heading2"/>
      </w:pPr>
      <w:bookmarkStart w:id="10" w:name="_Toc446773063"/>
      <w:r>
        <w:t>1.</w:t>
      </w:r>
      <w:r w:rsidR="00591EF1">
        <w:t>3</w:t>
      </w:r>
      <w:r w:rsidR="00DD231C">
        <w:t>.1</w:t>
      </w:r>
      <w:r>
        <w:t xml:space="preserve"> Water</w:t>
      </w:r>
      <w:r w:rsidRPr="00F90CBD">
        <w:t xml:space="preserve"> as solve</w:t>
      </w:r>
      <w:r w:rsidR="009C6923">
        <w:t>nt for diazo t</w:t>
      </w:r>
      <w:r w:rsidRPr="00F90CBD">
        <w:t>ransfer</w:t>
      </w:r>
      <w:bookmarkEnd w:id="10"/>
    </w:p>
    <w:p w:rsidR="003B7D89" w:rsidRDefault="003B7D89" w:rsidP="003B7D89">
      <w:pPr>
        <w:spacing w:line="360" w:lineRule="auto"/>
        <w:jc w:val="both"/>
        <w:rPr>
          <w:sz w:val="24"/>
          <w:szCs w:val="24"/>
        </w:rPr>
      </w:pPr>
      <w:r>
        <w:rPr>
          <w:sz w:val="24"/>
          <w:szCs w:val="24"/>
        </w:rPr>
        <w:t>Since Anastas and Warner reported their 12 Principles of Green Chemistry in 1998,</w:t>
      </w:r>
      <w:r w:rsidR="00B017B4">
        <w:rPr>
          <w:sz w:val="24"/>
          <w:szCs w:val="24"/>
        </w:rPr>
        <w:fldChar w:fldCharType="begin" w:fldLock="1"/>
      </w:r>
      <w:r w:rsidR="00F168DA">
        <w:rPr>
          <w:sz w:val="24"/>
          <w:szCs w:val="24"/>
        </w:rPr>
        <w:instrText>ADDIN CSL_CITATION { "citationItems" : [ { "id" : "ITEM-1", "itemData" : { "author" : [ { "dropping-particle" : "", "family" : "Anastas, P. T.; Warner", "given" : "J. C.", "non-dropping-particle" : "", "parse-names" : false, "suffix" : "" } ], "container-title" : "Green Chemistry: Theory and Practice", "id" : "ITEM-1", "issued" : { "date-parts" : [ [ "1998" ] ] }, "publisher" : "Oxford University Press", "title" : "12 Principles of Green Chemistry", "type" : "chapter" }, "uris" : [ "http://www.mendeley.com/documents/?uuid=bb71f6c5-08fe-4dcb-b916-0f4a11722f82" ] } ], "mendeley" : { "formattedCitation" : "&lt;sup&gt;[56]&lt;/sup&gt;", "plainTextFormattedCitation" : "[56]", "previouslyFormattedCitation" : "&lt;sup&gt;[56]&lt;/sup&gt;" }, "properties" : { "noteIndex" : 0 }, "schema" : "https://github.com/citation-style-language/schema/raw/master/csl-citation.json" }</w:instrText>
      </w:r>
      <w:r w:rsidR="00B017B4">
        <w:rPr>
          <w:sz w:val="24"/>
          <w:szCs w:val="24"/>
        </w:rPr>
        <w:fldChar w:fldCharType="separate"/>
      </w:r>
      <w:r w:rsidR="0055300D" w:rsidRPr="0055300D">
        <w:rPr>
          <w:noProof/>
          <w:sz w:val="24"/>
          <w:szCs w:val="24"/>
          <w:vertAlign w:val="superscript"/>
        </w:rPr>
        <w:t>[56]</w:t>
      </w:r>
      <w:r w:rsidR="00B017B4">
        <w:rPr>
          <w:sz w:val="24"/>
          <w:szCs w:val="24"/>
        </w:rPr>
        <w:fldChar w:fldCharType="end"/>
      </w:r>
      <w:r>
        <w:rPr>
          <w:sz w:val="24"/>
          <w:szCs w:val="24"/>
        </w:rPr>
        <w:t xml:space="preserve"> there has been a surge in interest in water as a solvent for organic synthesis. In recent years, a number of reviews have been published examining the use of water as a viable solvent for organic reactions.</w:t>
      </w:r>
      <w:r>
        <w:rPr>
          <w:sz w:val="24"/>
          <w:szCs w:val="24"/>
        </w:rPr>
        <w:fldChar w:fldCharType="begin" w:fldLock="1"/>
      </w:r>
      <w:r w:rsidR="00F168DA">
        <w:rPr>
          <w:sz w:val="24"/>
          <w:szCs w:val="24"/>
        </w:rPr>
        <w:instrText>ADDIN CSL_CITATION { "citationItems" : [ { "id" : "ITEM-1", "itemData" : { "author" : [ { "dropping-particle" : "", "family" : "Kobayashi", "given" : "S", "non-dropping-particle" : "", "parse-names" : false, "suffix" : "" }, { "dropping-particle" : "", "family" : "Editor.", "given" : "", "non-dropping-particle" : "", "parse-names" : false, "suffix" : "" } ], "id" : "ITEM-1", "issued" : { "date-parts" : [ [ "2012" ] ] }, "note" : "CAPLUS AN 2012:1798610(Book)", "number-of-pages" : "960 pp.", "publisher" : "Georg Thieme Verlag", "publisher-place" : "Stuttgart, Germany", "title" : "Science of Synthesis: Water in Organic Synthesis.", "type" : "book" }, "uris" : [ "http://www.mendeley.com/documents/?uuid=8e412cf7-7177-46cd-aff9-2ba64d8b17d8" ] }, { "id" : "ITEM-2", "itemData" : { "DOI" : "10.1021/cr030009u", "ISSN" : "0009-2665", "abstract" : "A review.  The following topics are discussed: reaction of alkanes (carboxylation), reaction of alkenes (electrophilic addns., radical reactions, carbene reactions, transition-metal-catalyzed addns., olefin metathesis, and cycloaddn. reactions), reaction of alkynes (dimerizations; reactions with org. halides, carbonyl compds., and imines; conjugate addn.; nucleophilic and electrophilic addns. to the C\u2261C triple bond; hydrocarboxylation; hydrophosphinylation; hydrometalation/coupling; Pauson-Khand-type reactions; and reductive coupling) reaction of arom. compds. (electrophilic and radical substitutions, oxidative coupling, and photochem. reactions), reaction of carbonyl compds. (nucleophilic addns., pinacol coupling, and Wittig reactions), reactions of \u03b1,\u03b2-unsatd. carbonyl compds. (conjugate addns., Baylis-Hillman reactions, and reductive coupling), reaction of amines, imines, and nitriles (nucleophilic addns., reductive coupling), reaction of org. halides (nucleophilic substitution; reductive coupling: Wurtz-type and Ullmann-type coupling, carbonylation, Heck coupling, Suzuki coupling, Stille coupling, and the Trost-Tsuji reaction), and pericyclic reactions (Diels-Alder reactions, hetero-Diels-Alder reactions, Alder-ene reactions, 1,3-dipolar cycloaddns., sigmatropic rearrangements: Claisen and Cope rearrangements, and photochem. cycloaddns.). [on SciFinder(R)]", "author" : [ { "dropping-particle" : "", "family" : "Li", "given" : "Chao-Jun.", "non-dropping-particle" : "", "parse-names" : false, "suffix" : "" } ], "container-title" : "Chemical Reviews (Washington, DC, United States)", "id" : "ITEM-2", "issue" : "8", "issued" : { "date-parts" : [ [ "2005" ] ] }, "note" : "CAPLUS AN 2005:648428(Journal; General Review)", "page" : "3095-3165", "publisher" : "American Chemical Society", "title" : "Organic reactions in aqueous media with a focus on carbon-carbon bond formations. A decade update.", "type" : "article-journal", "volume" : "105" }, "uris" : [ "http://www.mendeley.com/documents/?uuid=3c0c9382-3b6d-43a2-a4e3-1b66eb2639ed" ] }, { "id" : "ITEM-3", "itemData" : { "DOI" : "10.1039/B507207G", "ISSN" : "0306-0012", "abstract" : "A review.  Water has emerged as a versatile solvent for org. chem. in recent years.  Water as a solvent is not only inexpensive and environmentally benign, but also gives completely new reactivity.  The types of org. reactions in water are broad including pericyclic reactions, reactions of carbanion equiv., reactions of carbocation equiv., reactions of radicals and carbenes, transition-metal catalysis, oxidns.-redns., which we discuss in this tutorial review.  Aq. org. reactions have broad applications such as synthesis of biol. compds. from carbohydrates and chem. modification of biomols. [on SciFinder(R)]", "author" : [ { "dropping-particle" : "", "family" : "Li", "given" : "Chao-Jun", "non-dropping-particle" : "", "parse-names" : false, "suffix" : "" }, { "dropping-particle" : "", "family" : "Chen", "given" : "Liang.", "non-dropping-particle" : "", "parse-names" : false, "suffix" : "" } ], "container-title" : "Chemical Society Reviews", "id" : "ITEM-3", "issue" : "1", "issued" : { "date-parts" : [ [ "2006" ] ] }, "note" : "CAPLUS AN 2005:1324774(Journal; General Review)", "page" : "68-82", "publisher" : "Royal Society of Chemistry", "title" : "Organic chemistry in water.", "type" : "article-journal", "volume" : "35" }, "uris" : [ "http://www.mendeley.com/documents/?uuid=d01d1789-9bdd-4c5e-b5d8-63852998a3f5" ] }, { "id" : "ITEM-4", "itemData" : { "DOI" : "10.1021/cr010122p", "ISSN" : "0009-2665", "abstract" : "A review discusses the use of water as a solvent for stereoselective org. reactions.  Aspects of reactions in water such as soly., stereoselectivity, and catalysis are discussed; the application of water as a solvent to specific stereoselective reactions such as Diels-Alder cycloaddns., Michael addns., dihydroxylation and aminohydroxylation, epoxidn., cyclopropanation, aldol addns., allylation, Mannich reactions, carbonyl redns., substitution reactions, Claisen rearrangements, hydrogenations, and radical reactions is also discussed. [on SciFinder(R)]", "author" : [ { "dropping-particle" : "", "family" : "Lindstroem", "given" : "Ulf M", "non-dropping-particle" : "", "parse-names" : false, "suffix" : "" } ], "container-title" : "Chemical Reviews (Washington, DC, United States)", "id" : "ITEM-4", "issue" : "8", "issued" : { "date-parts" : [ [ "2002" ] ] }, "note" : "CAPLUS AN 2002:457889(Journal; General Review)", "page" : "2751-2771", "publisher" : "American Chemical Society", "title" : "Stereoselective Organic Reactions in Water.", "type" : "article-journal", "volume" : "102" }, "uris" : [ "http://www.mendeley.com/documents/?uuid=bbb3e2bf-1f5f-49ed-a46b-35582bfae02b" ] }, { "id" : "ITEM-5", "itemData" : { "DOI" : "10.1002/9780470711828.ch10", "abstract" : "A review was given providing a brief survey on the reactions developed in water through representative examples amenable for pharmaceutical processes. [on SciFinder(R)]", "author" : [ { "dropping-particle" : "", "family" : "Simon", "given" : "Marc-Olivier", "non-dropping-particle" : "", "parse-names" : false, "suffix" : "" }, { "dropping-particle" : "", "family" : "Li", "given" : "Chao-Jun.", "non-dropping-particle" : "", "parse-names" : false, "suffix" : "" } ], "container-title" : "Green Tech. Org. Synth. Med. Chem.", "id" : "ITEM-5", "issued" : { "date-parts" : [ [ "2012" ] ] }, "note" : "CAPLUS AN 2013:220594(Conference; General Review)", "page" : "263-295", "publisher" : "John Wiley &amp; Sons Ltd.", "title" : "Organic synthesis in water.", "type" : "paper-conference" }, "uris" : [ "http://www.mendeley.com/documents/?uuid=bfe283d4-dfbe-47b7-b904-1705ff79f190" ] }, { "id" : "ITEM-6", "itemData" : { "DOI" : "10.1039/C1CS15222J", "ISSN" : "0306-0012", "abstract" : "A review.  The use of water as solvent features many benefits such as improving reactivities and selectivities, simplifying the workup procedures, etc.  In addn., exploring org. chem. in water can lead to uncommon reactivities and selectivities complementing the org. chemists' synthetic toolbox in org. solvents.  This tutorial review briefly discusses org. synthesis in water with a Green Chem. perspective. [on SciFinder(R)]", "author" : [ { "dropping-particle" : "", "family" : "Simon", "given" : "Marc-Olivier", "non-dropping-particle" : "", "parse-names" : false, "suffix" : "" }, { "dropping-particle" : "", "family" : "Li", "given" : "Chao-Jun.", "non-dropping-particle" : "", "parse-names" : false, "suffix" : "" } ], "container-title" : "Chemical Society Reviews", "id" : "ITEM-6", "issue" : "4", "issued" : { "date-parts" : [ [ "2012" ] ] }, "note" : "CAPLUS AN 2012:142016(Journal; General Review; Online Computer File)", "page" : "1415-1427", "publisher" : "Royal Society of Chemistry", "title" : "Green chemistry oriented organic synthesis in water.", "type" : "article-journal", "volume" : "41" }, "uris" : [ "http://www.mendeley.com/documents/?uuid=22d869f0-4ced-4f12-babe-5a106167f9aa" ] }, { "id" : "ITEM-7", "itemData" : { "DOI" : "10.1007/s10098-004-0262-y", "ISSN" : "1618-954X", "abstract" : "Solvent usage is often an integral part of manufg. process, whether it is chem. or another industrial sector.  Thus, this unavoidable choice of a specific solvent for a desired manufg. process can have profound economical, environmental, and societal implications.  Some of the impacts are long lasting esp. from an environmental perspective, which has been well documented in the scientific literature.  The pressing need to develop alternative solvents for manufg. processes originates, in part, from these implications and constitutes an essential strategy under an emerging field of green chem.  Whereas there was excellent advances in developing several alternative \"clean\" solvents, it is unlikely that the one solvent will be a panacea for various chem. protocols.  This article provides some examples of using water as an alternative solvent for chem. reactions with wide-ranging possibilities that include direct use of water sol. renewable materials, C-C bond forming reactions using organometallic reagents, and exploiting the use of alternate energy sources such as solar, microwave and ultrasound in accelerating chem. syntheses. [on SciFinder(R)]", "author" : [ { "dropping-particle" : "", "family" : "Wei", "given" : "Wu", "non-dropping-particle" : "", "parse-names" : false, "suffix" : "" }, { "dropping-particle" : "", "family" : "Keh", "given" : "Charlene C K", "non-dropping-particle" : "", "parse-names" : false, "suffix" : "" }, { "dropping-particle" : "", "family" : "Li", "given" : "Chao-Jun", "non-dropping-particle" : "", "parse-names" : false, "suffix" : "" }, { "dropping-particle" : "", "family" : "Varma", "given" : "Rajender S", "non-dropping-particle" : "", "parse-names" : false, "suffix" : "" } ], "container-title" : "Clean Technologies and Environmental Policy", "id" : "ITEM-7", "issue" : "1", "issued" : { "date-parts" : [ [ "2005" ] ] }, "note" : "CAPLUS AN 2005:32146(Journal)", "page" : "62-69", "publisher" : "Springer GmbH", "title" : "Water as a reaction medium for clean chemical processes.", "type" : "article-journal", "volume" : "7" }, "uris" : [ "http://www.mendeley.com/documents/?uuid=be318a91-c859-4d9f-be29-e7ae8537ea94" ] } ], "mendeley" : { "formattedCitation" : "&lt;sup&gt;[57\u201363]&lt;/sup&gt;", "plainTextFormattedCitation" : "[57\u201363]" }, "properties" : { "noteIndex" : 0 }, "schema" : "https://github.com/citation-style-language/schema/raw/master/csl-citation.json" }</w:instrText>
      </w:r>
      <w:r>
        <w:rPr>
          <w:sz w:val="24"/>
          <w:szCs w:val="24"/>
        </w:rPr>
        <w:fldChar w:fldCharType="separate"/>
      </w:r>
      <w:r w:rsidR="00F168DA" w:rsidRPr="00F168DA">
        <w:rPr>
          <w:noProof/>
          <w:sz w:val="24"/>
          <w:szCs w:val="24"/>
          <w:vertAlign w:val="superscript"/>
        </w:rPr>
        <w:t>[57–63]</w:t>
      </w:r>
      <w:r>
        <w:rPr>
          <w:sz w:val="24"/>
          <w:szCs w:val="24"/>
        </w:rPr>
        <w:fldChar w:fldCharType="end"/>
      </w:r>
      <w:r>
        <w:rPr>
          <w:sz w:val="24"/>
          <w:szCs w:val="24"/>
        </w:rPr>
        <w:t xml:space="preserve"> Water has many environmental and economic advantages over traditional organic solvents as it is a cheap, readily available solvent which is non-toxic and non-flammable. Although there are sometimes issues with low solubility of organic comp</w:t>
      </w:r>
      <w:r w:rsidR="00B017B4">
        <w:rPr>
          <w:sz w:val="24"/>
          <w:szCs w:val="24"/>
        </w:rPr>
        <w:t>ounds in water, it</w:t>
      </w:r>
      <w:r>
        <w:rPr>
          <w:sz w:val="24"/>
          <w:szCs w:val="24"/>
        </w:rPr>
        <w:t xml:space="preserve"> has unique properties which are advantageous to many reactions. These include polarity, ability to form hydrogen bonds, and hydrophobic and hydrophilic interactions.</w:t>
      </w:r>
    </w:p>
    <w:p w:rsidR="00BB66E0" w:rsidRDefault="003B7D89" w:rsidP="003B7D89">
      <w:pPr>
        <w:spacing w:line="360" w:lineRule="auto"/>
        <w:jc w:val="both"/>
        <w:rPr>
          <w:sz w:val="24"/>
          <w:szCs w:val="24"/>
        </w:rPr>
      </w:pPr>
      <w:r>
        <w:rPr>
          <w:sz w:val="24"/>
          <w:szCs w:val="24"/>
        </w:rPr>
        <w:t>The emergence of water as a solvent for organic reactions can perhaps be credited to the work of Breslow.</w:t>
      </w:r>
      <w:r>
        <w:rPr>
          <w:sz w:val="24"/>
          <w:szCs w:val="24"/>
        </w:rPr>
        <w:fldChar w:fldCharType="begin" w:fldLock="1"/>
      </w:r>
      <w:r w:rsidR="00F168DA">
        <w:rPr>
          <w:sz w:val="24"/>
          <w:szCs w:val="24"/>
        </w:rPr>
        <w:instrText>ADDIN CSL_CITATION { "citationItems" : [ { "id" : "ITEM-1", "itemData" : { "DOI" : "10.1021/ja00546a048", "ISSN" : "0002-7863", "abstract" : "The kinetics of the Diels-Alder reactions of cyclopentadiene with buten-3-one and acrylonitrile were examd. in 2,2,4-trimethylpentane, in MeOH, and in H2O.  Large accelerations by H2O compared with the nonpolar medium are ascribed to hydrophobic stabilization of the transition state.  In the Diels-Alder addn. of N-ethylmaleimide to anthracene-9-carbinol increasing polarity of the solvent slows the reaction, but H2O actually speeds it up since the hydrophobic effect more than compensates for the high polarity of H2O.  The Diels-Alder reactions of cyclopentadiene with butenone and acrylonitrile are further accelerated by \u03b2-cyclodextrin (cycloheptaamylose), but inhibited by \u03b1-cyclodextrin (cyclohexaamylose).  This is ascribed to the hydrophobic binding of both the diene and dienophile into the same \u03b2-cyclodextrin cavity, but not into the smaller \u03b1-cyclodextrin cavity.  In the bulkier reaction of anthracene-9-carbinol and N-ethylmaleimide even the \u03b2-cyclodextrin cavity is too small, and \u03b2-cyclodextrin is an inhibitor. [on SciFinder(R)]", "author" : [ { "dropping-particle" : "", "family" : "Rideout", "given" : "Darryl C", "non-dropping-particle" : "", "parse-names" : false, "suffix" : "" }, { "dropping-particle" : "", "family" : "Breslow", "given" : "Ronald.", "non-dropping-particle" : "", "parse-names" : false, "suffix" : "" } ], "container-title" : "Journal of the American Chemical Society", "id" : "ITEM-1", "issue" : "26", "issued" : { "date-parts" : [ [ "1980" ] ] }, "note" : "CAPLUS AN 1981:46413(Journal)", "page" : "7816-7817", "title" : "Hydrophobic acceleration of Diels-Alder reactions.", "type" : "article-journal", "volume" : "102" }, "uris" : [ "http://www.mendeley.com/documents/?uuid=686fc2b6-64fc-4cc4-b5bd-00ad9c2d7fc7" ] } ], "mendeley" : { "formattedCitation" : "&lt;sup&gt;[64]&lt;/sup&gt;", "plainTextFormattedCitation" : "[64]", "previouslyFormattedCitation" : "&lt;sup&gt;[64]&lt;/sup&gt;"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[64]</w:t>
      </w:r>
      <w:r>
        <w:rPr>
          <w:sz w:val="24"/>
          <w:szCs w:val="24"/>
        </w:rPr>
        <w:fldChar w:fldCharType="end"/>
      </w:r>
      <w:r>
        <w:rPr>
          <w:sz w:val="24"/>
          <w:szCs w:val="24"/>
        </w:rPr>
        <w:t xml:space="preserve"> The author reported a substantial increase in the rate of Die</w:t>
      </w:r>
      <w:r w:rsidR="00E05812">
        <w:rPr>
          <w:sz w:val="24"/>
          <w:szCs w:val="24"/>
        </w:rPr>
        <w:t>ls-Alder reactions carried out o</w:t>
      </w:r>
      <w:r>
        <w:rPr>
          <w:sz w:val="24"/>
          <w:szCs w:val="24"/>
        </w:rPr>
        <w:t xml:space="preserve">n water versus a range if other organic solvents. The cycloaddition of butanone </w:t>
      </w:r>
      <w:r w:rsidR="00B017B4">
        <w:rPr>
          <w:b/>
          <w:sz w:val="24"/>
          <w:szCs w:val="24"/>
        </w:rPr>
        <w:t>3</w:t>
      </w:r>
      <w:r w:rsidR="009C6923">
        <w:rPr>
          <w:b/>
          <w:sz w:val="24"/>
          <w:szCs w:val="24"/>
        </w:rPr>
        <w:t>7</w:t>
      </w:r>
      <w:r>
        <w:rPr>
          <w:sz w:val="24"/>
          <w:szCs w:val="24"/>
        </w:rPr>
        <w:t xml:space="preserve"> and cyclopentadiene </w:t>
      </w:r>
      <w:r w:rsidR="00B017B4">
        <w:rPr>
          <w:b/>
          <w:sz w:val="24"/>
          <w:szCs w:val="24"/>
        </w:rPr>
        <w:t>3</w:t>
      </w:r>
      <w:r w:rsidR="009C6923">
        <w:rPr>
          <w:b/>
          <w:sz w:val="24"/>
          <w:szCs w:val="24"/>
        </w:rPr>
        <w:t>6</w:t>
      </w:r>
      <w:r>
        <w:rPr>
          <w:sz w:val="24"/>
          <w:szCs w:val="24"/>
        </w:rPr>
        <w:t xml:space="preserve"> in water was found to be 740 times faster than in isooctane, and had increased selectivity</w:t>
      </w:r>
      <w:r w:rsidR="00BB66E0">
        <w:rPr>
          <w:sz w:val="24"/>
          <w:szCs w:val="24"/>
        </w:rPr>
        <w:t xml:space="preserve">, illustrated in </w:t>
      </w:r>
      <w:r w:rsidR="00BB66E0" w:rsidRPr="00BB66E0">
        <w:rPr>
          <w:b/>
          <w:sz w:val="24"/>
          <w:szCs w:val="24"/>
        </w:rPr>
        <w:t>Scheme 1.2</w:t>
      </w:r>
      <w:r w:rsidR="007A2A52">
        <w:rPr>
          <w:b/>
          <w:sz w:val="24"/>
          <w:szCs w:val="24"/>
        </w:rPr>
        <w:t>3</w:t>
      </w:r>
      <w:r>
        <w:rPr>
          <w:sz w:val="24"/>
          <w:szCs w:val="24"/>
        </w:rPr>
        <w:t xml:space="preserve">. The same reaction was carried out in the polar protic solvents methanol and </w:t>
      </w:r>
      <w:r w:rsidR="00E05812">
        <w:rPr>
          <w:sz w:val="24"/>
          <w:szCs w:val="24"/>
        </w:rPr>
        <w:t>ethanol</w:t>
      </w:r>
      <w:r>
        <w:rPr>
          <w:sz w:val="24"/>
          <w:szCs w:val="24"/>
        </w:rPr>
        <w:t>, and these were found to have similar reaction rates to the other hydrocarbon solvents used. This result was rationalised by the hydrophobic effect</w:t>
      </w:r>
      <w:r w:rsidR="00BB66E0">
        <w:rPr>
          <w:sz w:val="24"/>
          <w:szCs w:val="24"/>
        </w:rPr>
        <w:fldChar w:fldCharType="begin" w:fldLock="1"/>
      </w:r>
      <w:r w:rsidR="00F168DA">
        <w:rPr>
          <w:sz w:val="24"/>
          <w:szCs w:val="24"/>
        </w:rPr>
        <w:instrText>ADDIN CSL_CITATION { "citationItems" : [ { "id" : "ITEM-1", "itemData" : { "DOI" : "10.1021/ar00006a001", "ISSN" : "0001-4842", "abstract" : "A review with 28 refs. on hydrophobic effects on, i.e., Diels-Alder and benzoin condensation reactions. [on SciFinder(R)]", "author" : [ { "dropping-particle" : "", "family" : "Breslow", "given" : "Ronald.", "non-dropping-particle" : "", "parse-names" : false, "suffix" : "" } ], "container-title" : "Accounts of Chemical Research", "id" : "ITEM-1", "issue" : "6", "issued" : { "date-parts" : [ [ "1991" ] ] }, "note" : "CAPLUS AN 1991:407743(Journal; General Review)", "page" : "159-164", "title" : "Hydrophobic effects on simple organic reactions in water.", "type" : "article-journal", "volume" : "24" }, "uris" : [ "http://www.mendeley.com/documents/?uuid=dcb6409a-51b0-42dc-95e4-de5b9438949a" ] } ], "mendeley" : { "formattedCitation" : "&lt;sup&gt;[65]&lt;/sup&gt;", "plainTextFormattedCitation" : "[65]", "previouslyFormattedCitation" : "&lt;sup&gt;[65]&lt;/sup&gt;" }, "properties" : { "noteIndex" : 0 }, "schema" : "https://github.com/citation-style-language/schema/raw/master/csl-citation.json" }</w:instrText>
      </w:r>
      <w:r w:rsidR="00BB66E0">
        <w:rPr>
          <w:sz w:val="24"/>
          <w:szCs w:val="24"/>
        </w:rPr>
        <w:fldChar w:fldCharType="separate"/>
      </w:r>
      <w:r w:rsidR="0055300D" w:rsidRPr="0055300D">
        <w:rPr>
          <w:noProof/>
          <w:sz w:val="24"/>
          <w:szCs w:val="24"/>
          <w:vertAlign w:val="superscript"/>
        </w:rPr>
        <w:t>[65]</w:t>
      </w:r>
      <w:r w:rsidR="00BB66E0">
        <w:rPr>
          <w:sz w:val="24"/>
          <w:szCs w:val="24"/>
        </w:rPr>
        <w:fldChar w:fldCharType="end"/>
      </w:r>
      <w:r w:rsidR="00BB66E0">
        <w:rPr>
          <w:sz w:val="24"/>
          <w:szCs w:val="24"/>
        </w:rPr>
        <w:t xml:space="preserve"> – which is the observed tendency of non-polar substances to aggregate in water and exclude water molecules</w:t>
      </w:r>
      <w:r>
        <w:rPr>
          <w:sz w:val="24"/>
          <w:szCs w:val="24"/>
        </w:rPr>
        <w:t>.</w:t>
      </w:r>
      <w:r w:rsidR="00BB66E0">
        <w:rPr>
          <w:sz w:val="24"/>
          <w:szCs w:val="24"/>
        </w:rPr>
        <w:fldChar w:fldCharType="begin" w:fldLock="1"/>
      </w:r>
      <w:r w:rsidR="00F168DA">
        <w:rPr>
          <w:sz w:val="24"/>
          <w:szCs w:val="24"/>
        </w:rPr>
        <w:instrText>ADDIN CSL_CITATION { "citationItems" : [ { "id" : "ITEM-1", "itemData" : { "DOI" : "10.1038/nature04162", "ISSN" : "0028-0836", "abstract" : "A review.  The hydrophobic effect - the tendency for oil and water to segregate - is important in diverse phenomena, from the cleaning of laundry, to the creation of micro-emulsions to make new materials, to the assembly of proteins into functional complexes.  This effect is multifaceted depending on whether hydrophobic mols. are individually hydrated or driven to assemble into larger structures.  Despite the basic principles underlying the hydrophobic effect being qual. well understood, only recently have theor. developments begun to explain and quantify many features of this ubiquitous phenomenon. [on SciFinder(R)]", "author" : [ { "dropping-particle" : "", "family" : "Chandler", "given" : "David.", "non-dropping-particle" : "", "parse-names" : false, "suffix" : "" } ], "container-title" : "Nature (London, United Kingdom)", "id" : "ITEM-1", "issue" : "7059", "issued" : { "date-parts" : [ [ "2005" ] ] }, "note" : "CAPLUS AN 2005:1040220(Journal; General Review)", "page" : "640-647", "publisher" : "Nature Publishing Group", "title" : "Interfaces and the driving force of hydrophobic assembly.", "type" : "article-journal", "volume" : "437" }, "uris" : [ "http://www.mendeley.com/documents/?uuid=0c42a203-e818-400b-b228-e22538500f2b", "http://www.mendeley.com/documents/?uuid=c2257c21-11d5-40c4-ba85-6720043e312d" ] } ], "mendeley" : { "formattedCitation" : "&lt;sup&gt;[66]&lt;/sup&gt;", "plainTextFormattedCitation" : "[66]", "previouslyFormattedCitation" : "&lt;sup&gt;[66]&lt;/sup&gt;" }, "properties" : { "noteIndex" : 0 }, "schema" : "https://github.com/citation-style-language/schema/raw/master/csl-citation.json" }</w:instrText>
      </w:r>
      <w:r w:rsidR="00BB66E0">
        <w:rPr>
          <w:sz w:val="24"/>
          <w:szCs w:val="24"/>
        </w:rPr>
        <w:fldChar w:fldCharType="separate"/>
      </w:r>
      <w:r w:rsidR="0055300D" w:rsidRPr="0055300D">
        <w:rPr>
          <w:noProof/>
          <w:sz w:val="24"/>
          <w:szCs w:val="24"/>
          <w:vertAlign w:val="superscript"/>
        </w:rPr>
        <w:t>[66]</w:t>
      </w:r>
      <w:r w:rsidR="00BB66E0">
        <w:rPr>
          <w:sz w:val="24"/>
          <w:szCs w:val="24"/>
        </w:rPr>
        <w:fldChar w:fldCharType="end"/>
      </w:r>
    </w:p>
    <w:p w:rsidR="003B7A79" w:rsidRDefault="003B7A79" w:rsidP="003B7D89">
      <w:pPr>
        <w:spacing w:line="360" w:lineRule="auto"/>
        <w:jc w:val="both"/>
        <w:rPr>
          <w:sz w:val="24"/>
          <w:szCs w:val="24"/>
        </w:rPr>
      </w:pPr>
    </w:p>
    <w:p w:rsidR="003B7A79" w:rsidRDefault="003B7A79" w:rsidP="003B7D89">
      <w:pPr>
        <w:spacing w:line="360" w:lineRule="auto"/>
        <w:jc w:val="both"/>
        <w:rPr>
          <w:sz w:val="24"/>
          <w:szCs w:val="24"/>
        </w:rPr>
      </w:pPr>
    </w:p>
    <w:p w:rsidR="00BB66E0" w:rsidRDefault="009C6923" w:rsidP="007A2A52">
      <w:pPr>
        <w:spacing w:line="360" w:lineRule="auto"/>
        <w:jc w:val="center"/>
      </w:pPr>
      <w:r>
        <w:object w:dxaOrig="3981" w:dyaOrig="1240">
          <v:shape id="_x0000_i1048" type="#_x0000_t75" style="width:198.75pt;height:62.25pt" o:ole="">
            <v:imagedata r:id="rId62" o:title=""/>
          </v:shape>
          <o:OLEObject Type="Embed" ProgID="ChemDraw.Document.6.0" ShapeID="_x0000_i1048" DrawAspect="Content" ObjectID="_1531849591" r:id="rId63"/>
        </w:obje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1240"/>
      </w:tblGrid>
      <w:tr w:rsidR="003B7A79" w:rsidTr="003B7A79">
        <w:trPr>
          <w:jc w:val="center"/>
        </w:trPr>
        <w:tc>
          <w:tcPr>
            <w:tcW w:w="0" w:type="auto"/>
            <w:tcBorders>
              <w:top w:val="single" w:sz="4" w:space="0" w:color="auto"/>
              <w:bottom w:val="single" w:sz="4" w:space="0" w:color="auto"/>
            </w:tcBorders>
          </w:tcPr>
          <w:p w:rsidR="003B7A79" w:rsidRDefault="003B7A79" w:rsidP="007A2A52">
            <w:pPr>
              <w:spacing w:line="360" w:lineRule="auto"/>
              <w:jc w:val="center"/>
              <w:rPr>
                <w:sz w:val="24"/>
                <w:szCs w:val="24"/>
              </w:rPr>
            </w:pPr>
            <w:r>
              <w:rPr>
                <w:sz w:val="24"/>
                <w:szCs w:val="24"/>
              </w:rPr>
              <w:t>Solvent</w:t>
            </w:r>
          </w:p>
        </w:tc>
        <w:tc>
          <w:tcPr>
            <w:tcW w:w="0" w:type="auto"/>
            <w:tcBorders>
              <w:top w:val="single" w:sz="4" w:space="0" w:color="auto"/>
              <w:bottom w:val="single" w:sz="4" w:space="0" w:color="auto"/>
            </w:tcBorders>
          </w:tcPr>
          <w:p w:rsidR="003B7A79" w:rsidRDefault="003B7A79" w:rsidP="007A2A52">
            <w:pPr>
              <w:spacing w:line="360" w:lineRule="auto"/>
              <w:jc w:val="center"/>
              <w:rPr>
                <w:sz w:val="24"/>
                <w:szCs w:val="24"/>
              </w:rPr>
            </w:pPr>
            <w:r>
              <w:rPr>
                <w:sz w:val="24"/>
                <w:szCs w:val="24"/>
              </w:rPr>
              <w:t>k (M</w:t>
            </w:r>
            <w:r w:rsidRPr="003B7A79">
              <w:rPr>
                <w:sz w:val="24"/>
                <w:szCs w:val="24"/>
                <w:vertAlign w:val="superscript"/>
              </w:rPr>
              <w:t>-1</w:t>
            </w:r>
            <w:r>
              <w:rPr>
                <w:sz w:val="24"/>
                <w:szCs w:val="24"/>
              </w:rPr>
              <w:t>s</w:t>
            </w:r>
            <w:r w:rsidRPr="003B7A79">
              <w:rPr>
                <w:sz w:val="24"/>
                <w:szCs w:val="24"/>
                <w:vertAlign w:val="superscript"/>
              </w:rPr>
              <w:t>-1</w:t>
            </w:r>
            <w:r>
              <w:rPr>
                <w:sz w:val="24"/>
                <w:szCs w:val="24"/>
              </w:rPr>
              <w:t>)</w:t>
            </w:r>
          </w:p>
        </w:tc>
      </w:tr>
      <w:tr w:rsidR="003B7A79" w:rsidTr="003B7A79">
        <w:trPr>
          <w:jc w:val="center"/>
        </w:trPr>
        <w:tc>
          <w:tcPr>
            <w:tcW w:w="0" w:type="auto"/>
            <w:tcBorders>
              <w:top w:val="single" w:sz="4" w:space="0" w:color="auto"/>
            </w:tcBorders>
          </w:tcPr>
          <w:p w:rsidR="003B7A79" w:rsidRDefault="003B7A79" w:rsidP="007A2A52">
            <w:pPr>
              <w:spacing w:line="360" w:lineRule="auto"/>
              <w:jc w:val="center"/>
              <w:rPr>
                <w:sz w:val="24"/>
                <w:szCs w:val="24"/>
              </w:rPr>
            </w:pPr>
            <w:r>
              <w:rPr>
                <w:sz w:val="24"/>
                <w:szCs w:val="24"/>
              </w:rPr>
              <w:t>Isooctane</w:t>
            </w:r>
          </w:p>
        </w:tc>
        <w:tc>
          <w:tcPr>
            <w:tcW w:w="0" w:type="auto"/>
            <w:tcBorders>
              <w:top w:val="single" w:sz="4" w:space="0" w:color="auto"/>
            </w:tcBorders>
          </w:tcPr>
          <w:p w:rsidR="003B7A79" w:rsidRDefault="003B7A79" w:rsidP="007A2A52">
            <w:pPr>
              <w:spacing w:line="360" w:lineRule="auto"/>
              <w:jc w:val="center"/>
              <w:rPr>
                <w:sz w:val="24"/>
                <w:szCs w:val="24"/>
              </w:rPr>
            </w:pPr>
            <w:r>
              <w:rPr>
                <w:sz w:val="24"/>
                <w:szCs w:val="24"/>
              </w:rPr>
              <w:t>5.94 x 10</w:t>
            </w:r>
            <w:r w:rsidRPr="003B7A79">
              <w:rPr>
                <w:sz w:val="24"/>
                <w:szCs w:val="24"/>
                <w:vertAlign w:val="superscript"/>
              </w:rPr>
              <w:t>5</w:t>
            </w:r>
          </w:p>
        </w:tc>
      </w:tr>
      <w:tr w:rsidR="003B7A79" w:rsidTr="003B7A79">
        <w:trPr>
          <w:jc w:val="center"/>
        </w:trPr>
        <w:tc>
          <w:tcPr>
            <w:tcW w:w="0" w:type="auto"/>
          </w:tcPr>
          <w:p w:rsidR="003B7A79" w:rsidRDefault="003B7A79" w:rsidP="007A2A52">
            <w:pPr>
              <w:spacing w:line="360" w:lineRule="auto"/>
              <w:jc w:val="center"/>
              <w:rPr>
                <w:sz w:val="24"/>
                <w:szCs w:val="24"/>
              </w:rPr>
            </w:pPr>
            <w:r>
              <w:rPr>
                <w:sz w:val="24"/>
                <w:szCs w:val="24"/>
              </w:rPr>
              <w:t>MeOH</w:t>
            </w:r>
          </w:p>
        </w:tc>
        <w:tc>
          <w:tcPr>
            <w:tcW w:w="0" w:type="auto"/>
          </w:tcPr>
          <w:p w:rsidR="003B7A79" w:rsidRDefault="003B7A79" w:rsidP="007A2A52">
            <w:pPr>
              <w:spacing w:line="360" w:lineRule="auto"/>
              <w:jc w:val="center"/>
              <w:rPr>
                <w:sz w:val="24"/>
                <w:szCs w:val="24"/>
              </w:rPr>
            </w:pPr>
            <w:r>
              <w:rPr>
                <w:sz w:val="24"/>
                <w:szCs w:val="24"/>
              </w:rPr>
              <w:t>75.5 x 10</w:t>
            </w:r>
            <w:r w:rsidRPr="003B7A79">
              <w:rPr>
                <w:sz w:val="24"/>
                <w:szCs w:val="24"/>
                <w:vertAlign w:val="superscript"/>
              </w:rPr>
              <w:t>5</w:t>
            </w:r>
          </w:p>
        </w:tc>
      </w:tr>
      <w:tr w:rsidR="003B7A79" w:rsidTr="003B7A79">
        <w:trPr>
          <w:jc w:val="center"/>
        </w:trPr>
        <w:tc>
          <w:tcPr>
            <w:tcW w:w="0" w:type="auto"/>
            <w:tcBorders>
              <w:bottom w:val="single" w:sz="4" w:space="0" w:color="auto"/>
            </w:tcBorders>
          </w:tcPr>
          <w:p w:rsidR="003B7A79" w:rsidRDefault="003B7A79" w:rsidP="007A2A52">
            <w:pPr>
              <w:spacing w:line="360" w:lineRule="auto"/>
              <w:jc w:val="center"/>
              <w:rPr>
                <w:sz w:val="24"/>
                <w:szCs w:val="24"/>
              </w:rPr>
            </w:pPr>
            <w:r>
              <w:rPr>
                <w:sz w:val="24"/>
                <w:szCs w:val="24"/>
              </w:rPr>
              <w:t>H</w:t>
            </w:r>
            <w:r w:rsidRPr="003B7A79">
              <w:rPr>
                <w:sz w:val="24"/>
                <w:szCs w:val="24"/>
                <w:vertAlign w:val="subscript"/>
              </w:rPr>
              <w:t>2</w:t>
            </w:r>
            <w:r>
              <w:rPr>
                <w:sz w:val="24"/>
                <w:szCs w:val="24"/>
              </w:rPr>
              <w:t>O</w:t>
            </w:r>
          </w:p>
        </w:tc>
        <w:tc>
          <w:tcPr>
            <w:tcW w:w="0" w:type="auto"/>
            <w:tcBorders>
              <w:bottom w:val="single" w:sz="4" w:space="0" w:color="auto"/>
            </w:tcBorders>
          </w:tcPr>
          <w:p w:rsidR="003B7A79" w:rsidRDefault="003B7A79" w:rsidP="007A2A52">
            <w:pPr>
              <w:spacing w:line="360" w:lineRule="auto"/>
              <w:jc w:val="center"/>
              <w:rPr>
                <w:sz w:val="24"/>
                <w:szCs w:val="24"/>
              </w:rPr>
            </w:pPr>
            <w:r>
              <w:rPr>
                <w:sz w:val="24"/>
                <w:szCs w:val="24"/>
              </w:rPr>
              <w:t>4400 x 10</w:t>
            </w:r>
            <w:r w:rsidRPr="003B7A79">
              <w:rPr>
                <w:sz w:val="24"/>
                <w:szCs w:val="24"/>
                <w:vertAlign w:val="superscript"/>
              </w:rPr>
              <w:t>5</w:t>
            </w:r>
          </w:p>
        </w:tc>
      </w:tr>
    </w:tbl>
    <w:p w:rsidR="003B7A79" w:rsidRDefault="003B7A79" w:rsidP="00BB66E0">
      <w:pPr>
        <w:spacing w:line="360" w:lineRule="auto"/>
        <w:jc w:val="center"/>
        <w:rPr>
          <w:b/>
          <w:sz w:val="24"/>
          <w:szCs w:val="24"/>
        </w:rPr>
      </w:pPr>
    </w:p>
    <w:p w:rsidR="00BB66E0" w:rsidRDefault="00BB66E0" w:rsidP="00BB66E0">
      <w:pPr>
        <w:spacing w:line="360" w:lineRule="auto"/>
        <w:jc w:val="center"/>
        <w:rPr>
          <w:sz w:val="24"/>
          <w:szCs w:val="24"/>
        </w:rPr>
      </w:pPr>
      <w:r w:rsidRPr="00BB66E0">
        <w:rPr>
          <w:b/>
          <w:sz w:val="24"/>
          <w:szCs w:val="24"/>
        </w:rPr>
        <w:t>Scheme 1.2</w:t>
      </w:r>
      <w:r w:rsidR="007A2A52">
        <w:rPr>
          <w:b/>
          <w:sz w:val="24"/>
          <w:szCs w:val="24"/>
        </w:rPr>
        <w:t>3</w:t>
      </w:r>
    </w:p>
    <w:p w:rsidR="003B7D89" w:rsidRDefault="003B7D89" w:rsidP="003B7D89">
      <w:pPr>
        <w:spacing w:line="360" w:lineRule="auto"/>
        <w:jc w:val="both"/>
        <w:rPr>
          <w:sz w:val="24"/>
          <w:szCs w:val="24"/>
        </w:rPr>
      </w:pPr>
      <w:r>
        <w:rPr>
          <w:sz w:val="24"/>
          <w:szCs w:val="24"/>
        </w:rPr>
        <w:t>Novartis have used water as a solvent in their synthesis of 1-substituted-4-cyano-1,2,3-triazoles.</w:t>
      </w:r>
      <w:r>
        <w:rPr>
          <w:sz w:val="24"/>
          <w:szCs w:val="24"/>
        </w:rPr>
        <w:fldChar w:fldCharType="begin" w:fldLock="1"/>
      </w:r>
      <w:r w:rsidR="00F168DA">
        <w:rPr>
          <w:sz w:val="24"/>
          <w:szCs w:val="24"/>
        </w:rPr>
        <w:instrText>ADDIN CSL_CITATION { "citationItems" : [ { "id" : "ITEM-1", "itemData" : { "abstract" : "A process for the prepn. of the title compds. I (R1 = arom. or heteroarom. radical, arom.-aliph. or heteroarom.-aliph. radical, heterocyclic radical, cycloaliph. radical, cycloaliph.-aliph. radical, aliph. radical) comprises reacting R1N3 with CH2:CClCN in a two-phase system.  E.g., a mixt. of 2,6-difluorobenzyl azide and CH2:CClCN in water was stirred at 80\u00b0 for 24 h, excess CH2:CClCN distd. off, and the product crystd. by seeding.  The yield of 4-cyano-1-(2,6-difluorobenzyl)-1,2,3-triazole was 98%. [on SciFinder(R)]", "author" : [ { "dropping-particle" : "", "family" : "Portmann", "given" : "Robert.", "non-dropping-particle" : "", "parse-names" : false, "suffix" : "" } ], "container-title" : "PCT Int. Appl.", "id" : "ITEM-1", "issue" : "WO9802423A1", "issued" : { "date-parts" : [ [ "1998", "1", "22" ] ] }, "note" : "CAPLUS AN 1998:71124(Patent)", "page" : "22 pp.", "publisher" : "Novartis A.-G., Switz.; Portmann, Robert .", "title" : "Process for preparing 1-substituted 4-cyano-1,2,3-triazoles.", "type" : "patent" }, "uris" : [ "http://www.mendeley.com/documents/?uuid=763ec7e4-4c3b-4e4f-83fe-d8f63b29e224" ] } ], "mendeley" : { "formattedCitation" : "&lt;sup&gt;[67]&lt;/sup&gt;", "plainTextFormattedCitation" : "[67]", "previouslyFormattedCitation" : "&lt;sup&gt;[67]&lt;/sup&gt;"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[67]</w:t>
      </w:r>
      <w:r>
        <w:rPr>
          <w:sz w:val="24"/>
          <w:szCs w:val="24"/>
        </w:rPr>
        <w:fldChar w:fldCharType="end"/>
      </w:r>
      <w:r>
        <w:rPr>
          <w:sz w:val="24"/>
          <w:szCs w:val="24"/>
        </w:rPr>
        <w:t xml:space="preserve"> This synthesis involves the 1,3-dipolar cycloaddition of 2-chloroacrylonitrile </w:t>
      </w:r>
      <w:r w:rsidR="006D6B1E">
        <w:rPr>
          <w:b/>
          <w:sz w:val="24"/>
          <w:szCs w:val="24"/>
        </w:rPr>
        <w:t>3</w:t>
      </w:r>
      <w:r w:rsidR="003B7A79">
        <w:rPr>
          <w:b/>
          <w:sz w:val="24"/>
          <w:szCs w:val="24"/>
        </w:rPr>
        <w:t>8</w:t>
      </w:r>
      <w:r>
        <w:rPr>
          <w:sz w:val="24"/>
          <w:szCs w:val="24"/>
        </w:rPr>
        <w:t xml:space="preserve"> and the appropriate organic azide, which is followed by an aromatization which generates hydrogen chloride as a side-product. 2-Chloroacrylonitrile</w:t>
      </w:r>
      <w:r w:rsidR="00862173">
        <w:rPr>
          <w:sz w:val="24"/>
          <w:szCs w:val="24"/>
        </w:rPr>
        <w:t xml:space="preserve"> </w:t>
      </w:r>
      <w:r w:rsidR="00862173" w:rsidRPr="00862173">
        <w:rPr>
          <w:b/>
          <w:sz w:val="24"/>
          <w:szCs w:val="24"/>
        </w:rPr>
        <w:t>3</w:t>
      </w:r>
      <w:r w:rsidR="00D95B36">
        <w:rPr>
          <w:b/>
          <w:sz w:val="24"/>
          <w:szCs w:val="24"/>
        </w:rPr>
        <w:t>8</w:t>
      </w:r>
      <w:r>
        <w:rPr>
          <w:sz w:val="24"/>
          <w:szCs w:val="24"/>
        </w:rPr>
        <w:t xml:space="preserve"> polymerises under acidic or basic conditions. Therefore, by using water as a solvent, the reaction could take place in the organic phase while the by-product was solubilised in the water, thus givin</w:t>
      </w:r>
      <w:r w:rsidR="00862173">
        <w:rPr>
          <w:sz w:val="24"/>
          <w:szCs w:val="24"/>
        </w:rPr>
        <w:t xml:space="preserve">g higher yields of the product, as shown below in </w:t>
      </w:r>
      <w:r w:rsidR="00862173" w:rsidRPr="00862173">
        <w:rPr>
          <w:b/>
          <w:sz w:val="24"/>
          <w:szCs w:val="24"/>
        </w:rPr>
        <w:t>Scheme 1.2</w:t>
      </w:r>
      <w:r w:rsidR="003B7A79">
        <w:rPr>
          <w:b/>
          <w:sz w:val="24"/>
          <w:szCs w:val="24"/>
        </w:rPr>
        <w:t>4</w:t>
      </w:r>
      <w:r w:rsidR="00862173">
        <w:rPr>
          <w:sz w:val="24"/>
          <w:szCs w:val="24"/>
        </w:rPr>
        <w:t>.</w:t>
      </w:r>
    </w:p>
    <w:p w:rsidR="003B7D89" w:rsidRDefault="003B7A79" w:rsidP="003B7D89">
      <w:pPr>
        <w:spacing w:line="360" w:lineRule="auto"/>
        <w:jc w:val="center"/>
        <w:rPr>
          <w:sz w:val="24"/>
          <w:szCs w:val="24"/>
        </w:rPr>
      </w:pPr>
      <w:r>
        <w:object w:dxaOrig="7300" w:dyaOrig="1557">
          <v:shape id="_x0000_i1049" type="#_x0000_t75" style="width:366pt;height:77.25pt" o:ole="">
            <v:imagedata r:id="rId64" o:title=""/>
          </v:shape>
          <o:OLEObject Type="Embed" ProgID="ChemDraw.Document.6.0" ShapeID="_x0000_i1049" DrawAspect="Content" ObjectID="_1531849592" r:id="rId65"/>
        </w:obje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3"/>
        <w:gridCol w:w="1060"/>
      </w:tblGrid>
      <w:tr w:rsidR="003B7D89" w:rsidTr="00E7424C">
        <w:trPr>
          <w:jc w:val="center"/>
        </w:trPr>
        <w:tc>
          <w:tcPr>
            <w:tcW w:w="0" w:type="auto"/>
            <w:tcBorders>
              <w:top w:val="single" w:sz="4" w:space="0" w:color="auto"/>
              <w:bottom w:val="single" w:sz="4" w:space="0" w:color="auto"/>
            </w:tcBorders>
          </w:tcPr>
          <w:p w:rsidR="003B7D89" w:rsidRDefault="003B7D89" w:rsidP="00E7424C">
            <w:pPr>
              <w:spacing w:line="360" w:lineRule="auto"/>
              <w:jc w:val="center"/>
              <w:rPr>
                <w:sz w:val="24"/>
                <w:szCs w:val="24"/>
              </w:rPr>
            </w:pPr>
            <w:r>
              <w:rPr>
                <w:sz w:val="24"/>
                <w:szCs w:val="24"/>
              </w:rPr>
              <w:t>Solvent</w:t>
            </w:r>
          </w:p>
        </w:tc>
        <w:tc>
          <w:tcPr>
            <w:tcW w:w="0" w:type="auto"/>
            <w:tcBorders>
              <w:top w:val="single" w:sz="4" w:space="0" w:color="auto"/>
              <w:bottom w:val="single" w:sz="4" w:space="0" w:color="auto"/>
            </w:tcBorders>
          </w:tcPr>
          <w:p w:rsidR="003B7D89" w:rsidRDefault="003B7D89" w:rsidP="00E7424C">
            <w:pPr>
              <w:spacing w:line="360" w:lineRule="auto"/>
              <w:jc w:val="center"/>
              <w:rPr>
                <w:sz w:val="24"/>
                <w:szCs w:val="24"/>
              </w:rPr>
            </w:pPr>
            <w:r>
              <w:rPr>
                <w:sz w:val="24"/>
                <w:szCs w:val="24"/>
              </w:rPr>
              <w:t>Yield (%)</w:t>
            </w:r>
          </w:p>
        </w:tc>
      </w:tr>
      <w:tr w:rsidR="003B7D89" w:rsidTr="00E7424C">
        <w:trPr>
          <w:jc w:val="center"/>
        </w:trPr>
        <w:tc>
          <w:tcPr>
            <w:tcW w:w="0" w:type="auto"/>
            <w:tcBorders>
              <w:top w:val="single" w:sz="4" w:space="0" w:color="auto"/>
            </w:tcBorders>
          </w:tcPr>
          <w:p w:rsidR="003B7D89" w:rsidRDefault="003B7D89" w:rsidP="00E7424C">
            <w:pPr>
              <w:spacing w:line="360" w:lineRule="auto"/>
              <w:jc w:val="center"/>
              <w:rPr>
                <w:sz w:val="24"/>
                <w:szCs w:val="24"/>
              </w:rPr>
            </w:pPr>
            <w:r w:rsidRPr="00F90CBD">
              <w:rPr>
                <w:i/>
                <w:sz w:val="24"/>
                <w:szCs w:val="24"/>
              </w:rPr>
              <w:t>n</w:t>
            </w:r>
            <w:r>
              <w:rPr>
                <w:sz w:val="24"/>
                <w:szCs w:val="24"/>
              </w:rPr>
              <w:t>-Heptane</w:t>
            </w:r>
          </w:p>
        </w:tc>
        <w:tc>
          <w:tcPr>
            <w:tcW w:w="0" w:type="auto"/>
            <w:tcBorders>
              <w:top w:val="single" w:sz="4" w:space="0" w:color="auto"/>
            </w:tcBorders>
          </w:tcPr>
          <w:p w:rsidR="003B7D89" w:rsidRDefault="003B7D89" w:rsidP="00E7424C">
            <w:pPr>
              <w:spacing w:line="360" w:lineRule="auto"/>
              <w:jc w:val="center"/>
              <w:rPr>
                <w:sz w:val="24"/>
                <w:szCs w:val="24"/>
              </w:rPr>
            </w:pPr>
            <w:r>
              <w:rPr>
                <w:sz w:val="24"/>
                <w:szCs w:val="24"/>
              </w:rPr>
              <w:t>46</w:t>
            </w:r>
          </w:p>
        </w:tc>
      </w:tr>
      <w:tr w:rsidR="003B7D89" w:rsidTr="00E7424C">
        <w:trPr>
          <w:jc w:val="center"/>
        </w:trPr>
        <w:tc>
          <w:tcPr>
            <w:tcW w:w="0" w:type="auto"/>
          </w:tcPr>
          <w:p w:rsidR="003B7D89" w:rsidRDefault="003B7D89" w:rsidP="00E7424C">
            <w:pPr>
              <w:spacing w:line="360" w:lineRule="auto"/>
              <w:jc w:val="center"/>
              <w:rPr>
                <w:sz w:val="24"/>
                <w:szCs w:val="24"/>
              </w:rPr>
            </w:pPr>
            <w:r>
              <w:rPr>
                <w:sz w:val="24"/>
                <w:szCs w:val="24"/>
              </w:rPr>
              <w:t>Toluene</w:t>
            </w:r>
          </w:p>
        </w:tc>
        <w:tc>
          <w:tcPr>
            <w:tcW w:w="0" w:type="auto"/>
          </w:tcPr>
          <w:p w:rsidR="003B7D89" w:rsidRDefault="003B7D89" w:rsidP="00E7424C">
            <w:pPr>
              <w:spacing w:line="360" w:lineRule="auto"/>
              <w:jc w:val="center"/>
              <w:rPr>
                <w:sz w:val="24"/>
                <w:szCs w:val="24"/>
              </w:rPr>
            </w:pPr>
            <w:r>
              <w:rPr>
                <w:sz w:val="24"/>
                <w:szCs w:val="24"/>
              </w:rPr>
              <w:t>51</w:t>
            </w:r>
          </w:p>
        </w:tc>
      </w:tr>
      <w:tr w:rsidR="003B7D89" w:rsidTr="00E7424C">
        <w:trPr>
          <w:jc w:val="center"/>
        </w:trPr>
        <w:tc>
          <w:tcPr>
            <w:tcW w:w="0" w:type="auto"/>
          </w:tcPr>
          <w:p w:rsidR="003B7D89" w:rsidRDefault="003B7D89" w:rsidP="00E7424C">
            <w:pPr>
              <w:spacing w:line="360" w:lineRule="auto"/>
              <w:jc w:val="center"/>
              <w:rPr>
                <w:sz w:val="24"/>
                <w:szCs w:val="24"/>
              </w:rPr>
            </w:pPr>
            <w:r>
              <w:rPr>
                <w:sz w:val="24"/>
                <w:szCs w:val="24"/>
              </w:rPr>
              <w:t>Dimethylformamide</w:t>
            </w:r>
          </w:p>
        </w:tc>
        <w:tc>
          <w:tcPr>
            <w:tcW w:w="0" w:type="auto"/>
          </w:tcPr>
          <w:p w:rsidR="003B7D89" w:rsidRDefault="003B7D89" w:rsidP="00E7424C">
            <w:pPr>
              <w:spacing w:line="360" w:lineRule="auto"/>
              <w:jc w:val="center"/>
              <w:rPr>
                <w:sz w:val="24"/>
                <w:szCs w:val="24"/>
              </w:rPr>
            </w:pPr>
            <w:r>
              <w:rPr>
                <w:sz w:val="24"/>
                <w:szCs w:val="24"/>
              </w:rPr>
              <w:t>78</w:t>
            </w:r>
          </w:p>
        </w:tc>
      </w:tr>
      <w:tr w:rsidR="003B7D89" w:rsidTr="00E7424C">
        <w:trPr>
          <w:jc w:val="center"/>
        </w:trPr>
        <w:tc>
          <w:tcPr>
            <w:tcW w:w="0" w:type="auto"/>
          </w:tcPr>
          <w:p w:rsidR="003B7D89" w:rsidRDefault="003B7D89" w:rsidP="00E7424C">
            <w:pPr>
              <w:spacing w:line="360" w:lineRule="auto"/>
              <w:jc w:val="center"/>
              <w:rPr>
                <w:sz w:val="24"/>
                <w:szCs w:val="24"/>
              </w:rPr>
            </w:pPr>
            <w:r>
              <w:rPr>
                <w:sz w:val="24"/>
                <w:szCs w:val="24"/>
              </w:rPr>
              <w:t>Ethanol</w:t>
            </w:r>
          </w:p>
        </w:tc>
        <w:tc>
          <w:tcPr>
            <w:tcW w:w="0" w:type="auto"/>
          </w:tcPr>
          <w:p w:rsidR="003B7D89" w:rsidRDefault="003B7D89" w:rsidP="00E7424C">
            <w:pPr>
              <w:spacing w:line="360" w:lineRule="auto"/>
              <w:jc w:val="center"/>
              <w:rPr>
                <w:sz w:val="24"/>
                <w:szCs w:val="24"/>
              </w:rPr>
            </w:pPr>
            <w:r>
              <w:rPr>
                <w:sz w:val="24"/>
                <w:szCs w:val="24"/>
              </w:rPr>
              <w:t>40</w:t>
            </w:r>
          </w:p>
        </w:tc>
      </w:tr>
      <w:tr w:rsidR="003B7D89" w:rsidTr="00E7424C">
        <w:trPr>
          <w:jc w:val="center"/>
        </w:trPr>
        <w:tc>
          <w:tcPr>
            <w:tcW w:w="0" w:type="auto"/>
          </w:tcPr>
          <w:p w:rsidR="003B7D89" w:rsidRDefault="003B7D89" w:rsidP="00E7424C">
            <w:pPr>
              <w:spacing w:line="360" w:lineRule="auto"/>
              <w:jc w:val="center"/>
              <w:rPr>
                <w:sz w:val="24"/>
                <w:szCs w:val="24"/>
              </w:rPr>
            </w:pPr>
            <w:r>
              <w:rPr>
                <w:sz w:val="24"/>
                <w:szCs w:val="24"/>
              </w:rPr>
              <w:t>Neat</w:t>
            </w:r>
          </w:p>
        </w:tc>
        <w:tc>
          <w:tcPr>
            <w:tcW w:w="0" w:type="auto"/>
          </w:tcPr>
          <w:p w:rsidR="003B7D89" w:rsidRDefault="003B7D89" w:rsidP="00E7424C">
            <w:pPr>
              <w:spacing w:line="360" w:lineRule="auto"/>
              <w:jc w:val="center"/>
              <w:rPr>
                <w:sz w:val="24"/>
                <w:szCs w:val="24"/>
              </w:rPr>
            </w:pPr>
            <w:r>
              <w:rPr>
                <w:sz w:val="24"/>
                <w:szCs w:val="24"/>
              </w:rPr>
              <w:t>72</w:t>
            </w:r>
          </w:p>
        </w:tc>
      </w:tr>
      <w:tr w:rsidR="003B7D89" w:rsidTr="00E7424C">
        <w:trPr>
          <w:jc w:val="center"/>
        </w:trPr>
        <w:tc>
          <w:tcPr>
            <w:tcW w:w="0" w:type="auto"/>
            <w:tcBorders>
              <w:bottom w:val="single" w:sz="4" w:space="0" w:color="auto"/>
            </w:tcBorders>
          </w:tcPr>
          <w:p w:rsidR="003B7D89" w:rsidRDefault="003B7D89" w:rsidP="00E7424C">
            <w:pPr>
              <w:spacing w:line="360" w:lineRule="auto"/>
              <w:jc w:val="center"/>
              <w:rPr>
                <w:sz w:val="24"/>
                <w:szCs w:val="24"/>
              </w:rPr>
            </w:pPr>
            <w:r>
              <w:rPr>
                <w:sz w:val="24"/>
                <w:szCs w:val="24"/>
              </w:rPr>
              <w:t>Water</w:t>
            </w:r>
          </w:p>
        </w:tc>
        <w:tc>
          <w:tcPr>
            <w:tcW w:w="0" w:type="auto"/>
            <w:tcBorders>
              <w:bottom w:val="single" w:sz="4" w:space="0" w:color="auto"/>
            </w:tcBorders>
          </w:tcPr>
          <w:p w:rsidR="003B7D89" w:rsidRDefault="003B7D89" w:rsidP="00E7424C">
            <w:pPr>
              <w:spacing w:line="360" w:lineRule="auto"/>
              <w:jc w:val="center"/>
              <w:rPr>
                <w:sz w:val="24"/>
                <w:szCs w:val="24"/>
              </w:rPr>
            </w:pPr>
            <w:r>
              <w:rPr>
                <w:sz w:val="24"/>
                <w:szCs w:val="24"/>
              </w:rPr>
              <w:t>98</w:t>
            </w:r>
          </w:p>
        </w:tc>
      </w:tr>
    </w:tbl>
    <w:p w:rsidR="00862173" w:rsidRDefault="00862173" w:rsidP="00862173">
      <w:pPr>
        <w:spacing w:line="360" w:lineRule="auto"/>
        <w:jc w:val="center"/>
        <w:rPr>
          <w:sz w:val="24"/>
          <w:szCs w:val="24"/>
        </w:rPr>
      </w:pPr>
    </w:p>
    <w:p w:rsidR="003B7D89" w:rsidRPr="00862173" w:rsidRDefault="00862173" w:rsidP="00862173">
      <w:pPr>
        <w:spacing w:line="360" w:lineRule="auto"/>
        <w:jc w:val="center"/>
        <w:rPr>
          <w:b/>
          <w:sz w:val="24"/>
          <w:szCs w:val="24"/>
        </w:rPr>
      </w:pPr>
      <w:r w:rsidRPr="00862173">
        <w:rPr>
          <w:b/>
          <w:sz w:val="24"/>
          <w:szCs w:val="24"/>
        </w:rPr>
        <w:t>Scheme 1.2</w:t>
      </w:r>
      <w:r w:rsidR="003B7A79">
        <w:rPr>
          <w:b/>
          <w:sz w:val="24"/>
          <w:szCs w:val="24"/>
        </w:rPr>
        <w:t>4</w:t>
      </w:r>
    </w:p>
    <w:p w:rsidR="003B7D89" w:rsidRDefault="003B7D89" w:rsidP="003B7D89">
      <w:pPr>
        <w:spacing w:line="360" w:lineRule="auto"/>
        <w:jc w:val="both"/>
        <w:rPr>
          <w:sz w:val="24"/>
          <w:szCs w:val="24"/>
        </w:rPr>
      </w:pPr>
      <w:r>
        <w:rPr>
          <w:sz w:val="24"/>
          <w:szCs w:val="24"/>
        </w:rPr>
        <w:lastRenderedPageBreak/>
        <w:t>Water has found widespread applications as a reaction medium, and has successfully been used to carry out Claisen rearrangements,</w:t>
      </w:r>
      <w:r>
        <w:rPr>
          <w:sz w:val="24"/>
          <w:szCs w:val="24"/>
        </w:rPr>
        <w:fldChar w:fldCharType="begin" w:fldLock="1"/>
      </w:r>
      <w:r w:rsidR="00F168DA">
        <w:rPr>
          <w:sz w:val="24"/>
          <w:szCs w:val="24"/>
        </w:rPr>
        <w:instrText>ADDIN CSL_CITATION { "citationItems" : [ { "id" : "ITEM-1", "itemData" : { "DOI" : "10.1021/AR9600493", "ISSN" : "0001-4842", "abstract" : "A review with \u223c75 refs. in which isotope effects on the rearrangement of allyl vinyl ether, isotope effects in aq.media, the theor. treatment of KIE, solvent effects and solvent LFER, hydrophobicity effects on the title reaction and other reactions, theor. treatments of charge sepn. and solvent effects, and the rationalization of 3,3-sigmatropic rearrangements of substituted allyl vinyl ethers by More O'Ferrall-Jencks diagrams are discussed. [on SciFinder(R)]", "author" : [ { "dropping-particle" : "", "family" : "Gajewski", "given" : "Joseph J", "non-dropping-particle" : "", "parse-names" : false, "suffix" : "" } ], "container-title" : "Accounts of Chemical Research", "id" : "ITEM-1", "issue" : "5", "issued" : { "date-parts" : [ [ "1997" ] ] }, "note" : "CAPLUS AN 1997:276298(Journal; General Review)", "page" : "219-225", "publisher" : "American Chemical Society", "title" : "The Claisen Rearrangement. Response to Solvents and Substituents: The Case for Both Hydrophobic and Hydrogen Bond Acceleration in Water and for a Variable Transition State.", "type" : "article-journal", "volume" : "30" }, "uris" : [ "http://www.mendeley.com/documents/?uuid=20713656-c626-4560-bf85-8055cddefd90" ] } ], "mendeley" : { "formattedCitation" : "&lt;sup&gt;[68]&lt;/sup&gt;", "plainTextFormattedCitation" : "[68]", "previouslyFormattedCitation" : "&lt;sup&gt;[68]&lt;/sup&gt;"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[68]</w:t>
      </w:r>
      <w:r>
        <w:rPr>
          <w:sz w:val="24"/>
          <w:szCs w:val="24"/>
        </w:rPr>
        <w:fldChar w:fldCharType="end"/>
      </w:r>
      <w:r>
        <w:rPr>
          <w:sz w:val="24"/>
          <w:szCs w:val="24"/>
        </w:rPr>
        <w:t xml:space="preserve"> aldol reactions,</w:t>
      </w:r>
      <w:r>
        <w:rPr>
          <w:sz w:val="24"/>
          <w:szCs w:val="24"/>
        </w:rPr>
        <w:fldChar w:fldCharType="begin" w:fldLock="1"/>
      </w:r>
      <w:r w:rsidR="00F168DA">
        <w:rPr>
          <w:sz w:val="24"/>
          <w:szCs w:val="24"/>
        </w:rPr>
        <w:instrText>ADDIN CSL_CITATION { "citationItems" : [ { "id" : "ITEM-1", "itemData" : { "DOI" : "10.1007/978-94-011-4950-1_6", "abstract" : "A review with &gt;100 refs. [on SciFinder(R)]", "author" : [ { "dropping-particle" : "", "family" : "Fringuelli", "given" : "F", "non-dropping-particle" : "", "parse-names" : false, "suffix" : "" }, { "dropping-particle" : "", "family" : "Piermatti", "given" : "O", "non-dropping-particle" : "", "parse-names" : false, "suffix" : "" }, { "dropping-particle" : "", "family" : "Pizzo", "given" : "F", "non-dropping-particle" : "", "parse-names" : false, "suffix" : "" } ], "container-title" : "Org. Synth. Water", "id" : "ITEM-1", "issued" : { "date-parts" : [ [ "1998" ] ] }, "note" : "CAPLUS AN 1998:138002(Conference; General Review)", "page" : "223-249", "publisher" : "Blackie", "title" : "Oxidations and reductions in water.", "type" : "paper-conference" }, "uris" : [ "http://www.mendeley.com/documents/?uuid=6a7a67f0-f0ce-4c71-8ee9-ed6372d45dd3" ] } ], "mendeley" : { "formattedCitation" : "&lt;sup&gt;[69]&lt;/sup&gt;", "plainTextFormattedCitation" : "[69]", "previouslyFormattedCitation" : "&lt;sup&gt;[69]&lt;/sup&gt;"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[69]</w:t>
      </w:r>
      <w:r>
        <w:rPr>
          <w:sz w:val="24"/>
          <w:szCs w:val="24"/>
        </w:rPr>
        <w:fldChar w:fldCharType="end"/>
      </w:r>
      <w:r>
        <w:rPr>
          <w:sz w:val="24"/>
          <w:szCs w:val="24"/>
        </w:rPr>
        <w:t xml:space="preserve"> and allylation reactions.</w:t>
      </w:r>
      <w:r>
        <w:rPr>
          <w:sz w:val="24"/>
          <w:szCs w:val="24"/>
        </w:rPr>
        <w:fldChar w:fldCharType="begin" w:fldLock="1"/>
      </w:r>
      <w:r w:rsidR="00F168DA">
        <w:rPr>
          <w:sz w:val="24"/>
          <w:szCs w:val="24"/>
        </w:rPr>
        <w:instrText>ADDIN CSL_CITATION { "citationItems" : [ { "id" : "ITEM-1", "itemData" : { "DOI" : "10.1021/jo0018038", "ISSN" : "0022-3263", "abstract" : "Reaction of sulfonimines having proximal chelating groups with crotyl bromide and indium in aq. media gave \u03b1-crotylation products stereoselectively with syn-selectivity. [on SciFinder(R)]", "author" : [ { "dropping-particle" : "", "family" : "Lu", "given" : "Wenshuo", "non-dropping-particle" : "", "parse-names" : false, "suffix" : "" }, { "dropping-particle" : "", "family" : "Chan", "given" : "Tak Hang.", "non-dropping-particle" : "", "parse-names" : false, "suffix" : "" } ], "container-title" : "Journal of Organic Chemistry", "id" : "ITEM-1", "issue" : "10", "issued" : { "date-parts" : [ [ "2001" ] ] }, "note" : "CAPLUS AN 2001:279834(Journal)", "page" : "3467-3473", "publisher" : "American Chemical Society", "title" : "Indium-Mediated Organometallic Reactions in Aqueous Media. Stereoselectivity in the Crotylation of Sulfonimines Bearing a Proximal Chelating Group.", "type" : "article-journal", "volume" : "66" }, "uris" : [ "http://www.mendeley.com/documents/?uuid=49be3966-a9f0-4af8-9bf7-a6f8babe0bb4" ] }, { "id" : "ITEM-2", "itemData" : { "DOI" : "10.1016/S0040-4039(99)01743-8", "ISSN" : "0040-4039", "abstract" : "An enantioselective indium-mediated allylation reaction of aldehydes with enantioselectivities up to 92% has been achieved in an aq. medium by using (S,S)-2,6-bis(4-isopropyl-2-oxazolin-2-yl)pyridine as the chiral source. [on SciFinder(R)]", "author" : [ { "dropping-particle" : "", "family" : "Loh", "given" : "Teck-Peng", "non-dropping-particle" : "", "parse-names" : false, "suffix" : "" }, { "dropping-particle" : "", "family" : "Zhou", "given" : "Jian-Rong.", "non-dropping-particle" : "", "parse-names" : false, "suffix" : "" } ], "container-title" : "Tetrahedron Letters", "id" : "ITEM-2", "issue" : "51", "issued" : { "date-parts" : [ [ "1999" ] ] }, "note" : "CAPLUS AN 1999:799075(Journal)", "page" : "9115-9118", "publisher" : "Elsevier Science Ltd.", "title" : "An enantioselective allylation reaction of aldehydes in an aqueous medium.", "type" : "article-journal", "volume" : "40" }, "uris" : [ "http://www.mendeley.com/documents/?uuid=bb2f3c57-54f2-4aa8-9d7a-4f9a7f891b42" ] }, { "id" : "ITEM-3", "itemData" : { "DOI" : "10.1016/S0040-4020(99)00641-9", "ISSN" : "0040-4020", "abstract" : "A review with 79 refs. covering representative title topics including indium mediated Barbier-type reactions, transmetalation reactions with indium metal or indium salts, indium salts as water-tolerant Lewis catalysts, etc. [on SciFinder(R)]", "author" : [ { "dropping-particle" : "", "family" : "Li", "given" : "Chao-Jun", "non-dropping-particle" : "", "parse-names" : false, "suffix" : "" }, { "dropping-particle" : "", "family" : "Chan", "given" : "Tak-Hang.", "non-dropping-particle" : "", "parse-names" : false, "suffix" : "" } ], "container-title" : "Tetrahedron", "id" : "ITEM-3", "issue" : "37", "issued" : { "date-parts" : [ [ "1999" ] ] }, "note" : "CAPLUS AN 1999:602798(Journal; General Review)", "page" : "11149-11176", "publisher" : "Elsevier Science Ltd.", "title" : "Organic syntheses using indium-mediated and catalyzed reactions in aqueous media.", "type" : "article-journal", "volume" : "55" }, "uris" : [ "http://www.mendeley.com/documents/?uuid=49d9a5a9-1d4e-4ba2-95df-540d922f8eb4" ] } ], "mendeley" : { "formattedCitation" : "&lt;sup&gt;[70\u201372]&lt;/sup&gt;", "plainTextFormattedCitation" : "[70\u201372]", "previouslyFormattedCitation" : "&lt;sup&gt;[70\u201372]&lt;/sup&gt;"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[70–72]</w:t>
      </w:r>
      <w:r>
        <w:rPr>
          <w:sz w:val="24"/>
          <w:szCs w:val="24"/>
        </w:rPr>
        <w:fldChar w:fldCharType="end"/>
      </w:r>
      <w:r>
        <w:rPr>
          <w:sz w:val="24"/>
          <w:szCs w:val="24"/>
        </w:rPr>
        <w:t xml:space="preserve"> The only example in</w:t>
      </w:r>
      <w:r w:rsidR="003B7A79">
        <w:rPr>
          <w:sz w:val="24"/>
          <w:szCs w:val="24"/>
        </w:rPr>
        <w:t xml:space="preserve"> the literature of </w:t>
      </w:r>
      <w:r>
        <w:rPr>
          <w:sz w:val="24"/>
          <w:szCs w:val="24"/>
        </w:rPr>
        <w:t xml:space="preserve">diazo transfer in water was reported by van Heist </w:t>
      </w:r>
      <w:r w:rsidRPr="00192703">
        <w:rPr>
          <w:i/>
          <w:sz w:val="24"/>
          <w:szCs w:val="24"/>
        </w:rPr>
        <w:t>et al</w:t>
      </w:r>
      <w:r>
        <w:rPr>
          <w:sz w:val="24"/>
          <w:szCs w:val="24"/>
        </w:rPr>
        <w:t>.</w:t>
      </w:r>
      <w:r>
        <w:rPr>
          <w:sz w:val="24"/>
          <w:szCs w:val="24"/>
        </w:rPr>
        <w:fldChar w:fldCharType="begin" w:fldLock="1"/>
      </w:r>
      <w:r w:rsidR="00F168DA">
        <w:rPr>
          <w:sz w:val="24"/>
          <w:szCs w:val="24"/>
        </w:rPr>
        <w:instrText>ADDIN CSL_CITATION { "citationItems" : [ { "id" : "ITEM-1", "itemData" : { "DOI" : "10.1021/bc8004304", "ISSN" : "1043-1802", "abstract" : "The controlled introduction of azides in proteins provides targetable handles for selective protein manipulation.  The authors present here an efficient diazo transfer protocol that can be applied in an aq. soln., leading to the facile introduction of azides in the side chains of lysine residues and at the N-terminus of enzymes, e.g. horseradish peroxidase (HRP) and the red fluorescent protein DsRed.  The effective introduction of azides was verified by mass spectrometry, after which the azido-proteins were used in Cu(I)-catalyzed [3+2] cycloaddn. reactions.  Azido-HRP retained its catalytic activity after conjugation of a small mol.  This modified protein could also be successfully immobilized on the surface of an acetylene-covered polymersome.  Azido-DsRed was coupled to an acetylene-bearing protein allowing it to act as a fluorescent label, demonstrating the wide applicability of the diazo transfer procedure. [on SciFinder(R)]", "author" : [ { "dropping-particle" : "", "family" : "Dongen", "given" : "Stijn F M", "non-dropping-particle" : "van", "parse-names" : false, "suffix" : "" }, { "dropping-particle" : "", "family" : "Teeuwen", "given" : "Rosalie L M", "non-dropping-particle" : "", "parse-names" : false, "suffix" : "" }, { "dropping-particle" : "", "family" : "Nallani", "given" : "Madhavan", "non-dropping-particle" : "", "parse-names" : false, "suffix" : "" }, { "dropping-particle" : "", "family" : "Berkel", "given" : "Sander S", "non-dropping-particle" : "van", "parse-names" : false, "suffix" : "" }, { "dropping-particle" : "", "family" : "Cornelissen", "given" : "Jeroen J L M", "non-dropping-particle" : "", "parse-names" : false, "suffix" : "" }, { "dropping-particle" : "", "family" : "Nolte", "given" : "Roeland J M", "non-dropping-particle" : "", "parse-names" : false, "suffix" : "" }, { "dropping-particle" : "", "family" : "Hest", "given" : "Jan C M", "non-dropping-particle" : "van", "parse-names" : false, "suffix" : "" } ], "container-title" : "Bioconjugate Chemistry", "id" : "ITEM-1", "issue" : "1", "issued" : { "date-parts" : [ [ "2009" ] ] }, "note" : "CAPLUS AN 2008:1524757(Journal)", "page" : "20-23", "publisher" : "American Chemical Society", "title" : "Single-Step Azide Introduction in Proteins via an Aqueous Diazo Transfer.", "type" : "article-journal", "volume" : "20" }, "uris" : [ "http://www.mendeley.com/documents/?uuid=936b0d44-523c-4d9b-b692-2f97c47213d3" ] } ], "mendeley" : { "formattedCitation" : "&lt;sup&gt;[73]&lt;/sup&gt;", "plainTextFormattedCitation" : "[73]", "previouslyFormattedCitation" : "&lt;sup&gt;[73]&lt;/sup&gt;"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[73]</w:t>
      </w:r>
      <w:r>
        <w:rPr>
          <w:sz w:val="24"/>
          <w:szCs w:val="24"/>
        </w:rPr>
        <w:fldChar w:fldCharType="end"/>
      </w:r>
      <w:r>
        <w:rPr>
          <w:sz w:val="24"/>
          <w:szCs w:val="24"/>
        </w:rPr>
        <w:t xml:space="preserve"> The authors used imidazole-1-sulfonyl azide hydrochloride </w:t>
      </w:r>
      <w:r w:rsidR="00862173">
        <w:rPr>
          <w:b/>
          <w:sz w:val="24"/>
          <w:szCs w:val="24"/>
        </w:rPr>
        <w:t>2</w:t>
      </w:r>
      <w:r w:rsidR="003B7A79">
        <w:rPr>
          <w:b/>
          <w:sz w:val="24"/>
          <w:szCs w:val="24"/>
        </w:rPr>
        <w:t>5</w:t>
      </w:r>
      <w:r>
        <w:rPr>
          <w:sz w:val="24"/>
          <w:szCs w:val="24"/>
        </w:rPr>
        <w:t xml:space="preserve"> in aqueous solution to carry out diazo transfer to amines, in order to directly introduce azides at the lysine positions or </w:t>
      </w:r>
      <w:r w:rsidRPr="00F90CBD">
        <w:rPr>
          <w:i/>
          <w:sz w:val="24"/>
          <w:szCs w:val="24"/>
        </w:rPr>
        <w:t>N</w:t>
      </w:r>
      <w:r>
        <w:rPr>
          <w:sz w:val="24"/>
          <w:szCs w:val="24"/>
        </w:rPr>
        <w:t>-terminus of proteins and enzymes</w:t>
      </w:r>
      <w:r w:rsidR="00195B0C">
        <w:rPr>
          <w:sz w:val="24"/>
          <w:szCs w:val="24"/>
        </w:rPr>
        <w:t xml:space="preserve"> (</w:t>
      </w:r>
      <w:r w:rsidR="00195B0C" w:rsidRPr="00195B0C">
        <w:rPr>
          <w:b/>
          <w:sz w:val="24"/>
          <w:szCs w:val="24"/>
        </w:rPr>
        <w:t>Figure 1.</w:t>
      </w:r>
      <w:r w:rsidR="003B7A79">
        <w:rPr>
          <w:b/>
          <w:sz w:val="24"/>
          <w:szCs w:val="24"/>
        </w:rPr>
        <w:t>5</w:t>
      </w:r>
      <w:r w:rsidR="00195B0C">
        <w:rPr>
          <w:sz w:val="24"/>
          <w:szCs w:val="24"/>
        </w:rPr>
        <w:t>)</w:t>
      </w:r>
      <w:r>
        <w:rPr>
          <w:sz w:val="24"/>
          <w:szCs w:val="24"/>
        </w:rPr>
        <w:t xml:space="preserve">. </w:t>
      </w:r>
    </w:p>
    <w:p w:rsidR="00195B0C" w:rsidRDefault="003B7A79" w:rsidP="00195B0C">
      <w:pPr>
        <w:spacing w:line="360" w:lineRule="auto"/>
        <w:jc w:val="center"/>
      </w:pPr>
      <w:r>
        <w:rPr>
          <w:noProof/>
          <w:lang w:eastAsia="en-IE"/>
        </w:rPr>
        <w:drawing>
          <wp:inline distT="0" distB="0" distL="0" distR="0" wp14:anchorId="142D9F5C" wp14:editId="35474E5C">
            <wp:extent cx="2828925" cy="1524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rotWithShape="1">
                    <a:blip r:embed="rId66">
                      <a:extLst>
                        <a:ext uri="{28A0092B-C50C-407E-A947-70E740481C1C}">
                          <a14:useLocalDpi xmlns:a14="http://schemas.microsoft.com/office/drawing/2010/main" val="0"/>
                        </a:ext>
                      </a:extLst>
                    </a:blip>
                    <a:srcRect b="31330"/>
                    <a:stretch/>
                  </pic:blipFill>
                  <pic:spPr bwMode="auto">
                    <a:xfrm>
                      <a:off x="0" y="0"/>
                      <a:ext cx="2828925" cy="1524000"/>
                    </a:xfrm>
                    <a:prstGeom prst="rect">
                      <a:avLst/>
                    </a:prstGeom>
                    <a:noFill/>
                    <a:ln>
                      <a:noFill/>
                    </a:ln>
                    <a:extLst>
                      <a:ext uri="{53640926-AAD7-44D8-BBD7-CCE9431645EC}">
                        <a14:shadowObscured xmlns:a14="http://schemas.microsoft.com/office/drawing/2010/main"/>
                      </a:ext>
                    </a:extLst>
                  </pic:spPr>
                </pic:pic>
              </a:graphicData>
            </a:graphic>
          </wp:inline>
        </w:drawing>
      </w:r>
    </w:p>
    <w:p w:rsidR="009C6923" w:rsidRDefault="009C6923" w:rsidP="00195B0C">
      <w:pPr>
        <w:spacing w:line="360" w:lineRule="auto"/>
        <w:jc w:val="center"/>
      </w:pPr>
      <w:r>
        <w:object w:dxaOrig="1778" w:dyaOrig="1466">
          <v:shape id="_x0000_i1050" type="#_x0000_t75" style="width:89.25pt;height:73.5pt" o:ole="">
            <v:imagedata r:id="rId67" o:title=""/>
          </v:shape>
          <o:OLEObject Type="Embed" ProgID="ChemDraw.Document.6.0" ShapeID="_x0000_i1050" DrawAspect="Content" ObjectID="_1531849593" r:id="rId68"/>
        </w:object>
      </w:r>
    </w:p>
    <w:p w:rsidR="00195B0C" w:rsidRPr="009C6923" w:rsidRDefault="00195B0C" w:rsidP="00195B0C">
      <w:pPr>
        <w:spacing w:line="360" w:lineRule="auto"/>
        <w:jc w:val="center"/>
        <w:rPr>
          <w:sz w:val="20"/>
          <w:szCs w:val="20"/>
        </w:rPr>
      </w:pPr>
      <w:r w:rsidRPr="00195B0C">
        <w:rPr>
          <w:b/>
          <w:sz w:val="24"/>
          <w:szCs w:val="24"/>
        </w:rPr>
        <w:t>Figure 1.</w:t>
      </w:r>
      <w:r w:rsidR="003B7A79">
        <w:rPr>
          <w:b/>
          <w:sz w:val="24"/>
          <w:szCs w:val="24"/>
        </w:rPr>
        <w:t>5</w:t>
      </w:r>
      <w:r w:rsidR="009C6923">
        <w:rPr>
          <w:b/>
          <w:sz w:val="24"/>
          <w:szCs w:val="24"/>
        </w:rPr>
        <w:t xml:space="preserve"> </w:t>
      </w:r>
      <w:r w:rsidR="009C6923">
        <w:rPr>
          <w:sz w:val="20"/>
          <w:szCs w:val="20"/>
        </w:rPr>
        <w:t>Reproduced from Ref 74.</w:t>
      </w:r>
    </w:p>
    <w:p w:rsidR="003B7D89" w:rsidRDefault="003B7D89" w:rsidP="003B7D89">
      <w:pPr>
        <w:spacing w:line="360" w:lineRule="auto"/>
        <w:jc w:val="both"/>
        <w:rPr>
          <w:b/>
          <w:sz w:val="24"/>
          <w:szCs w:val="24"/>
        </w:rPr>
      </w:pPr>
    </w:p>
    <w:p w:rsidR="003B7D89" w:rsidRDefault="00EB58ED" w:rsidP="00DD231C">
      <w:pPr>
        <w:pStyle w:val="Heading2"/>
      </w:pPr>
      <w:bookmarkStart w:id="11" w:name="_Toc446773064"/>
      <w:r>
        <w:t>1.</w:t>
      </w:r>
      <w:r w:rsidR="00591EF1">
        <w:t>3</w:t>
      </w:r>
      <w:r w:rsidR="00DD231C">
        <w:t>.</w:t>
      </w:r>
      <w:r>
        <w:t xml:space="preserve">2 </w:t>
      </w:r>
      <w:r w:rsidR="003B7D89" w:rsidRPr="00F90CBD">
        <w:t xml:space="preserve">Ionic </w:t>
      </w:r>
      <w:r w:rsidR="009C6923">
        <w:t>l</w:t>
      </w:r>
      <w:r w:rsidR="003B7D89" w:rsidRPr="00F90CBD">
        <w:t xml:space="preserve">iquids as solvent for </w:t>
      </w:r>
      <w:r w:rsidR="009C6923">
        <w:t>d</w:t>
      </w:r>
      <w:r w:rsidR="003B7D89" w:rsidRPr="00F90CBD">
        <w:t xml:space="preserve">iazo </w:t>
      </w:r>
      <w:r w:rsidR="009C6923">
        <w:t>t</w:t>
      </w:r>
      <w:r w:rsidR="003B7D89" w:rsidRPr="00F90CBD">
        <w:t>ransfer</w:t>
      </w:r>
      <w:bookmarkEnd w:id="11"/>
    </w:p>
    <w:p w:rsidR="003B7D89" w:rsidRDefault="003B7D89" w:rsidP="003B7D89">
      <w:pPr>
        <w:spacing w:line="360" w:lineRule="auto"/>
        <w:jc w:val="both"/>
        <w:rPr>
          <w:sz w:val="24"/>
          <w:szCs w:val="24"/>
        </w:rPr>
      </w:pPr>
      <w:r>
        <w:rPr>
          <w:sz w:val="24"/>
          <w:szCs w:val="24"/>
        </w:rPr>
        <w:t>R</w:t>
      </w:r>
      <w:r w:rsidRPr="006236C3">
        <w:rPr>
          <w:sz w:val="24"/>
          <w:szCs w:val="24"/>
        </w:rPr>
        <w:t>amachary and co-workers</w:t>
      </w:r>
      <w:r>
        <w:rPr>
          <w:sz w:val="24"/>
          <w:szCs w:val="24"/>
        </w:rPr>
        <w:t xml:space="preserve"> described the use of ionic liquids as reaction solvent for diazo transfer.</w:t>
      </w:r>
      <w:r>
        <w:rPr>
          <w:sz w:val="24"/>
          <w:szCs w:val="24"/>
        </w:rPr>
        <w:fldChar w:fldCharType="begin" w:fldLock="1"/>
      </w:r>
      <w:r w:rsidR="00F168DA">
        <w:rPr>
          <w:sz w:val="24"/>
          <w:szCs w:val="24"/>
        </w:rPr>
        <w:instrText>ADDIN CSL_CITATION { "citationItems" : [ { "id" : "ITEM-1", "itemData" : { "DOI" : "10.1016/j.tetlet.2008.02.159", "ISSN" : "0040-4039", "abstract" : "A practical and novel ionic liq. promoted organocatalytic selective diazo-transfer process for the synthesis of highly substituted diazo compds. in high yields is reported.  The ionic liq. can be reused without affecting the reaction rates or yields over five runs. [on SciFinder(R)]", "author" : [ { "dropping-particle" : "", "family" : "Ramachary", "given" : "Dhevalapally B", "non-dropping-particle" : "", "parse-names" : false, "suffix" : "" }, { "dropping-particle" : "V", "family" : "Narayana", "given" : "Vidadala", "non-dropping-particle" : "", "parse-names" : false, "suffix" : "" }, { "dropping-particle" : "", "family" : "Ramakumar", "given" : "Kinthada.", "non-dropping-particle" : "", "parse-names" : false, "suffix" : "" } ], "container-title" : "Tetrahedron Letters", "id" : "ITEM-1", "issue" : "17", "issued" : { "date-parts" : [ [ "2008" ] ] }, "note" : "CAPLUS AN 2008:399934(Journal)", "page" : "2704-2709", "publisher" : "Elsevier Ltd.", "title" : "Direct ionic liquid promoted organocatalyzed diazo-transfer reactions: diversity-oriented synthesis of diazo-compounds.", "type" : "article-journal", "volume" : "49" }, "uris" : [ "http://www.mendeley.com/documents/?uuid=9ef37c26-0cb3-4760-b231-7e86323cdb7d" ] } ], "mendeley" : { "formattedCitation" : "&lt;sup&gt;[55]&lt;/sup&gt;", "plainTextFormattedCitation" : "[55]", "previouslyFormattedCitation" : "&lt;sup&gt;[55]&lt;/sup&gt;"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[55]</w:t>
      </w:r>
      <w:r>
        <w:rPr>
          <w:sz w:val="24"/>
          <w:szCs w:val="24"/>
        </w:rPr>
        <w:fldChar w:fldCharType="end"/>
      </w:r>
      <w:r>
        <w:rPr>
          <w:sz w:val="24"/>
          <w:szCs w:val="24"/>
        </w:rPr>
        <w:t xml:space="preserve"> </w:t>
      </w:r>
      <w:r w:rsidRPr="00EB4A40">
        <w:rPr>
          <w:sz w:val="24"/>
          <w:szCs w:val="24"/>
        </w:rPr>
        <w:t>The ionic liquids chosen were 1-butyl-3-methylimidazolium (bmim) salts</w:t>
      </w:r>
      <w:r w:rsidRPr="00EB4A40">
        <w:rPr>
          <w:b/>
          <w:sz w:val="24"/>
          <w:szCs w:val="24"/>
        </w:rPr>
        <w:t xml:space="preserve"> </w:t>
      </w:r>
      <w:r w:rsidRPr="00EB4A40">
        <w:rPr>
          <w:sz w:val="24"/>
          <w:szCs w:val="24"/>
        </w:rPr>
        <w:t>which can be reused for up to five runs without affecting reaction rates or yields</w:t>
      </w:r>
      <w:r w:rsidR="00862173">
        <w:rPr>
          <w:sz w:val="24"/>
          <w:szCs w:val="24"/>
        </w:rPr>
        <w:t xml:space="preserve"> (</w:t>
      </w:r>
      <w:r w:rsidR="00862173" w:rsidRPr="00862173">
        <w:rPr>
          <w:b/>
          <w:sz w:val="24"/>
          <w:szCs w:val="24"/>
        </w:rPr>
        <w:t>Figure 1.</w:t>
      </w:r>
      <w:r w:rsidR="003B7A79">
        <w:rPr>
          <w:b/>
          <w:sz w:val="24"/>
          <w:szCs w:val="24"/>
        </w:rPr>
        <w:t>6</w:t>
      </w:r>
      <w:r w:rsidR="00862173">
        <w:rPr>
          <w:sz w:val="24"/>
          <w:szCs w:val="24"/>
        </w:rPr>
        <w:t>)</w:t>
      </w:r>
      <w:r w:rsidRPr="00EB4A40">
        <w:rPr>
          <w:sz w:val="24"/>
          <w:szCs w:val="24"/>
        </w:rPr>
        <w:t>.</w:t>
      </w:r>
    </w:p>
    <w:p w:rsidR="003B7D89" w:rsidRDefault="003B7A79" w:rsidP="003B7D89">
      <w:pPr>
        <w:spacing w:line="360" w:lineRule="auto"/>
        <w:jc w:val="center"/>
      </w:pPr>
      <w:r>
        <w:object w:dxaOrig="2294" w:dyaOrig="1137">
          <v:shape id="_x0000_i1051" type="#_x0000_t75" style="width:126.75pt;height:62.25pt" o:ole="">
            <v:imagedata r:id="rId69" o:title=""/>
          </v:shape>
          <o:OLEObject Type="Embed" ProgID="ChemDraw.Document.6.0" ShapeID="_x0000_i1051" DrawAspect="Content" ObjectID="_1531849594" r:id="rId70"/>
        </w:object>
      </w:r>
    </w:p>
    <w:p w:rsidR="00862173" w:rsidRPr="00862173" w:rsidRDefault="00862173" w:rsidP="003B7D89">
      <w:pPr>
        <w:spacing w:line="360" w:lineRule="auto"/>
        <w:jc w:val="center"/>
        <w:rPr>
          <w:b/>
          <w:sz w:val="24"/>
          <w:szCs w:val="24"/>
        </w:rPr>
      </w:pPr>
      <w:r w:rsidRPr="00862173">
        <w:rPr>
          <w:b/>
          <w:sz w:val="24"/>
          <w:szCs w:val="24"/>
        </w:rPr>
        <w:t>Figure 1.</w:t>
      </w:r>
      <w:r w:rsidR="003B7A79">
        <w:rPr>
          <w:b/>
          <w:sz w:val="24"/>
          <w:szCs w:val="24"/>
        </w:rPr>
        <w:t>6</w:t>
      </w:r>
    </w:p>
    <w:p w:rsidR="003B7D89" w:rsidRDefault="003B7D89" w:rsidP="003B7D89">
      <w:pPr>
        <w:spacing w:line="360" w:lineRule="auto"/>
        <w:jc w:val="both"/>
        <w:rPr>
          <w:sz w:val="24"/>
          <w:szCs w:val="24"/>
        </w:rPr>
      </w:pPr>
      <w:r>
        <w:rPr>
          <w:sz w:val="24"/>
          <w:szCs w:val="24"/>
        </w:rPr>
        <w:t xml:space="preserve"> A range of highly substituted symmetrical and unsymmetrical </w:t>
      </w:r>
      <w:r w:rsidRPr="007140C1">
        <w:rPr>
          <w:rFonts w:ascii="Symbol" w:hAnsi="Symbol"/>
          <w:sz w:val="24"/>
          <w:szCs w:val="24"/>
        </w:rPr>
        <w:t></w:t>
      </w:r>
      <w:r>
        <w:rPr>
          <w:sz w:val="24"/>
          <w:szCs w:val="24"/>
        </w:rPr>
        <w:t>-</w:t>
      </w:r>
      <w:r w:rsidR="009C452D">
        <w:rPr>
          <w:sz w:val="24"/>
          <w:szCs w:val="24"/>
        </w:rPr>
        <w:t>diazoketone</w:t>
      </w:r>
      <w:r>
        <w:rPr>
          <w:sz w:val="24"/>
          <w:szCs w:val="24"/>
        </w:rPr>
        <w:t xml:space="preserve">s and </w:t>
      </w:r>
      <w:r w:rsidRPr="007140C1">
        <w:rPr>
          <w:rFonts w:ascii="Symbol" w:hAnsi="Symbol"/>
          <w:sz w:val="24"/>
          <w:szCs w:val="24"/>
        </w:rPr>
        <w:t></w:t>
      </w:r>
      <w:r>
        <w:rPr>
          <w:sz w:val="24"/>
          <w:szCs w:val="24"/>
        </w:rPr>
        <w:t>-diazo esters were prepared using a variety reaction conditions. Multiple sulfonyl azides and various bases were used during optimisation, as well as two different ionic liquids</w:t>
      </w:r>
      <w:r w:rsidR="00862173">
        <w:rPr>
          <w:sz w:val="24"/>
          <w:szCs w:val="24"/>
        </w:rPr>
        <w:t>:</w:t>
      </w:r>
      <w:r>
        <w:rPr>
          <w:sz w:val="24"/>
          <w:szCs w:val="24"/>
        </w:rPr>
        <w:t xml:space="preserve"> [bmim]BF</w:t>
      </w:r>
      <w:r w:rsidRPr="007140C1">
        <w:rPr>
          <w:sz w:val="24"/>
          <w:szCs w:val="24"/>
          <w:vertAlign w:val="subscript"/>
        </w:rPr>
        <w:t>4</w:t>
      </w:r>
      <w:r>
        <w:rPr>
          <w:sz w:val="24"/>
          <w:szCs w:val="24"/>
          <w:vertAlign w:val="subscript"/>
        </w:rPr>
        <w:t xml:space="preserve"> </w:t>
      </w:r>
      <w:r w:rsidR="00862173">
        <w:rPr>
          <w:b/>
          <w:sz w:val="24"/>
          <w:szCs w:val="24"/>
        </w:rPr>
        <w:t>3</w:t>
      </w:r>
      <w:r w:rsidR="003B7A79">
        <w:rPr>
          <w:b/>
          <w:sz w:val="24"/>
          <w:szCs w:val="24"/>
        </w:rPr>
        <w:t>9</w:t>
      </w:r>
      <w:r>
        <w:rPr>
          <w:sz w:val="24"/>
          <w:szCs w:val="24"/>
        </w:rPr>
        <w:t xml:space="preserve"> and </w:t>
      </w:r>
      <w:r>
        <w:rPr>
          <w:sz w:val="24"/>
          <w:szCs w:val="24"/>
        </w:rPr>
        <w:lastRenderedPageBreak/>
        <w:t xml:space="preserve">[bmim]Br </w:t>
      </w:r>
      <w:r w:rsidR="00862173">
        <w:rPr>
          <w:b/>
          <w:sz w:val="24"/>
          <w:szCs w:val="24"/>
        </w:rPr>
        <w:t>4</w:t>
      </w:r>
      <w:r w:rsidR="009C6923">
        <w:rPr>
          <w:b/>
          <w:sz w:val="24"/>
          <w:szCs w:val="24"/>
        </w:rPr>
        <w:t>1</w:t>
      </w:r>
      <w:r>
        <w:rPr>
          <w:sz w:val="24"/>
          <w:szCs w:val="24"/>
        </w:rPr>
        <w:t>. The authors reported that these reactions are successful in the absence of a base, but the presence of a catalytic amount of base serves to accelerate the reaction. The optimum reaction conditions were found to be as follows:</w:t>
      </w:r>
    </w:p>
    <w:p w:rsidR="003B7D89" w:rsidRPr="00EB4A40" w:rsidRDefault="003B7D89" w:rsidP="003B7D89">
      <w:pPr>
        <w:pStyle w:val="ListParagraph"/>
        <w:numPr>
          <w:ilvl w:val="0"/>
          <w:numId w:val="4"/>
        </w:numPr>
        <w:spacing w:line="360" w:lineRule="auto"/>
        <w:jc w:val="both"/>
        <w:rPr>
          <w:sz w:val="24"/>
          <w:szCs w:val="24"/>
        </w:rPr>
      </w:pPr>
      <w:r>
        <w:rPr>
          <w:sz w:val="24"/>
          <w:szCs w:val="24"/>
        </w:rPr>
        <w:t xml:space="preserve">1 equivalent of methanesulfonyl (mesyl) azide </w:t>
      </w:r>
      <w:r w:rsidR="00862173">
        <w:rPr>
          <w:b/>
          <w:sz w:val="24"/>
          <w:szCs w:val="24"/>
        </w:rPr>
        <w:t>15</w:t>
      </w:r>
    </w:p>
    <w:p w:rsidR="003B7D89" w:rsidRPr="00EB4A40" w:rsidRDefault="003B7D89" w:rsidP="003B7D89">
      <w:pPr>
        <w:pStyle w:val="ListParagraph"/>
        <w:numPr>
          <w:ilvl w:val="0"/>
          <w:numId w:val="4"/>
        </w:numPr>
        <w:spacing w:line="360" w:lineRule="auto"/>
        <w:jc w:val="both"/>
        <w:rPr>
          <w:sz w:val="24"/>
          <w:szCs w:val="24"/>
        </w:rPr>
      </w:pPr>
      <w:r>
        <w:rPr>
          <w:sz w:val="24"/>
          <w:szCs w:val="24"/>
        </w:rPr>
        <w:t>5 mol% DMAP</w:t>
      </w:r>
    </w:p>
    <w:p w:rsidR="003B7D89" w:rsidRDefault="003B7D89" w:rsidP="003B7D89">
      <w:pPr>
        <w:pStyle w:val="ListParagraph"/>
        <w:numPr>
          <w:ilvl w:val="0"/>
          <w:numId w:val="4"/>
        </w:numPr>
        <w:spacing w:line="360" w:lineRule="auto"/>
        <w:jc w:val="both"/>
        <w:rPr>
          <w:sz w:val="24"/>
          <w:szCs w:val="24"/>
        </w:rPr>
      </w:pPr>
      <w:r>
        <w:rPr>
          <w:sz w:val="24"/>
          <w:szCs w:val="24"/>
        </w:rPr>
        <w:t xml:space="preserve">[bmim]Br </w:t>
      </w:r>
      <w:r w:rsidR="00862173" w:rsidRPr="00862173">
        <w:rPr>
          <w:b/>
          <w:sz w:val="24"/>
          <w:szCs w:val="24"/>
        </w:rPr>
        <w:t>4</w:t>
      </w:r>
      <w:r w:rsidR="00E4309E">
        <w:rPr>
          <w:b/>
          <w:sz w:val="24"/>
          <w:szCs w:val="24"/>
        </w:rPr>
        <w:t>1</w:t>
      </w:r>
      <w:r w:rsidR="00862173">
        <w:rPr>
          <w:sz w:val="24"/>
          <w:szCs w:val="24"/>
        </w:rPr>
        <w:t xml:space="preserve"> </w:t>
      </w:r>
      <w:r>
        <w:rPr>
          <w:sz w:val="24"/>
          <w:szCs w:val="24"/>
        </w:rPr>
        <w:t>(1 mL)</w:t>
      </w:r>
    </w:p>
    <w:p w:rsidR="003B7D89" w:rsidRPr="007140C1" w:rsidRDefault="003B7D89" w:rsidP="003B7D89">
      <w:pPr>
        <w:spacing w:line="360" w:lineRule="auto"/>
        <w:jc w:val="both"/>
        <w:rPr>
          <w:sz w:val="24"/>
          <w:szCs w:val="24"/>
        </w:rPr>
      </w:pPr>
      <w:r>
        <w:rPr>
          <w:sz w:val="24"/>
          <w:szCs w:val="24"/>
        </w:rPr>
        <w:t>Using these reaction conditions, diazo transfer to a wide range of substrates was achieved in very short reaction times (0.5 – 2h)</w:t>
      </w:r>
      <w:r w:rsidR="00862173">
        <w:rPr>
          <w:sz w:val="24"/>
          <w:szCs w:val="24"/>
        </w:rPr>
        <w:t xml:space="preserve">, as illustrated in </w:t>
      </w:r>
      <w:r w:rsidR="00862173" w:rsidRPr="00862173">
        <w:rPr>
          <w:b/>
          <w:sz w:val="24"/>
          <w:szCs w:val="24"/>
        </w:rPr>
        <w:t>Scheme 1.2</w:t>
      </w:r>
      <w:r w:rsidR="00E4309E">
        <w:rPr>
          <w:b/>
          <w:sz w:val="24"/>
          <w:szCs w:val="24"/>
        </w:rPr>
        <w:t>5</w:t>
      </w:r>
      <w:r w:rsidR="00862173">
        <w:rPr>
          <w:sz w:val="24"/>
          <w:szCs w:val="24"/>
        </w:rPr>
        <w:t>.</w:t>
      </w:r>
    </w:p>
    <w:p w:rsidR="009F34CE" w:rsidRDefault="00E77CF9" w:rsidP="00F4502C">
      <w:pPr>
        <w:spacing w:line="360" w:lineRule="auto"/>
        <w:jc w:val="center"/>
      </w:pPr>
      <w:r>
        <w:object w:dxaOrig="7262" w:dyaOrig="3333">
          <v:shape id="_x0000_i1052" type="#_x0000_t75" style="width:363pt;height:166.5pt" o:ole="">
            <v:imagedata r:id="rId71" o:title=""/>
          </v:shape>
          <o:OLEObject Type="Embed" ProgID="ChemDraw.Document.6.0" ShapeID="_x0000_i1052" DrawAspect="Content" ObjectID="_1531849595" r:id="rId72"/>
        </w:object>
      </w:r>
    </w:p>
    <w:p w:rsidR="00862173" w:rsidRPr="00862173" w:rsidRDefault="00862173" w:rsidP="00F4502C">
      <w:pPr>
        <w:spacing w:line="360" w:lineRule="auto"/>
        <w:jc w:val="center"/>
        <w:rPr>
          <w:b/>
          <w:sz w:val="24"/>
          <w:szCs w:val="24"/>
        </w:rPr>
      </w:pPr>
      <w:r w:rsidRPr="00862173">
        <w:rPr>
          <w:b/>
          <w:sz w:val="24"/>
          <w:szCs w:val="24"/>
        </w:rPr>
        <w:t>Scheme 1.2</w:t>
      </w:r>
      <w:r w:rsidR="00E4309E">
        <w:rPr>
          <w:b/>
          <w:sz w:val="24"/>
          <w:szCs w:val="24"/>
        </w:rPr>
        <w:t>5</w:t>
      </w:r>
    </w:p>
    <w:p w:rsidR="0096663B" w:rsidRDefault="0096663B" w:rsidP="0078497E">
      <w:pPr>
        <w:spacing w:line="360" w:lineRule="auto"/>
        <w:jc w:val="both"/>
        <w:rPr>
          <w:b/>
          <w:i/>
          <w:sz w:val="24"/>
          <w:szCs w:val="24"/>
        </w:rPr>
      </w:pPr>
    </w:p>
    <w:p w:rsidR="00D07BF3" w:rsidRPr="00A9011B" w:rsidRDefault="00DD231C" w:rsidP="0078497E">
      <w:pPr>
        <w:spacing w:line="360" w:lineRule="auto"/>
        <w:jc w:val="both"/>
        <w:rPr>
          <w:b/>
          <w:i/>
          <w:sz w:val="24"/>
          <w:szCs w:val="24"/>
        </w:rPr>
      </w:pPr>
      <w:bookmarkStart w:id="12" w:name="_Toc446773065"/>
      <w:r w:rsidRPr="00DD231C">
        <w:rPr>
          <w:rStyle w:val="Heading1Char"/>
        </w:rPr>
        <w:t>1.</w:t>
      </w:r>
      <w:r w:rsidR="00591EF1">
        <w:rPr>
          <w:rStyle w:val="Heading1Char"/>
        </w:rPr>
        <w:t>4</w:t>
      </w:r>
      <w:r w:rsidRPr="00DD231C">
        <w:rPr>
          <w:rStyle w:val="Heading1Char"/>
        </w:rPr>
        <w:t xml:space="preserve"> </w:t>
      </w:r>
      <w:r w:rsidR="00442B0E" w:rsidRPr="00DD231C">
        <w:rPr>
          <w:rStyle w:val="Heading1Char"/>
        </w:rPr>
        <w:t xml:space="preserve">Diazo </w:t>
      </w:r>
      <w:r w:rsidR="009C6875">
        <w:rPr>
          <w:rStyle w:val="Heading1Char"/>
        </w:rPr>
        <w:t>c</w:t>
      </w:r>
      <w:r w:rsidR="00442B0E" w:rsidRPr="00DD231C">
        <w:rPr>
          <w:rStyle w:val="Heading1Char"/>
        </w:rPr>
        <w:t xml:space="preserve">hemistry in </w:t>
      </w:r>
      <w:r w:rsidR="009C6875">
        <w:rPr>
          <w:rStyle w:val="Heading1Char"/>
        </w:rPr>
        <w:t>c</w:t>
      </w:r>
      <w:r w:rsidR="00442B0E" w:rsidRPr="00DD231C">
        <w:rPr>
          <w:rStyle w:val="Heading1Char"/>
        </w:rPr>
        <w:t xml:space="preserve">ontinuous </w:t>
      </w:r>
      <w:r w:rsidR="009C6875">
        <w:rPr>
          <w:rStyle w:val="Heading1Char"/>
        </w:rPr>
        <w:t>p</w:t>
      </w:r>
      <w:r w:rsidR="00442B0E" w:rsidRPr="00DD231C">
        <w:rPr>
          <w:rStyle w:val="Heading1Char"/>
        </w:rPr>
        <w:t>rocessing</w:t>
      </w:r>
      <w:bookmarkEnd w:id="12"/>
    </w:p>
    <w:p w:rsidR="00B16D0D" w:rsidRPr="00A9011B" w:rsidRDefault="00DD231C" w:rsidP="00DD231C">
      <w:pPr>
        <w:pStyle w:val="Heading2"/>
      </w:pPr>
      <w:bookmarkStart w:id="13" w:name="_Toc446773066"/>
      <w:r>
        <w:t>1.</w:t>
      </w:r>
      <w:r w:rsidR="00591EF1">
        <w:t>4</w:t>
      </w:r>
      <w:r>
        <w:t xml:space="preserve">.1 </w:t>
      </w:r>
      <w:r w:rsidR="00B16D0D" w:rsidRPr="00A9011B">
        <w:t xml:space="preserve">Advantages and </w:t>
      </w:r>
      <w:r w:rsidR="009C6875">
        <w:t>l</w:t>
      </w:r>
      <w:r w:rsidR="00B16D0D" w:rsidRPr="00A9011B">
        <w:t xml:space="preserve">imitations of </w:t>
      </w:r>
      <w:r w:rsidR="009C6875">
        <w:t>f</w:t>
      </w:r>
      <w:r w:rsidR="00B16D0D" w:rsidRPr="00A9011B">
        <w:t xml:space="preserve">low </w:t>
      </w:r>
      <w:r w:rsidR="009C6875">
        <w:t>c</w:t>
      </w:r>
      <w:r w:rsidR="00B16D0D" w:rsidRPr="00A9011B">
        <w:t>hemistry</w:t>
      </w:r>
      <w:bookmarkEnd w:id="13"/>
    </w:p>
    <w:p w:rsidR="00A5020D" w:rsidRDefault="00A5020D" w:rsidP="0078497E">
      <w:pPr>
        <w:spacing w:line="360" w:lineRule="auto"/>
        <w:jc w:val="both"/>
        <w:rPr>
          <w:sz w:val="24"/>
          <w:szCs w:val="24"/>
        </w:rPr>
      </w:pPr>
      <w:r>
        <w:rPr>
          <w:sz w:val="24"/>
          <w:szCs w:val="24"/>
        </w:rPr>
        <w:t xml:space="preserve">Perhaps the greatest challenge in organic synthesis is </w:t>
      </w:r>
      <w:r w:rsidR="00E4309E">
        <w:rPr>
          <w:sz w:val="24"/>
          <w:szCs w:val="24"/>
        </w:rPr>
        <w:t xml:space="preserve">to </w:t>
      </w:r>
      <w:r>
        <w:rPr>
          <w:sz w:val="24"/>
          <w:szCs w:val="24"/>
        </w:rPr>
        <w:t xml:space="preserve">generate complex organic compounds from simple precursors. This is accomplished </w:t>
      </w:r>
      <w:r w:rsidRPr="001D4791">
        <w:rPr>
          <w:i/>
          <w:sz w:val="24"/>
          <w:szCs w:val="24"/>
        </w:rPr>
        <w:t>via</w:t>
      </w:r>
      <w:r>
        <w:rPr>
          <w:sz w:val="24"/>
          <w:szCs w:val="24"/>
        </w:rPr>
        <w:t xml:space="preserve"> multi-step synthesis, often with each step requiring purification and optimisation before being carried on to the next stage of the reaction. Although working in this manner is the foundation on which modern synthesis has been built, </w:t>
      </w:r>
      <w:r w:rsidR="001D4791">
        <w:rPr>
          <w:sz w:val="24"/>
          <w:szCs w:val="24"/>
        </w:rPr>
        <w:t xml:space="preserve">a new method which proposes </w:t>
      </w:r>
      <w:r>
        <w:rPr>
          <w:sz w:val="24"/>
          <w:szCs w:val="24"/>
        </w:rPr>
        <w:t xml:space="preserve">to increase efficiency, decrease exposure to hazardous and toxic intermediates </w:t>
      </w:r>
      <w:r w:rsidR="001D4791">
        <w:rPr>
          <w:sz w:val="24"/>
          <w:szCs w:val="24"/>
        </w:rPr>
        <w:t>and offer</w:t>
      </w:r>
      <w:r w:rsidR="00BE0DFD">
        <w:rPr>
          <w:sz w:val="24"/>
          <w:szCs w:val="24"/>
        </w:rPr>
        <w:t>s</w:t>
      </w:r>
      <w:r w:rsidR="001D4791">
        <w:rPr>
          <w:sz w:val="24"/>
          <w:szCs w:val="24"/>
        </w:rPr>
        <w:t xml:space="preserve"> new opportunities for easy scalability has emerged.</w:t>
      </w:r>
    </w:p>
    <w:p w:rsidR="001D4791" w:rsidRDefault="00FD33B0" w:rsidP="001D4791">
      <w:pPr>
        <w:spacing w:line="360" w:lineRule="auto"/>
        <w:jc w:val="both"/>
        <w:rPr>
          <w:sz w:val="24"/>
          <w:szCs w:val="24"/>
        </w:rPr>
      </w:pPr>
      <w:r>
        <w:rPr>
          <w:sz w:val="24"/>
          <w:szCs w:val="24"/>
        </w:rPr>
        <w:t>Flow chemistry</w:t>
      </w:r>
      <w:r w:rsidR="001D4791">
        <w:rPr>
          <w:sz w:val="24"/>
          <w:szCs w:val="24"/>
        </w:rPr>
        <w:t xml:space="preserve"> has emerged in recent years as a safer, more economical route by which to carry out organic synthesis. Flow chemistry could be viewed as a better mirror to the single-</w:t>
      </w:r>
      <w:r w:rsidR="001D4791">
        <w:rPr>
          <w:sz w:val="24"/>
          <w:szCs w:val="24"/>
        </w:rPr>
        <w:lastRenderedPageBreak/>
        <w:t>cell multi-step biosynthetic pathways found in nature than traditional batch chemistry. Numerous reviews exist in the literature on the advantages of flow chemistry</w:t>
      </w:r>
      <w:r w:rsidR="00A836C7">
        <w:rPr>
          <w:sz w:val="24"/>
          <w:szCs w:val="24"/>
        </w:rPr>
        <w:t>, which are outlined below</w:t>
      </w:r>
      <w:r w:rsidR="001D4791">
        <w:rPr>
          <w:sz w:val="24"/>
          <w:szCs w:val="24"/>
        </w:rPr>
        <w:t>.</w:t>
      </w:r>
      <w:r w:rsidR="001D4791">
        <w:rPr>
          <w:sz w:val="24"/>
          <w:szCs w:val="24"/>
        </w:rPr>
        <w:fldChar w:fldCharType="begin" w:fldLock="1"/>
      </w:r>
      <w:r w:rsidR="00F168DA">
        <w:rPr>
          <w:sz w:val="24"/>
          <w:szCs w:val="24"/>
        </w:rPr>
        <w:instrText>ADDIN CSL_CITATION { "citationItems" : [ { "id" : "ITEM-1", "itemData" : { "DOI" : "10.1002/anie.201409318", "ISSN" : "1433-7851", "abstract" : "A review.  In the past few years, continuous-flow reactors with channel dimensions in the micro- or millimeter region have found widespread application in org. synthesis.  The characteristic properties of these reactors are their exceptionally fast heat and mass transfer.  In microstructured devices of this type, virtually instantaneous mixing can be achieved for all but the fastest reactions.  Similarly, the accumulation of heat, formation of hot spots, and dangers of thermal runaways can be prevented.  As a result of the small reactor vols., the overall safety of the process is significantly improved, even when harsh reaction conditions are used.  Thus, microreactor technol. offers a unique way to perform ultrafast, exothermic reactions, and allows the execution of reactions which proceed via highly unstable or even explosive intermediates.  This Review discusses recent literature examples of continuous-flow org. synthesis where hazardous reactions or extreme process windows have been employed, with a focus on applications of relevance to the prepn. of pharmaceuticals. [on SciFinder(R)]", "author" : [ { "dropping-particle" : "", "family" : "Gutmann", "given" : "Bernhard", "non-dropping-particle" : "", "parse-names" : false, "suffix" : "" }, { "dropping-particle" : "", "family" : "Cantillo", "given" : "David", "non-dropping-particle" : "", "parse-names" : false, "suffix" : "" }, { "dropping-particle" : "", "family" : "Kappe", "given" : "C Oliver.", "non-dropping-particle" : "", "parse-names" : false, "suffix" : "" } ], "container-title" : "Angewandte Chemie, International Edition", "id" : "ITEM-1", "issue" : "23", "issued" : { "date-parts" : [ [ "2015" ] ] }, "note" : "CAPLUS AN 2015:845457(Journal; General Review; Online Computer File)", "page" : "6688-6728", "publisher" : "Wiley-VCH Verlag GmbH &amp; Co. KGaA", "title" : "Continuous-Flow Technology-A Tool for the Safe Manufacturing of Active Pharmaceutical Ingredients.", "type" : "article-journal", "volume" : "54" }, "uris" : [ "http://www.mendeley.com/documents/?uuid=e3cf3cc5-7e32-4ce9-837f-48858a6a49dc" ] }, { "id" : "ITEM-2", "itemData" : { "DOI" : "10.1002/chem.201404348", "ISSN" : "0947-6539", "abstract" : "A review is given.  The synthetic utilities of the diazo and diazonium groups are matched only by their reputation for explosive decompn.  Continuous processing technol. offers new opportunities to make and use these versatile intermediates at a range of scales with improved safety over traditional batch processes.  In this minireview, the state of the art in the continuous flow processing of reactive diazo and diazonium species is discussed. [on SciFinder(R)]", "author" : [ { "dropping-particle" : "", "family" : "Deadman", "given" : "Benjamin J", "non-dropping-particle" : "", "parse-names" : false, "suffix" : "" }, { "dropping-particle" : "", "family" : "Collins", "given" : "Stuart G", "non-dropping-particle" : "", "parse-names" : false, "suffix" : "" }, { "dropping-particle" : "", "family" : "Maguire", "given" : "Anita R", "non-dropping-particle" : "", "parse-names" : false, "suffix" : "" } ], "container-title" : "Chemistry - A European Journal", "id" : "ITEM-2", "issue" : "6", "issued" : { "date-parts" : [ [ "2015" ] ] }, "note" : "CAPLUS AN 2014:1951285(Journal; General Review)", "page" : "2298-2308", "publisher" : "Wiley-VCH Verlag GmbH &amp; Co. KGaA", "title" : "Taming Hazardous Chemistry in Flow: The Continuous Processing of Diazo and Diazonium Compounds.", "type" : "article-journal", "volume" : "21" }, "uris" : [ "http://www.mendeley.com/documents/?uuid=0f19b0f0-86dd-444c-85c1-606da9bbc110" ] }, { "id" : "ITEM-3", "itemData" : { "DOI" : "10.1002/cssc.201402874", "ISSN" : "1864-5631", "abstract" : "A review discusses the generation and reactions of diazo compds., such as diazomethane and Et diazoacetate, in continuous flow (particularly in microreactors). [on SciFinder(R)]", "author" : [ { "dropping-particle" : "", "family" : "Mueller", "given" : "Simon T R", "non-dropping-particle" : "", "parse-names" : false, "suffix" : "" }, { "dropping-particle" : "", "family" : "Wirth", "given" : "Thomas.", "non-dropping-particle" : "", "parse-names" : false, "suffix" : "" } ], "container-title" : "ChemSusChem", "id" : "ITEM-3", "issue" : "2", "issued" : { "date-parts" : [ [ "2015" ] ] }, "note" : "CAPLUS AN 2014:2056076(Journal; General Review; Online Computer File)", "page" : "245-250", "publisher" : "Wiley-VCH Verlag GmbH &amp; Co. KGaA", "title" : "Diazo Compounds in Continuous-Flow Technology.", "type" : "article-journal", "volume" : "8" }, "uris" : [ "http://www.mendeley.com/documents/?uuid=86fe2249-0520-48d1-8811-f3d09cedc0e4" ] }, { "id" : "ITEM-4", "itemData" : { "DOI" : "10.1515/gps-2013-0029", "ISSN" : "2191-9550", "abstract" : "A review.  Flow synthesis offers many advantages when applied to the processing of difficult or dangerous chem. transformations.  Furthermore, continuous prodn. allows for rapid scale up of reactions without significant redevelopment of the routes.  Importantly, it can also provide a versatile platform from which to build integrated multi-step transformations, delivering more advanced chem. architectures.  The construction of multi-purpose micro and meso flow systems, that utilize in-line purifn. and diagnostic capabilities, creates a scenario of seamless connectivity between sequential steps of a longer chem. sequence.  In this mini perspective, we will discuss our experience of target oriented multi-step synthesis as presented at the recent inaugural meeting of LEGOMEDIC at Namar University, Belgium. [on SciFinder(R)]", "author" : [ { "dropping-particle" : "", "family" : "Baxendale", "given" : "Ian R", "non-dropping-particle" : "", "parse-names" : false, "suffix" : "" }, { "dropping-particle" : "", "family" : "Brocken", "given" : "Laurens", "non-dropping-particle" : "", "parse-names" : false, "suffix" : "" }, { "dropping-particle" : "", "family" : "Mallia", "given" : "Carl J", "non-dropping-particle" : "", "parse-names" : false, "suffix" : "" } ], "container-title" : "Green Processing and Synthesis", "id" : "ITEM-4", "issue" : "3", "issued" : { "date-parts" : [ [ "2013" ] ] }, "note" : "CAPLUS AN 2014:633669(Journal; General Review; Online Computer File)", "page" : "211-230", "publisher" : "Walter de Gruyter GmbH", "title" : "Flow chemistry approaches directed at improving chemical synthesis.", "type" : "article-journal", "volume" : "2" }, "uris" : [ "http://www.mendeley.com/documents/?uuid=56c46227-2842-44ea-a518-5d28f7c9a874" ] }, { "id" : "ITEM-5", "itemData" : { "DOI" : "10.1002/chem.201102065", "ISSN" : "0947-6539", "abstract" : "The popularity of dedicated microwave reactors in many academic and industrial labs. has produced a plethora of synthetic protocols that are based on this enabling technol.  In the majority of examples, transformations that require several hours when performed using conventional heating under reflux conditions reach completion in a few minutes or even seconds in sealed-vessel, autoclave-type, microwave reactors.  However, one severe drawback of microwave chem. is the difficulty in scaling this technol. to a prodn.-scale level.  This concept article demonstrates that this limitation can be overcome by translating batch microwave chem. to scalable continuous-flow processes.  For this purpose, conventionally heated micro- or mesofluidic flow devices fitted with a back-pressure regulator are employed, in which the high temps. and pressures attainable in a sealed-vessel microwave chem. batch expt. can be mimicked. [on SciFinder(R)]", "author" : [ { "dropping-particle" : "", "family" : "Glasnov", "given" : "Toma N", "non-dropping-particle" : "", "parse-names" : false, "suffix" : "" }, { "dropping-particle" : "", "family" : "Kappe", "given" : "C Oliver.", "non-dropping-particle" : "", "parse-names" : false, "suffix" : "" } ], "container-title" : "Chemistry - A European Journal", "id" : "ITEM-5", "issue" : "43", "issued" : { "date-parts" : [ [ "2011" ] ] }, "note" : "CAPLUS AN 2011:1186066(Journal)", "page" : "11956-11968", "publisher" : "Wiley-VCH Verlag GmbH &amp; Co. KGaA", "title" : "The Microwave-to-Flow Paradigm: Translating High-Temperature Batch Microwave Chemistry to Scalable Continuous-Flow Processes.", "type" : "article-journal", "volume" : "17" }, "uris" : [ "http://www.mendeley.com/documents/?uuid=2b739bd7-4755-4a31-bb0b-dddb4e964306" ] }, { "id" : "ITEM-6", "itemData" : { "DOI" : "10.1002/anie.201004637", "ISSN" : "1433-7851", "abstract" : "A review.  The fine chems. and pharmaceutical industries are transforming how their products are manufd., where economically favorable, from traditional batchwise processes to continuous flow.  This evolution is impacting synthetic chem. on all scales-from the lab. to full prodn.  This article discusses the relative merits of batch and micro flow reactors for performing synthetic chem. in the lab. [on SciFinder(R)]", "author" : [ { "dropping-particle" : "", "family" : "Hartman", "given" : "Ryan L", "non-dropping-particle" : "", "parse-names" : false, "suffix" : "" }, { "dropping-particle" : "", "family" : "McMullen", "given" : "Jonathan P", "non-dropping-particle" : "", "parse-names" : false, "suffix" : "" }, { "dropping-particle" : "", "family" : "Jensen", "given" : "Klavs F", "non-dropping-particle" : "", "parse-names" : false, "suffix" : "" } ], "container-title" : "Angewandte Chemie, International Edition", "id" : "ITEM-6", "issue" : "33", "issued" : { "date-parts" : [ [ "2011" ] ] }, "note" : "CAPLUS AN 2011:804410(Journal; General Review)", "page" : "7502-7519, S7502/1-S7502/3", "publisher" : "Wiley-VCH Verlag GmbH &amp; Co. KGaA", "title" : "Deciding whether to go with the flow: evaluating the merits of flow reactors for synthesis.", "type" : "article-journal", "volume" : "50" }, "uris" : [ "http://www.mendeley.com/documents/?uuid=c3538970-635c-4e37-9997-f8f77956db32" ] }, { "id" : "ITEM-7", "itemData" : { "DOI" : "10.1021/jo400583m", "ISSN" : "0022-3263", "abstract" : "A review.  The synthesis of complex mols. requires control over both chem. reactivity and reaction conditions.  While reactivity drives the majority of chem. discovery, advances in reaction condition control have accelerated method development/discovery.  Recent tools include automated synthesizers and flow reactors.  In this Synopsis, the authors describe how flow reactors have enabled chem. advances in their groups in the areas of single-stage reactions, materials synthesis, and multistep reactions.  In each section, the authors detail the lessons learned and propose future directions. [on SciFinder(R)]", "author" : [ { "dropping-particle" : "", "family" : "McQuade", "given" : "D Tyler", "non-dropping-particle" : "", "parse-names" : false, "suffix" : "" }, { "dropping-particle" : "", "family" : "Seeberger", "given" : "Peter H", "non-dropping-particle" : "", "parse-names" : false, "suffix" : "" } ], "container-title" : "Journal of Organic Chemistry", "id" : "ITEM-7", "issue" : "13", "issued" : { "date-parts" : [ [ "2013" ] ] }, "note" : "CAPLUS AN 2013:913144(Journal; General Review; Online Computer File)", "page" : "6384-6389", "publisher" : "American Chemical Society", "title" : "Applying Flow Chemistry: Methods, Materials, and Multistep Synthesis.", "type" : "article-journal", "volume" : "78" }, "uris" : [ "http://www.mendeley.com/documents/?uuid=3b9f1fc7-e64f-490f-bc29-dbeb1e9d2354" ] }, { "id" : "ITEM-8", "itemData" : { "DOI" : "10.1039/c3cs60246j", "ISSN" : "0306-0012", "abstract" : "A review.  The development and application of continuous flow chem. methods for synthesis is a rapidly growing area of research.  In particular, natural products provide demanding challenges to this developing technol.  This review highlights successes in the area with an emphasis on new opportunities and technol. advances. [on SciFinder(R)]", "author" : [ { "dropping-particle" : "", "family" : "Pastre", "given" : "Julio C", "non-dropping-particle" : "", "parse-names" : false, "suffix" : "" }, { "dropping-particle" : "", "family" : "Browne", "given" : "Duncan L", "non-dropping-particle" : "", "parse-names" : false, "suffix" : "" }, { "dropping-particle" : "V", "family" : "Ley", "given" : "Steven", "non-dropping-particle" : "", "parse-names" : false, "suffix" : "" } ], "container-title" : "Chemical Society Reviews", "id" : "ITEM-8", "issue" : "23", "issued" : { "date-parts" : [ [ "2013" ] ] }, "note" : "CAPLUS AN 2013:1719096(Journal; General Review; Online Computer File)", "page" : "8849-8869", "publisher" : "Royal Society of Chemistry", "title" : "Flow chemistry syntheses of natural products.", "type" : "article-journal", "volume" : "42" }, "uris" : [ "http://www.mendeley.com/documents/?uuid=0cadda60-cd05-47ea-bb22-f5d434b2cce6" ] }, { "id" : "ITEM-9", "itemData" : { "DOI" : "10.1039/C0SC00381F", "ISSN" : "2041-6520", "abstract" : "Using continuous flow techniques for multi-step synthesis enables multiple reaction steps to be combined into a single continuous operation.  In this mini-review we discuss the current state of the art in this field and highlight recent progress and current challenges facing this emerging area. [on SciFinder(R)]", "author" : [ { "dropping-particle" : "", "family" : "Webb", "given" : "Damien", "non-dropping-particle" : "", "parse-names" : false, "suffix" : "" }, { "dropping-particle" : "", "family" : "Jamison", "given" : "Timothy F", "non-dropping-particle" : "", "parse-names" : false, "suffix" : "" } ], "container-title" : "Chemical Science", "id" : "ITEM-9", "issue" : "6", "issued" : { "date-parts" : [ [ "2010" ] ] }, "note" : "CAPLUS AN 2011:145865(Journal)", "page" : "675-680", "publisher" : "Royal Society of Chemistry", "title" : "Continuous flow multi-step organic synthesis.", "type" : "article-journal", "volume" : "1" }, "uris" : [ "http://www.mendeley.com/documents/?uuid=f25b580c-4ab4-43a3-9f0f-ab62d292b965" ] }, { "id" : "ITEM-10", "itemData" : { "DOI" : "10.1002/adsc.201100584", "ISSN" : "1615-4150", "abstract" : "A review.  Lab. scaled flow-through processes have seen an explosive development over the past decade and have become an enabling technol. for improving synthetic efficiency through automation and process optimization.  Practically, flow devices are a crucial link between bench chemists and process engineers.  The present review focuses on two unique aspects of modern flow chem. where substantial advantages over the corresponding batch processes have become evident.  Flow chem. being one out of several enabling technologies can ideally be combined with other enabling technologies such as energy input.  This may be achieved in form of heat to create supercrit. conditions.  Here, indirect methods such as microwave irradn. and inductive heating have seen widespread applications.  Also radiation can efficiently be used to carry out photochem. reactions in a highly practical and scalable manner.  A second unique aspect of flow chem. compared to batch chem. is assocd. with the option to carry out multistep synthesis by designing a flow set-up composed of several flow reactors.  Besides their role as chem. reactors these can act as elements for purifn. or solvent switch. [on SciFinder(R)]", "author" : [ { "dropping-particle" : "", "family" : "Wegner", "given" : "Jens", "non-dropping-particle" : "", "parse-names" : false, "suffix" : "" }, { "dropping-particle" : "", "family" : "Ceylan", "given" : "Sascha", "non-dropping-particle" : "", "parse-names" : false, "suffix" : "" }, { "dropping-particle" : "", "family" : "Kirschning", "given" : "Andreas.", "non-dropping-particle" : "", "parse-names" : false, "suffix" : "" } ], "container-title" : "Advanced Synthesis &amp; Catalysis", "id" : "ITEM-10", "issue" : "1", "issued" : { "date-parts" : [ [ "2012" ] ] }, "note" : "CAPLUS AN 2012:62587(Journal; General Review)", "page" : "17-57", "publisher" : "Wiley-VCH Verlag GmbH &amp; Co. KGaA", "title" : "Flow Chemistry - A Key Enabling Technology for (Multistep) Organic Synthesis.", "type" : "article-journal", "volume" : "354" }, "uris" : [ "http://www.mendeley.com/documents/?uuid=c69fcf5b-592b-4b1b-bf8a-3cdc36c4838a" ] }, { "id" : "ITEM-11", "itemData" : { "DOI" : "10.1002/anie.201501618", "ISSN" : "1433-7851", "abstract" : "A review.  How the advent of machines is impacting org. synthesis programs, with particular emphasis on the practical issues assocd. with the design of chem. reactors, was discussed.  In particular, in the rapidly changing, multivariant environment of the research lab., the need for equipment to be modular to accommodate challenges and problems assocd. with high and low temps./pressures, enzymes, multiphase systems, slurries, gases, and organometallic compds, was highlighted.  Addnl. technologies that have been developed to facilitate more specialized reaction techniques, such as electrochem. and photochem. methods, were also discussed. [on SciFinder(R)]", "author" : [ { "dropping-particle" : "V", "family" : "Ley", "given" : "Steven", "non-dropping-particle" : "", "parse-names" : false, "suffix" : "" }, { "dropping-particle" : "", "family" : "Fitzpatrick", "given" : "Daniel E", "non-dropping-particle" : "", "parse-names" : false, "suffix" : "" }, { "dropping-particle" : "", "family" : "Myers", "given" : "Rebecca M", "non-dropping-particle" : "", "parse-names" : false, "suffix" : "" }, { "dropping-particle" : "", "family" : "Battilocchio", "given" : "Claudio", "non-dropping-particle" : "", "parse-names" : false, "suffix" : "" }, { "dropping-particle" : "", "family" : "Ingham", "given" : "Richard. J", "non-dropping-particle" : "", "parse-names" : false, "suffix" : "" } ], "container-title" : "Angewandte Chemie, International Edition", "id" : "ITEM-11", "issue" : "35", "issued" : { "date-parts" : [ [ "2015" ] ] }, "note" : "CAPLUS AN 2015:1189847(Journal; General Review; Online Computer File)", "page" : "10122-10136", "publisher" : "Wiley-VCH Verlag GmbH &amp; Co. KGaA", "title" : "Machine-Assisted Organic Synthesis.", "type" : "article-journal", "volume" : "54" }, "uris" : [ "http://www.mendeley.com/documents/?uuid=bf4ba12b-f924-449e-8773-e70ed7823554" ] } ], "mendeley" : { "formattedCitation" : "&lt;sup&gt;[74\u201384]&lt;/sup&gt;", "plainTextFormattedCitation" : "[74\u201384]", "previouslyFormattedCitation" : "&lt;sup&gt;[74\u201384]&lt;/sup&gt;" }, "properties" : { "noteIndex" : 0 }, "schema" : "https://github.com/citation-style-language/schema/raw/master/csl-citation.json" }</w:instrText>
      </w:r>
      <w:r w:rsidR="001D4791">
        <w:rPr>
          <w:sz w:val="24"/>
          <w:szCs w:val="24"/>
        </w:rPr>
        <w:fldChar w:fldCharType="separate"/>
      </w:r>
      <w:r w:rsidR="0055300D" w:rsidRPr="0055300D">
        <w:rPr>
          <w:noProof/>
          <w:sz w:val="24"/>
          <w:szCs w:val="24"/>
          <w:vertAlign w:val="superscript"/>
        </w:rPr>
        <w:t>[74–84]</w:t>
      </w:r>
      <w:r w:rsidR="001D4791">
        <w:rPr>
          <w:sz w:val="24"/>
          <w:szCs w:val="24"/>
        </w:rPr>
        <w:fldChar w:fldCharType="end"/>
      </w:r>
      <w:r w:rsidR="001D4791">
        <w:rPr>
          <w:sz w:val="24"/>
          <w:szCs w:val="24"/>
        </w:rPr>
        <w:t xml:space="preserve"> </w:t>
      </w:r>
    </w:p>
    <w:p w:rsidR="001D4791" w:rsidRDefault="001D4791" w:rsidP="0078497E">
      <w:pPr>
        <w:spacing w:line="360" w:lineRule="auto"/>
        <w:jc w:val="both"/>
        <w:rPr>
          <w:sz w:val="24"/>
          <w:szCs w:val="24"/>
        </w:rPr>
      </w:pPr>
      <w:r>
        <w:rPr>
          <w:sz w:val="24"/>
          <w:szCs w:val="24"/>
        </w:rPr>
        <w:t xml:space="preserve">Reported advantages of flow chemistry include </w:t>
      </w:r>
      <w:r w:rsidR="00A9011B">
        <w:rPr>
          <w:sz w:val="24"/>
          <w:szCs w:val="24"/>
        </w:rPr>
        <w:t>the</w:t>
      </w:r>
      <w:r>
        <w:rPr>
          <w:sz w:val="24"/>
          <w:szCs w:val="24"/>
        </w:rPr>
        <w:t xml:space="preserve"> following</w:t>
      </w:r>
      <w:r w:rsidR="003F2051">
        <w:rPr>
          <w:sz w:val="24"/>
          <w:szCs w:val="24"/>
        </w:rPr>
        <w:fldChar w:fldCharType="begin" w:fldLock="1"/>
      </w:r>
      <w:r w:rsidR="00F168DA">
        <w:rPr>
          <w:sz w:val="24"/>
          <w:szCs w:val="24"/>
        </w:rPr>
        <w:instrText>ADDIN CSL_CITATION { "citationItems" : [ { "id" : "ITEM-1", "itemData" : { "DOI" : "10.1021/jo400583m", "ISSN" : "0022-3263", "abstract" : "A review.  The synthesis of complex mols. requires control over both chem. reactivity and reaction conditions.  While reactivity drives the majority of chem. discovery, advances in reaction condition control have accelerated method development/discovery.  Recent tools include automated synthesizers and flow reactors.  In this Synopsis, the authors describe how flow reactors have enabled chem. advances in their groups in the areas of single-stage reactions, materials synthesis, and multistep reactions.  In each section, the authors detail the lessons learned and propose future directions. [on SciFinder(R)]", "author" : [ { "dropping-particle" : "", "family" : "McQuade", "given" : "D Tyler", "non-dropping-particle" : "", "parse-names" : false, "suffix" : "" }, { "dropping-particle" : "", "family" : "Seeberger", "given" : "Peter H", "non-dropping-particle" : "", "parse-names" : false, "suffix" : "" } ], "container-title" : "Journal of Organic Chemistry", "id" : "ITEM-1", "issue" : "13", "issued" : { "date-parts" : [ [ "2013" ] ] }, "note" : "CAPLUS AN 2013:913144(Journal; General Review; Online Computer File)", "page" : "6384-6389", "publisher" : "American Chemical Society", "title" : "Applying Flow Chemistry: Methods, Materials, and Multistep Synthesis.", "type" : "article-journal", "volume" : "78" }, "uris" : [ "http://www.mendeley.com/documents/?uuid=3b9f1fc7-e64f-490f-bc29-dbeb1e9d2354" ] } ], "mendeley" : { "formattedCitation" : "&lt;sup&gt;[80]&lt;/sup&gt;", "plainTextFormattedCitation" : "[80]", "previouslyFormattedCitation" : "&lt;sup&gt;[80]&lt;/sup&gt;" }, "properties" : { "noteIndex" : 0 }, "schema" : "https://github.com/citation-style-language/schema/raw/master/csl-citation.json" }</w:instrText>
      </w:r>
      <w:r w:rsidR="003F2051">
        <w:rPr>
          <w:sz w:val="24"/>
          <w:szCs w:val="24"/>
        </w:rPr>
        <w:fldChar w:fldCharType="separate"/>
      </w:r>
      <w:r w:rsidR="0055300D" w:rsidRPr="0055300D">
        <w:rPr>
          <w:noProof/>
          <w:sz w:val="24"/>
          <w:szCs w:val="24"/>
          <w:vertAlign w:val="superscript"/>
        </w:rPr>
        <w:t>[80]</w:t>
      </w:r>
      <w:r w:rsidR="003F2051">
        <w:rPr>
          <w:sz w:val="24"/>
          <w:szCs w:val="24"/>
        </w:rPr>
        <w:fldChar w:fldCharType="end"/>
      </w:r>
      <w:r>
        <w:rPr>
          <w:sz w:val="24"/>
          <w:szCs w:val="24"/>
        </w:rPr>
        <w:t>:</w:t>
      </w:r>
    </w:p>
    <w:p w:rsidR="001D4791" w:rsidRDefault="001D4791" w:rsidP="001D4791">
      <w:pPr>
        <w:pStyle w:val="ListParagraph"/>
        <w:numPr>
          <w:ilvl w:val="0"/>
          <w:numId w:val="3"/>
        </w:numPr>
        <w:spacing w:line="360" w:lineRule="auto"/>
        <w:jc w:val="both"/>
        <w:rPr>
          <w:sz w:val="24"/>
          <w:szCs w:val="24"/>
        </w:rPr>
      </w:pPr>
      <w:r>
        <w:rPr>
          <w:sz w:val="24"/>
          <w:szCs w:val="24"/>
        </w:rPr>
        <w:t>C</w:t>
      </w:r>
      <w:r w:rsidRPr="00876F18">
        <w:rPr>
          <w:sz w:val="24"/>
          <w:szCs w:val="24"/>
        </w:rPr>
        <w:t>ontrolled heat transfer</w:t>
      </w:r>
    </w:p>
    <w:p w:rsidR="001D4791" w:rsidRDefault="001D4791" w:rsidP="001D4791">
      <w:pPr>
        <w:pStyle w:val="ListParagraph"/>
        <w:numPr>
          <w:ilvl w:val="0"/>
          <w:numId w:val="3"/>
        </w:numPr>
        <w:spacing w:line="360" w:lineRule="auto"/>
        <w:jc w:val="both"/>
        <w:rPr>
          <w:sz w:val="24"/>
          <w:szCs w:val="24"/>
        </w:rPr>
      </w:pPr>
      <w:r>
        <w:rPr>
          <w:sz w:val="24"/>
          <w:szCs w:val="24"/>
        </w:rPr>
        <w:t>C</w:t>
      </w:r>
      <w:r w:rsidRPr="00876F18">
        <w:rPr>
          <w:sz w:val="24"/>
          <w:szCs w:val="24"/>
        </w:rPr>
        <w:t>ontrolled mixing (both fast and slow)</w:t>
      </w:r>
    </w:p>
    <w:p w:rsidR="001D4791" w:rsidRDefault="001D4791" w:rsidP="001D4791">
      <w:pPr>
        <w:pStyle w:val="ListParagraph"/>
        <w:numPr>
          <w:ilvl w:val="0"/>
          <w:numId w:val="3"/>
        </w:numPr>
        <w:spacing w:line="360" w:lineRule="auto"/>
        <w:jc w:val="both"/>
        <w:rPr>
          <w:sz w:val="24"/>
          <w:szCs w:val="24"/>
        </w:rPr>
      </w:pPr>
      <w:r>
        <w:rPr>
          <w:sz w:val="24"/>
          <w:szCs w:val="24"/>
        </w:rPr>
        <w:t>I</w:t>
      </w:r>
      <w:r w:rsidRPr="00876F18">
        <w:rPr>
          <w:sz w:val="24"/>
          <w:szCs w:val="24"/>
        </w:rPr>
        <w:t>ncreased photon-flux in photochemical reactions</w:t>
      </w:r>
    </w:p>
    <w:p w:rsidR="001D4791" w:rsidRDefault="001D4791" w:rsidP="001D4791">
      <w:pPr>
        <w:pStyle w:val="ListParagraph"/>
        <w:numPr>
          <w:ilvl w:val="0"/>
          <w:numId w:val="3"/>
        </w:numPr>
        <w:spacing w:line="360" w:lineRule="auto"/>
        <w:jc w:val="both"/>
        <w:rPr>
          <w:sz w:val="24"/>
          <w:szCs w:val="24"/>
        </w:rPr>
      </w:pPr>
      <w:r>
        <w:rPr>
          <w:sz w:val="24"/>
          <w:szCs w:val="24"/>
        </w:rPr>
        <w:t>I</w:t>
      </w:r>
      <w:r w:rsidRPr="00876F18">
        <w:rPr>
          <w:sz w:val="24"/>
          <w:szCs w:val="24"/>
        </w:rPr>
        <w:t>ncreased electrode surface-to-reactor volume ratio (electrochemistry)</w:t>
      </w:r>
    </w:p>
    <w:p w:rsidR="001D4791" w:rsidRDefault="001D4791" w:rsidP="001D4791">
      <w:pPr>
        <w:pStyle w:val="ListParagraph"/>
        <w:numPr>
          <w:ilvl w:val="0"/>
          <w:numId w:val="3"/>
        </w:numPr>
        <w:spacing w:line="360" w:lineRule="auto"/>
        <w:jc w:val="both"/>
        <w:rPr>
          <w:sz w:val="24"/>
          <w:szCs w:val="24"/>
        </w:rPr>
      </w:pPr>
      <w:r>
        <w:rPr>
          <w:sz w:val="24"/>
          <w:szCs w:val="24"/>
        </w:rPr>
        <w:t>I</w:t>
      </w:r>
      <w:r w:rsidRPr="00876F18">
        <w:rPr>
          <w:sz w:val="24"/>
          <w:szCs w:val="24"/>
        </w:rPr>
        <w:t>ncreased solution-solid phase interactions</w:t>
      </w:r>
    </w:p>
    <w:p w:rsidR="001D4791" w:rsidRDefault="001D4791" w:rsidP="001D4791">
      <w:pPr>
        <w:pStyle w:val="ListParagraph"/>
        <w:numPr>
          <w:ilvl w:val="0"/>
          <w:numId w:val="3"/>
        </w:numPr>
        <w:spacing w:line="360" w:lineRule="auto"/>
        <w:jc w:val="both"/>
        <w:rPr>
          <w:sz w:val="24"/>
          <w:szCs w:val="24"/>
        </w:rPr>
      </w:pPr>
      <w:r>
        <w:rPr>
          <w:sz w:val="24"/>
          <w:szCs w:val="24"/>
        </w:rPr>
        <w:t>C</w:t>
      </w:r>
      <w:r w:rsidRPr="00876F18">
        <w:rPr>
          <w:sz w:val="24"/>
          <w:szCs w:val="24"/>
        </w:rPr>
        <w:t>ontrolled use of highly reactive/toxic materials</w:t>
      </w:r>
    </w:p>
    <w:p w:rsidR="001D4791" w:rsidRPr="001D4791" w:rsidRDefault="001D4791" w:rsidP="001D4791">
      <w:pPr>
        <w:pStyle w:val="ListParagraph"/>
        <w:numPr>
          <w:ilvl w:val="0"/>
          <w:numId w:val="3"/>
        </w:numPr>
        <w:spacing w:line="360" w:lineRule="auto"/>
        <w:jc w:val="both"/>
        <w:rPr>
          <w:sz w:val="24"/>
          <w:szCs w:val="24"/>
        </w:rPr>
      </w:pPr>
      <w:r>
        <w:rPr>
          <w:sz w:val="24"/>
          <w:szCs w:val="24"/>
        </w:rPr>
        <w:t>I</w:t>
      </w:r>
      <w:r w:rsidRPr="00876F18">
        <w:rPr>
          <w:sz w:val="24"/>
          <w:szCs w:val="24"/>
        </w:rPr>
        <w:t>ncreased capacity to run serial reactions.</w:t>
      </w:r>
    </w:p>
    <w:p w:rsidR="00876F18" w:rsidRDefault="00876F18" w:rsidP="0078497E">
      <w:pPr>
        <w:spacing w:line="360" w:lineRule="auto"/>
        <w:jc w:val="both"/>
        <w:rPr>
          <w:sz w:val="24"/>
          <w:szCs w:val="24"/>
        </w:rPr>
      </w:pPr>
    </w:p>
    <w:p w:rsidR="00A9011B" w:rsidRDefault="00A9011B" w:rsidP="00A52BD4">
      <w:pPr>
        <w:autoSpaceDE w:val="0"/>
        <w:autoSpaceDN w:val="0"/>
        <w:adjustRightInd w:val="0"/>
        <w:spacing w:after="0" w:line="360" w:lineRule="auto"/>
        <w:jc w:val="both"/>
        <w:rPr>
          <w:rFonts w:cs="DGMetaSerifScience"/>
          <w:sz w:val="24"/>
          <w:szCs w:val="24"/>
        </w:rPr>
      </w:pPr>
      <w:r>
        <w:rPr>
          <w:rFonts w:cs="AdvOT999035f4"/>
          <w:sz w:val="24"/>
          <w:szCs w:val="24"/>
        </w:rPr>
        <w:t xml:space="preserve">The tunability of </w:t>
      </w:r>
      <w:r w:rsidR="00E77CF9">
        <w:rPr>
          <w:rFonts w:cs="AdvOT999035f4"/>
          <w:sz w:val="24"/>
          <w:szCs w:val="24"/>
        </w:rPr>
        <w:t>flow reactors</w:t>
      </w:r>
      <w:r>
        <w:rPr>
          <w:rFonts w:cs="AdvOT999035f4"/>
          <w:sz w:val="24"/>
          <w:szCs w:val="24"/>
        </w:rPr>
        <w:t xml:space="preserve">, and the fact that reactions take place in small diameter tubing or microchips </w:t>
      </w:r>
      <w:r w:rsidRPr="00876F18">
        <w:rPr>
          <w:rFonts w:cs="DGMetaSerifScience"/>
          <w:sz w:val="24"/>
          <w:szCs w:val="24"/>
        </w:rPr>
        <w:t>allow</w:t>
      </w:r>
      <w:r>
        <w:rPr>
          <w:rFonts w:cs="DGMetaSerifScience"/>
          <w:sz w:val="24"/>
          <w:szCs w:val="24"/>
        </w:rPr>
        <w:t>s</w:t>
      </w:r>
      <w:r w:rsidRPr="00876F18">
        <w:rPr>
          <w:rFonts w:cs="DGMetaSerifScience"/>
          <w:sz w:val="24"/>
          <w:szCs w:val="24"/>
        </w:rPr>
        <w:t xml:space="preserve"> reactions to be performed</w:t>
      </w:r>
      <w:r>
        <w:rPr>
          <w:rFonts w:cs="DGMetaSerifScience"/>
          <w:sz w:val="24"/>
          <w:szCs w:val="24"/>
        </w:rPr>
        <w:t xml:space="preserve"> </w:t>
      </w:r>
      <w:r w:rsidRPr="00876F18">
        <w:rPr>
          <w:rFonts w:cs="DGMetaSerifScience"/>
          <w:sz w:val="24"/>
          <w:szCs w:val="24"/>
        </w:rPr>
        <w:t>under a more extensive range of conditions than</w:t>
      </w:r>
      <w:r>
        <w:rPr>
          <w:rFonts w:cs="DGMetaSerifScience"/>
          <w:sz w:val="24"/>
          <w:szCs w:val="24"/>
        </w:rPr>
        <w:t xml:space="preserve"> </w:t>
      </w:r>
      <w:r w:rsidRPr="00876F18">
        <w:rPr>
          <w:rFonts w:cs="DGMetaSerifScience"/>
          <w:sz w:val="24"/>
          <w:szCs w:val="24"/>
        </w:rPr>
        <w:t>can be achieved with conventional reactors</w:t>
      </w:r>
      <w:r>
        <w:rPr>
          <w:rFonts w:cs="DGMetaSerifScience"/>
          <w:sz w:val="24"/>
          <w:szCs w:val="24"/>
        </w:rPr>
        <w:t xml:space="preserve">. </w:t>
      </w:r>
      <w:r>
        <w:rPr>
          <w:rFonts w:cs="AdvOT999035f4"/>
          <w:sz w:val="24"/>
          <w:szCs w:val="24"/>
        </w:rPr>
        <w:t>The e</w:t>
      </w:r>
      <w:r w:rsidRPr="00876F18">
        <w:rPr>
          <w:rFonts w:cs="AdvOT999035f4"/>
          <w:sz w:val="24"/>
          <w:szCs w:val="24"/>
        </w:rPr>
        <w:t>xcellent heat/mass transfer</w:t>
      </w:r>
      <w:r>
        <w:rPr>
          <w:rFonts w:cs="AdvOT999035f4"/>
          <w:sz w:val="24"/>
          <w:szCs w:val="24"/>
        </w:rPr>
        <w:t xml:space="preserve"> capabilities that this affords in comparison to batch chemistry</w:t>
      </w:r>
      <w:r w:rsidRPr="00876F18">
        <w:rPr>
          <w:rFonts w:cs="AdvOT999035f4"/>
          <w:sz w:val="24"/>
          <w:szCs w:val="24"/>
        </w:rPr>
        <w:t xml:space="preserve"> lead</w:t>
      </w:r>
      <w:r>
        <w:rPr>
          <w:rFonts w:cs="AdvOT999035f4"/>
          <w:sz w:val="24"/>
          <w:szCs w:val="24"/>
        </w:rPr>
        <w:t>s</w:t>
      </w:r>
      <w:r w:rsidRPr="00876F18">
        <w:rPr>
          <w:rFonts w:cs="AdvOT999035f4"/>
          <w:sz w:val="24"/>
          <w:szCs w:val="24"/>
        </w:rPr>
        <w:t xml:space="preserve"> to </w:t>
      </w:r>
      <w:r>
        <w:rPr>
          <w:rFonts w:cs="AdvOT999035f4"/>
          <w:sz w:val="24"/>
          <w:szCs w:val="24"/>
        </w:rPr>
        <w:t xml:space="preserve">faster reaction times, </w:t>
      </w:r>
      <w:r w:rsidRPr="00876F18">
        <w:rPr>
          <w:rFonts w:cs="AdvOT999035f4"/>
          <w:sz w:val="24"/>
          <w:szCs w:val="24"/>
        </w:rPr>
        <w:t>high reproducibility</w:t>
      </w:r>
      <w:r>
        <w:rPr>
          <w:rFonts w:cs="AdvOT999035f4"/>
          <w:sz w:val="24"/>
          <w:szCs w:val="24"/>
        </w:rPr>
        <w:t xml:space="preserve"> and </w:t>
      </w:r>
      <w:r w:rsidRPr="00876F18">
        <w:rPr>
          <w:rFonts w:cs="DGMetaSerifScience"/>
          <w:sz w:val="24"/>
          <w:szCs w:val="24"/>
        </w:rPr>
        <w:t>superior overall yield</w:t>
      </w:r>
      <w:r>
        <w:rPr>
          <w:rFonts w:cs="DGMetaSerifScience"/>
          <w:sz w:val="24"/>
          <w:szCs w:val="24"/>
        </w:rPr>
        <w:t xml:space="preserve"> </w:t>
      </w:r>
      <w:r w:rsidRPr="00876F18">
        <w:rPr>
          <w:rFonts w:cs="DGMetaSerifScience"/>
          <w:sz w:val="24"/>
          <w:szCs w:val="24"/>
        </w:rPr>
        <w:t>when compared to the stepwise process</w:t>
      </w:r>
      <w:r>
        <w:rPr>
          <w:rFonts w:cs="DGMetaSerifScience"/>
          <w:sz w:val="24"/>
          <w:szCs w:val="24"/>
        </w:rPr>
        <w:t>.</w:t>
      </w:r>
      <w:r w:rsidR="00F73334">
        <w:rPr>
          <w:rFonts w:cs="DGMetaSerifScience"/>
          <w:sz w:val="24"/>
          <w:szCs w:val="24"/>
        </w:rPr>
        <w:fldChar w:fldCharType="begin" w:fldLock="1"/>
      </w:r>
      <w:r w:rsidR="00F168DA">
        <w:rPr>
          <w:rFonts w:cs="DGMetaSerifScience"/>
          <w:sz w:val="24"/>
          <w:szCs w:val="24"/>
        </w:rPr>
        <w:instrText>ADDIN CSL_CITATION { "citationItems" : [ { "id" : "ITEM-1", "itemData" : { "DOI" : "10.1039/c3cs60246j", "ISSN" : "0306-0012", "abstract" : "A review.  The development and application of continuous flow chem. methods for synthesis is a rapidly growing area of research.  In particular, natural products provide demanding challenges to this developing technol.  This review highlights successes in the area with an emphasis on new opportunities and technol. advances. [on SciFinder(R)]", "author" : [ { "dropping-particle" : "", "family" : "Pastre", "given" : "Julio C", "non-dropping-particle" : "", "parse-names" : false, "suffix" : "" }, { "dropping-particle" : "", "family" : "Browne", "given" : "Duncan L", "non-dropping-particle" : "", "parse-names" : false, "suffix" : "" }, { "dropping-particle" : "V", "family" : "Ley", "given" : "Steven", "non-dropping-particle" : "", "parse-names" : false, "suffix" : "" } ], "container-title" : "Chemical Society Reviews", "id" : "ITEM-1", "issue" : "23", "issued" : { "date-parts" : [ [ "2013" ] ] }, "note" : "CAPLUS AN 2013:1719096(Journal; General Review; Online Computer File)", "page" : "8849-8869", "publisher" : "Royal Society of Chemistry", "title" : "Flow chemistry syntheses of natural products.", "type" : "article-journal", "volume" : "42" }, "uris" : [ "http://www.mendeley.com/documents/?uuid=0cadda60-cd05-47ea-bb22-f5d434b2cce6" ] } ], "mendeley" : { "formattedCitation" : "&lt;sup&gt;[81]&lt;/sup&gt;", "plainTextFormattedCitation" : "[81]", "previouslyFormattedCitation" : "&lt;sup&gt;[81]&lt;/sup&gt;" }, "properties" : { "noteIndex" : 0 }, "schema" : "https://github.com/citation-style-language/schema/raw/master/csl-citation.json" }</w:instrText>
      </w:r>
      <w:r w:rsidR="00F73334">
        <w:rPr>
          <w:rFonts w:cs="DGMetaSerifScience"/>
          <w:sz w:val="24"/>
          <w:szCs w:val="24"/>
        </w:rPr>
        <w:fldChar w:fldCharType="separate"/>
      </w:r>
      <w:r w:rsidR="0055300D" w:rsidRPr="0055300D">
        <w:rPr>
          <w:rFonts w:cs="DGMetaSerifScience"/>
          <w:noProof/>
          <w:sz w:val="24"/>
          <w:szCs w:val="24"/>
          <w:vertAlign w:val="superscript"/>
        </w:rPr>
        <w:t>[81]</w:t>
      </w:r>
      <w:r w:rsidR="00F73334">
        <w:rPr>
          <w:rFonts w:cs="DGMetaSerifScience"/>
          <w:sz w:val="24"/>
          <w:szCs w:val="24"/>
        </w:rPr>
        <w:fldChar w:fldCharType="end"/>
      </w:r>
      <w:r w:rsidR="00A52BD4">
        <w:rPr>
          <w:rFonts w:cs="DGMetaSerifScience"/>
          <w:sz w:val="24"/>
          <w:szCs w:val="24"/>
        </w:rPr>
        <w:t xml:space="preserve"> </w:t>
      </w:r>
      <w:r w:rsidR="004C5215">
        <w:rPr>
          <w:rFonts w:cs="DGMetaSerifScience"/>
          <w:sz w:val="24"/>
          <w:szCs w:val="24"/>
        </w:rPr>
        <w:t xml:space="preserve">In addition, continuous processing </w:t>
      </w:r>
      <w:r w:rsidR="00A836C7" w:rsidRPr="00876F18">
        <w:rPr>
          <w:rFonts w:cs="DGMetaSerifScience"/>
          <w:sz w:val="24"/>
          <w:szCs w:val="24"/>
        </w:rPr>
        <w:t xml:space="preserve">allows for rapid scale up of reactions without </w:t>
      </w:r>
      <w:r w:rsidR="00A836C7">
        <w:rPr>
          <w:rFonts w:cs="DGMetaSerifScience"/>
          <w:sz w:val="24"/>
          <w:szCs w:val="24"/>
        </w:rPr>
        <w:t xml:space="preserve">the </w:t>
      </w:r>
      <w:r w:rsidR="00A836C7" w:rsidRPr="00876F18">
        <w:rPr>
          <w:rFonts w:cs="DGMetaSerifScience"/>
          <w:sz w:val="24"/>
          <w:szCs w:val="24"/>
        </w:rPr>
        <w:t>significant</w:t>
      </w:r>
      <w:r w:rsidR="00A836C7">
        <w:rPr>
          <w:rFonts w:cs="DGMetaSerifScience"/>
          <w:sz w:val="24"/>
          <w:szCs w:val="24"/>
        </w:rPr>
        <w:t xml:space="preserve"> </w:t>
      </w:r>
      <w:r w:rsidR="00A836C7" w:rsidRPr="00876F18">
        <w:rPr>
          <w:rFonts w:cs="DGMetaSerifScience"/>
          <w:sz w:val="24"/>
          <w:szCs w:val="24"/>
        </w:rPr>
        <w:t>redevelopment of the routes</w:t>
      </w:r>
      <w:r w:rsidR="00A836C7">
        <w:rPr>
          <w:rFonts w:cs="DGMetaSerifScience"/>
          <w:sz w:val="24"/>
          <w:szCs w:val="24"/>
        </w:rPr>
        <w:t xml:space="preserve"> that </w:t>
      </w:r>
      <w:r w:rsidR="00E77CF9">
        <w:rPr>
          <w:rFonts w:cs="DGMetaSerifScience"/>
          <w:sz w:val="24"/>
          <w:szCs w:val="24"/>
        </w:rPr>
        <w:t>are</w:t>
      </w:r>
      <w:r w:rsidR="00A836C7">
        <w:rPr>
          <w:rFonts w:cs="DGMetaSerifScience"/>
          <w:sz w:val="24"/>
          <w:szCs w:val="24"/>
        </w:rPr>
        <w:t xml:space="preserve"> frequently required on scale-up of batch processes.</w:t>
      </w:r>
      <w:r w:rsidR="00F73334">
        <w:rPr>
          <w:rFonts w:cs="DGMetaSerifScience"/>
          <w:sz w:val="24"/>
          <w:szCs w:val="24"/>
        </w:rPr>
        <w:fldChar w:fldCharType="begin" w:fldLock="1"/>
      </w:r>
      <w:r w:rsidR="00F168DA">
        <w:rPr>
          <w:rFonts w:cs="DGMetaSerifScience"/>
          <w:sz w:val="24"/>
          <w:szCs w:val="24"/>
        </w:rPr>
        <w:instrText>ADDIN CSL_CITATION { "citationItems" : [ { "id" : "ITEM-1", "itemData" : { "DOI" : "10.1002/chem.201102065", "ISSN" : "0947-6539", "abstract" : "The popularity of dedicated microwave reactors in many academic and industrial labs. has produced a plethora of synthetic protocols that are based on this enabling technol.  In the majority of examples, transformations that require several hours when performed using conventional heating under reflux conditions reach completion in a few minutes or even seconds in sealed-vessel, autoclave-type, microwave reactors.  However, one severe drawback of microwave chem. is the difficulty in scaling this technol. to a prodn.-scale level.  This concept article demonstrates that this limitation can be overcome by translating batch microwave chem. to scalable continuous-flow processes.  For this purpose, conventionally heated micro- or mesofluidic flow devices fitted with a back-pressure regulator are employed, in which the high temps. and pressures attainable in a sealed-vessel microwave chem. batch expt. can be mimicked. [on SciFinder(R)]", "author" : [ { "dropping-particle" : "", "family" : "Glasnov", "given" : "Toma N", "non-dropping-particle" : "", "parse-names" : false, "suffix" : "" }, { "dropping-particle" : "", "family" : "Kappe", "given" : "C Oliver.", "non-dropping-particle" : "", "parse-names" : false, "suffix" : "" } ], "container-title" : "Chemistry - A European Journal", "id" : "ITEM-1", "issue" : "43", "issued" : { "date-parts" : [ [ "2011" ] ] }, "note" : "CAPLUS AN 2011:1186066(Journal)", "page" : "11956-11968", "publisher" : "Wiley-VCH Verlag GmbH &amp; Co. KGaA", "title" : "The Microwave-to-Flow Paradigm: Translating High-Temperature Batch Microwave Chemistry to Scalable Continuous-Flow Processes.", "type" : "article-journal", "volume" : "17" }, "uris" : [ "http://www.mendeley.com/documents/?uuid=2b739bd7-4755-4a31-bb0b-dddb4e964306" ] } ], "mendeley" : { "formattedCitation" : "&lt;sup&gt;[78]&lt;/sup&gt;", "plainTextFormattedCitation" : "[78]", "previouslyFormattedCitation" : "&lt;sup&gt;[78]&lt;/sup&gt;" }, "properties" : { "noteIndex" : 0 }, "schema" : "https://github.com/citation-style-language/schema/raw/master/csl-citation.json" }</w:instrText>
      </w:r>
      <w:r w:rsidR="00F73334">
        <w:rPr>
          <w:rFonts w:cs="DGMetaSerifScience"/>
          <w:sz w:val="24"/>
          <w:szCs w:val="24"/>
        </w:rPr>
        <w:fldChar w:fldCharType="separate"/>
      </w:r>
      <w:r w:rsidR="0055300D" w:rsidRPr="0055300D">
        <w:rPr>
          <w:rFonts w:cs="DGMetaSerifScience"/>
          <w:noProof/>
          <w:sz w:val="24"/>
          <w:szCs w:val="24"/>
          <w:vertAlign w:val="superscript"/>
        </w:rPr>
        <w:t>[78]</w:t>
      </w:r>
      <w:r w:rsidR="00F73334">
        <w:rPr>
          <w:rFonts w:cs="DGMetaSerifScience"/>
          <w:sz w:val="24"/>
          <w:szCs w:val="24"/>
        </w:rPr>
        <w:fldChar w:fldCharType="end"/>
      </w:r>
      <w:r w:rsidR="00A836C7">
        <w:rPr>
          <w:rFonts w:cs="DGMetaSerifScience"/>
          <w:sz w:val="24"/>
          <w:szCs w:val="24"/>
        </w:rPr>
        <w:t xml:space="preserve"> This is achieved </w:t>
      </w:r>
      <w:r w:rsidR="004C5215" w:rsidRPr="00876F18">
        <w:rPr>
          <w:rFonts w:cs="DGMetaSerifScience"/>
          <w:sz w:val="24"/>
          <w:szCs w:val="24"/>
        </w:rPr>
        <w:t>by replication of the same microreactor conditions</w:t>
      </w:r>
      <w:r w:rsidR="004C5215">
        <w:rPr>
          <w:rFonts w:cs="DGMetaSerifScience"/>
          <w:sz w:val="24"/>
          <w:szCs w:val="24"/>
        </w:rPr>
        <w:t xml:space="preserve"> </w:t>
      </w:r>
      <w:r w:rsidR="00A836C7">
        <w:rPr>
          <w:rFonts w:cs="DGMetaSerifScience"/>
          <w:sz w:val="24"/>
          <w:szCs w:val="24"/>
        </w:rPr>
        <w:t>used in the laboratory, but on an industrial scale. This can shorten</w:t>
      </w:r>
      <w:r w:rsidR="00A836C7" w:rsidRPr="00876F18">
        <w:rPr>
          <w:rFonts w:cs="DGMetaSerifScience"/>
          <w:sz w:val="24"/>
          <w:szCs w:val="24"/>
        </w:rPr>
        <w:t xml:space="preserve"> the development</w:t>
      </w:r>
      <w:r w:rsidR="00A836C7">
        <w:rPr>
          <w:rFonts w:cs="DGMetaSerifScience"/>
          <w:sz w:val="24"/>
          <w:szCs w:val="24"/>
        </w:rPr>
        <w:t xml:space="preserve"> </w:t>
      </w:r>
      <w:r w:rsidR="00A836C7" w:rsidRPr="00876F18">
        <w:rPr>
          <w:rFonts w:cs="DGMetaSerifScience"/>
          <w:sz w:val="24"/>
          <w:szCs w:val="24"/>
        </w:rPr>
        <w:t>time from laboratory to final production levels</w:t>
      </w:r>
      <w:r w:rsidR="00A836C7">
        <w:rPr>
          <w:rFonts w:cs="DGMetaSerifScience"/>
          <w:sz w:val="24"/>
          <w:szCs w:val="24"/>
        </w:rPr>
        <w:t xml:space="preserve"> by eliminating the need for redevelopment from laboratory to pilot plant, and from pilot plant to industrial scale.</w:t>
      </w:r>
      <w:r w:rsidR="001E3CC3">
        <w:rPr>
          <w:rFonts w:cs="DGMetaSerifScience"/>
          <w:sz w:val="24"/>
          <w:szCs w:val="24"/>
        </w:rPr>
        <w:fldChar w:fldCharType="begin" w:fldLock="1"/>
      </w:r>
      <w:r w:rsidR="00F168DA">
        <w:rPr>
          <w:rFonts w:cs="DGMetaSerifScience"/>
          <w:sz w:val="24"/>
          <w:szCs w:val="24"/>
        </w:rPr>
        <w:instrText>ADDIN CSL_CITATION { "citationItems" : [ { "id" : "ITEM-1", "itemData" : { "DOI" : "10.1515/gps-2013-0029", "ISSN" : "2191-9550", "abstract" : "A review.  Flow synthesis offers many advantages when applied to the processing of difficult or dangerous chem. transformations.  Furthermore, continuous prodn. allows for rapid scale up of reactions without significant redevelopment of the routes.  Importantly, it can also provide a versatile platform from which to build integrated multi-step transformations, delivering more advanced chem. architectures.  The construction of multi-purpose micro and meso flow systems, that utilize in-line purifn. and diagnostic capabilities, creates a scenario of seamless connectivity between sequential steps of a longer chem. sequence.  In this mini perspective, we will discuss our experience of target oriented multi-step synthesis as presented at the recent inaugural meeting of LEGOMEDIC at Namar University, Belgium. [on SciFinder(R)]", "author" : [ { "dropping-particle" : "", "family" : "Baxendale", "given" : "Ian R", "non-dropping-particle" : "", "parse-names" : false, "suffix" : "" }, { "dropping-particle" : "", "family" : "Brocken", "given" : "Laurens", "non-dropping-particle" : "", "parse-names" : false, "suffix" : "" }, { "dropping-particle" : "", "family" : "Mallia", "given" : "Carl J", "non-dropping-particle" : "", "parse-names" : false, "suffix" : "" } ], "container-title" : "Green Processing and Synthesis", "id" : "ITEM-1", "issue" : "3", "issued" : { "date-parts" : [ [ "2013" ] ] }, "note" : "CAPLUS AN 2014:633669(Journal; General Review; Online Computer File)", "page" : "211-230", "publisher" : "Walter de Gruyter GmbH", "title" : "Flow chemistry approaches directed at improving chemical synthesis.", "type" : "article-journal", "volume" : "2" }, "uris" : [ "http://www.mendeley.com/documents/?uuid=56c46227-2842-44ea-a518-5d28f7c9a874" ] } ], "mendeley" : { "formattedCitation" : "&lt;sup&gt;[77]&lt;/sup&gt;", "plainTextFormattedCitation" : "[77]", "previouslyFormattedCitation" : "&lt;sup&gt;[77]&lt;/sup&gt;" }, "properties" : { "noteIndex" : 0 }, "schema" : "https://github.com/citation-style-language/schema/raw/master/csl-citation.json" }</w:instrText>
      </w:r>
      <w:r w:rsidR="001E3CC3">
        <w:rPr>
          <w:rFonts w:cs="DGMetaSerifScience"/>
          <w:sz w:val="24"/>
          <w:szCs w:val="24"/>
        </w:rPr>
        <w:fldChar w:fldCharType="separate"/>
      </w:r>
      <w:r w:rsidR="0055300D" w:rsidRPr="0055300D">
        <w:rPr>
          <w:rFonts w:cs="DGMetaSerifScience"/>
          <w:noProof/>
          <w:sz w:val="24"/>
          <w:szCs w:val="24"/>
          <w:vertAlign w:val="superscript"/>
        </w:rPr>
        <w:t>[77]</w:t>
      </w:r>
      <w:r w:rsidR="001E3CC3">
        <w:rPr>
          <w:rFonts w:cs="DGMetaSerifScience"/>
          <w:sz w:val="24"/>
          <w:szCs w:val="24"/>
        </w:rPr>
        <w:fldChar w:fldCharType="end"/>
      </w:r>
    </w:p>
    <w:p w:rsidR="000A23D4" w:rsidRDefault="000A23D4" w:rsidP="00A52BD4">
      <w:pPr>
        <w:autoSpaceDE w:val="0"/>
        <w:autoSpaceDN w:val="0"/>
        <w:adjustRightInd w:val="0"/>
        <w:spacing w:after="0" w:line="360" w:lineRule="auto"/>
        <w:jc w:val="both"/>
        <w:rPr>
          <w:rFonts w:cs="DGMetaSerifScience"/>
          <w:sz w:val="24"/>
          <w:szCs w:val="24"/>
        </w:rPr>
      </w:pPr>
    </w:p>
    <w:p w:rsidR="001E3CC3" w:rsidRDefault="001E3CC3" w:rsidP="00A52BD4">
      <w:pPr>
        <w:autoSpaceDE w:val="0"/>
        <w:autoSpaceDN w:val="0"/>
        <w:adjustRightInd w:val="0"/>
        <w:spacing w:after="0" w:line="360" w:lineRule="auto"/>
        <w:jc w:val="both"/>
        <w:rPr>
          <w:rFonts w:cs="DGMetaSerifScience"/>
          <w:sz w:val="24"/>
          <w:szCs w:val="24"/>
        </w:rPr>
      </w:pPr>
      <w:r>
        <w:rPr>
          <w:rFonts w:cs="DGMetaSerifScience"/>
          <w:sz w:val="24"/>
          <w:szCs w:val="24"/>
        </w:rPr>
        <w:t xml:space="preserve">Jensen </w:t>
      </w:r>
      <w:r w:rsidRPr="008F714D">
        <w:rPr>
          <w:rFonts w:cs="DGMetaSerifScience"/>
          <w:i/>
          <w:sz w:val="24"/>
          <w:szCs w:val="24"/>
        </w:rPr>
        <w:t>et al</w:t>
      </w:r>
      <w:r>
        <w:rPr>
          <w:rFonts w:cs="DGMetaSerifScience"/>
          <w:sz w:val="24"/>
          <w:szCs w:val="24"/>
        </w:rPr>
        <w:t>. reported an example of the effects of improved mixing in continuous flow processes.</w:t>
      </w:r>
      <w:r>
        <w:rPr>
          <w:rFonts w:cs="DGMetaSerifScience"/>
          <w:sz w:val="24"/>
          <w:szCs w:val="24"/>
        </w:rPr>
        <w:fldChar w:fldCharType="begin" w:fldLock="1"/>
      </w:r>
      <w:r w:rsidR="00F168DA">
        <w:rPr>
          <w:rFonts w:cs="DGMetaSerifScience"/>
          <w:sz w:val="24"/>
          <w:szCs w:val="24"/>
        </w:rPr>
        <w:instrText>ADDIN CSL_CITATION { "citationItems" : [ { "id" : "ITEM-1", "itemData" : { "DOI" : "10.1002/anie.201004637", "ISSN" : "1433-7851", "abstract" : "A review.  The fine chems. and pharmaceutical industries are transforming how their products are manufd., where economically favorable, from traditional batchwise processes to continuous flow.  This evolution is impacting synthetic chem. on all scales-from the lab. to full prodn.  This article discusses the relative merits of batch and micro flow reactors for performing synthetic chem. in the lab. [on SciFinder(R)]", "author" : [ { "dropping-particle" : "", "family" : "Hartman", "given" : "Ryan L", "non-dropping-particle" : "", "parse-names" : false, "suffix" : "" }, { "dropping-particle" : "", "family" : "McMullen", "given" : "Jonathan P", "non-dropping-particle" : "", "parse-names" : false, "suffix" : "" }, { "dropping-particle" : "", "family" : "Jensen", "given" : "Klavs F", "non-dropping-particle" : "", "parse-names" : false, "suffix" : "" } ], "container-title" : "Angewandte Chemie, International Edition", "id" : "ITEM-1", "issue" : "33", "issued" : { "date-parts" : [ [ "2011" ] ] }, "note" : "CAPLUS AN 2011:804410(Journal; General Review)", "page" : "7502-7519, S7502/1-S7502/3", "publisher" : "Wiley-VCH Verlag GmbH &amp; Co. KGaA", "title" : "Deciding whether to go with the flow: evaluating the merits of flow reactors for synthesis.", "type" : "article-journal", "volume" : "50" }, "uris" : [ "http://www.mendeley.com/documents/?uuid=c3538970-635c-4e37-9997-f8f77956db32" ] } ], "mendeley" : { "formattedCitation" : "&lt;sup&gt;[79]&lt;/sup&gt;", "plainTextFormattedCitation" : "[79]", "previouslyFormattedCitation" : "&lt;sup&gt;[79]&lt;/sup&gt;" }, "properties" : { "noteIndex" : 0 }, "schema" : "https://github.com/citation-style-language/schema/raw/master/csl-citation.json" }</w:instrText>
      </w:r>
      <w:r>
        <w:rPr>
          <w:rFonts w:cs="DGMetaSerifScience"/>
          <w:sz w:val="24"/>
          <w:szCs w:val="24"/>
        </w:rPr>
        <w:fldChar w:fldCharType="separate"/>
      </w:r>
      <w:r w:rsidR="0055300D" w:rsidRPr="0055300D">
        <w:rPr>
          <w:rFonts w:cs="DGMetaSerifScience"/>
          <w:noProof/>
          <w:sz w:val="24"/>
          <w:szCs w:val="24"/>
          <w:vertAlign w:val="superscript"/>
        </w:rPr>
        <w:t>[79]</w:t>
      </w:r>
      <w:r>
        <w:rPr>
          <w:rFonts w:cs="DGMetaSerifScience"/>
          <w:sz w:val="24"/>
          <w:szCs w:val="24"/>
        </w:rPr>
        <w:fldChar w:fldCharType="end"/>
      </w:r>
      <w:r>
        <w:rPr>
          <w:rFonts w:cs="DGMetaSerifScience"/>
          <w:sz w:val="24"/>
          <w:szCs w:val="24"/>
        </w:rPr>
        <w:t xml:space="preserve"> In this example fast mixing eliminated the </w:t>
      </w:r>
      <w:r w:rsidR="00191D1A">
        <w:rPr>
          <w:rFonts w:cs="DGMetaSerifScience"/>
          <w:sz w:val="24"/>
          <w:szCs w:val="24"/>
        </w:rPr>
        <w:t>competitive</w:t>
      </w:r>
      <w:r>
        <w:rPr>
          <w:rFonts w:cs="DGMetaSerifScience"/>
          <w:sz w:val="24"/>
          <w:szCs w:val="24"/>
        </w:rPr>
        <w:t xml:space="preserve"> formation of the dialkylated product, thus increasing yields </w:t>
      </w:r>
      <w:r w:rsidR="00191D1A">
        <w:rPr>
          <w:rFonts w:cs="DGMetaSerifScience"/>
          <w:sz w:val="24"/>
          <w:szCs w:val="24"/>
        </w:rPr>
        <w:t>of the desired monoalkylated product from 36% in batch to 92% in flow</w:t>
      </w:r>
      <w:r w:rsidR="00692239">
        <w:rPr>
          <w:rFonts w:cs="DGMetaSerifScience"/>
          <w:sz w:val="24"/>
          <w:szCs w:val="24"/>
        </w:rPr>
        <w:t xml:space="preserve"> (</w:t>
      </w:r>
      <w:r w:rsidR="00692239" w:rsidRPr="00692239">
        <w:rPr>
          <w:rFonts w:cs="DGMetaSerifScience"/>
          <w:b/>
          <w:sz w:val="24"/>
          <w:szCs w:val="24"/>
        </w:rPr>
        <w:t>Scheme 1.2</w:t>
      </w:r>
      <w:r w:rsidR="008A17E0">
        <w:rPr>
          <w:rFonts w:cs="DGMetaSerifScience"/>
          <w:b/>
          <w:sz w:val="24"/>
          <w:szCs w:val="24"/>
        </w:rPr>
        <w:t>6</w:t>
      </w:r>
      <w:r w:rsidR="00692239">
        <w:rPr>
          <w:rFonts w:cs="DGMetaSerifScience"/>
          <w:sz w:val="24"/>
          <w:szCs w:val="24"/>
        </w:rPr>
        <w:t>)</w:t>
      </w:r>
      <w:r w:rsidR="00191D1A">
        <w:rPr>
          <w:rFonts w:cs="DGMetaSerifScience"/>
          <w:sz w:val="24"/>
          <w:szCs w:val="24"/>
        </w:rPr>
        <w:t>.</w:t>
      </w:r>
    </w:p>
    <w:p w:rsidR="001E3CC3" w:rsidRDefault="008A17E0" w:rsidP="001E3CC3">
      <w:pPr>
        <w:autoSpaceDE w:val="0"/>
        <w:autoSpaceDN w:val="0"/>
        <w:adjustRightInd w:val="0"/>
        <w:spacing w:after="0" w:line="360" w:lineRule="auto"/>
        <w:jc w:val="center"/>
      </w:pPr>
      <w:r>
        <w:object w:dxaOrig="7505" w:dyaOrig="3441">
          <v:shape id="_x0000_i1053" type="#_x0000_t75" style="width:375.75pt;height:172.5pt" o:ole="">
            <v:imagedata r:id="rId73" o:title=""/>
          </v:shape>
          <o:OLEObject Type="Embed" ProgID="ChemDraw.Document.6.0" ShapeID="_x0000_i1053" DrawAspect="Content" ObjectID="_1531849596" r:id="rId74"/>
        </w:object>
      </w:r>
    </w:p>
    <w:p w:rsidR="00692239" w:rsidRDefault="00692239" w:rsidP="001E3CC3">
      <w:pPr>
        <w:autoSpaceDE w:val="0"/>
        <w:autoSpaceDN w:val="0"/>
        <w:adjustRightInd w:val="0"/>
        <w:spacing w:after="0" w:line="360" w:lineRule="auto"/>
        <w:jc w:val="center"/>
        <w:rPr>
          <w:rFonts w:cs="DGMetaSerifScience"/>
          <w:sz w:val="24"/>
          <w:szCs w:val="24"/>
        </w:rPr>
      </w:pPr>
      <w:r w:rsidRPr="00692239">
        <w:rPr>
          <w:rFonts w:cs="DGMetaSerifScience"/>
          <w:b/>
          <w:sz w:val="24"/>
          <w:szCs w:val="24"/>
        </w:rPr>
        <w:t>Scheme 1.2</w:t>
      </w:r>
      <w:r w:rsidR="008A17E0">
        <w:rPr>
          <w:rFonts w:cs="DGMetaSerifScience"/>
          <w:b/>
          <w:sz w:val="24"/>
          <w:szCs w:val="24"/>
        </w:rPr>
        <w:t>6</w:t>
      </w:r>
    </w:p>
    <w:p w:rsidR="004C5215" w:rsidRDefault="004C5215" w:rsidP="00FD72B8">
      <w:pPr>
        <w:autoSpaceDE w:val="0"/>
        <w:autoSpaceDN w:val="0"/>
        <w:adjustRightInd w:val="0"/>
        <w:spacing w:after="0" w:line="360" w:lineRule="auto"/>
        <w:jc w:val="both"/>
        <w:rPr>
          <w:rFonts w:cs="DGMetaSerifScience"/>
          <w:sz w:val="24"/>
          <w:szCs w:val="24"/>
        </w:rPr>
      </w:pPr>
    </w:p>
    <w:p w:rsidR="00862173" w:rsidRDefault="004C5215" w:rsidP="004C5215">
      <w:pPr>
        <w:autoSpaceDE w:val="0"/>
        <w:autoSpaceDN w:val="0"/>
        <w:adjustRightInd w:val="0"/>
        <w:spacing w:after="0" w:line="360" w:lineRule="auto"/>
        <w:jc w:val="both"/>
        <w:rPr>
          <w:rFonts w:cs="AdvPS497E2"/>
          <w:sz w:val="24"/>
          <w:szCs w:val="24"/>
        </w:rPr>
      </w:pPr>
      <w:r>
        <w:rPr>
          <w:rFonts w:cs="DGMetaSerifScience"/>
          <w:sz w:val="24"/>
          <w:szCs w:val="24"/>
        </w:rPr>
        <w:t xml:space="preserve">Perhaps one of the most significant advantages of continuous processing is the ease with which telescoped reactions can be carried out. To perform a telescoped reaction in batch, the chemist would typically be required to </w:t>
      </w:r>
      <w:r w:rsidRPr="00876F18">
        <w:rPr>
          <w:rFonts w:cs="AdvPS497E2"/>
          <w:sz w:val="24"/>
          <w:szCs w:val="24"/>
        </w:rPr>
        <w:t>consecutive</w:t>
      </w:r>
      <w:r>
        <w:rPr>
          <w:rFonts w:cs="AdvPS497E2"/>
          <w:sz w:val="24"/>
          <w:szCs w:val="24"/>
        </w:rPr>
        <w:t>ly add</w:t>
      </w:r>
      <w:r w:rsidRPr="00876F18">
        <w:rPr>
          <w:rFonts w:cs="AdvPS497E2"/>
          <w:sz w:val="24"/>
          <w:szCs w:val="24"/>
        </w:rPr>
        <w:t xml:space="preserve"> reagents and/or catalysts to a reactor in order to</w:t>
      </w:r>
      <w:r>
        <w:rPr>
          <w:rFonts w:cs="AdvPS497E2"/>
          <w:sz w:val="24"/>
          <w:szCs w:val="24"/>
        </w:rPr>
        <w:t xml:space="preserve"> </w:t>
      </w:r>
      <w:r w:rsidRPr="00876F18">
        <w:rPr>
          <w:rFonts w:cs="AdvPS497E2"/>
          <w:sz w:val="24"/>
          <w:szCs w:val="24"/>
        </w:rPr>
        <w:t>initiate further transformations of intermediate products or to</w:t>
      </w:r>
      <w:r>
        <w:rPr>
          <w:rFonts w:cs="AdvPS497E2"/>
          <w:sz w:val="24"/>
          <w:szCs w:val="24"/>
        </w:rPr>
        <w:t xml:space="preserve"> </w:t>
      </w:r>
      <w:r w:rsidRPr="00876F18">
        <w:rPr>
          <w:rFonts w:cs="AdvPS497E2"/>
          <w:sz w:val="24"/>
          <w:szCs w:val="24"/>
        </w:rPr>
        <w:t xml:space="preserve">achieve </w:t>
      </w:r>
      <w:r w:rsidRPr="00FD33B0">
        <w:rPr>
          <w:rFonts w:cs="AdvPS497E3"/>
          <w:i/>
          <w:sz w:val="24"/>
          <w:szCs w:val="24"/>
        </w:rPr>
        <w:t>in situ</w:t>
      </w:r>
      <w:r w:rsidRPr="00876F18">
        <w:rPr>
          <w:rFonts w:cs="AdvPS497E3"/>
          <w:sz w:val="24"/>
          <w:szCs w:val="24"/>
        </w:rPr>
        <w:t xml:space="preserve"> </w:t>
      </w:r>
      <w:r w:rsidRPr="00876F18">
        <w:rPr>
          <w:rFonts w:cs="AdvPS497E2"/>
          <w:sz w:val="24"/>
          <w:szCs w:val="24"/>
        </w:rPr>
        <w:t>quenching of reactive species. This strategy is well</w:t>
      </w:r>
      <w:r>
        <w:rPr>
          <w:rFonts w:cs="AdvPS497E2"/>
          <w:sz w:val="24"/>
          <w:szCs w:val="24"/>
        </w:rPr>
        <w:t xml:space="preserve"> </w:t>
      </w:r>
      <w:r w:rsidRPr="00876F18">
        <w:rPr>
          <w:rFonts w:cs="AdvPS497E2"/>
          <w:sz w:val="24"/>
          <w:szCs w:val="24"/>
        </w:rPr>
        <w:t>suited to flow chemistry</w:t>
      </w:r>
      <w:r>
        <w:rPr>
          <w:rFonts w:cs="AdvPS497E2"/>
          <w:sz w:val="24"/>
          <w:szCs w:val="24"/>
        </w:rPr>
        <w:t>.</w:t>
      </w:r>
      <w:r w:rsidR="003F2051">
        <w:rPr>
          <w:rFonts w:cs="AdvPS497E2"/>
          <w:sz w:val="24"/>
          <w:szCs w:val="24"/>
        </w:rPr>
        <w:fldChar w:fldCharType="begin" w:fldLock="1"/>
      </w:r>
      <w:r w:rsidR="00F168DA">
        <w:rPr>
          <w:rFonts w:cs="AdvPS497E2"/>
          <w:sz w:val="24"/>
          <w:szCs w:val="24"/>
        </w:rPr>
        <w:instrText>ADDIN CSL_CITATION { "citationItems" : [ { "id" : "ITEM-1", "itemData" : { "DOI" : "10.1039/C0SC00381F", "ISSN" : "2041-6520", "abstract" : "Using continuous flow techniques for multi-step synthesis enables multiple reaction steps to be combined into a single continuous operation.  In this mini-review we discuss the current state of the art in this field and highlight recent progress and current challenges facing this emerging area. [on SciFinder(R)]", "author" : [ { "dropping-particle" : "", "family" : "Webb", "given" : "Damien", "non-dropping-particle" : "", "parse-names" : false, "suffix" : "" }, { "dropping-particle" : "", "family" : "Jamison", "given" : "Timothy F", "non-dropping-particle" : "", "parse-names" : false, "suffix" : "" } ], "container-title" : "Chemical Science", "id" : "ITEM-1", "issue" : "6", "issued" : { "date-parts" : [ [ "2010" ] ] }, "note" : "CAPLUS AN 2011:145865(Journal)", "page" : "675-680", "publisher" : "Royal Society of Chemistry", "title" : "Continuous flow multi-step organic synthesis.", "type" : "article-journal", "volume" : "1" }, "uris" : [ "http://www.mendeley.com/documents/?uuid=f25b580c-4ab4-43a3-9f0f-ab62d292b965" ] } ], "mendeley" : { "formattedCitation" : "&lt;sup&gt;[82]&lt;/sup&gt;", "plainTextFormattedCitation" : "[82]", "previouslyFormattedCitation" : "&lt;sup&gt;[82]&lt;/sup&gt;" }, "properties" : { "noteIndex" : 0 }, "schema" : "https://github.com/citation-style-language/schema/raw/master/csl-citation.json" }</w:instrText>
      </w:r>
      <w:r w:rsidR="003F2051">
        <w:rPr>
          <w:rFonts w:cs="AdvPS497E2"/>
          <w:sz w:val="24"/>
          <w:szCs w:val="24"/>
        </w:rPr>
        <w:fldChar w:fldCharType="separate"/>
      </w:r>
      <w:r w:rsidR="0055300D" w:rsidRPr="0055300D">
        <w:rPr>
          <w:rFonts w:cs="AdvPS497E2"/>
          <w:noProof/>
          <w:sz w:val="24"/>
          <w:szCs w:val="24"/>
          <w:vertAlign w:val="superscript"/>
        </w:rPr>
        <w:t>[82]</w:t>
      </w:r>
      <w:r w:rsidR="003F2051">
        <w:rPr>
          <w:rFonts w:cs="AdvPS497E2"/>
          <w:sz w:val="24"/>
          <w:szCs w:val="24"/>
        </w:rPr>
        <w:fldChar w:fldCharType="end"/>
      </w:r>
      <w:r>
        <w:rPr>
          <w:rFonts w:cs="AdvPS497E2"/>
          <w:sz w:val="24"/>
          <w:szCs w:val="24"/>
        </w:rPr>
        <w:t xml:space="preserve"> </w:t>
      </w:r>
    </w:p>
    <w:p w:rsidR="008278BE" w:rsidRDefault="00E77CF9" w:rsidP="004C5215">
      <w:pPr>
        <w:autoSpaceDE w:val="0"/>
        <w:autoSpaceDN w:val="0"/>
        <w:adjustRightInd w:val="0"/>
        <w:spacing w:after="0" w:line="360" w:lineRule="auto"/>
        <w:jc w:val="both"/>
        <w:rPr>
          <w:rFonts w:cs="DGMetaSerifScience"/>
          <w:sz w:val="24"/>
          <w:szCs w:val="24"/>
        </w:rPr>
      </w:pPr>
      <w:r>
        <w:rPr>
          <w:rFonts w:cs="AdvPS497E2"/>
          <w:sz w:val="24"/>
          <w:szCs w:val="24"/>
        </w:rPr>
        <w:t>In telescoped reactions in flow,</w:t>
      </w:r>
      <w:r w:rsidR="004C5215">
        <w:rPr>
          <w:rFonts w:cs="AdvPS497E2"/>
          <w:sz w:val="24"/>
          <w:szCs w:val="24"/>
        </w:rPr>
        <w:t xml:space="preserve"> intermediate</w:t>
      </w:r>
      <w:r>
        <w:rPr>
          <w:rFonts w:cs="AdvPS497E2"/>
          <w:sz w:val="24"/>
          <w:szCs w:val="24"/>
        </w:rPr>
        <w:t>s</w:t>
      </w:r>
      <w:r w:rsidR="004C5215">
        <w:rPr>
          <w:rFonts w:cs="AdvPS497E2"/>
          <w:sz w:val="24"/>
          <w:szCs w:val="24"/>
        </w:rPr>
        <w:t xml:space="preserve"> can be generated in one reactor and then transferred to another reactor to react with additional reagents.</w:t>
      </w:r>
      <w:r w:rsidR="004C5215" w:rsidRPr="004C5215">
        <w:rPr>
          <w:rFonts w:cs="DGMetaSerifScience"/>
          <w:sz w:val="24"/>
          <w:szCs w:val="24"/>
        </w:rPr>
        <w:t xml:space="preserve"> </w:t>
      </w:r>
      <w:r w:rsidR="004C5215">
        <w:rPr>
          <w:rFonts w:cs="DGMetaSerifScience"/>
          <w:sz w:val="24"/>
          <w:szCs w:val="24"/>
        </w:rPr>
        <w:t>I</w:t>
      </w:r>
      <w:r w:rsidR="004C5215" w:rsidRPr="00876F18">
        <w:rPr>
          <w:rFonts w:cs="DGMetaSerifScience"/>
          <w:sz w:val="24"/>
          <w:szCs w:val="24"/>
        </w:rPr>
        <w:t>mmobilized reagents</w:t>
      </w:r>
      <w:r w:rsidR="004C5215">
        <w:rPr>
          <w:rFonts w:cs="DGMetaSerifScience"/>
          <w:sz w:val="24"/>
          <w:szCs w:val="24"/>
        </w:rPr>
        <w:t xml:space="preserve"> are</w:t>
      </w:r>
      <w:r w:rsidR="00692239">
        <w:rPr>
          <w:rFonts w:cs="DGMetaSerifScience"/>
          <w:sz w:val="24"/>
          <w:szCs w:val="24"/>
        </w:rPr>
        <w:t xml:space="preserve"> used</w:t>
      </w:r>
      <w:r w:rsidR="004C5215" w:rsidRPr="00876F18">
        <w:rPr>
          <w:rFonts w:cs="DGMetaSerifScience"/>
          <w:sz w:val="24"/>
          <w:szCs w:val="24"/>
        </w:rPr>
        <w:t xml:space="preserve"> to perform</w:t>
      </w:r>
      <w:r w:rsidR="004C5215">
        <w:rPr>
          <w:rFonts w:cs="DGMetaSerifScience"/>
          <w:sz w:val="24"/>
          <w:szCs w:val="24"/>
        </w:rPr>
        <w:t xml:space="preserve"> </w:t>
      </w:r>
      <w:r w:rsidR="004C5215" w:rsidRPr="00876F18">
        <w:rPr>
          <w:rFonts w:cs="DGMetaSerifScience"/>
          <w:sz w:val="24"/>
          <w:szCs w:val="24"/>
        </w:rPr>
        <w:t>in-line quenching and scavenging of by-products</w:t>
      </w:r>
      <w:r w:rsidR="004C5215">
        <w:rPr>
          <w:rFonts w:cs="DGMetaSerifScience"/>
          <w:sz w:val="24"/>
          <w:szCs w:val="24"/>
        </w:rPr>
        <w:t xml:space="preserve"> that would traditionally be performed by aqueous work ups and/or column chromatography.</w:t>
      </w:r>
      <w:r w:rsidR="00894F99">
        <w:rPr>
          <w:rFonts w:cs="DGMetaSerifScience"/>
          <w:sz w:val="24"/>
          <w:szCs w:val="24"/>
        </w:rPr>
        <w:fldChar w:fldCharType="begin" w:fldLock="1"/>
      </w:r>
      <w:r w:rsidR="00F168DA">
        <w:rPr>
          <w:rFonts w:cs="DGMetaSerifScience"/>
          <w:sz w:val="24"/>
          <w:szCs w:val="24"/>
        </w:rPr>
        <w:instrText>ADDIN CSL_CITATION { "citationItems" : [ { "id" : "ITEM-1", "itemData" : { "DOI" : "10.1021/jo400583m", "ISSN" : "0022-3263", "abstract" : "A review.  The synthesis of complex mols. requires control over both chem. reactivity and reaction conditions.  While reactivity drives the majority of chem. discovery, advances in reaction condition control have accelerated method development/discovery.  Recent tools include automated synthesizers and flow reactors.  In this Synopsis, the authors describe how flow reactors have enabled chem. advances in their groups in the areas of single-stage reactions, materials synthesis, and multistep reactions.  In each section, the authors detail the lessons learned and propose future directions. [on SciFinder(R)]", "author" : [ { "dropping-particle" : "", "family" : "McQuade", "given" : "D Tyler", "non-dropping-particle" : "", "parse-names" : false, "suffix" : "" }, { "dropping-particle" : "", "family" : "Seeberger", "given" : "Peter H", "non-dropping-particle" : "", "parse-names" : false, "suffix" : "" } ], "container-title" : "Journal of Organic Chemistry", "id" : "ITEM-1", "issue" : "13", "issued" : { "date-parts" : [ [ "2013" ] ] }, "note" : "CAPLUS AN 2013:913144(Journal; General Review; Online Computer File)", "page" : "6384-6389", "publisher" : "American Chemical Society", "title" : "Applying Flow Chemistry: Methods, Materials, and Multistep Synthesis.", "type" : "article-journal", "volume" : "78" }, "uris" : [ "http://www.mendeley.com/documents/?uuid=3b9f1fc7-e64f-490f-bc29-dbeb1e9d2354" ] } ], "mendeley" : { "formattedCitation" : "&lt;sup&gt;[80]&lt;/sup&gt;", "plainTextFormattedCitation" : "[80]", "previouslyFormattedCitation" : "&lt;sup&gt;[80]&lt;/sup&gt;" }, "properties" : { "noteIndex" : 0 }, "schema" : "https://github.com/citation-style-language/schema/raw/master/csl-citation.json" }</w:instrText>
      </w:r>
      <w:r w:rsidR="00894F99">
        <w:rPr>
          <w:rFonts w:cs="DGMetaSerifScience"/>
          <w:sz w:val="24"/>
          <w:szCs w:val="24"/>
        </w:rPr>
        <w:fldChar w:fldCharType="separate"/>
      </w:r>
      <w:r w:rsidR="0055300D" w:rsidRPr="0055300D">
        <w:rPr>
          <w:rFonts w:cs="DGMetaSerifScience"/>
          <w:noProof/>
          <w:sz w:val="24"/>
          <w:szCs w:val="24"/>
          <w:vertAlign w:val="superscript"/>
        </w:rPr>
        <w:t>[80]</w:t>
      </w:r>
      <w:r w:rsidR="00894F99">
        <w:rPr>
          <w:rFonts w:cs="DGMetaSerifScience"/>
          <w:sz w:val="24"/>
          <w:szCs w:val="24"/>
        </w:rPr>
        <w:fldChar w:fldCharType="end"/>
      </w:r>
      <w:r w:rsidR="004C5215">
        <w:rPr>
          <w:rFonts w:cs="DGMetaSerifScience"/>
          <w:sz w:val="24"/>
          <w:szCs w:val="24"/>
        </w:rPr>
        <w:t xml:space="preserve"> This allows the chemist to carry out </w:t>
      </w:r>
      <w:r w:rsidR="009D69AA">
        <w:rPr>
          <w:rFonts w:cs="DGMetaSerifScience"/>
          <w:sz w:val="24"/>
          <w:szCs w:val="24"/>
        </w:rPr>
        <w:t>“</w:t>
      </w:r>
      <w:r w:rsidR="004C5215">
        <w:rPr>
          <w:rFonts w:cs="DGMetaSerifScience"/>
          <w:sz w:val="24"/>
          <w:szCs w:val="24"/>
        </w:rPr>
        <w:t>one-flow multi-step synthesis</w:t>
      </w:r>
      <w:r w:rsidR="009D69AA">
        <w:rPr>
          <w:rFonts w:cs="DGMetaSerifScience"/>
          <w:sz w:val="24"/>
          <w:szCs w:val="24"/>
        </w:rPr>
        <w:t>”</w:t>
      </w:r>
      <w:r w:rsidR="004C5215">
        <w:rPr>
          <w:rFonts w:cs="DGMetaSerifScience"/>
          <w:sz w:val="24"/>
          <w:szCs w:val="24"/>
        </w:rPr>
        <w:t xml:space="preserve"> that would previously have required isolation and purification between steps.</w:t>
      </w:r>
      <w:r w:rsidR="009D69AA">
        <w:rPr>
          <w:rFonts w:cs="DGMetaSerifScience"/>
          <w:sz w:val="24"/>
          <w:szCs w:val="24"/>
        </w:rPr>
        <w:fldChar w:fldCharType="begin" w:fldLock="1"/>
      </w:r>
      <w:r w:rsidR="00F168DA">
        <w:rPr>
          <w:rFonts w:cs="DGMetaSerifScience"/>
          <w:sz w:val="24"/>
          <w:szCs w:val="24"/>
        </w:rPr>
        <w:instrText>ADDIN CSL_CITATION { "citationItems" : [ { "id" : "ITEM-1", "itemData" : { "DOI" : "10.1002/ceat.200900474", "ISSN" : "0930-7516", "abstract" : "A review.  Driven by the economics of scale, the size of reaction vessels as the major processing app. of the chem. industry has became bigger and bigger.  Consequently, the efforts for ensuring mixing and heat transfer have also increased, as these are scale dependent.  This has brought vessel operation to (partly severe) tech. limits, esp. when controlling harsh conditions, e.g., due to large heat releases.  Accordingly, processing at a very large scale has resulted in taming of the chem. involved in order to slow it down to a tech. controllable level.  Therefore, reaction paths that already turned out too aggressive at the lab. scale are automatically excluded for later scale-up, which constitutes a common everyday confinement in exploiting chem. transformations.  Org. chemists are barely conscious that even the small-scale lab. protocols in their textbooks contain many slow, disciplined chem. reactions.  Operations such as adding a reactant drop by drop in a large dild. solvent vol. have become second nature, but are not intrinsic to the good engineering of chem. reactions.  These are intrinsic to the chem. app. used in the past.  In contrast, today's process intensification and the new flow-chem. reactors on the micro- and milli-scale allow such limitations to be overcome, and thus, enable a complete, ab-initio type rethinking of the processes themselves.  In this way, space-time yields and the productivity of the reactor can be increased by orders of magnitude and other dramatic performance step changes can be achieved.  A hand-in-hand design of the reactors and process re-thinking is required to enable chem. rather than subduing chem. around the reactor.  This often leads to making use of process conditions far from conventional practice, under harsh environments, a procedure named here as novel process windows. [on SciFinder(R)]", "author" : [ { "dropping-particle" : "", "family" : "Hessel", "given" : "V", "non-dropping-particle" : "", "parse-names" : false, "suffix" : "" } ], "container-title" : "Chemical Engineering &amp; Technology", "id" : "ITEM-1", "issue" : "11", "issued" : { "date-parts" : [ [ "2009" ] ] }, "note" : "CAPLUS AN 2009:1348211(Journal; General Review)", "page" : "1655-1681", "publisher" : "Wiley-VCH Verlag GmbH &amp; Co. KGaA", "title" : "Novel Process Windows - Gate to Maximizing Process Intensification via Flow Chemistry.", "type" : "article-journal", "volume" : "32" }, "uris" : [ "http://www.mendeley.com/documents/?uuid=3bc25f12-8823-4129-9a5b-f426233d0c0b", "http://www.mendeley.com/documents/?uuid=7f15b643-6bfa-4ae0-a1cd-165c5904808e" ] } ], "mendeley" : { "formattedCitation" : "&lt;sup&gt;[85]&lt;/sup&gt;", "plainTextFormattedCitation" : "[85]", "previouslyFormattedCitation" : "&lt;sup&gt;[85]&lt;/sup&gt;" }, "properties" : { "noteIndex" : 0 }, "schema" : "https://github.com/citation-style-language/schema/raw/master/csl-citation.json" }</w:instrText>
      </w:r>
      <w:r w:rsidR="009D69AA">
        <w:rPr>
          <w:rFonts w:cs="DGMetaSerifScience"/>
          <w:sz w:val="24"/>
          <w:szCs w:val="24"/>
        </w:rPr>
        <w:fldChar w:fldCharType="separate"/>
      </w:r>
      <w:r w:rsidR="0055300D" w:rsidRPr="0055300D">
        <w:rPr>
          <w:rFonts w:cs="DGMetaSerifScience"/>
          <w:noProof/>
          <w:sz w:val="24"/>
          <w:szCs w:val="24"/>
          <w:vertAlign w:val="superscript"/>
        </w:rPr>
        <w:t>[85]</w:t>
      </w:r>
      <w:r w:rsidR="009D69AA">
        <w:rPr>
          <w:rFonts w:cs="DGMetaSerifScience"/>
          <w:sz w:val="24"/>
          <w:szCs w:val="24"/>
        </w:rPr>
        <w:fldChar w:fldCharType="end"/>
      </w:r>
      <w:r w:rsidR="008278BE">
        <w:rPr>
          <w:rFonts w:cs="DGMetaSerifScience"/>
          <w:sz w:val="24"/>
          <w:szCs w:val="24"/>
        </w:rPr>
        <w:t xml:space="preserve"> Bogdan </w:t>
      </w:r>
      <w:r w:rsidR="008278BE" w:rsidRPr="008F714D">
        <w:rPr>
          <w:rFonts w:cs="DGMetaSerifScience"/>
          <w:i/>
          <w:sz w:val="24"/>
          <w:szCs w:val="24"/>
        </w:rPr>
        <w:t>et al</w:t>
      </w:r>
      <w:r w:rsidR="008278BE">
        <w:rPr>
          <w:rFonts w:cs="DGMetaSerifScience"/>
          <w:sz w:val="24"/>
          <w:szCs w:val="24"/>
        </w:rPr>
        <w:t xml:space="preserve">. made use of this concept when developing a three-step telescoped synthesis of ibuprofen </w:t>
      </w:r>
      <w:r w:rsidR="00692239">
        <w:rPr>
          <w:rFonts w:cs="DGMetaSerifScience"/>
          <w:b/>
          <w:sz w:val="24"/>
          <w:szCs w:val="24"/>
        </w:rPr>
        <w:t>4</w:t>
      </w:r>
      <w:r w:rsidR="008A17E0">
        <w:rPr>
          <w:rFonts w:cs="DGMetaSerifScience"/>
          <w:b/>
          <w:sz w:val="24"/>
          <w:szCs w:val="24"/>
        </w:rPr>
        <w:t>2</w:t>
      </w:r>
      <w:r w:rsidR="00692239">
        <w:rPr>
          <w:rFonts w:cs="DGMetaSerifScience"/>
          <w:sz w:val="24"/>
          <w:szCs w:val="24"/>
        </w:rPr>
        <w:t xml:space="preserve">, as </w:t>
      </w:r>
      <w:r>
        <w:rPr>
          <w:rFonts w:cs="DGMetaSerifScience"/>
          <w:sz w:val="24"/>
          <w:szCs w:val="24"/>
        </w:rPr>
        <w:t>shown</w:t>
      </w:r>
      <w:r w:rsidR="00692239">
        <w:rPr>
          <w:rFonts w:cs="DGMetaSerifScience"/>
          <w:sz w:val="24"/>
          <w:szCs w:val="24"/>
        </w:rPr>
        <w:t xml:space="preserve"> in </w:t>
      </w:r>
      <w:r w:rsidR="00692239" w:rsidRPr="00692239">
        <w:rPr>
          <w:rFonts w:cs="DGMetaSerifScience"/>
          <w:b/>
          <w:sz w:val="24"/>
          <w:szCs w:val="24"/>
        </w:rPr>
        <w:t>Scheme 1.2</w:t>
      </w:r>
      <w:r w:rsidR="008A17E0">
        <w:rPr>
          <w:rFonts w:cs="DGMetaSerifScience"/>
          <w:b/>
          <w:sz w:val="24"/>
          <w:szCs w:val="24"/>
        </w:rPr>
        <w:t>7</w:t>
      </w:r>
      <w:r w:rsidR="008278BE">
        <w:rPr>
          <w:rFonts w:cs="DGMetaSerifScience"/>
          <w:sz w:val="24"/>
          <w:szCs w:val="24"/>
        </w:rPr>
        <w:t>.</w:t>
      </w:r>
      <w:r w:rsidR="008278BE">
        <w:rPr>
          <w:rFonts w:cs="DGMetaSerifScience"/>
          <w:sz w:val="24"/>
          <w:szCs w:val="24"/>
        </w:rPr>
        <w:fldChar w:fldCharType="begin" w:fldLock="1"/>
      </w:r>
      <w:r w:rsidR="00F168DA">
        <w:rPr>
          <w:rFonts w:cs="DGMetaSerifScience"/>
          <w:sz w:val="24"/>
          <w:szCs w:val="24"/>
        </w:rPr>
        <w:instrText>ADDIN CSL_CITATION { "citationItems" : [ { "id" : "ITEM-1", "itemData" : { "DOI" : "10.1002/anie.200903055", "ISSN" : "1433-7851", "abstract" : "A 3-step, continuous flow microreactor synthesis of ibuprofen comprised (i) TfOH-catalyzed Friedel-Crafts acylation of isobutylbenzene with propionic acid; (ii) oxidative 1,2-aryl migration of resultant 4-isobutylpropiophenone in presence of tri-Me orthoformate, PhI(OAc)2 and TfOH (from step i); and (iii) sapon. of resultant ibuprofen Me ester with KOH to produce ibuprofen in 68% crude yield and 51% yield after recrystn.  A 70% yield was obtained for the first two steps, with quant. conversion of 4-isobutylpropiophenone to ibuprofen Me ester. [on SciFinder(R)]", "author" : [ { "dropping-particle" : "", "family" : "Bogdan", "given" : "Andrew R", "non-dropping-particle" : "", "parse-names" : false, "suffix" : "" }, { "dropping-particle" : "", "family" : "Poe", "given" : "Sarah L", "non-dropping-particle" : "", "parse-names" : false, "suffix" : "" }, { "dropping-particle" : "", "family" : "Kubis", "given" : "Daniel C", "non-dropping-particle" : "", "parse-names" : false, "suffix" : "" }, { "dropping-particle" : "", "family" : "Broadwater", "given" : "Steven J", "non-dropping-particle" : "", "parse-names" : false, "suffix" : "" }, { "dropping-particle" : "", "family" : "McQuade", "given" : "D Tyler.", "non-dropping-particle" : "", "parse-names" : false, "suffix" : "" } ], "container-title" : "Angewandte Chemie, International Edition", "id" : "ITEM-1", "issue" : "45", "issued" : { "date-parts" : [ [ "2009" ] ] }, "note" : "CAPLUS AN 2009:1315869(Journal)", "page" : "8547-8550, S8547/1-S8547/28", "publisher" : "Wiley-VCH Verlag GmbH &amp; Co. KGaA", "title" : "The Continuous-Flow Synthesis of Ibuprofen.", "type" : "article-journal", "volume" : "48" }, "uris" : [ "http://www.mendeley.com/documents/?uuid=3ed81bf8-704a-4b66-9b3b-ea6bb7d483eb", "http://www.mendeley.com/documents/?uuid=b0ad0f80-f1ed-41ba-a106-188357da389e" ] } ], "mendeley" : { "formattedCitation" : "&lt;sup&gt;[86]&lt;/sup&gt;", "plainTextFormattedCitation" : "[86]", "previouslyFormattedCitation" : "&lt;sup&gt;[86]&lt;/sup&gt;" }, "properties" : { "noteIndex" : 0 }, "schema" : "https://github.com/citation-style-language/schema/raw/master/csl-citation.json" }</w:instrText>
      </w:r>
      <w:r w:rsidR="008278BE">
        <w:rPr>
          <w:rFonts w:cs="DGMetaSerifScience"/>
          <w:sz w:val="24"/>
          <w:szCs w:val="24"/>
        </w:rPr>
        <w:fldChar w:fldCharType="separate"/>
      </w:r>
      <w:r w:rsidR="0055300D" w:rsidRPr="0055300D">
        <w:rPr>
          <w:rFonts w:cs="DGMetaSerifScience"/>
          <w:noProof/>
          <w:sz w:val="24"/>
          <w:szCs w:val="24"/>
          <w:vertAlign w:val="superscript"/>
        </w:rPr>
        <w:t>[86]</w:t>
      </w:r>
      <w:r w:rsidR="008278BE">
        <w:rPr>
          <w:rFonts w:cs="DGMetaSerifScience"/>
          <w:sz w:val="24"/>
          <w:szCs w:val="24"/>
        </w:rPr>
        <w:fldChar w:fldCharType="end"/>
      </w:r>
      <w:r w:rsidR="008278BE">
        <w:rPr>
          <w:rFonts w:cs="DGMetaSerifScience"/>
          <w:sz w:val="24"/>
          <w:szCs w:val="24"/>
        </w:rPr>
        <w:t xml:space="preserve"> By designing a careful retrosynthetic analysis of ibuprofen the authors were able to design the synthesis such that any </w:t>
      </w:r>
      <w:r w:rsidR="00F73334">
        <w:rPr>
          <w:rFonts w:cs="DGMetaSerifScience"/>
          <w:sz w:val="24"/>
          <w:szCs w:val="24"/>
        </w:rPr>
        <w:t>by-products</w:t>
      </w:r>
      <w:r w:rsidR="008278BE">
        <w:rPr>
          <w:rFonts w:cs="DGMetaSerifScience"/>
          <w:sz w:val="24"/>
          <w:szCs w:val="24"/>
        </w:rPr>
        <w:t xml:space="preserve"> and excess reagents from one reaction were compatible with downstream reactions. This meant that the three step synthesis could be carried out as one sequence without any breaks for purification.</w:t>
      </w:r>
    </w:p>
    <w:p w:rsidR="008278BE" w:rsidRDefault="008278BE" w:rsidP="004C5215">
      <w:pPr>
        <w:autoSpaceDE w:val="0"/>
        <w:autoSpaceDN w:val="0"/>
        <w:adjustRightInd w:val="0"/>
        <w:spacing w:after="0" w:line="360" w:lineRule="auto"/>
        <w:jc w:val="both"/>
        <w:rPr>
          <w:rFonts w:cs="DGMetaSerifScience"/>
          <w:sz w:val="24"/>
          <w:szCs w:val="24"/>
        </w:rPr>
      </w:pPr>
    </w:p>
    <w:p w:rsidR="00894F99" w:rsidRDefault="008A17E0" w:rsidP="008278BE">
      <w:pPr>
        <w:autoSpaceDE w:val="0"/>
        <w:autoSpaceDN w:val="0"/>
        <w:adjustRightInd w:val="0"/>
        <w:spacing w:after="0" w:line="360" w:lineRule="auto"/>
        <w:jc w:val="center"/>
      </w:pPr>
      <w:r>
        <w:object w:dxaOrig="6530" w:dyaOrig="5803">
          <v:shape id="_x0000_i1054" type="#_x0000_t75" style="width:318pt;height:282pt" o:ole="">
            <v:imagedata r:id="rId75" o:title=""/>
          </v:shape>
          <o:OLEObject Type="Embed" ProgID="ChemDraw.Document.6.0" ShapeID="_x0000_i1054" DrawAspect="Content" ObjectID="_1531849597" r:id="rId76"/>
        </w:object>
      </w:r>
    </w:p>
    <w:p w:rsidR="00692239" w:rsidRDefault="00692239" w:rsidP="008278BE">
      <w:pPr>
        <w:autoSpaceDE w:val="0"/>
        <w:autoSpaceDN w:val="0"/>
        <w:adjustRightInd w:val="0"/>
        <w:spacing w:after="0" w:line="360" w:lineRule="auto"/>
        <w:jc w:val="center"/>
        <w:rPr>
          <w:rFonts w:cs="DGMetaSerifScience"/>
          <w:sz w:val="24"/>
          <w:szCs w:val="24"/>
        </w:rPr>
      </w:pPr>
      <w:r w:rsidRPr="00692239">
        <w:rPr>
          <w:rFonts w:cs="DGMetaSerifScience"/>
          <w:b/>
          <w:sz w:val="24"/>
          <w:szCs w:val="24"/>
        </w:rPr>
        <w:t>Scheme 1.2</w:t>
      </w:r>
      <w:r w:rsidR="008A17E0">
        <w:rPr>
          <w:rFonts w:cs="DGMetaSerifScience"/>
          <w:b/>
          <w:sz w:val="24"/>
          <w:szCs w:val="24"/>
        </w:rPr>
        <w:t>7</w:t>
      </w:r>
    </w:p>
    <w:p w:rsidR="004C5215" w:rsidRDefault="004C5215" w:rsidP="004C5215">
      <w:pPr>
        <w:autoSpaceDE w:val="0"/>
        <w:autoSpaceDN w:val="0"/>
        <w:adjustRightInd w:val="0"/>
        <w:spacing w:after="0" w:line="360" w:lineRule="auto"/>
        <w:jc w:val="both"/>
        <w:rPr>
          <w:rFonts w:cs="DGMetaSerifScience"/>
          <w:sz w:val="24"/>
          <w:szCs w:val="24"/>
        </w:rPr>
      </w:pPr>
    </w:p>
    <w:p w:rsidR="00FC1FA2" w:rsidRDefault="008278BE" w:rsidP="00FC1FA2">
      <w:pPr>
        <w:autoSpaceDE w:val="0"/>
        <w:autoSpaceDN w:val="0"/>
        <w:adjustRightInd w:val="0"/>
        <w:spacing w:after="0" w:line="360" w:lineRule="auto"/>
        <w:jc w:val="both"/>
        <w:rPr>
          <w:rFonts w:cs="AdvTTR"/>
          <w:sz w:val="24"/>
          <w:szCs w:val="24"/>
        </w:rPr>
      </w:pPr>
      <w:r>
        <w:rPr>
          <w:rFonts w:cs="AdvTTR"/>
          <w:sz w:val="24"/>
          <w:szCs w:val="24"/>
        </w:rPr>
        <w:t xml:space="preserve">In a </w:t>
      </w:r>
      <w:r w:rsidR="00692239">
        <w:rPr>
          <w:rFonts w:cs="AdvTTR"/>
          <w:sz w:val="24"/>
          <w:szCs w:val="24"/>
        </w:rPr>
        <w:t>continuous process</w:t>
      </w:r>
      <w:r>
        <w:rPr>
          <w:rFonts w:cs="AdvTTR"/>
          <w:sz w:val="24"/>
          <w:szCs w:val="24"/>
        </w:rPr>
        <w:t>, r</w:t>
      </w:r>
      <w:r w:rsidR="00A9011B">
        <w:rPr>
          <w:rFonts w:cs="AdvTTR"/>
          <w:sz w:val="24"/>
          <w:szCs w:val="24"/>
        </w:rPr>
        <w:t>eagents are pumped into a flow reactor separately, before meeting at a T-piece</w:t>
      </w:r>
      <w:r>
        <w:rPr>
          <w:rFonts w:cs="AdvTTR"/>
          <w:sz w:val="24"/>
          <w:szCs w:val="24"/>
        </w:rPr>
        <w:t xml:space="preserve">. </w:t>
      </w:r>
      <w:r w:rsidR="00A90419">
        <w:rPr>
          <w:rFonts w:cs="AdvTTR"/>
          <w:sz w:val="24"/>
          <w:szCs w:val="24"/>
        </w:rPr>
        <w:t>This</w:t>
      </w:r>
      <w:r w:rsidR="00A9011B">
        <w:rPr>
          <w:rFonts w:cs="AdvTTR"/>
          <w:sz w:val="24"/>
          <w:szCs w:val="24"/>
        </w:rPr>
        <w:t xml:space="preserve"> means that at any one time, a small volume of reagents</w:t>
      </w:r>
      <w:r w:rsidR="00A90419">
        <w:rPr>
          <w:rFonts w:cs="AdvTTR"/>
          <w:sz w:val="24"/>
          <w:szCs w:val="24"/>
        </w:rPr>
        <w:t xml:space="preserve"> are in contact with each other. This is especially important when the intermediates being formed are hazardous, toxic or volatile.</w:t>
      </w:r>
      <w:r w:rsidR="00D919D0">
        <w:rPr>
          <w:rFonts w:cs="AdvTTR"/>
          <w:sz w:val="24"/>
          <w:szCs w:val="24"/>
        </w:rPr>
        <w:fldChar w:fldCharType="begin" w:fldLock="1"/>
      </w:r>
      <w:r w:rsidR="00F168DA">
        <w:rPr>
          <w:rFonts w:cs="AdvTTR"/>
          <w:sz w:val="24"/>
          <w:szCs w:val="24"/>
        </w:rPr>
        <w:instrText>ADDIN CSL_CITATION { "citationItems" : [ { "id" : "ITEM-1", "itemData" : { "DOI" : "10.1002/chem.201102065", "ISSN" : "0947-6539", "abstract" : "The popularity of dedicated microwave reactors in many academic and industrial labs. has produced a plethora of synthetic protocols that are based on this enabling technol.  In the majority of examples, transformations that require several hours when performed using conventional heating under reflux conditions reach completion in a few minutes or even seconds in sealed-vessel, autoclave-type, microwave reactors.  However, one severe drawback of microwave chem. is the difficulty in scaling this technol. to a prodn.-scale level.  This concept article demonstrates that this limitation can be overcome by translating batch microwave chem. to scalable continuous-flow processes.  For this purpose, conventionally heated micro- or mesofluidic flow devices fitted with a back-pressure regulator are employed, in which the high temps. and pressures attainable in a sealed-vessel microwave chem. batch expt. can be mimicked. [on SciFinder(R)]", "author" : [ { "dropping-particle" : "", "family" : "Glasnov", "given" : "Toma N", "non-dropping-particle" : "", "parse-names" : false, "suffix" : "" }, { "dropping-particle" : "", "family" : "Kappe", "given" : "C Oliver.", "non-dropping-particle" : "", "parse-names" : false, "suffix" : "" } ], "container-title" : "Chemistry - A European Journal", "id" : "ITEM-1", "issue" : "43", "issued" : { "date-parts" : [ [ "2011" ] ] }, "note" : "CAPLUS AN 2011:1186066(Journal)", "page" : "11956-11968", "publisher" : "Wiley-VCH Verlag GmbH &amp; Co. KGaA", "title" : "The Microwave-to-Flow Paradigm: Translating High-Temperature Batch Microwave Chemistry to Scalable Continuous-Flow Processes.", "type" : "article-journal", "volume" : "17" }, "uris" : [ "http://www.mendeley.com/documents/?uuid=2b739bd7-4755-4a31-bb0b-dddb4e964306" ] } ], "mendeley" : { "formattedCitation" : "&lt;sup&gt;[78]&lt;/sup&gt;", "plainTextFormattedCitation" : "[78]", "previouslyFormattedCitation" : "&lt;sup&gt;[78]&lt;/sup&gt;" }, "properties" : { "noteIndex" : 0 }, "schema" : "https://github.com/citation-style-language/schema/raw/master/csl-citation.json" }</w:instrText>
      </w:r>
      <w:r w:rsidR="00D919D0">
        <w:rPr>
          <w:rFonts w:cs="AdvTTR"/>
          <w:sz w:val="24"/>
          <w:szCs w:val="24"/>
        </w:rPr>
        <w:fldChar w:fldCharType="separate"/>
      </w:r>
      <w:r w:rsidR="0055300D" w:rsidRPr="0055300D">
        <w:rPr>
          <w:rFonts w:cs="AdvTTR"/>
          <w:noProof/>
          <w:sz w:val="24"/>
          <w:szCs w:val="24"/>
          <w:vertAlign w:val="superscript"/>
        </w:rPr>
        <w:t>[78]</w:t>
      </w:r>
      <w:r w:rsidR="00D919D0">
        <w:rPr>
          <w:rFonts w:cs="AdvTTR"/>
          <w:sz w:val="24"/>
          <w:szCs w:val="24"/>
        </w:rPr>
        <w:fldChar w:fldCharType="end"/>
      </w:r>
      <w:r w:rsidR="00A90419">
        <w:rPr>
          <w:rFonts w:cs="AdvTTR"/>
          <w:sz w:val="24"/>
          <w:szCs w:val="24"/>
        </w:rPr>
        <w:t xml:space="preserve"> As the system is closed, the chemist is never in contact with any toxic reagents, and the potential for problems with highly reactive or explosive reagents is significantly reduced.</w:t>
      </w:r>
      <w:r w:rsidR="00D919D0">
        <w:rPr>
          <w:rFonts w:cs="AdvTTR"/>
          <w:sz w:val="24"/>
          <w:szCs w:val="24"/>
        </w:rPr>
        <w:fldChar w:fldCharType="begin" w:fldLock="1"/>
      </w:r>
      <w:r w:rsidR="00F168DA">
        <w:rPr>
          <w:rFonts w:cs="AdvTTR"/>
          <w:sz w:val="24"/>
          <w:szCs w:val="24"/>
        </w:rPr>
        <w:instrText>ADDIN CSL_CITATION { "citationItems" : [ { "id" : "ITEM-1", "itemData" : { "DOI" : "10.1515/gps-2013-0029", "ISSN" : "2191-9550", "abstract" : "A review.  Flow synthesis offers many advantages when applied to the processing of difficult or dangerous chem. transformations.  Furthermore, continuous prodn. allows for rapid scale up of reactions without significant redevelopment of the routes.  Importantly, it can also provide a versatile platform from which to build integrated multi-step transformations, delivering more advanced chem. architectures.  The construction of multi-purpose micro and meso flow systems, that utilize in-line purifn. and diagnostic capabilities, creates a scenario of seamless connectivity between sequential steps of a longer chem. sequence.  In this mini perspective, we will discuss our experience of target oriented multi-step synthesis as presented at the recent inaugural meeting of LEGOMEDIC at Namar University, Belgium. [on SciFinder(R)]", "author" : [ { "dropping-particle" : "", "family" : "Baxendale", "given" : "Ian R", "non-dropping-particle" : "", "parse-names" : false, "suffix" : "" }, { "dropping-particle" : "", "family" : "Brocken", "given" : "Laurens", "non-dropping-particle" : "", "parse-names" : false, "suffix" : "" }, { "dropping-particle" : "", "family" : "Mallia", "given" : "Carl J", "non-dropping-particle" : "", "parse-names" : false, "suffix" : "" } ], "container-title" : "Green Processing and Synthesis", "id" : "ITEM-1", "issue" : "3", "issued" : { "date-parts" : [ [ "2013" ] ] }, "note" : "CAPLUS AN 2014:633669(Journal; General Review; Online Computer File)", "page" : "211-230", "publisher" : "Walter de Gruyter GmbH", "title" : "Flow chemistry approaches directed at improving chemical synthesis.", "type" : "article-journal", "volume" : "2" }, "uris" : [ "http://www.mendeley.com/documents/?uuid=56c46227-2842-44ea-a518-5d28f7c9a874" ] } ], "mendeley" : { "formattedCitation" : "&lt;sup&gt;[77]&lt;/sup&gt;", "plainTextFormattedCitation" : "[77]", "previouslyFormattedCitation" : "&lt;sup&gt;[77]&lt;/sup&gt;" }, "properties" : { "noteIndex" : 0 }, "schema" : "https://github.com/citation-style-language/schema/raw/master/csl-citation.json" }</w:instrText>
      </w:r>
      <w:r w:rsidR="00D919D0">
        <w:rPr>
          <w:rFonts w:cs="AdvTTR"/>
          <w:sz w:val="24"/>
          <w:szCs w:val="24"/>
        </w:rPr>
        <w:fldChar w:fldCharType="separate"/>
      </w:r>
      <w:r w:rsidR="0055300D" w:rsidRPr="0055300D">
        <w:rPr>
          <w:rFonts w:cs="AdvTTR"/>
          <w:noProof/>
          <w:sz w:val="24"/>
          <w:szCs w:val="24"/>
          <w:vertAlign w:val="superscript"/>
        </w:rPr>
        <w:t>[77]</w:t>
      </w:r>
      <w:r w:rsidR="00D919D0">
        <w:rPr>
          <w:rFonts w:cs="AdvTTR"/>
          <w:sz w:val="24"/>
          <w:szCs w:val="24"/>
        </w:rPr>
        <w:fldChar w:fldCharType="end"/>
      </w:r>
      <w:r w:rsidR="00FD72B8">
        <w:rPr>
          <w:rFonts w:cs="AdvTTR"/>
          <w:sz w:val="24"/>
          <w:szCs w:val="24"/>
        </w:rPr>
        <w:t xml:space="preserve"> It also allows the chemist to </w:t>
      </w:r>
      <w:r w:rsidR="00FD72B8">
        <w:rPr>
          <w:sz w:val="24"/>
          <w:szCs w:val="24"/>
        </w:rPr>
        <w:t>isolate and use</w:t>
      </w:r>
      <w:r w:rsidR="00FD72B8" w:rsidRPr="00876F18">
        <w:rPr>
          <w:sz w:val="24"/>
          <w:szCs w:val="24"/>
        </w:rPr>
        <w:t xml:space="preserve"> compounds sensitive to air and/or moisture</w:t>
      </w:r>
      <w:r w:rsidR="00FD72B8">
        <w:rPr>
          <w:sz w:val="24"/>
          <w:szCs w:val="24"/>
        </w:rPr>
        <w:t>.</w:t>
      </w:r>
      <w:r w:rsidR="00F73334">
        <w:rPr>
          <w:sz w:val="24"/>
          <w:szCs w:val="24"/>
        </w:rPr>
        <w:fldChar w:fldCharType="begin" w:fldLock="1"/>
      </w:r>
      <w:r w:rsidR="00F168DA">
        <w:rPr>
          <w:sz w:val="24"/>
          <w:szCs w:val="24"/>
        </w:rPr>
        <w:instrText>ADDIN CSL_CITATION { "citationItems" : [ { "id" : "ITEM-1", "itemData" : { "DOI" : "10.1039/c3cs60246j", "ISSN" : "0306-0012", "abstract" : "A review.  The development and application of continuous flow chem. methods for synthesis is a rapidly growing area of research.  In particular, natural products provide demanding challenges to this developing technol.  This review highlights successes in the area with an emphasis on new opportunities and technol. advances. [on SciFinder(R)]", "author" : [ { "dropping-particle" : "", "family" : "Pastre", "given" : "Julio C", "non-dropping-particle" : "", "parse-names" : false, "suffix" : "" }, { "dropping-particle" : "", "family" : "Browne", "given" : "Duncan L", "non-dropping-particle" : "", "parse-names" : false, "suffix" : "" }, { "dropping-particle" : "V", "family" : "Ley", "given" : "Steven", "non-dropping-particle" : "", "parse-names" : false, "suffix" : "" } ], "container-title" : "Chemical Society Reviews", "id" : "ITEM-1", "issue" : "23", "issued" : { "date-parts" : [ [ "2013" ] ] }, "note" : "CAPLUS AN 2013:1719096(Journal; General Review; Online Computer File)", "page" : "8849-8869", "publisher" : "Royal Society of Chemistry", "title" : "Flow chemistry syntheses of natural products.", "type" : "article-journal", "volume" : "42" }, "uris" : [ "http://www.mendeley.com/documents/?uuid=0cadda60-cd05-47ea-bb22-f5d434b2cce6" ] } ], "mendeley" : { "formattedCitation" : "&lt;sup&gt;[81]&lt;/sup&gt;", "plainTextFormattedCitation" : "[81]", "previouslyFormattedCitation" : "&lt;sup&gt;[81]&lt;/sup&gt;" }, "properties" : { "noteIndex" : 0 }, "schema" : "https://github.com/citation-style-language/schema/raw/master/csl-citation.json" }</w:instrText>
      </w:r>
      <w:r w:rsidR="00F73334">
        <w:rPr>
          <w:sz w:val="24"/>
          <w:szCs w:val="24"/>
        </w:rPr>
        <w:fldChar w:fldCharType="separate"/>
      </w:r>
      <w:r w:rsidR="0055300D" w:rsidRPr="0055300D">
        <w:rPr>
          <w:noProof/>
          <w:sz w:val="24"/>
          <w:szCs w:val="24"/>
          <w:vertAlign w:val="superscript"/>
        </w:rPr>
        <w:t>[81]</w:t>
      </w:r>
      <w:r w:rsidR="00F73334">
        <w:rPr>
          <w:sz w:val="24"/>
          <w:szCs w:val="24"/>
        </w:rPr>
        <w:fldChar w:fldCharType="end"/>
      </w:r>
      <w:r w:rsidR="00BE0DFD">
        <w:rPr>
          <w:rFonts w:cs="AdvTTR"/>
          <w:sz w:val="24"/>
          <w:szCs w:val="24"/>
        </w:rPr>
        <w:t xml:space="preserve">  Flow chemistry</w:t>
      </w:r>
      <w:r w:rsidR="00A90419">
        <w:rPr>
          <w:rFonts w:cs="AdvTTR"/>
          <w:sz w:val="24"/>
          <w:szCs w:val="24"/>
        </w:rPr>
        <w:t xml:space="preserve"> employs a ‘make and use’ concept,</w:t>
      </w:r>
      <w:r w:rsidR="00FC1FA2">
        <w:rPr>
          <w:rFonts w:cs="AdvTTR"/>
          <w:sz w:val="24"/>
          <w:szCs w:val="24"/>
        </w:rPr>
        <w:fldChar w:fldCharType="begin" w:fldLock="1"/>
      </w:r>
      <w:r w:rsidR="00F168DA">
        <w:rPr>
          <w:rFonts w:cs="AdvTTR"/>
          <w:sz w:val="24"/>
          <w:szCs w:val="24"/>
        </w:rPr>
        <w:instrText>ADDIN CSL_CITATION { "citationItems" : [ { "id" : "ITEM-1", "itemData" : { "DOI" : "10.1515/gps-2013-0029", "ISSN" : "2191-9550", "abstract" : "A review.  Flow synthesis offers many advantages when applied to the processing of difficult or dangerous chem. transformations.  Furthermore, continuous prodn. allows for rapid scale up of reactions without significant redevelopment of the routes.  Importantly, it can also provide a versatile platform from which to build integrated multi-step transformations, delivering more advanced chem. architectures.  The construction of multi-purpose micro and meso flow systems, that utilize in-line purifn. and diagnostic capabilities, creates a scenario of seamless connectivity between sequential steps of a longer chem. sequence.  In this mini perspective, we will discuss our experience of target oriented multi-step synthesis as presented at the recent inaugural meeting of LEGOMEDIC at Namar University, Belgium. [on SciFinder(R)]", "author" : [ { "dropping-particle" : "", "family" : "Baxendale", "given" : "Ian R", "non-dropping-particle" : "", "parse-names" : false, "suffix" : "" }, { "dropping-particle" : "", "family" : "Brocken", "given" : "Laurens", "non-dropping-particle" : "", "parse-names" : false, "suffix" : "" }, { "dropping-particle" : "", "family" : "Mallia", "given" : "Carl J", "non-dropping-particle" : "", "parse-names" : false, "suffix" : "" } ], "container-title" : "Green Processing and Synthesis", "id" : "ITEM-1", "issue" : "3", "issued" : { "date-parts" : [ [ "2013" ] ] }, "note" : "CAPLUS AN 2014:633669(Journal; General Review; Online Computer File)", "page" : "211-230", "publisher" : "Walter de Gruyter GmbH", "title" : "Flow chemistry approaches directed at improving chemical synthesis.", "type" : "article-journal", "volume" : "2" }, "uris" : [ "http://www.mendeley.com/documents/?uuid=56c46227-2842-44ea-a518-5d28f7c9a874" ] } ], "mendeley" : { "formattedCitation" : "&lt;sup&gt;[77]&lt;/sup&gt;", "plainTextFormattedCitation" : "[77]", "previouslyFormattedCitation" : "&lt;sup&gt;[77]&lt;/sup&gt;" }, "properties" : { "noteIndex" : 0 }, "schema" : "https://github.com/citation-style-language/schema/raw/master/csl-citation.json" }</w:instrText>
      </w:r>
      <w:r w:rsidR="00FC1FA2">
        <w:rPr>
          <w:rFonts w:cs="AdvTTR"/>
          <w:sz w:val="24"/>
          <w:szCs w:val="24"/>
        </w:rPr>
        <w:fldChar w:fldCharType="separate"/>
      </w:r>
      <w:r w:rsidR="0055300D" w:rsidRPr="0055300D">
        <w:rPr>
          <w:rFonts w:cs="AdvTTR"/>
          <w:noProof/>
          <w:sz w:val="24"/>
          <w:szCs w:val="24"/>
          <w:vertAlign w:val="superscript"/>
        </w:rPr>
        <w:t>[77]</w:t>
      </w:r>
      <w:r w:rsidR="00FC1FA2">
        <w:rPr>
          <w:rFonts w:cs="AdvTTR"/>
          <w:sz w:val="24"/>
          <w:szCs w:val="24"/>
        </w:rPr>
        <w:fldChar w:fldCharType="end"/>
      </w:r>
      <w:r w:rsidR="00A90419">
        <w:rPr>
          <w:rFonts w:cs="AdvTTR"/>
          <w:sz w:val="24"/>
          <w:szCs w:val="24"/>
        </w:rPr>
        <w:t xml:space="preserve"> which means that any unstable or dangerous intermediates are generated and then rapidly transferred to the next stage of the reactor to be consumed, before decomposition or </w:t>
      </w:r>
      <w:r w:rsidR="00FD72B8">
        <w:rPr>
          <w:rFonts w:cs="AdvTTR"/>
          <w:sz w:val="24"/>
          <w:szCs w:val="24"/>
        </w:rPr>
        <w:t>other problems can occur. This further increases</w:t>
      </w:r>
      <w:r w:rsidR="00A90419">
        <w:rPr>
          <w:rFonts w:cs="AdvTTR"/>
          <w:sz w:val="24"/>
          <w:szCs w:val="24"/>
        </w:rPr>
        <w:t xml:space="preserve"> the safety profile of the flow process.</w:t>
      </w:r>
      <w:r w:rsidR="00FD72B8">
        <w:rPr>
          <w:rFonts w:cs="AdvTTR"/>
          <w:sz w:val="24"/>
          <w:szCs w:val="24"/>
        </w:rPr>
        <w:t xml:space="preserve"> </w:t>
      </w:r>
    </w:p>
    <w:p w:rsidR="00191D1A" w:rsidRDefault="00191D1A" w:rsidP="00FC1FA2">
      <w:pPr>
        <w:autoSpaceDE w:val="0"/>
        <w:autoSpaceDN w:val="0"/>
        <w:adjustRightInd w:val="0"/>
        <w:spacing w:after="0" w:line="360" w:lineRule="auto"/>
        <w:jc w:val="both"/>
        <w:rPr>
          <w:rFonts w:cs="AdvTTR"/>
          <w:sz w:val="24"/>
          <w:szCs w:val="24"/>
        </w:rPr>
      </w:pPr>
    </w:p>
    <w:p w:rsidR="00F73334" w:rsidRDefault="00FC1FA2" w:rsidP="00FC1FA2">
      <w:pPr>
        <w:autoSpaceDE w:val="0"/>
        <w:autoSpaceDN w:val="0"/>
        <w:adjustRightInd w:val="0"/>
        <w:spacing w:after="0" w:line="360" w:lineRule="auto"/>
        <w:jc w:val="both"/>
        <w:rPr>
          <w:rFonts w:cs="AdvTTR"/>
          <w:sz w:val="24"/>
          <w:szCs w:val="24"/>
        </w:rPr>
      </w:pPr>
      <w:r>
        <w:rPr>
          <w:rFonts w:cs="AdvTTR"/>
          <w:sz w:val="24"/>
          <w:szCs w:val="24"/>
        </w:rPr>
        <w:t>An application of this is seen in reports by Baxenda</w:t>
      </w:r>
      <w:r w:rsidR="008A17E0">
        <w:rPr>
          <w:rFonts w:cs="AdvTTR"/>
          <w:sz w:val="24"/>
          <w:szCs w:val="24"/>
        </w:rPr>
        <w:t>l</w:t>
      </w:r>
      <w:r>
        <w:rPr>
          <w:rFonts w:cs="AdvTTR"/>
          <w:sz w:val="24"/>
          <w:szCs w:val="24"/>
        </w:rPr>
        <w:t>e and co-workers.</w:t>
      </w:r>
      <w:r>
        <w:rPr>
          <w:rFonts w:cs="AdvTTR"/>
          <w:sz w:val="24"/>
          <w:szCs w:val="24"/>
        </w:rPr>
        <w:fldChar w:fldCharType="begin" w:fldLock="1"/>
      </w:r>
      <w:r w:rsidR="00F168DA">
        <w:rPr>
          <w:rFonts w:cs="AdvTTR"/>
          <w:sz w:val="24"/>
          <w:szCs w:val="24"/>
        </w:rPr>
        <w:instrText>ADDIN CSL_CITATION { "citationItems" : [ { "id" : "ITEM-1", "itemData" : { "DOI" : "10.1515/gps-2013-0029", "ISSN" : "2191-9550", "abstract" : "A review.  Flow synthesis offers many advantages when applied to the processing of difficult or dangerous chem. transformations.  Furthermore, continuous prodn. allows for rapid scale up of reactions without significant redevelopment of the routes.  Importantly, it can also provide a versatile platform from which to build integrated multi-step transformations, delivering more advanced chem. architectures.  The construction of multi-purpose micro and meso flow systems, that utilize in-line purifn. and diagnostic capabilities, creates a scenario of seamless connectivity between sequential steps of a longer chem. sequence.  In this mini perspective, we will discuss our experience of target oriented multi-step synthesis as presented at the recent inaugural meeting of LEGOMEDIC at Namar University, Belgium. [on SciFinder(R)]", "author" : [ { "dropping-particle" : "", "family" : "Baxendale", "given" : "Ian R", "non-dropping-particle" : "", "parse-names" : false, "suffix" : "" }, { "dropping-particle" : "", "family" : "Brocken", "given" : "Laurens", "non-dropping-particle" : "", "parse-names" : false, "suffix" : "" }, { "dropping-particle" : "", "family" : "Mallia", "given" : "Carl J", "non-dropping-particle" : "", "parse-names" : false, "suffix" : "" } ], "container-title" : "Green Processing and Synthesis", "id" : "ITEM-1", "issue" : "3", "issued" : { "date-parts" : [ [ "2013" ] ] }, "note" : "CAPLUS AN 2014:633669(Journal; General Review; Online Computer File)", "page" : "211-230", "publisher" : "Walter de Gruyter GmbH", "title" : "Flow chemistry approaches directed at improving chemical synthesis.", "type" : "article-journal", "volume" : "2" }, "uris" : [ "http://www.mendeley.com/documents/?uuid=56c46227-2842-44ea-a518-5d28f7c9a874" ] } ], "mendeley" : { "formattedCitation" : "&lt;sup&gt;[77]&lt;/sup&gt;", "plainTextFormattedCitation" : "[77]", "previouslyFormattedCitation" : "&lt;sup&gt;[77]&lt;/sup&gt;" }, "properties" : { "noteIndex" : 0 }, "schema" : "https://github.com/citation-style-language/schema/raw/master/csl-citation.json" }</w:instrText>
      </w:r>
      <w:r>
        <w:rPr>
          <w:rFonts w:cs="AdvTTR"/>
          <w:sz w:val="24"/>
          <w:szCs w:val="24"/>
        </w:rPr>
        <w:fldChar w:fldCharType="separate"/>
      </w:r>
      <w:r w:rsidR="0055300D" w:rsidRPr="0055300D">
        <w:rPr>
          <w:rFonts w:cs="AdvTTR"/>
          <w:noProof/>
          <w:sz w:val="24"/>
          <w:szCs w:val="24"/>
          <w:vertAlign w:val="superscript"/>
        </w:rPr>
        <w:t>[77]</w:t>
      </w:r>
      <w:r>
        <w:rPr>
          <w:rFonts w:cs="AdvTTR"/>
          <w:sz w:val="24"/>
          <w:szCs w:val="24"/>
        </w:rPr>
        <w:fldChar w:fldCharType="end"/>
      </w:r>
      <w:r>
        <w:rPr>
          <w:rFonts w:cs="AdvTTR"/>
          <w:sz w:val="24"/>
          <w:szCs w:val="24"/>
        </w:rPr>
        <w:t xml:space="preserve"> </w:t>
      </w:r>
      <w:r w:rsidR="00F73334">
        <w:rPr>
          <w:rFonts w:cs="AdvTTR"/>
          <w:sz w:val="24"/>
          <w:szCs w:val="24"/>
        </w:rPr>
        <w:t>Diethylamino sulfur trifluoride (DAST) is volatile, reacts violently with water and readily decomposes at temperatures above 90 °C</w:t>
      </w:r>
      <w:r w:rsidR="008A17E0">
        <w:rPr>
          <w:rFonts w:cs="AdvTTR"/>
          <w:sz w:val="24"/>
          <w:szCs w:val="24"/>
        </w:rPr>
        <w:t>; a</w:t>
      </w:r>
      <w:r w:rsidR="00F73334">
        <w:rPr>
          <w:rFonts w:cs="AdvTTR"/>
          <w:sz w:val="24"/>
          <w:szCs w:val="24"/>
        </w:rPr>
        <w:t xml:space="preserve">s such it is difficult to use in batch. However the authors successfully used it in a continuous flow process to carry out fluorination reactions – DAST </w:t>
      </w:r>
      <w:r w:rsidR="00F73334">
        <w:rPr>
          <w:rFonts w:cs="AdvTTR"/>
          <w:sz w:val="24"/>
          <w:szCs w:val="24"/>
        </w:rPr>
        <w:lastRenderedPageBreak/>
        <w:t xml:space="preserve">provides rapid access to many chemical structures by replacement of alcohols or carbonyl groups with mono- or </w:t>
      </w:r>
      <w:r w:rsidR="00F73334" w:rsidRPr="00F73334">
        <w:rPr>
          <w:rFonts w:cs="AdvTTR"/>
          <w:i/>
          <w:sz w:val="24"/>
          <w:szCs w:val="24"/>
        </w:rPr>
        <w:t>gem</w:t>
      </w:r>
      <w:r w:rsidR="00F73334">
        <w:rPr>
          <w:rFonts w:cs="AdvTTR"/>
          <w:sz w:val="24"/>
          <w:szCs w:val="24"/>
        </w:rPr>
        <w:t xml:space="preserve"> difluoro groups</w:t>
      </w:r>
      <w:r w:rsidR="002255A5">
        <w:rPr>
          <w:rFonts w:cs="AdvTTR"/>
          <w:sz w:val="24"/>
          <w:szCs w:val="24"/>
        </w:rPr>
        <w:t xml:space="preserve">, as shown in </w:t>
      </w:r>
      <w:r w:rsidR="002255A5" w:rsidRPr="002255A5">
        <w:rPr>
          <w:rFonts w:cs="AdvTTR"/>
          <w:b/>
          <w:sz w:val="24"/>
          <w:szCs w:val="24"/>
        </w:rPr>
        <w:t>Scheme 1.2</w:t>
      </w:r>
      <w:r w:rsidR="008A17E0">
        <w:rPr>
          <w:rFonts w:cs="AdvTTR"/>
          <w:b/>
          <w:sz w:val="24"/>
          <w:szCs w:val="24"/>
        </w:rPr>
        <w:t>8</w:t>
      </w:r>
      <w:r w:rsidR="00F73334">
        <w:rPr>
          <w:rFonts w:cs="AdvTTR"/>
          <w:sz w:val="24"/>
          <w:szCs w:val="24"/>
        </w:rPr>
        <w:t>.</w:t>
      </w:r>
    </w:p>
    <w:p w:rsidR="00FC1FA2" w:rsidRDefault="00E77CF9" w:rsidP="00FC1FA2">
      <w:pPr>
        <w:autoSpaceDE w:val="0"/>
        <w:autoSpaceDN w:val="0"/>
        <w:adjustRightInd w:val="0"/>
        <w:spacing w:after="0" w:line="360" w:lineRule="auto"/>
        <w:jc w:val="center"/>
      </w:pPr>
      <w:r>
        <w:object w:dxaOrig="8270" w:dyaOrig="6674">
          <v:shape id="_x0000_i1055" type="#_x0000_t75" style="width:412.5pt;height:333pt" o:ole="">
            <v:imagedata r:id="rId77" o:title=""/>
          </v:shape>
          <o:OLEObject Type="Embed" ProgID="ChemDraw.Document.6.0" ShapeID="_x0000_i1055" DrawAspect="Content" ObjectID="_1531849598" r:id="rId78"/>
        </w:object>
      </w:r>
    </w:p>
    <w:p w:rsidR="002255A5" w:rsidRPr="00F76366" w:rsidRDefault="002255A5" w:rsidP="00FC1FA2">
      <w:pPr>
        <w:autoSpaceDE w:val="0"/>
        <w:autoSpaceDN w:val="0"/>
        <w:adjustRightInd w:val="0"/>
        <w:spacing w:after="0" w:line="360" w:lineRule="auto"/>
        <w:jc w:val="center"/>
        <w:rPr>
          <w:rFonts w:cs="AdvTTR"/>
          <w:sz w:val="24"/>
          <w:szCs w:val="24"/>
        </w:rPr>
      </w:pPr>
      <w:r w:rsidRPr="002255A5">
        <w:rPr>
          <w:rFonts w:cs="AdvTTR"/>
          <w:b/>
          <w:sz w:val="24"/>
          <w:szCs w:val="24"/>
        </w:rPr>
        <w:t>Scheme 1.2</w:t>
      </w:r>
      <w:r w:rsidR="008A17E0">
        <w:rPr>
          <w:rFonts w:cs="AdvTTR"/>
          <w:b/>
          <w:sz w:val="24"/>
          <w:szCs w:val="24"/>
        </w:rPr>
        <w:t>8</w:t>
      </w:r>
    </w:p>
    <w:p w:rsidR="004C5215" w:rsidRDefault="004C5215" w:rsidP="00876F18">
      <w:pPr>
        <w:autoSpaceDE w:val="0"/>
        <w:autoSpaceDN w:val="0"/>
        <w:adjustRightInd w:val="0"/>
        <w:spacing w:after="0" w:line="360" w:lineRule="auto"/>
        <w:rPr>
          <w:rFonts w:cs="DGMetaSerifScience"/>
          <w:sz w:val="24"/>
          <w:szCs w:val="24"/>
        </w:rPr>
      </w:pPr>
    </w:p>
    <w:p w:rsidR="008C7A67" w:rsidRDefault="00A836C7" w:rsidP="00876F18">
      <w:pPr>
        <w:spacing w:line="360" w:lineRule="auto"/>
        <w:jc w:val="both"/>
        <w:rPr>
          <w:sz w:val="24"/>
          <w:szCs w:val="24"/>
        </w:rPr>
      </w:pPr>
      <w:r>
        <w:rPr>
          <w:sz w:val="24"/>
          <w:szCs w:val="24"/>
        </w:rPr>
        <w:t>Continuous processing is not without its disadvantages. Homogenous solutions are extremely important when carrying out flow chemistry, as due to the nature of the small diameter tubing in the reactor, any precipitate reagents will quickly clog the lines and lead to system failure from pressure elevated above the operating limits.</w:t>
      </w:r>
      <w:r w:rsidR="00191D1A">
        <w:rPr>
          <w:sz w:val="24"/>
          <w:szCs w:val="24"/>
        </w:rPr>
        <w:fldChar w:fldCharType="begin" w:fldLock="1"/>
      </w:r>
      <w:r w:rsidR="00F168DA">
        <w:rPr>
          <w:sz w:val="24"/>
          <w:szCs w:val="24"/>
        </w:rPr>
        <w:instrText>ADDIN CSL_CITATION { "citationItems" : [ { "id" : "ITEM-1", "itemData" : { "DOI" : "10.1002/anie.201004637", "ISSN" : "1433-7851", "abstract" : "A review.  The fine chems. and pharmaceutical industries are transforming how their products are manufd., where economically favorable, from traditional batchwise processes to continuous flow.  This evolution is impacting synthetic chem. on all scales-from the lab. to full prodn.  This article discusses the relative merits of batch and micro flow reactors for performing synthetic chem. in the lab. [on SciFinder(R)]", "author" : [ { "dropping-particle" : "", "family" : "Hartman", "given" : "Ryan L", "non-dropping-particle" : "", "parse-names" : false, "suffix" : "" }, { "dropping-particle" : "", "family" : "McMullen", "given" : "Jonathan P", "non-dropping-particle" : "", "parse-names" : false, "suffix" : "" }, { "dropping-particle" : "", "family" : "Jensen", "given" : "Klavs F", "non-dropping-particle" : "", "parse-names" : false, "suffix" : "" } ], "container-title" : "Angewandte Chemie, International Edition", "id" : "ITEM-1", "issue" : "33", "issued" : { "date-parts" : [ [ "2011" ] ] }, "note" : "CAPLUS AN 2011:804410(Journal; General Review)", "page" : "7502-7519, S7502/1-S7502/3", "publisher" : "Wiley-VCH Verlag GmbH &amp; Co. KGaA", "title" : "Deciding whether to go with the flow: evaluating the merits of flow reactors for synthesis.", "type" : "article-journal", "volume" : "50" }, "uris" : [ "http://www.mendeley.com/documents/?uuid=c3538970-635c-4e37-9997-f8f77956db32" ] } ], "mendeley" : { "formattedCitation" : "&lt;sup&gt;[79]&lt;/sup&gt;", "plainTextFormattedCitation" : "[79]", "previouslyFormattedCitation" : "&lt;sup&gt;[79]&lt;/sup&gt;" }, "properties" : { "noteIndex" : 0 }, "schema" : "https://github.com/citation-style-language/schema/raw/master/csl-citation.json" }</w:instrText>
      </w:r>
      <w:r w:rsidR="00191D1A">
        <w:rPr>
          <w:sz w:val="24"/>
          <w:szCs w:val="24"/>
        </w:rPr>
        <w:fldChar w:fldCharType="separate"/>
      </w:r>
      <w:r w:rsidR="0055300D" w:rsidRPr="0055300D">
        <w:rPr>
          <w:noProof/>
          <w:sz w:val="24"/>
          <w:szCs w:val="24"/>
          <w:vertAlign w:val="superscript"/>
        </w:rPr>
        <w:t>[79]</w:t>
      </w:r>
      <w:r w:rsidR="00191D1A">
        <w:rPr>
          <w:sz w:val="24"/>
          <w:szCs w:val="24"/>
        </w:rPr>
        <w:fldChar w:fldCharType="end"/>
      </w:r>
      <w:r>
        <w:rPr>
          <w:sz w:val="24"/>
          <w:szCs w:val="24"/>
        </w:rPr>
        <w:t xml:space="preserve"> </w:t>
      </w:r>
    </w:p>
    <w:p w:rsidR="00A52BD4" w:rsidRDefault="00A52BD4" w:rsidP="00A52BD4">
      <w:pPr>
        <w:autoSpaceDE w:val="0"/>
        <w:autoSpaceDN w:val="0"/>
        <w:adjustRightInd w:val="0"/>
        <w:spacing w:after="0" w:line="360" w:lineRule="auto"/>
        <w:jc w:val="both"/>
        <w:rPr>
          <w:rFonts w:cs="DGMetaSerifScience"/>
          <w:sz w:val="24"/>
          <w:szCs w:val="24"/>
        </w:rPr>
      </w:pPr>
      <w:r>
        <w:rPr>
          <w:sz w:val="24"/>
          <w:szCs w:val="24"/>
        </w:rPr>
        <w:t>Reaction planning is key in the use of flow reactors. Understanding the chemistry being performed, and identification of all by-products is critical i</w:t>
      </w:r>
      <w:r w:rsidR="008A17E0">
        <w:rPr>
          <w:sz w:val="24"/>
          <w:szCs w:val="24"/>
        </w:rPr>
        <w:t>n</w:t>
      </w:r>
      <w:r>
        <w:rPr>
          <w:sz w:val="24"/>
          <w:szCs w:val="24"/>
        </w:rPr>
        <w:t xml:space="preserve"> effective experiment </w:t>
      </w:r>
      <w:r w:rsidR="008A17E0">
        <w:rPr>
          <w:sz w:val="24"/>
          <w:szCs w:val="24"/>
        </w:rPr>
        <w:t>design, therefore d</w:t>
      </w:r>
      <w:r w:rsidRPr="00876F18">
        <w:rPr>
          <w:rFonts w:cs="DGMetaSerifScience"/>
          <w:sz w:val="24"/>
          <w:szCs w:val="24"/>
        </w:rPr>
        <w:t>ownstream post reaction</w:t>
      </w:r>
      <w:r>
        <w:rPr>
          <w:rFonts w:cs="DGMetaSerifScience"/>
          <w:sz w:val="24"/>
          <w:szCs w:val="24"/>
        </w:rPr>
        <w:t xml:space="preserve"> </w:t>
      </w:r>
      <w:r w:rsidRPr="00876F18">
        <w:rPr>
          <w:rFonts w:cs="DGMetaSerifScience"/>
          <w:sz w:val="24"/>
          <w:szCs w:val="24"/>
        </w:rPr>
        <w:t>clean-up</w:t>
      </w:r>
      <w:r>
        <w:rPr>
          <w:rFonts w:cs="DGMetaSerifScience"/>
          <w:sz w:val="24"/>
          <w:szCs w:val="24"/>
        </w:rPr>
        <w:t xml:space="preserve"> is essential.</w:t>
      </w:r>
      <w:r w:rsidR="00191D1A">
        <w:rPr>
          <w:rFonts w:cs="DGMetaSerifScience"/>
          <w:sz w:val="24"/>
          <w:szCs w:val="24"/>
        </w:rPr>
        <w:fldChar w:fldCharType="begin" w:fldLock="1"/>
      </w:r>
      <w:r w:rsidR="00F168DA">
        <w:rPr>
          <w:rFonts w:cs="DGMetaSerifScience"/>
          <w:sz w:val="24"/>
          <w:szCs w:val="24"/>
        </w:rPr>
        <w:instrText>ADDIN CSL_CITATION { "citationItems" : [ { "id" : "ITEM-1", "itemData" : { "DOI" : "10.1039/C0SC00381F", "ISSN" : "2041-6520", "abstract" : "Using continuous flow techniques for multi-step synthesis enables multiple reaction steps to be combined into a single continuous operation.  In this mini-review we discuss the current state of the art in this field and highlight recent progress and current challenges facing this emerging area. [on SciFinder(R)]", "author" : [ { "dropping-particle" : "", "family" : "Webb", "given" : "Damien", "non-dropping-particle" : "", "parse-names" : false, "suffix" : "" }, { "dropping-particle" : "", "family" : "Jamison", "given" : "Timothy F", "non-dropping-particle" : "", "parse-names" : false, "suffix" : "" } ], "container-title" : "Chemical Science", "id" : "ITEM-1", "issue" : "6", "issued" : { "date-parts" : [ [ "2010" ] ] }, "note" : "CAPLUS AN 2011:145865(Journal)", "page" : "675-680", "publisher" : "Royal Society of Chemistry", "title" : "Continuous flow multi-step organic synthesis.", "type" : "article-journal", "volume" : "1" }, "uris" : [ "http://www.mendeley.com/documents/?uuid=f25b580c-4ab4-43a3-9f0f-ab62d292b965" ] } ], "mendeley" : { "formattedCitation" : "&lt;sup&gt;[82]&lt;/sup&gt;", "plainTextFormattedCitation" : "[82]", "previouslyFormattedCitation" : "&lt;sup&gt;[82]&lt;/sup&gt;" }, "properties" : { "noteIndex" : 0 }, "schema" : "https://github.com/citation-style-language/schema/raw/master/csl-citation.json" }</w:instrText>
      </w:r>
      <w:r w:rsidR="00191D1A">
        <w:rPr>
          <w:rFonts w:cs="DGMetaSerifScience"/>
          <w:sz w:val="24"/>
          <w:szCs w:val="24"/>
        </w:rPr>
        <w:fldChar w:fldCharType="separate"/>
      </w:r>
      <w:r w:rsidR="0055300D" w:rsidRPr="0055300D">
        <w:rPr>
          <w:rFonts w:cs="DGMetaSerifScience"/>
          <w:noProof/>
          <w:sz w:val="24"/>
          <w:szCs w:val="24"/>
          <w:vertAlign w:val="superscript"/>
        </w:rPr>
        <w:t>[82]</w:t>
      </w:r>
      <w:r w:rsidR="00191D1A">
        <w:rPr>
          <w:rFonts w:cs="DGMetaSerifScience"/>
          <w:sz w:val="24"/>
          <w:szCs w:val="24"/>
        </w:rPr>
        <w:fldChar w:fldCharType="end"/>
      </w:r>
      <w:r>
        <w:rPr>
          <w:rFonts w:cs="DGMetaSerifScience"/>
          <w:sz w:val="24"/>
          <w:szCs w:val="24"/>
        </w:rPr>
        <w:t xml:space="preserve"> Effective quenching mechanisms must be put in place for any hazar</w:t>
      </w:r>
      <w:r w:rsidR="002255A5">
        <w:rPr>
          <w:rFonts w:cs="DGMetaSerifScience"/>
          <w:sz w:val="24"/>
          <w:szCs w:val="24"/>
        </w:rPr>
        <w:t>dous or toxic intermediates, as</w:t>
      </w:r>
      <w:r>
        <w:rPr>
          <w:rFonts w:cs="DGMetaSerifScience"/>
          <w:sz w:val="24"/>
          <w:szCs w:val="24"/>
        </w:rPr>
        <w:t xml:space="preserve"> well as </w:t>
      </w:r>
      <w:r w:rsidR="008A17E0">
        <w:rPr>
          <w:rFonts w:cs="DGMetaSerifScience"/>
          <w:sz w:val="24"/>
          <w:szCs w:val="24"/>
        </w:rPr>
        <w:t xml:space="preserve">a </w:t>
      </w:r>
      <w:r>
        <w:rPr>
          <w:rFonts w:cs="DGMetaSerifScience"/>
          <w:sz w:val="24"/>
          <w:szCs w:val="24"/>
        </w:rPr>
        <w:t>method of removing by-products if possible. An added challenge is ensuring</w:t>
      </w:r>
      <w:r w:rsidRPr="00876F18">
        <w:rPr>
          <w:rFonts w:cs="AdvPS497E2"/>
          <w:sz w:val="24"/>
          <w:szCs w:val="24"/>
        </w:rPr>
        <w:t xml:space="preserve"> downstream reagent</w:t>
      </w:r>
      <w:r>
        <w:rPr>
          <w:rFonts w:cs="AdvPS497E2"/>
          <w:sz w:val="24"/>
          <w:szCs w:val="24"/>
        </w:rPr>
        <w:t xml:space="preserve"> </w:t>
      </w:r>
      <w:r w:rsidRPr="00876F18">
        <w:rPr>
          <w:rFonts w:cs="AdvPS497E2"/>
          <w:sz w:val="24"/>
          <w:szCs w:val="24"/>
        </w:rPr>
        <w:t>compatibility</w:t>
      </w:r>
      <w:r>
        <w:rPr>
          <w:rFonts w:cs="AdvPS497E2"/>
          <w:sz w:val="24"/>
          <w:szCs w:val="24"/>
        </w:rPr>
        <w:t>. Solid s</w:t>
      </w:r>
      <w:r w:rsidRPr="00876F18">
        <w:rPr>
          <w:rFonts w:cs="DGMetaSerifScience"/>
          <w:sz w:val="24"/>
          <w:szCs w:val="24"/>
        </w:rPr>
        <w:t>upported</w:t>
      </w:r>
      <w:r>
        <w:rPr>
          <w:rFonts w:cs="DGMetaSerifScience"/>
          <w:sz w:val="24"/>
          <w:szCs w:val="24"/>
        </w:rPr>
        <w:t xml:space="preserve"> </w:t>
      </w:r>
      <w:r w:rsidRPr="00876F18">
        <w:rPr>
          <w:rFonts w:cs="DGMetaSerifScience"/>
          <w:sz w:val="24"/>
          <w:szCs w:val="24"/>
        </w:rPr>
        <w:t>reagents</w:t>
      </w:r>
      <w:r>
        <w:rPr>
          <w:rFonts w:cs="DGMetaSerifScience"/>
          <w:sz w:val="24"/>
          <w:szCs w:val="24"/>
        </w:rPr>
        <w:t xml:space="preserve"> are extremely useful for these purposes, </w:t>
      </w:r>
      <w:r w:rsidR="008A17E0">
        <w:rPr>
          <w:rFonts w:cs="DGMetaSerifScience"/>
          <w:sz w:val="24"/>
          <w:szCs w:val="24"/>
        </w:rPr>
        <w:t xml:space="preserve">but </w:t>
      </w:r>
      <w:r>
        <w:rPr>
          <w:rFonts w:cs="DGMetaSerifScience"/>
          <w:sz w:val="24"/>
          <w:szCs w:val="24"/>
        </w:rPr>
        <w:t xml:space="preserve">they too </w:t>
      </w:r>
      <w:r w:rsidRPr="00876F18">
        <w:rPr>
          <w:rFonts w:cs="DGMetaSerifScience"/>
          <w:sz w:val="24"/>
          <w:szCs w:val="24"/>
        </w:rPr>
        <w:t>have limitations regarding</w:t>
      </w:r>
      <w:r>
        <w:rPr>
          <w:rFonts w:cs="DGMetaSerifScience"/>
          <w:sz w:val="24"/>
          <w:szCs w:val="24"/>
        </w:rPr>
        <w:t xml:space="preserve"> </w:t>
      </w:r>
      <w:r w:rsidRPr="00876F18">
        <w:rPr>
          <w:rFonts w:cs="DGMetaSerifScience"/>
          <w:sz w:val="24"/>
          <w:szCs w:val="24"/>
        </w:rPr>
        <w:t>volume and scaling (pressure effects and reactor</w:t>
      </w:r>
      <w:r>
        <w:rPr>
          <w:rFonts w:cs="DGMetaSerifScience"/>
          <w:sz w:val="24"/>
          <w:szCs w:val="24"/>
        </w:rPr>
        <w:t xml:space="preserve"> volumes).</w:t>
      </w:r>
      <w:r w:rsidR="00191D1A">
        <w:rPr>
          <w:rFonts w:cs="DGMetaSerifScience"/>
          <w:sz w:val="24"/>
          <w:szCs w:val="24"/>
        </w:rPr>
        <w:fldChar w:fldCharType="begin" w:fldLock="1"/>
      </w:r>
      <w:r w:rsidR="00F168DA">
        <w:rPr>
          <w:rFonts w:cs="DGMetaSerifScience"/>
          <w:sz w:val="24"/>
          <w:szCs w:val="24"/>
        </w:rPr>
        <w:instrText>ADDIN CSL_CITATION { "citationItems" : [ { "id" : "ITEM-1", "itemData" : { "DOI" : "10.1039/C0SC00381F", "ISSN" : "2041-6520", "abstract" : "Using continuous flow techniques for multi-step synthesis enables multiple reaction steps to be combined into a single continuous operation.  In this mini-review we discuss the current state of the art in this field and highlight recent progress and current challenges facing this emerging area. [on SciFinder(R)]", "author" : [ { "dropping-particle" : "", "family" : "Webb", "given" : "Damien", "non-dropping-particle" : "", "parse-names" : false, "suffix" : "" }, { "dropping-particle" : "", "family" : "Jamison", "given" : "Timothy F", "non-dropping-particle" : "", "parse-names" : false, "suffix" : "" } ], "container-title" : "Chemical Science", "id" : "ITEM-1", "issue" : "6", "issued" : { "date-parts" : [ [ "2010" ] ] }, "note" : "CAPLUS AN 2011:145865(Journal)", "page" : "675-680", "publisher" : "Royal Society of Chemistry", "title" : "Continuous flow multi-step organic synthesis.", "type" : "article-journal", "volume" : "1" }, "uris" : [ "http://www.mendeley.com/documents/?uuid=f25b580c-4ab4-43a3-9f0f-ab62d292b965" ] }, { "id" : "ITEM-2", "itemData" : { "DOI" : "10.1515/gps-2013-0029", "ISSN" : "2191-9550", "abstract" : "A review.  Flow synthesis offers many advantages when applied to the processing of difficult or dangerous chem. transformations.  Furthermore, continuous prodn. allows for rapid scale up of reactions without significant redevelopment of the routes.  Importantly, it can also provide a versatile platform from which to build integrated multi-step transformations, delivering more advanced chem. architectures.  The construction of multi-purpose micro and meso flow systems, that utilize in-line purifn. and diagnostic capabilities, creates a scenario of seamless connectivity between sequential steps of a longer chem. sequence.  In this mini perspective, we will discuss our experience of target oriented multi-step synthesis as presented at the recent inaugural meeting of LEGOMEDIC at Namar University, Belgium. [on SciFinder(R)]", "author" : [ { "dropping-particle" : "", "family" : "Baxendale", "given" : "Ian R", "non-dropping-particle" : "", "parse-names" : false, "suffix" : "" }, { "dropping-particle" : "", "family" : "Brocken", "given" : "Laurens", "non-dropping-particle" : "", "parse-names" : false, "suffix" : "" }, { "dropping-particle" : "", "family" : "Mallia", "given" : "Carl J", "non-dropping-particle" : "", "parse-names" : false, "suffix" : "" } ], "container-title" : "Green Processing and Synthesis", "id" : "ITEM-2", "issue" : "3", "issued" : { "date-parts" : [ [ "2013" ] ] }, "note" : "CAPLUS AN 2014:633669(Journal; General Review; Online Computer File)", "page" : "211-230", "publisher" : "Walter de Gruyter GmbH", "title" : "Flow chemistry approaches directed at improving chemical synthesis.", "type" : "article-journal", "volume" : "2" }, "uris" : [ "http://www.mendeley.com/documents/?uuid=56c46227-2842-44ea-a518-5d28f7c9a874" ] } ], "mendeley" : { "formattedCitation" : "&lt;sup&gt;[77,82]&lt;/sup&gt;", "plainTextFormattedCitation" : "[77,82]", "previouslyFormattedCitation" : "&lt;sup&gt;[77,82]&lt;/sup&gt;" }, "properties" : { "noteIndex" : 0 }, "schema" : "https://github.com/citation-style-language/schema/raw/master/csl-citation.json" }</w:instrText>
      </w:r>
      <w:r w:rsidR="00191D1A">
        <w:rPr>
          <w:rFonts w:cs="DGMetaSerifScience"/>
          <w:sz w:val="24"/>
          <w:szCs w:val="24"/>
        </w:rPr>
        <w:fldChar w:fldCharType="separate"/>
      </w:r>
      <w:r w:rsidR="0055300D" w:rsidRPr="0055300D">
        <w:rPr>
          <w:rFonts w:cs="DGMetaSerifScience"/>
          <w:noProof/>
          <w:sz w:val="24"/>
          <w:szCs w:val="24"/>
          <w:vertAlign w:val="superscript"/>
        </w:rPr>
        <w:t>[77,82]</w:t>
      </w:r>
      <w:r w:rsidR="00191D1A">
        <w:rPr>
          <w:rFonts w:cs="DGMetaSerifScience"/>
          <w:sz w:val="24"/>
          <w:szCs w:val="24"/>
        </w:rPr>
        <w:fldChar w:fldCharType="end"/>
      </w:r>
    </w:p>
    <w:p w:rsidR="008A17E0" w:rsidRDefault="008A17E0" w:rsidP="00DD231C">
      <w:pPr>
        <w:pStyle w:val="Heading2"/>
      </w:pPr>
    </w:p>
    <w:p w:rsidR="003055B5" w:rsidRPr="003055B5" w:rsidRDefault="00DD231C" w:rsidP="00DD231C">
      <w:pPr>
        <w:pStyle w:val="Heading2"/>
      </w:pPr>
      <w:bookmarkStart w:id="14" w:name="_Toc446773067"/>
      <w:r>
        <w:lastRenderedPageBreak/>
        <w:t>1.</w:t>
      </w:r>
      <w:r w:rsidR="00591EF1">
        <w:t>4</w:t>
      </w:r>
      <w:r>
        <w:t xml:space="preserve">.2 </w:t>
      </w:r>
      <w:r w:rsidR="003055B5" w:rsidRPr="003055B5">
        <w:t xml:space="preserve">Generation of diazomethane using </w:t>
      </w:r>
      <w:r w:rsidR="00A939D6">
        <w:t>continuous flow</w:t>
      </w:r>
      <w:r w:rsidR="003055B5" w:rsidRPr="003055B5">
        <w:t xml:space="preserve"> technology</w:t>
      </w:r>
      <w:bookmarkEnd w:id="14"/>
    </w:p>
    <w:p w:rsidR="002E755A" w:rsidRDefault="002E755A" w:rsidP="002E755A">
      <w:pPr>
        <w:autoSpaceDE w:val="0"/>
        <w:autoSpaceDN w:val="0"/>
        <w:adjustRightInd w:val="0"/>
        <w:spacing w:after="0" w:line="360" w:lineRule="auto"/>
        <w:jc w:val="both"/>
        <w:rPr>
          <w:rFonts w:cs="DGMetaSerifScience"/>
          <w:sz w:val="24"/>
          <w:szCs w:val="24"/>
        </w:rPr>
      </w:pPr>
    </w:p>
    <w:p w:rsidR="00A52BD4" w:rsidRDefault="002E755A" w:rsidP="002E755A">
      <w:pPr>
        <w:spacing w:line="360" w:lineRule="auto"/>
        <w:jc w:val="both"/>
        <w:rPr>
          <w:sz w:val="24"/>
          <w:szCs w:val="24"/>
        </w:rPr>
      </w:pPr>
      <w:r w:rsidRPr="002E755A">
        <w:rPr>
          <w:sz w:val="24"/>
          <w:szCs w:val="24"/>
        </w:rPr>
        <w:t>Diazomethane</w:t>
      </w:r>
      <w:r w:rsidR="003055B5">
        <w:rPr>
          <w:sz w:val="24"/>
          <w:szCs w:val="24"/>
        </w:rPr>
        <w:t xml:space="preserve"> </w:t>
      </w:r>
      <w:r w:rsidR="002255A5">
        <w:rPr>
          <w:b/>
          <w:sz w:val="24"/>
          <w:szCs w:val="24"/>
        </w:rPr>
        <w:t>4</w:t>
      </w:r>
      <w:r w:rsidR="008A17E0">
        <w:rPr>
          <w:b/>
          <w:sz w:val="24"/>
          <w:szCs w:val="24"/>
        </w:rPr>
        <w:t>4</w:t>
      </w:r>
      <w:r w:rsidRPr="002E755A">
        <w:rPr>
          <w:sz w:val="24"/>
          <w:szCs w:val="24"/>
        </w:rPr>
        <w:t xml:space="preserve"> is a powerful carcinogen and allergen and is highly toxic with a permissible exposure limit of 0.2 ppm averaged over an 8-h period.</w:t>
      </w:r>
      <w:r w:rsidR="003055B5">
        <w:rPr>
          <w:sz w:val="24"/>
          <w:szCs w:val="24"/>
        </w:rPr>
        <w:t xml:space="preserve"> However, the biggest impediment to its use on an industrial scale is very high sensitivity to shock and heat. The explosive </w:t>
      </w:r>
      <w:r w:rsidR="00861E8D">
        <w:rPr>
          <w:sz w:val="24"/>
          <w:szCs w:val="24"/>
        </w:rPr>
        <w:t>nature</w:t>
      </w:r>
      <w:r w:rsidR="003055B5">
        <w:rPr>
          <w:sz w:val="24"/>
          <w:szCs w:val="24"/>
        </w:rPr>
        <w:t xml:space="preserve"> of </w:t>
      </w:r>
      <w:r w:rsidR="002255A5">
        <w:rPr>
          <w:b/>
          <w:sz w:val="24"/>
          <w:szCs w:val="24"/>
        </w:rPr>
        <w:t>4</w:t>
      </w:r>
      <w:r w:rsidR="008A17E0">
        <w:rPr>
          <w:b/>
          <w:sz w:val="24"/>
          <w:szCs w:val="24"/>
        </w:rPr>
        <w:t>4</w:t>
      </w:r>
      <w:r w:rsidR="003055B5">
        <w:rPr>
          <w:sz w:val="24"/>
          <w:szCs w:val="24"/>
        </w:rPr>
        <w:t xml:space="preserve"> is such that its </w:t>
      </w:r>
      <w:r w:rsidR="00861E8D">
        <w:rPr>
          <w:sz w:val="24"/>
          <w:szCs w:val="24"/>
        </w:rPr>
        <w:t>batch</w:t>
      </w:r>
      <w:r w:rsidR="003055B5">
        <w:rPr>
          <w:sz w:val="24"/>
          <w:szCs w:val="24"/>
        </w:rPr>
        <w:t xml:space="preserve"> synthesis must be carried out in specialised vessels without ground glass joints. </w:t>
      </w:r>
      <w:r w:rsidR="00545DDD">
        <w:rPr>
          <w:sz w:val="24"/>
          <w:szCs w:val="24"/>
        </w:rPr>
        <w:t xml:space="preserve">There have been several methods </w:t>
      </w:r>
      <w:r w:rsidR="00B85477">
        <w:rPr>
          <w:sz w:val="24"/>
          <w:szCs w:val="24"/>
        </w:rPr>
        <w:t>reported</w:t>
      </w:r>
      <w:r w:rsidR="00545DDD">
        <w:rPr>
          <w:sz w:val="24"/>
          <w:szCs w:val="24"/>
        </w:rPr>
        <w:t xml:space="preserve"> for generating diazomethane in small quantities at a laboratory scale using flow reactors,</w:t>
      </w:r>
      <w:r w:rsidR="001629CF">
        <w:rPr>
          <w:sz w:val="24"/>
          <w:szCs w:val="24"/>
        </w:rPr>
        <w:fldChar w:fldCharType="begin" w:fldLock="1"/>
      </w:r>
      <w:r w:rsidR="00F168DA">
        <w:rPr>
          <w:sz w:val="24"/>
          <w:szCs w:val="24"/>
        </w:rPr>
        <w:instrText>ADDIN CSL_CITATION { "citationItems" : [ { "id" : "ITEM-1", "itemData" : { "DOI" : "10.1002/anie.201101977", "ISSN" : "1433-7851", "abstract" : "A method for the continuous in-situ on-demand generation, sepn., and reaction of diazomethane from precursor diazald (I) in a dual-channel microreactor has been developed.  The microchem. system allows a variety of diazomethane reactions to be performed without the most common problems of prepn., handling, transfer, and decompn. [on SciFinder(R)]", "author" : [ { "dropping-particle" : "", "family" : "Maurya", "given" : "Ram Awatar", "non-dropping-particle" : "", "parse-names" : false, "suffix" : "" }, { "dropping-particle" : "", "family" : "Park", "given" : "Chan Pil", "non-dropping-particle" : "", "parse-names" : false, "suffix" : "" }, { "dropping-particle" : "", "family" : "Lee", "given" : "Jang Han", "non-dropping-particle" : "", "parse-names" : false, "suffix" : "" }, { "dropping-particle" : "", "family" : "Kim", "given" : "Dong-Pyo.", "non-dropping-particle" : "", "parse-names" : false, "suffix" : "" } ], "container-title" : "Angewandte Chemie, International Edition", "id" : "ITEM-1", "issue" : "26", "issued" : { "date-parts" : [ [ "2011" ] ] }, "note" : "CAPLUS AN 2011:660763(Journal)", "page" : "5952-5955, S5952/1-S5952/8", "publisher" : "Wiley-VCH Verlag GmbH &amp; Co. KGaA", "title" : "Continuous In-Situ Generation, Separation, and Reaction of Diazomethane in a Dual-Channel Microreactor.", "type" : "article-journal", "volume" : "50" }, "uris" : [ "http://www.mendeley.com/documents/?uuid=7360cf08-0989-4169-b143-e9661455b8ea" ] }, { "id" : "ITEM-2", "itemData" : { "DOI" : "10.1021/op200110a", "ISSN" : "1083-6160", "abstract" : "Diazomethane is a valuable derivatizing agent but very difficult to handle for large-scale chem. transformations.  We report here the base-induced decompn. of N-methyl-N-nitrosourea under continuous-flow conditions that enables the prodn. up to 19 mol d-1 of diazomethane, at a total flow rate of 53 mL min-1. [on SciFinder(R)]", "author" : [ { "dropping-particle" : "", "family" : "Rossi", "given" : "Emiliano", "non-dropping-particle" : "", "parse-names" : false, "suffix" : "" }, { "dropping-particle" : "", "family" : "Woehl", "given" : "Pierre", "non-dropping-particle" : "", "parse-names" : false, "suffix" : "" }, { "dropping-particle" : "", "family" : "Maggini", "given" : "Michele.", "non-dropping-particle" : "", "parse-names" : false, "suffix" : "" } ], "container-title" : "Organic Process Research &amp; Development", "id" : "ITEM-2", "issue" : "5", "issued" : { "date-parts" : [ [ "2012" ] ] }, "note" : "CAPLUS AN 2011:1605720(Journal; Online Computer File)", "page" : "1146-1149", "publisher" : "American Chemical Society", "title" : "Scalable in Situ Diazomethane Generation in Continuous-Flow Reactors.", "type" : "article-journal", "volume" : "16" }, "uris" : [ "http://www.mendeley.com/documents/?uuid=d6c495e3-e093-4af3-bb53-80ee4e347be4" ] }, { "id" : "ITEM-3", "itemData" : { "DOI" : "10.1039/B710554A", "ISSN" : "1463-9262", "abstract" : "Micro-reaction technol. offers a safe way to deliver diazomethane on demand both on the R&amp;D and the industrially relevant scale, including in situ conversion to the desired product to avoid handling and storage of explosive diazomethane solns., thus making this potent compd. accessible for the pharmaceutical and fine chem. sector. [on SciFinder(R)]", "author" : [ { "dropping-particle" : "", "family" : "Struempel", "given" : "Michael", "non-dropping-particle" : "", "parse-names" : false, "suffix" : "" }, { "dropping-particle" : "", "family" : "Ondruschka", "given" : "Bernd", "non-dropping-particle" : "", "parse-names" : false, "suffix" : "" }, { "dropping-particle" : "", "family" : "Daute", "given" : "Ralf", "non-dropping-particle" : "", "parse-names" : false, "suffix" : "" }, { "dropping-particle" : "", "family" : "Stark", "given" : "Annegret.", "non-dropping-particle" : "", "parse-names" : false, "suffix" : "" } ], "container-title" : "Green Chemistry", "id" : "ITEM-3", "issue" : "1", "issued" : { "date-parts" : [ [ "2008" ] ] }, "note" : "CAPLUS AN 2008:13478(Journal)", "page" : "41-43", "publisher" : "Royal Society of Chemistry", "title" : "Making diazomethane accessible for R&amp;D and industry: generation and direct conversion in a continuous micro-reactor set-up.", "type" : "article-journal", "volume" : "10" }, "uris" : [ "http://www.mendeley.com/documents/?uuid=ee936158-c62e-4e78-9ba3-08a2608a4e0d" ] }, { "id" : "ITEM-4", "itemData" : { "ISSN" : "0009-286X", "author" : [ { "dropping-particle" : "", "family" : "Ferstl", "given" : "Wolfgang F", "non-dropping-particle" : "", "parse-names" : false, "suffix" : "" }, { "dropping-particle" : "", "family" : "Schwarzer", "given" : "M S", "non-dropping-particle" : "", "parse-names" : false, "suffix" : "" }, { "dropping-particle" : "", "family" : "Loebbecke", "given" : "S L", "non-dropping-particle" : "", "parse-names" : false, "suffix" : "" } ], "container-title" : "Chemie Ingenieur Technik", "id" : "ITEM-4", "issue" : "9", "issued" : { "date-parts" : [ [ "2004" ] ] }, "note" : "CAPLUS AN 2004:869968(Journal; Miscellaneous)", "page" : "1326-1327", "publisher" : "Wiley-VCH Verlag GmbH &amp; Co. KGaA", "title" : "Use of microreaction technology for reduction of the hazard potential in synthesis and reaction of diazomethane.", "type" : "article-journal", "volume" : "76" }, "uris" : [ "http://www.mendeley.com/documents/?uuid=d0d0c219-f750-43fd-b8e5-b6ecee98d28b" ] } ], "mendeley" : { "formattedCitation" : "&lt;sup&gt;[87\u201390]&lt;/sup&gt;", "plainTextFormattedCitation" : "[87\u201390]", "previouslyFormattedCitation" : "&lt;sup&gt;[87\u201390]&lt;/sup&gt;" }, "properties" : { "noteIndex" : 0 }, "schema" : "https://github.com/citation-style-language/schema/raw/master/csl-citation.json" }</w:instrText>
      </w:r>
      <w:r w:rsidR="001629CF">
        <w:rPr>
          <w:sz w:val="24"/>
          <w:szCs w:val="24"/>
        </w:rPr>
        <w:fldChar w:fldCharType="separate"/>
      </w:r>
      <w:r w:rsidR="0055300D" w:rsidRPr="0055300D">
        <w:rPr>
          <w:noProof/>
          <w:sz w:val="24"/>
          <w:szCs w:val="24"/>
          <w:vertAlign w:val="superscript"/>
        </w:rPr>
        <w:t>[87–90]</w:t>
      </w:r>
      <w:r w:rsidR="001629CF">
        <w:rPr>
          <w:sz w:val="24"/>
          <w:szCs w:val="24"/>
        </w:rPr>
        <w:fldChar w:fldCharType="end"/>
      </w:r>
      <w:r w:rsidR="00B85477">
        <w:rPr>
          <w:sz w:val="24"/>
          <w:szCs w:val="24"/>
        </w:rPr>
        <w:t xml:space="preserve"> however the real challenge lies in safely generating and using industrial scale quantities. Several reported methods are outlined below.</w:t>
      </w:r>
    </w:p>
    <w:p w:rsidR="003055B5" w:rsidRDefault="003055B5" w:rsidP="002E755A">
      <w:pPr>
        <w:spacing w:line="360" w:lineRule="auto"/>
        <w:jc w:val="both"/>
        <w:rPr>
          <w:sz w:val="24"/>
          <w:szCs w:val="24"/>
        </w:rPr>
      </w:pPr>
      <w:r>
        <w:rPr>
          <w:sz w:val="24"/>
          <w:szCs w:val="24"/>
        </w:rPr>
        <w:t>The first company to publish methods capable of generating truly large volumes of diazomethane is Aerojet General Corporation.</w:t>
      </w:r>
      <w:r>
        <w:rPr>
          <w:sz w:val="24"/>
          <w:szCs w:val="24"/>
        </w:rPr>
        <w:fldChar w:fldCharType="begin" w:fldLock="1"/>
      </w:r>
      <w:r w:rsidR="00F168DA">
        <w:rPr>
          <w:sz w:val="24"/>
          <w:szCs w:val="24"/>
        </w:rPr>
        <w:instrText>ADDIN CSL_CITATION { "citationItems" : [ { "id" : "ITEM-1", "itemData" : { "abstract" : "Diazomethane is produced in a continuous process with little or no explosion hazard, by dissolving an N-methyl-N-nitrosoamine in a mixt. of a water-miscible org. solvent that dissolves the N-methyl-N-nitrosoamine and a water-immiscible org. solvent that dissolves diazomethane, and combining a stream of this soln. with a stream of an aq. inorg. base, allowing the aq. and org. phases to settle after a suitable residence time, and phase sepg. the phases.  When using N-methyl-N-nitrosourea as the amine, the diazomethane process is preceded by a continuous nitrosation process involving combining aq. solns. of methylurea and a nitrite salt with an org. soln. of a mineral or org. acid, the solvent in the org. soln. being a mixt. of the two org. solvents referred to above, allowing the aq. and org. phases to settle after a suitable residence time, and phase sepg. the phases.  The resulting org. phase is continuously fed to the diazomethane stages described above. [on SciFinder(R)]", "author" : [ { "dropping-particle" : "", "family" : "Archibald", "given" : "Thomas G", "non-dropping-particle" : "", "parse-names" : false, "suffix" : "" }, { "dropping-particle" : "", "family" : "Barnard", "given" : "James C", "non-dropping-particle" : "", "parse-names" : false, "suffix" : "" }, { "dropping-particle" : "", "family" : "Reese", "given" : "Harlan F", "non-dropping-particle" : "", "parse-names" : false, "suffix" : "" } ], "container-title" : "U.S.", "id" : "ITEM-1", "issue" : "US5854405A", "issued" : { "date-parts" : [ [ "1998", "12", "29" ] ] }, "note" : "CAPLUS AN 1999:21721(Patent)", "page" : "9 pp.", "publisher" : "Aerojet-General Corporation, USA .", "title" : "Continuous process for diazomethane from an N-methyl-N-nitrosoamine and from methylurea through N-methyl-N-nitrosourea.", "type" : "patent" }, "uris" : [ "http://www.mendeley.com/documents/?uuid=1c0dc364-8bf5-48ca-838a-5cb9474b0384" ] } ], "mendeley" : { "formattedCitation" : "&lt;sup&gt;[91]&lt;/sup&gt;", "plainTextFormattedCitation" : "[91]", "previouslyFormattedCitation" : "&lt;sup&gt;[91]&lt;/sup&gt;"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[91]</w:t>
      </w:r>
      <w:r>
        <w:rPr>
          <w:sz w:val="24"/>
          <w:szCs w:val="24"/>
        </w:rPr>
        <w:fldChar w:fldCharType="end"/>
      </w:r>
      <w:r w:rsidR="00D07BF3">
        <w:rPr>
          <w:sz w:val="24"/>
          <w:szCs w:val="24"/>
        </w:rPr>
        <w:t xml:space="preserve"> This process generated </w:t>
      </w:r>
      <w:r w:rsidR="002255A5">
        <w:rPr>
          <w:b/>
          <w:sz w:val="24"/>
          <w:szCs w:val="24"/>
        </w:rPr>
        <w:t>4</w:t>
      </w:r>
      <w:r w:rsidR="008A17E0">
        <w:rPr>
          <w:b/>
          <w:sz w:val="24"/>
          <w:szCs w:val="24"/>
        </w:rPr>
        <w:t>4</w:t>
      </w:r>
      <w:r w:rsidR="00D07BF3">
        <w:rPr>
          <w:sz w:val="24"/>
          <w:szCs w:val="24"/>
        </w:rPr>
        <w:t xml:space="preserve"> in ethereal solution from decomposition of </w:t>
      </w:r>
      <w:r w:rsidR="00D07BF3" w:rsidRPr="002E68DE">
        <w:rPr>
          <w:i/>
          <w:sz w:val="24"/>
          <w:szCs w:val="24"/>
        </w:rPr>
        <w:t>N</w:t>
      </w:r>
      <w:r w:rsidR="00D07BF3">
        <w:rPr>
          <w:sz w:val="24"/>
          <w:szCs w:val="24"/>
        </w:rPr>
        <w:t>-nitroso-</w:t>
      </w:r>
      <w:r w:rsidR="00D07BF3" w:rsidRPr="002E68DE">
        <w:rPr>
          <w:i/>
          <w:sz w:val="24"/>
          <w:szCs w:val="24"/>
        </w:rPr>
        <w:t>N</w:t>
      </w:r>
      <w:r w:rsidR="00D07BF3">
        <w:rPr>
          <w:sz w:val="24"/>
          <w:szCs w:val="24"/>
        </w:rPr>
        <w:t xml:space="preserve">-methylurea </w:t>
      </w:r>
      <w:r w:rsidR="002255A5">
        <w:rPr>
          <w:b/>
          <w:sz w:val="24"/>
          <w:szCs w:val="24"/>
        </w:rPr>
        <w:t>43</w:t>
      </w:r>
      <w:r w:rsidR="00D07BF3">
        <w:rPr>
          <w:sz w:val="24"/>
          <w:szCs w:val="24"/>
        </w:rPr>
        <w:t xml:space="preserve"> by addition of aqueous KOH reagent stream</w:t>
      </w:r>
      <w:r w:rsidR="002255A5">
        <w:rPr>
          <w:sz w:val="24"/>
          <w:szCs w:val="24"/>
        </w:rPr>
        <w:t xml:space="preserve">, illustrated below in </w:t>
      </w:r>
      <w:r w:rsidR="002255A5" w:rsidRPr="002255A5">
        <w:rPr>
          <w:b/>
          <w:sz w:val="24"/>
          <w:szCs w:val="24"/>
        </w:rPr>
        <w:t>Scheme 1.2</w:t>
      </w:r>
      <w:r w:rsidR="008A17E0">
        <w:rPr>
          <w:b/>
          <w:sz w:val="24"/>
          <w:szCs w:val="24"/>
        </w:rPr>
        <w:t>9</w:t>
      </w:r>
      <w:r w:rsidR="00D07BF3">
        <w:rPr>
          <w:sz w:val="24"/>
          <w:szCs w:val="24"/>
        </w:rPr>
        <w:t>. The process used a series of continuously stirred tank reactor (CSTR) stages, and was capable of providing a continuous supply of 61 mol h</w:t>
      </w:r>
      <w:r w:rsidR="00D07BF3">
        <w:rPr>
          <w:sz w:val="24"/>
          <w:szCs w:val="24"/>
          <w:vertAlign w:val="superscript"/>
        </w:rPr>
        <w:t>-1</w:t>
      </w:r>
      <w:r w:rsidR="00D07BF3">
        <w:rPr>
          <w:sz w:val="24"/>
          <w:szCs w:val="24"/>
        </w:rPr>
        <w:t xml:space="preserve"> of diazomethane in THF/ether.</w:t>
      </w:r>
    </w:p>
    <w:p w:rsidR="002E68DE" w:rsidRDefault="008A17E0" w:rsidP="00A91ACB">
      <w:pPr>
        <w:spacing w:line="360" w:lineRule="auto"/>
        <w:jc w:val="center"/>
      </w:pPr>
      <w:r>
        <w:object w:dxaOrig="6035" w:dyaOrig="2039">
          <v:shape id="_x0000_i1056" type="#_x0000_t75" style="width:294.75pt;height:100.5pt" o:ole="">
            <v:imagedata r:id="rId79" o:title=""/>
          </v:shape>
          <o:OLEObject Type="Embed" ProgID="ChemDraw.Document.6.0" ShapeID="_x0000_i1056" DrawAspect="Content" ObjectID="_1531849599" r:id="rId80"/>
        </w:object>
      </w:r>
    </w:p>
    <w:p w:rsidR="002255A5" w:rsidRDefault="002255A5" w:rsidP="00A91ACB">
      <w:pPr>
        <w:spacing w:line="360" w:lineRule="auto"/>
        <w:jc w:val="center"/>
        <w:rPr>
          <w:b/>
          <w:sz w:val="24"/>
          <w:szCs w:val="24"/>
        </w:rPr>
      </w:pPr>
      <w:r w:rsidRPr="002255A5">
        <w:rPr>
          <w:b/>
          <w:sz w:val="24"/>
          <w:szCs w:val="24"/>
        </w:rPr>
        <w:t>Scheme 1.2</w:t>
      </w:r>
      <w:r w:rsidR="008A17E0">
        <w:rPr>
          <w:b/>
          <w:sz w:val="24"/>
          <w:szCs w:val="24"/>
        </w:rPr>
        <w:t>9</w:t>
      </w:r>
    </w:p>
    <w:p w:rsidR="002255A5" w:rsidRDefault="002255A5" w:rsidP="00A91ACB">
      <w:pPr>
        <w:spacing w:line="360" w:lineRule="auto"/>
        <w:jc w:val="center"/>
        <w:rPr>
          <w:sz w:val="24"/>
          <w:szCs w:val="24"/>
        </w:rPr>
      </w:pPr>
    </w:p>
    <w:p w:rsidR="002E755A" w:rsidRDefault="002E68DE" w:rsidP="002E755A">
      <w:pPr>
        <w:spacing w:line="360" w:lineRule="auto"/>
        <w:jc w:val="both"/>
        <w:rPr>
          <w:sz w:val="24"/>
          <w:szCs w:val="24"/>
        </w:rPr>
      </w:pPr>
      <w:r>
        <w:rPr>
          <w:sz w:val="24"/>
          <w:szCs w:val="24"/>
        </w:rPr>
        <w:t>P</w:t>
      </w:r>
      <w:r w:rsidR="002E755A" w:rsidRPr="002E755A">
        <w:rPr>
          <w:sz w:val="24"/>
          <w:szCs w:val="24"/>
        </w:rPr>
        <w:t>roctor and Warr of Phoenix</w:t>
      </w:r>
      <w:r w:rsidR="002E755A">
        <w:rPr>
          <w:sz w:val="24"/>
          <w:szCs w:val="24"/>
        </w:rPr>
        <w:t xml:space="preserve"> Chemicals reported the</w:t>
      </w:r>
      <w:r w:rsidR="002E755A" w:rsidRPr="002E755A">
        <w:rPr>
          <w:sz w:val="24"/>
          <w:szCs w:val="24"/>
        </w:rPr>
        <w:t xml:space="preserve"> synthesis of di</w:t>
      </w:r>
      <w:r w:rsidR="002E755A">
        <w:rPr>
          <w:sz w:val="24"/>
          <w:szCs w:val="24"/>
        </w:rPr>
        <w:t>azomethane on an industrial scale</w:t>
      </w:r>
      <w:r w:rsidR="00C17C33">
        <w:rPr>
          <w:sz w:val="24"/>
          <w:szCs w:val="24"/>
        </w:rPr>
        <w:t>.</w:t>
      </w:r>
      <w:r w:rsidR="00C17C33">
        <w:rPr>
          <w:sz w:val="24"/>
          <w:szCs w:val="24"/>
        </w:rPr>
        <w:fldChar w:fldCharType="begin" w:fldLock="1"/>
      </w:r>
      <w:r w:rsidR="00F168DA">
        <w:rPr>
          <w:sz w:val="24"/>
          <w:szCs w:val="24"/>
        </w:rPr>
        <w:instrText>ADDIN CSL_CITATION { "citationItems" : [ { "id" : "ITEM-1", "itemData" : { "DOI" : "10.1021/op020049k", "ISSN" : "1083-6160", "abstract" : "The development of a safe process for the industrial generation of diazomethane is described.  Diazomethane is produced and consumed in a continuous process capable of generating between 50 and 60 tons per yr while the max. inventory is maintained at less than 80 g.  The diazomethane prodn. unit is part of an integrated multistage continuous process that produces key intermediates for the latest generation of HIV protease inhibitor drugs.  The use of diazomethane in this role has facilitated a direct cost-effective route to compds. such as (2S,3R)-3-(N-benzyloxycarbonyl)-amino-1-chloro-4-phenylthiobutan-2-ol that can be produced in 82% yield from N-benzyloxycarbonyl-S-phenyl-L-cysteine. [on SciFinder(R)]", "author" : [ { "dropping-particle" : "", "family" : "Proctor", "given" : "Lee D", "non-dropping-particle" : "", "parse-names" : false, "suffix" : "" }, { "dropping-particle" : "", "family" : "Warr", "given" : "Antony J", "non-dropping-particle" : "", "parse-names" : false, "suffix" : "" } ], "container-title" : "Organic Process Research &amp; Development", "id" : "ITEM-1", "issue" : "6", "issued" : { "date-parts" : [ [ "2002" ] ] }, "note" : "CAPLUS AN 2002:827078(Journal)", "page" : "884-892", "publisher" : "American Chemical Society", "title" : "Development of a Continuous Process for the Industrial Generation of Diazomethane.", "type" : "article-journal", "volume" : "6" }, "uris" : [ "http://www.mendeley.com/documents/?uuid=49fe03e4-a00f-4915-9065-eee579801f7c" ] } ], "mendeley" : { "formattedCitation" : "&lt;sup&gt;[92]&lt;/sup&gt;", "plainTextFormattedCitation" : "[92]", "previouslyFormattedCitation" : "&lt;sup&gt;[92]&lt;/sup&gt;" }, "properties" : { "noteIndex" : 0 }, "schema" : "https://github.com/citation-style-language/schema/raw/master/csl-citation.json" }</w:instrText>
      </w:r>
      <w:r w:rsidR="00C17C33">
        <w:rPr>
          <w:sz w:val="24"/>
          <w:szCs w:val="24"/>
        </w:rPr>
        <w:fldChar w:fldCharType="separate"/>
      </w:r>
      <w:r w:rsidR="0055300D" w:rsidRPr="0055300D">
        <w:rPr>
          <w:noProof/>
          <w:sz w:val="24"/>
          <w:szCs w:val="24"/>
          <w:vertAlign w:val="superscript"/>
        </w:rPr>
        <w:t>[92]</w:t>
      </w:r>
      <w:r w:rsidR="00C17C33">
        <w:rPr>
          <w:sz w:val="24"/>
          <w:szCs w:val="24"/>
        </w:rPr>
        <w:fldChar w:fldCharType="end"/>
      </w:r>
      <w:r w:rsidR="00C17C33">
        <w:rPr>
          <w:sz w:val="24"/>
          <w:szCs w:val="24"/>
        </w:rPr>
        <w:t xml:space="preserve"> In this synthesis, diazomethane </w:t>
      </w:r>
      <w:r w:rsidR="002255A5">
        <w:rPr>
          <w:b/>
          <w:sz w:val="24"/>
          <w:szCs w:val="24"/>
        </w:rPr>
        <w:t>4</w:t>
      </w:r>
      <w:r w:rsidR="008A17E0">
        <w:rPr>
          <w:b/>
          <w:sz w:val="24"/>
          <w:szCs w:val="24"/>
        </w:rPr>
        <w:t>4</w:t>
      </w:r>
      <w:r w:rsidR="00C17C33">
        <w:rPr>
          <w:b/>
          <w:sz w:val="24"/>
          <w:szCs w:val="24"/>
        </w:rPr>
        <w:t xml:space="preserve"> </w:t>
      </w:r>
      <w:r w:rsidR="00C17C33">
        <w:rPr>
          <w:sz w:val="24"/>
          <w:szCs w:val="24"/>
        </w:rPr>
        <w:t xml:space="preserve">is continuously generated from </w:t>
      </w:r>
      <w:r w:rsidR="00C17C33" w:rsidRPr="00C17C33">
        <w:rPr>
          <w:i/>
          <w:sz w:val="24"/>
          <w:szCs w:val="24"/>
        </w:rPr>
        <w:t>N</w:t>
      </w:r>
      <w:r w:rsidR="00C17C33">
        <w:rPr>
          <w:sz w:val="24"/>
          <w:szCs w:val="24"/>
        </w:rPr>
        <w:t>-methyl-</w:t>
      </w:r>
      <w:r w:rsidR="00C17C33" w:rsidRPr="00C17C33">
        <w:rPr>
          <w:i/>
          <w:sz w:val="24"/>
          <w:szCs w:val="24"/>
        </w:rPr>
        <w:t>N</w:t>
      </w:r>
      <w:r w:rsidR="00C17C33">
        <w:rPr>
          <w:sz w:val="24"/>
          <w:szCs w:val="24"/>
        </w:rPr>
        <w:t>-nitroso-</w:t>
      </w:r>
      <w:r w:rsidR="00C17C33" w:rsidRPr="00C17C33">
        <w:rPr>
          <w:i/>
          <w:sz w:val="24"/>
          <w:szCs w:val="24"/>
        </w:rPr>
        <w:t>p</w:t>
      </w:r>
      <w:r w:rsidR="00C17C33">
        <w:rPr>
          <w:sz w:val="24"/>
          <w:szCs w:val="24"/>
        </w:rPr>
        <w:t>-toluene</w:t>
      </w:r>
      <w:r w:rsidR="006119B2">
        <w:rPr>
          <w:sz w:val="24"/>
          <w:szCs w:val="24"/>
        </w:rPr>
        <w:t>sulfonyl amide</w:t>
      </w:r>
      <w:r w:rsidR="00C17C33">
        <w:rPr>
          <w:sz w:val="24"/>
          <w:szCs w:val="24"/>
        </w:rPr>
        <w:t xml:space="preserve"> (</w:t>
      </w:r>
      <w:r w:rsidR="002255A5">
        <w:rPr>
          <w:b/>
          <w:sz w:val="24"/>
          <w:szCs w:val="24"/>
        </w:rPr>
        <w:t>4</w:t>
      </w:r>
      <w:r w:rsidR="008A17E0">
        <w:rPr>
          <w:b/>
          <w:sz w:val="24"/>
          <w:szCs w:val="24"/>
        </w:rPr>
        <w:t>5</w:t>
      </w:r>
      <w:r w:rsidR="00C17C33">
        <w:rPr>
          <w:sz w:val="24"/>
          <w:szCs w:val="24"/>
        </w:rPr>
        <w:t xml:space="preserve">, Diazald®). A continuous stream of </w:t>
      </w:r>
      <w:r w:rsidR="002255A5">
        <w:rPr>
          <w:b/>
          <w:sz w:val="24"/>
          <w:szCs w:val="24"/>
        </w:rPr>
        <w:t>4</w:t>
      </w:r>
      <w:r w:rsidR="008A17E0">
        <w:rPr>
          <w:b/>
          <w:sz w:val="24"/>
          <w:szCs w:val="24"/>
        </w:rPr>
        <w:t>5</w:t>
      </w:r>
      <w:r w:rsidR="00C17C33">
        <w:rPr>
          <w:sz w:val="24"/>
          <w:szCs w:val="24"/>
        </w:rPr>
        <w:t xml:space="preserve"> is subjected to an aqueous KOH feed, generating diazomethane which is then extracted into the gas phase by subsurface and headspace flows of nitrogen gas. </w:t>
      </w:r>
      <w:r w:rsidR="00045374">
        <w:rPr>
          <w:sz w:val="24"/>
          <w:szCs w:val="24"/>
        </w:rPr>
        <w:t xml:space="preserve">The nitrogen flow then carried the diazomethane into a solution containing substrate </w:t>
      </w:r>
      <w:r w:rsidR="002255A5">
        <w:rPr>
          <w:b/>
          <w:sz w:val="24"/>
          <w:szCs w:val="24"/>
        </w:rPr>
        <w:t>4</w:t>
      </w:r>
      <w:r w:rsidR="008A17E0">
        <w:rPr>
          <w:b/>
          <w:sz w:val="24"/>
          <w:szCs w:val="24"/>
        </w:rPr>
        <w:t>6</w:t>
      </w:r>
      <w:r w:rsidR="00045374">
        <w:rPr>
          <w:sz w:val="24"/>
          <w:szCs w:val="24"/>
        </w:rPr>
        <w:t xml:space="preserve"> to generate </w:t>
      </w:r>
      <w:r w:rsidR="00045374" w:rsidRPr="000F35A2">
        <w:rPr>
          <w:rFonts w:ascii="Symbol" w:hAnsi="Symbol"/>
          <w:sz w:val="24"/>
          <w:szCs w:val="24"/>
        </w:rPr>
        <w:t></w:t>
      </w:r>
      <w:r w:rsidR="00045374">
        <w:rPr>
          <w:sz w:val="24"/>
          <w:szCs w:val="24"/>
        </w:rPr>
        <w:t xml:space="preserve">-chloroketone </w:t>
      </w:r>
      <w:r w:rsidR="002255A5">
        <w:rPr>
          <w:b/>
          <w:sz w:val="24"/>
          <w:szCs w:val="24"/>
        </w:rPr>
        <w:t>4</w:t>
      </w:r>
      <w:r w:rsidR="008A17E0">
        <w:rPr>
          <w:b/>
          <w:sz w:val="24"/>
          <w:szCs w:val="24"/>
        </w:rPr>
        <w:t>7</w:t>
      </w:r>
      <w:r w:rsidR="002255A5">
        <w:rPr>
          <w:b/>
          <w:sz w:val="24"/>
          <w:szCs w:val="24"/>
        </w:rPr>
        <w:t xml:space="preserve"> </w:t>
      </w:r>
      <w:r w:rsidR="002255A5" w:rsidRPr="002255A5">
        <w:rPr>
          <w:sz w:val="24"/>
          <w:szCs w:val="24"/>
        </w:rPr>
        <w:t>(</w:t>
      </w:r>
      <w:r w:rsidR="002255A5">
        <w:rPr>
          <w:b/>
          <w:sz w:val="24"/>
          <w:szCs w:val="24"/>
        </w:rPr>
        <w:t>Scheme 1.</w:t>
      </w:r>
      <w:r w:rsidR="008A17E0">
        <w:rPr>
          <w:b/>
          <w:sz w:val="24"/>
          <w:szCs w:val="24"/>
        </w:rPr>
        <w:t>30</w:t>
      </w:r>
      <w:r w:rsidR="002255A5" w:rsidRPr="002255A5">
        <w:rPr>
          <w:sz w:val="24"/>
          <w:szCs w:val="24"/>
        </w:rPr>
        <w:t>)</w:t>
      </w:r>
      <w:r w:rsidR="00045374" w:rsidRPr="002255A5">
        <w:rPr>
          <w:sz w:val="24"/>
          <w:szCs w:val="24"/>
        </w:rPr>
        <w:t>.</w:t>
      </w:r>
    </w:p>
    <w:p w:rsidR="00045374" w:rsidRDefault="008A17E0" w:rsidP="00A91ACB">
      <w:pPr>
        <w:spacing w:line="360" w:lineRule="auto"/>
        <w:jc w:val="center"/>
      </w:pPr>
      <w:r>
        <w:object w:dxaOrig="9081" w:dyaOrig="3218">
          <v:shape id="_x0000_i1057" type="#_x0000_t75" style="width:443.25pt;height:156.75pt" o:ole="">
            <v:imagedata r:id="rId81" o:title=""/>
          </v:shape>
          <o:OLEObject Type="Embed" ProgID="ChemDraw.Document.6.0" ShapeID="_x0000_i1057" DrawAspect="Content" ObjectID="_1531849600" r:id="rId82"/>
        </w:object>
      </w:r>
    </w:p>
    <w:p w:rsidR="002255A5" w:rsidRDefault="002255A5" w:rsidP="00A91ACB">
      <w:pPr>
        <w:spacing w:line="360" w:lineRule="auto"/>
        <w:jc w:val="center"/>
      </w:pPr>
      <w:r>
        <w:rPr>
          <w:b/>
          <w:sz w:val="24"/>
          <w:szCs w:val="24"/>
        </w:rPr>
        <w:t>Scheme 1.</w:t>
      </w:r>
      <w:r w:rsidR="008A17E0">
        <w:rPr>
          <w:b/>
          <w:sz w:val="24"/>
          <w:szCs w:val="24"/>
        </w:rPr>
        <w:t>30</w:t>
      </w:r>
    </w:p>
    <w:p w:rsidR="00045374" w:rsidRDefault="00045374" w:rsidP="002E755A">
      <w:pPr>
        <w:spacing w:line="360" w:lineRule="auto"/>
        <w:jc w:val="both"/>
      </w:pPr>
    </w:p>
    <w:p w:rsidR="00045374" w:rsidRDefault="00045374" w:rsidP="00B85477">
      <w:pPr>
        <w:spacing w:line="360" w:lineRule="auto"/>
        <w:jc w:val="both"/>
        <w:rPr>
          <w:sz w:val="24"/>
          <w:szCs w:val="24"/>
        </w:rPr>
      </w:pPr>
      <w:r w:rsidRPr="00B85477">
        <w:rPr>
          <w:sz w:val="24"/>
          <w:szCs w:val="24"/>
        </w:rPr>
        <w:t xml:space="preserve">The synthesis and the plant designed to run the process was capable of producing 60 metric tonnes of </w:t>
      </w:r>
      <w:r w:rsidR="002255A5">
        <w:rPr>
          <w:b/>
          <w:sz w:val="24"/>
          <w:szCs w:val="24"/>
        </w:rPr>
        <w:t>4</w:t>
      </w:r>
      <w:r w:rsidR="00D14F9B">
        <w:rPr>
          <w:b/>
          <w:sz w:val="24"/>
          <w:szCs w:val="24"/>
        </w:rPr>
        <w:t>4</w:t>
      </w:r>
      <w:r w:rsidRPr="00B85477">
        <w:rPr>
          <w:sz w:val="24"/>
          <w:szCs w:val="24"/>
        </w:rPr>
        <w:t xml:space="preserve"> per year, and operated safely for several years. A large number of safety features were incorporated into the plant such as in-line monitoring of </w:t>
      </w:r>
      <w:r w:rsidR="002255A5">
        <w:rPr>
          <w:b/>
          <w:sz w:val="24"/>
          <w:szCs w:val="24"/>
        </w:rPr>
        <w:t>4</w:t>
      </w:r>
      <w:r w:rsidR="00D14F9B">
        <w:rPr>
          <w:b/>
          <w:sz w:val="24"/>
          <w:szCs w:val="24"/>
        </w:rPr>
        <w:t>4</w:t>
      </w:r>
      <w:r w:rsidRPr="00B85477">
        <w:rPr>
          <w:sz w:val="24"/>
          <w:szCs w:val="24"/>
        </w:rPr>
        <w:t>, secondary fail safe monitoring, automated shutdown, as well as a procedure for the worst case scenario – the reactor contents would be quenched automatically in the case of a reactor burst failure.</w:t>
      </w:r>
      <w:r w:rsidR="002E68DE" w:rsidRPr="00B85477">
        <w:rPr>
          <w:sz w:val="24"/>
          <w:szCs w:val="24"/>
        </w:rPr>
        <w:t xml:space="preserve"> Due to the need for decomposition by KOH, this synthesis is unsuitable for base-sensitive compounds.</w:t>
      </w:r>
    </w:p>
    <w:p w:rsidR="00C456E3" w:rsidRDefault="00C456E3" w:rsidP="00E44289">
      <w:pPr>
        <w:autoSpaceDE w:val="0"/>
        <w:autoSpaceDN w:val="0"/>
        <w:adjustRightInd w:val="0"/>
        <w:spacing w:after="0" w:line="360" w:lineRule="auto"/>
        <w:jc w:val="both"/>
        <w:rPr>
          <w:rFonts w:cs="DGMetaSerifScience"/>
          <w:b/>
          <w:sz w:val="24"/>
          <w:szCs w:val="24"/>
        </w:rPr>
      </w:pPr>
    </w:p>
    <w:p w:rsidR="00E44289" w:rsidRDefault="00DD231C" w:rsidP="00DD231C">
      <w:pPr>
        <w:pStyle w:val="Heading2"/>
      </w:pPr>
      <w:bookmarkStart w:id="15" w:name="_Toc446773068"/>
      <w:r>
        <w:t>1.</w:t>
      </w:r>
      <w:r w:rsidR="00591EF1">
        <w:t>4</w:t>
      </w:r>
      <w:r>
        <w:t xml:space="preserve">.3 </w:t>
      </w:r>
      <w:r w:rsidR="00E44289">
        <w:t>Preparation of ethyl diazoacetate</w:t>
      </w:r>
      <w:r w:rsidR="00E44289" w:rsidRPr="003055B5">
        <w:t xml:space="preserve"> using </w:t>
      </w:r>
      <w:r w:rsidR="00A939D6">
        <w:t>continuous flow</w:t>
      </w:r>
      <w:r w:rsidR="00E44289" w:rsidRPr="003055B5">
        <w:t xml:space="preserve"> technology</w:t>
      </w:r>
      <w:bookmarkEnd w:id="15"/>
    </w:p>
    <w:p w:rsidR="00E44289" w:rsidRDefault="00E44289" w:rsidP="00E44289">
      <w:pPr>
        <w:autoSpaceDE w:val="0"/>
        <w:autoSpaceDN w:val="0"/>
        <w:adjustRightInd w:val="0"/>
        <w:spacing w:after="0" w:line="360" w:lineRule="auto"/>
        <w:jc w:val="both"/>
        <w:rPr>
          <w:rFonts w:cs="DGMetaSerifScience"/>
          <w:b/>
          <w:sz w:val="24"/>
          <w:szCs w:val="24"/>
        </w:rPr>
      </w:pPr>
    </w:p>
    <w:p w:rsidR="00E44289" w:rsidRDefault="00FF3DA8" w:rsidP="00E44289">
      <w:pPr>
        <w:autoSpaceDE w:val="0"/>
        <w:autoSpaceDN w:val="0"/>
        <w:adjustRightInd w:val="0"/>
        <w:spacing w:after="0" w:line="360" w:lineRule="auto"/>
        <w:jc w:val="both"/>
        <w:rPr>
          <w:rFonts w:cs="DGMetaSerifScience"/>
          <w:sz w:val="24"/>
          <w:szCs w:val="24"/>
        </w:rPr>
      </w:pPr>
      <w:r w:rsidRPr="00FF3DA8">
        <w:rPr>
          <w:rFonts w:cs="DGMetaSerifScience"/>
          <w:sz w:val="24"/>
          <w:szCs w:val="24"/>
        </w:rPr>
        <w:t>Ethyl diazoaceta</w:t>
      </w:r>
      <w:r>
        <w:rPr>
          <w:rFonts w:cs="DGMetaSerifScience"/>
          <w:sz w:val="24"/>
          <w:szCs w:val="24"/>
        </w:rPr>
        <w:t>t</w:t>
      </w:r>
      <w:r w:rsidRPr="00FF3DA8">
        <w:rPr>
          <w:rFonts w:cs="DGMetaSerifScience"/>
          <w:sz w:val="24"/>
          <w:szCs w:val="24"/>
        </w:rPr>
        <w:t>e</w:t>
      </w:r>
      <w:r w:rsidR="002831D0">
        <w:rPr>
          <w:rFonts w:cs="DGMetaSerifScience"/>
          <w:sz w:val="24"/>
          <w:szCs w:val="24"/>
        </w:rPr>
        <w:t xml:space="preserve"> </w:t>
      </w:r>
      <w:r w:rsidR="00C456E3">
        <w:rPr>
          <w:rFonts w:cs="DGMetaSerifScience"/>
          <w:b/>
          <w:sz w:val="24"/>
          <w:szCs w:val="24"/>
        </w:rPr>
        <w:t>48</w:t>
      </w:r>
      <w:r w:rsidRPr="00FF3DA8">
        <w:rPr>
          <w:rFonts w:cs="DGMetaSerifScience"/>
          <w:sz w:val="24"/>
          <w:szCs w:val="24"/>
        </w:rPr>
        <w:t xml:space="preserve"> is another important diazo-based reagent.</w:t>
      </w:r>
      <w:r w:rsidR="00D14F9B">
        <w:rPr>
          <w:rFonts w:cs="DGMetaSerifScience"/>
          <w:sz w:val="24"/>
          <w:szCs w:val="24"/>
        </w:rPr>
        <w:t xml:space="preserve"> It is used in the cyclopropanation of alkenes. </w:t>
      </w:r>
      <w:r w:rsidR="00D14F9B" w:rsidRPr="00D14F9B">
        <w:rPr>
          <w:rFonts w:cs="DGMetaSerifScience"/>
          <w:b/>
          <w:sz w:val="24"/>
          <w:szCs w:val="24"/>
        </w:rPr>
        <w:t>48</w:t>
      </w:r>
      <w:r w:rsidR="00D14F9B">
        <w:rPr>
          <w:rFonts w:cs="DGMetaSerifScience"/>
          <w:sz w:val="24"/>
          <w:szCs w:val="24"/>
        </w:rPr>
        <w:t xml:space="preserve"> is a highly explosive reagent, and must be produced in a contained manner.</w:t>
      </w:r>
    </w:p>
    <w:p w:rsidR="00FF3DA8" w:rsidRPr="00FF3DA8" w:rsidRDefault="00FF3DA8" w:rsidP="00E44289">
      <w:pPr>
        <w:autoSpaceDE w:val="0"/>
        <w:autoSpaceDN w:val="0"/>
        <w:adjustRightInd w:val="0"/>
        <w:spacing w:after="0" w:line="360" w:lineRule="auto"/>
        <w:jc w:val="both"/>
        <w:rPr>
          <w:rFonts w:cs="DGMetaSerifScience"/>
          <w:sz w:val="24"/>
          <w:szCs w:val="24"/>
        </w:rPr>
      </w:pPr>
    </w:p>
    <w:p w:rsidR="00E44289" w:rsidRDefault="00FF3DA8" w:rsidP="00FF3DA8">
      <w:pPr>
        <w:autoSpaceDE w:val="0"/>
        <w:autoSpaceDN w:val="0"/>
        <w:adjustRightInd w:val="0"/>
        <w:spacing w:after="0" w:line="360" w:lineRule="auto"/>
        <w:jc w:val="both"/>
        <w:rPr>
          <w:rFonts w:cs="DGMetaSerifScience"/>
          <w:sz w:val="24"/>
          <w:szCs w:val="24"/>
        </w:rPr>
      </w:pPr>
      <w:r>
        <w:rPr>
          <w:rFonts w:cs="DGMetaSerifScience"/>
          <w:sz w:val="24"/>
          <w:szCs w:val="24"/>
        </w:rPr>
        <w:t xml:space="preserve">Rutjes </w:t>
      </w:r>
      <w:r w:rsidRPr="000F35A2">
        <w:rPr>
          <w:rFonts w:cs="DGMetaSerifScience"/>
          <w:i/>
          <w:sz w:val="24"/>
          <w:szCs w:val="24"/>
        </w:rPr>
        <w:t>et al</w:t>
      </w:r>
      <w:r w:rsidR="000F35A2">
        <w:rPr>
          <w:rFonts w:cs="DGMetaSerifScience"/>
          <w:sz w:val="24"/>
          <w:szCs w:val="24"/>
        </w:rPr>
        <w:t>.</w:t>
      </w:r>
      <w:r>
        <w:rPr>
          <w:rFonts w:cs="DGMetaSerifScience"/>
          <w:sz w:val="24"/>
          <w:szCs w:val="24"/>
        </w:rPr>
        <w:t xml:space="preserve"> studied the formation of ethyl diazoacetate </w:t>
      </w:r>
      <w:r w:rsidR="00C456E3">
        <w:rPr>
          <w:rFonts w:cs="DGMetaSerifScience"/>
          <w:b/>
          <w:sz w:val="24"/>
          <w:szCs w:val="24"/>
        </w:rPr>
        <w:t>48</w:t>
      </w:r>
      <w:r w:rsidR="002831D0">
        <w:rPr>
          <w:rFonts w:cs="DGMetaSerifScience"/>
          <w:sz w:val="24"/>
          <w:szCs w:val="24"/>
        </w:rPr>
        <w:t xml:space="preserve"> </w:t>
      </w:r>
      <w:r>
        <w:rPr>
          <w:rFonts w:cs="DGMetaSerifScience"/>
          <w:sz w:val="24"/>
          <w:szCs w:val="24"/>
        </w:rPr>
        <w:t>from glycine ethyl est</w:t>
      </w:r>
      <w:r w:rsidR="003A5F1A">
        <w:rPr>
          <w:rFonts w:cs="DGMetaSerifScience"/>
          <w:sz w:val="24"/>
          <w:szCs w:val="24"/>
        </w:rPr>
        <w:t>er</w:t>
      </w:r>
      <w:r w:rsidR="00E77CF9">
        <w:rPr>
          <w:rFonts w:cs="DGMetaSerifScience"/>
          <w:sz w:val="24"/>
          <w:szCs w:val="24"/>
        </w:rPr>
        <w:t xml:space="preserve"> hydrochloride</w:t>
      </w:r>
      <w:r w:rsidR="003A5F1A">
        <w:rPr>
          <w:rFonts w:cs="DGMetaSerifScience"/>
          <w:sz w:val="24"/>
          <w:szCs w:val="24"/>
        </w:rPr>
        <w:t xml:space="preserve"> </w:t>
      </w:r>
      <w:r w:rsidR="00E77CF9">
        <w:rPr>
          <w:rFonts w:cs="DGMetaSerifScience"/>
          <w:b/>
          <w:sz w:val="24"/>
          <w:szCs w:val="24"/>
        </w:rPr>
        <w:t>11</w:t>
      </w:r>
      <w:r w:rsidR="00990C2D">
        <w:rPr>
          <w:rFonts w:cs="DGMetaSerifScience"/>
          <w:sz w:val="24"/>
          <w:szCs w:val="24"/>
        </w:rPr>
        <w:t xml:space="preserve"> </w:t>
      </w:r>
      <w:r w:rsidR="003A5F1A">
        <w:rPr>
          <w:rFonts w:cs="DGMetaSerifScience"/>
          <w:sz w:val="24"/>
          <w:szCs w:val="24"/>
        </w:rPr>
        <w:t>with sodium nitrite</w:t>
      </w:r>
      <w:r w:rsidR="00C456E3">
        <w:rPr>
          <w:rFonts w:cs="DGMetaSerifScience"/>
          <w:sz w:val="24"/>
          <w:szCs w:val="24"/>
        </w:rPr>
        <w:t xml:space="preserve">, as shown below in </w:t>
      </w:r>
      <w:r w:rsidR="00C456E3" w:rsidRPr="00C456E3">
        <w:rPr>
          <w:rFonts w:cs="DGMetaSerifScience"/>
          <w:b/>
          <w:sz w:val="24"/>
          <w:szCs w:val="24"/>
        </w:rPr>
        <w:t>Scheme 1.31</w:t>
      </w:r>
      <w:r>
        <w:rPr>
          <w:rFonts w:cs="DGMetaSerifScience"/>
          <w:sz w:val="24"/>
          <w:szCs w:val="24"/>
        </w:rPr>
        <w:t>.</w:t>
      </w:r>
      <w:r>
        <w:rPr>
          <w:rFonts w:cs="DGMetaSerifScience"/>
          <w:sz w:val="24"/>
          <w:szCs w:val="24"/>
        </w:rPr>
        <w:fldChar w:fldCharType="begin" w:fldLock="1"/>
      </w:r>
      <w:r w:rsidR="00F168DA">
        <w:rPr>
          <w:rFonts w:cs="DGMetaSerifScience"/>
          <w:sz w:val="24"/>
          <w:szCs w:val="24"/>
        </w:rPr>
        <w:instrText>ADDIN CSL_CITATION { "citationItems" : [ { "id" : "ITEM-1", "itemData" : { "DOI" : "10.3762/bjoc.9.211", "ISSN" : "1860-5397", "abstract" : "Et diazoacetate is a versatile compd. in org. chem. and frequently used on lab scale.  Its highly explosive nature, however, severely limits its use in industrial processes.  The in-line coupling of microreactor synthesis and sepn. technol. enables the synthesis of this compd. in an inherently safe manner, thereby making it available on demand in sufficient quantities.  Et diazoacetate was prepd. in a biphasic mixt. comprising an aq. soln. of glycine Et ester, sodium nitrite and dichloromethane.  Optimization of the reaction was focused on decreasing the residence time with the smallest amt. of sodium nitrite possible.  With these boundary conditions, a prodn. yield of 20 g EDA day-1 was achieved using a microreactor with an internal vol. of 100 \u03bcL.  Straightforward scale-up or scale-out of microreactor technol. renders this method viable for industrial application. [on SciFinder(R)]", "author" : [ { "dropping-particle" : "", "family" : "Delville", "given" : "Marielle M E", "non-dropping-particle" : "", "parse-names" : false, "suffix" : "" }, { "dropping-particle" : "", "family" : "Hest", "given" : "Jan C M", "non-dropping-particle" : "van", "parse-names" : false, "suffix" : "" }, { "dropping-particle" : "", "family" : "Rutjes", "given" : "Floris P J T", "non-dropping-particle" : "", "parse-names" : false, "suffix" : "" } ], "container-title" : "Beilstein Journal of Organic Chemistry", "id" : "ITEM-1", "issued" : { "date-parts" : [ [ "2013" ] ] }, "note" : "CAPLUS AN 2013:1537627(Journal; Online Computer File)", "page" : "1813-1818, 6 pp.", "publisher" : "Beilstein-Institut zur Foerderung der Chemischen Wissenschaften", "title" : "Ethyl diazoacetate synthesis in flow.", "type" : "article-journal", "volume" : "9" }, "uris" : [ "http://www.mendeley.com/documents/?uuid=bf1bf19a-2734-4508-9b4d-71756ce84e5d" ] } ], "mendeley" : { "formattedCitation" : "&lt;sup&gt;[93]&lt;/sup&gt;", "plainTextFormattedCitation" : "[93]", "previouslyFormattedCitation" : "&lt;sup&gt;[93]&lt;/sup&gt;" }, "properties" : { "noteIndex" : 0 }, "schema" : "https://github.com/citation-style-language/schema/raw/master/csl-citation.json" }</w:instrText>
      </w:r>
      <w:r>
        <w:rPr>
          <w:rFonts w:cs="DGMetaSerifScience"/>
          <w:sz w:val="24"/>
          <w:szCs w:val="24"/>
        </w:rPr>
        <w:fldChar w:fldCharType="separate"/>
      </w:r>
      <w:r w:rsidR="0055300D" w:rsidRPr="0055300D">
        <w:rPr>
          <w:rFonts w:cs="DGMetaSerifScience"/>
          <w:noProof/>
          <w:sz w:val="24"/>
          <w:szCs w:val="24"/>
          <w:vertAlign w:val="superscript"/>
        </w:rPr>
        <w:t>[93]</w:t>
      </w:r>
      <w:r>
        <w:rPr>
          <w:rFonts w:cs="DGMetaSerifScience"/>
          <w:sz w:val="24"/>
          <w:szCs w:val="24"/>
        </w:rPr>
        <w:fldChar w:fldCharType="end"/>
      </w:r>
      <w:r>
        <w:rPr>
          <w:rFonts w:cs="DGMetaSerifScience"/>
          <w:sz w:val="24"/>
          <w:szCs w:val="24"/>
        </w:rPr>
        <w:t xml:space="preserve"> They effectively optimized the temperature, residence time and quantities of sodium nitrite being used to provide a process capable of delivering up to 175 mmol ethyl diazoacetate </w:t>
      </w:r>
      <w:r w:rsidR="00E77CF9" w:rsidRPr="00E77CF9">
        <w:rPr>
          <w:rFonts w:cs="DGMetaSerifScience"/>
          <w:b/>
          <w:sz w:val="24"/>
          <w:szCs w:val="24"/>
        </w:rPr>
        <w:t>48</w:t>
      </w:r>
      <w:r w:rsidR="00E77CF9">
        <w:rPr>
          <w:rFonts w:cs="DGMetaSerifScience"/>
          <w:sz w:val="24"/>
          <w:szCs w:val="24"/>
        </w:rPr>
        <w:t xml:space="preserve"> </w:t>
      </w:r>
      <w:r>
        <w:rPr>
          <w:rFonts w:cs="DGMetaSerifScience"/>
          <w:sz w:val="24"/>
          <w:szCs w:val="24"/>
        </w:rPr>
        <w:t xml:space="preserve">per day </w:t>
      </w:r>
      <w:r w:rsidRPr="00FF3DA8">
        <w:rPr>
          <w:rFonts w:cs="DGMetaSerifScience"/>
          <w:sz w:val="24"/>
          <w:szCs w:val="24"/>
        </w:rPr>
        <w:t>using a microreactor with an</w:t>
      </w:r>
      <w:r>
        <w:rPr>
          <w:rFonts w:cs="DGMetaSerifScience"/>
          <w:sz w:val="24"/>
          <w:szCs w:val="24"/>
        </w:rPr>
        <w:t xml:space="preserve"> </w:t>
      </w:r>
      <w:r w:rsidRPr="00FF3DA8">
        <w:rPr>
          <w:rFonts w:cs="DGMetaSerifScience"/>
          <w:sz w:val="24"/>
          <w:szCs w:val="24"/>
        </w:rPr>
        <w:t>internal volume of 100 μL</w:t>
      </w:r>
      <w:r>
        <w:rPr>
          <w:rFonts w:cs="DGMetaSerifScience"/>
          <w:sz w:val="24"/>
          <w:szCs w:val="24"/>
        </w:rPr>
        <w:t>. The authors postulated that</w:t>
      </w:r>
      <w:r w:rsidR="00063883">
        <w:rPr>
          <w:rFonts w:cs="DGMetaSerifScience"/>
          <w:sz w:val="24"/>
          <w:szCs w:val="24"/>
        </w:rPr>
        <w:t xml:space="preserve"> with</w:t>
      </w:r>
      <w:r>
        <w:rPr>
          <w:rFonts w:cs="DGMetaSerifScience"/>
          <w:sz w:val="24"/>
          <w:szCs w:val="24"/>
        </w:rPr>
        <w:t xml:space="preserve"> </w:t>
      </w:r>
      <w:r w:rsidR="00063883">
        <w:rPr>
          <w:rFonts w:cs="DGMetaSerifScience"/>
          <w:sz w:val="24"/>
          <w:szCs w:val="24"/>
        </w:rPr>
        <w:t>scale-up</w:t>
      </w:r>
      <w:r w:rsidRPr="00FF3DA8">
        <w:rPr>
          <w:rFonts w:cs="DGMetaSerifScience"/>
          <w:sz w:val="24"/>
          <w:szCs w:val="24"/>
        </w:rPr>
        <w:t xml:space="preserve"> this method </w:t>
      </w:r>
      <w:r w:rsidR="00063883">
        <w:rPr>
          <w:rFonts w:cs="DGMetaSerifScience"/>
          <w:sz w:val="24"/>
          <w:szCs w:val="24"/>
        </w:rPr>
        <w:t xml:space="preserve">is </w:t>
      </w:r>
      <w:r w:rsidRPr="00FF3DA8">
        <w:rPr>
          <w:rFonts w:cs="DGMetaSerifScience"/>
          <w:sz w:val="24"/>
          <w:szCs w:val="24"/>
        </w:rPr>
        <w:t>viable for industrial</w:t>
      </w:r>
      <w:r w:rsidR="00063883">
        <w:rPr>
          <w:rFonts w:cs="DGMetaSerifScience"/>
          <w:sz w:val="24"/>
          <w:szCs w:val="24"/>
        </w:rPr>
        <w:t xml:space="preserve"> </w:t>
      </w:r>
      <w:r w:rsidRPr="00FF3DA8">
        <w:rPr>
          <w:rFonts w:cs="DGMetaSerifScience"/>
          <w:sz w:val="24"/>
          <w:szCs w:val="24"/>
        </w:rPr>
        <w:t>application.</w:t>
      </w:r>
    </w:p>
    <w:p w:rsidR="00063883" w:rsidRDefault="00063883" w:rsidP="00FF3DA8">
      <w:pPr>
        <w:autoSpaceDE w:val="0"/>
        <w:autoSpaceDN w:val="0"/>
        <w:adjustRightInd w:val="0"/>
        <w:spacing w:after="0" w:line="360" w:lineRule="auto"/>
        <w:jc w:val="both"/>
        <w:rPr>
          <w:rFonts w:cs="DGMetaSerifScience"/>
          <w:sz w:val="24"/>
          <w:szCs w:val="24"/>
        </w:rPr>
      </w:pPr>
    </w:p>
    <w:p w:rsidR="00063883" w:rsidRDefault="00E77CF9" w:rsidP="00063883">
      <w:pPr>
        <w:autoSpaceDE w:val="0"/>
        <w:autoSpaceDN w:val="0"/>
        <w:adjustRightInd w:val="0"/>
        <w:spacing w:after="0" w:line="360" w:lineRule="auto"/>
        <w:jc w:val="center"/>
      </w:pPr>
      <w:r>
        <w:object w:dxaOrig="4902" w:dyaOrig="3820">
          <v:shape id="_x0000_i1058" type="#_x0000_t75" style="width:256.5pt;height:198.75pt" o:ole="">
            <v:imagedata r:id="rId83" o:title=""/>
          </v:shape>
          <o:OLEObject Type="Embed" ProgID="ChemDraw.Document.6.0" ShapeID="_x0000_i1058" DrawAspect="Content" ObjectID="_1531849601" r:id="rId84"/>
        </w:object>
      </w:r>
    </w:p>
    <w:p w:rsidR="00C456E3" w:rsidRDefault="00C456E3" w:rsidP="00063883">
      <w:pPr>
        <w:autoSpaceDE w:val="0"/>
        <w:autoSpaceDN w:val="0"/>
        <w:adjustRightInd w:val="0"/>
        <w:spacing w:after="0" w:line="360" w:lineRule="auto"/>
        <w:jc w:val="center"/>
      </w:pPr>
      <w:r w:rsidRPr="00C456E3">
        <w:rPr>
          <w:rFonts w:cs="DGMetaSerifScience"/>
          <w:b/>
          <w:sz w:val="24"/>
          <w:szCs w:val="24"/>
        </w:rPr>
        <w:t>Scheme 1.31</w:t>
      </w:r>
    </w:p>
    <w:p w:rsidR="00063883" w:rsidRDefault="00063883" w:rsidP="00063883">
      <w:pPr>
        <w:autoSpaceDE w:val="0"/>
        <w:autoSpaceDN w:val="0"/>
        <w:adjustRightInd w:val="0"/>
        <w:spacing w:after="0" w:line="360" w:lineRule="auto"/>
        <w:jc w:val="center"/>
      </w:pPr>
    </w:p>
    <w:p w:rsidR="00063883" w:rsidRDefault="00063883" w:rsidP="00063883">
      <w:pPr>
        <w:autoSpaceDE w:val="0"/>
        <w:autoSpaceDN w:val="0"/>
        <w:adjustRightInd w:val="0"/>
        <w:spacing w:after="0" w:line="360" w:lineRule="auto"/>
        <w:jc w:val="both"/>
        <w:rPr>
          <w:sz w:val="24"/>
          <w:szCs w:val="24"/>
        </w:rPr>
      </w:pPr>
      <w:r w:rsidRPr="002831D0">
        <w:rPr>
          <w:sz w:val="24"/>
          <w:szCs w:val="24"/>
        </w:rPr>
        <w:t>Other laboratory-scale syntheses of ethyl diazoace</w:t>
      </w:r>
      <w:r w:rsidR="00045D43" w:rsidRPr="002831D0">
        <w:rPr>
          <w:sz w:val="24"/>
          <w:szCs w:val="24"/>
        </w:rPr>
        <w:t>tate</w:t>
      </w:r>
      <w:r w:rsidR="00A939D6">
        <w:rPr>
          <w:sz w:val="24"/>
          <w:szCs w:val="24"/>
        </w:rPr>
        <w:t xml:space="preserve"> </w:t>
      </w:r>
      <w:r w:rsidR="00A939D6" w:rsidRPr="00A939D6">
        <w:rPr>
          <w:b/>
          <w:sz w:val="24"/>
          <w:szCs w:val="24"/>
        </w:rPr>
        <w:t>48</w:t>
      </w:r>
      <w:r w:rsidR="00045D43" w:rsidRPr="002831D0">
        <w:rPr>
          <w:sz w:val="24"/>
          <w:szCs w:val="24"/>
        </w:rPr>
        <w:t xml:space="preserve"> using </w:t>
      </w:r>
      <w:r w:rsidR="00A939D6">
        <w:rPr>
          <w:sz w:val="24"/>
          <w:szCs w:val="24"/>
        </w:rPr>
        <w:t>continuous flow</w:t>
      </w:r>
      <w:r w:rsidR="00045D43" w:rsidRPr="002831D0">
        <w:rPr>
          <w:sz w:val="24"/>
          <w:szCs w:val="24"/>
        </w:rPr>
        <w:t xml:space="preserve"> methods have been reported in the literature,</w:t>
      </w:r>
      <w:r w:rsidR="00045D43" w:rsidRPr="002831D0">
        <w:rPr>
          <w:sz w:val="24"/>
          <w:szCs w:val="24"/>
        </w:rPr>
        <w:fldChar w:fldCharType="begin" w:fldLock="1"/>
      </w:r>
      <w:r w:rsidR="00F168DA">
        <w:rPr>
          <w:sz w:val="24"/>
          <w:szCs w:val="24"/>
        </w:rPr>
        <w:instrText>ADDIN CSL_CITATION { "citationItems" : [ { "id" : "ITEM-1", "itemData" : { "DOI" : "10.1039/C3GC41226A", "ISSN" : "1463-9262", "abstract" : "An integrated microfluidic system for multiple reactions and sepns. of hazardous Et diazoacetate is presented.  The integrated techniques include: a droplet technique for liq.-liq. and/or gas-liq. sepn. and in situ generation of the toxic reagent, a dual channel membrane technique based on a cheap polymeric microseparator for liq.-liq. sepn., and a capillary microreactor for carrying out cascade reactions in a sequential and continuous manner. [on SciFinder(R)]", "author" : [ { "dropping-particle" : "", "family" : "Maurya", "given" : "Ram Awatar", "non-dropping-particle" : "", "parse-names" : false, "suffix" : "" }, { "dropping-particle" : "", "family" : "Min", "given" : "Kyoung-Ik", "non-dropping-particle" : "", "parse-names" : false, "suffix" : "" }, { "dropping-particle" : "", "family" : "Kim", "given" : "Dong-Pyo.", "non-dropping-particle" : "", "parse-names" : false, "suffix" : "" } ], "container-title" : "Green Chemistry", "id" : "ITEM-1", "issue" : "1", "issued" : { "date-parts" : [ [ "2014" ] ] }, "note" : "CAPLUS AN 2013:1948616(Journal; Online Computer File)", "page" : "116-120", "publisher" : "Royal Society of Chemistry", "title" : "Continuous flow synthesis of toxic ethyl diazoacetate for utilization in an integrated microfluidic system.", "type" : "article-journal", "volume" : "16" }, "uris" : [ "http://www.mendeley.com/documents/?uuid=7008016c-4872-4f7f-a626-c472dae4b796" ] }, { "id" : "ITEM-2", "itemData" : { "DOI" : "10.1055/s-0033-1340835", "ISSN" : "0936-5214", "abstract" : "A safe and fast method for the prodn. of \u03b2-hydroxy-\u03b1-diazoesters in continuous flow technol. is described.  The synthesis involves the formation of Et diazoacetate in situ and the addn. to several aldehydes in a two-step continuous flow microreactor setup.  Rhodium acetate catalyzes a subsequent 1,2-hydride shift to give access to \u03b2-keto esters in a three-step sequence. [on SciFinder(R)]", "author" : [ { "dropping-particle" : "", "family" : "Muller", "given" : "Simon T R", "non-dropping-particle" : "", "parse-names" : false, "suffix" : "" }, { "dropping-particle" : "", "family" : "Smith", "given" : "Daniel", "non-dropping-particle" : "", "parse-names" : false, "suffix" : "" }, { "dropping-particle" : "", "family" : "Hellier", "given" : "Paul", "non-dropping-particle" : "", "parse-names" : false, "suffix" : "" }, { "dropping-particle" : "", "family" : "Wirth", "given" : "Thomas.", "non-dropping-particle" : "", "parse-names" : false, "suffix" : "" } ], "container-title" : "Synlett", "id" : "ITEM-2", "issue" : "6", "issued" : { "date-parts" : [ [ "2014" ] ] }, "note" : "CAPLUS AN 2014:1714107(Journal)", "page" : "871-875", "publisher" : "Georg Thieme Verlag", "title" : "Safe generation and direct use of diazoesters in flow chemistry.", "type" : "article-journal", "volume" : "25" }, "uris" : [ "http://www.mendeley.com/documents/?uuid=6d8a9851-38bb-4506-aef2-1f9d48ee6472" ] } ], "mendeley" : { "formattedCitation" : "&lt;sup&gt;[94,95]&lt;/sup&gt;", "plainTextFormattedCitation" : "[94,95]", "previouslyFormattedCitation" : "&lt;sup&gt;[94,95]&lt;/sup&gt;" }, "properties" : { "noteIndex" : 0 }, "schema" : "https://github.com/citation-style-language/schema/raw/master/csl-citation.json" }</w:instrText>
      </w:r>
      <w:r w:rsidR="00045D43" w:rsidRPr="002831D0">
        <w:rPr>
          <w:sz w:val="24"/>
          <w:szCs w:val="24"/>
        </w:rPr>
        <w:fldChar w:fldCharType="separate"/>
      </w:r>
      <w:r w:rsidR="0055300D" w:rsidRPr="0055300D">
        <w:rPr>
          <w:noProof/>
          <w:sz w:val="24"/>
          <w:szCs w:val="24"/>
          <w:vertAlign w:val="superscript"/>
        </w:rPr>
        <w:t>[94,95]</w:t>
      </w:r>
      <w:r w:rsidR="00045D43" w:rsidRPr="002831D0">
        <w:rPr>
          <w:sz w:val="24"/>
          <w:szCs w:val="24"/>
        </w:rPr>
        <w:fldChar w:fldCharType="end"/>
      </w:r>
      <w:r w:rsidR="002831D0" w:rsidRPr="002831D0">
        <w:rPr>
          <w:sz w:val="24"/>
          <w:szCs w:val="24"/>
        </w:rPr>
        <w:t xml:space="preserve"> however there is little in the literature concerning industrial scale synthesis</w:t>
      </w:r>
      <w:r w:rsidR="00A939D6">
        <w:rPr>
          <w:sz w:val="24"/>
          <w:szCs w:val="24"/>
        </w:rPr>
        <w:t>.</w:t>
      </w:r>
      <w:r w:rsidR="002831D0">
        <w:rPr>
          <w:sz w:val="24"/>
          <w:szCs w:val="24"/>
        </w:rPr>
        <w:t xml:space="preserve"> Poechlauer and co-workers from DSM Pharmaceuticals have synthesised and applied both diazomethane and ethyl diazoaceta</w:t>
      </w:r>
      <w:r w:rsidR="003A5F1A">
        <w:rPr>
          <w:sz w:val="24"/>
          <w:szCs w:val="24"/>
        </w:rPr>
        <w:t>t</w:t>
      </w:r>
      <w:r w:rsidR="002831D0">
        <w:rPr>
          <w:sz w:val="24"/>
          <w:szCs w:val="24"/>
        </w:rPr>
        <w:t xml:space="preserve">e in </w:t>
      </w:r>
      <w:r w:rsidR="00A939D6">
        <w:rPr>
          <w:sz w:val="24"/>
          <w:szCs w:val="24"/>
        </w:rPr>
        <w:t>continuous flow</w:t>
      </w:r>
      <w:r w:rsidR="002831D0">
        <w:rPr>
          <w:sz w:val="24"/>
          <w:szCs w:val="24"/>
        </w:rPr>
        <w:t xml:space="preserve"> systems for plant-scale processes.</w:t>
      </w:r>
      <w:r w:rsidR="002831D0">
        <w:rPr>
          <w:sz w:val="24"/>
          <w:szCs w:val="24"/>
        </w:rPr>
        <w:fldChar w:fldCharType="begin" w:fldLock="1"/>
      </w:r>
      <w:r w:rsidR="00F168DA">
        <w:rPr>
          <w:sz w:val="24"/>
          <w:szCs w:val="24"/>
        </w:rPr>
        <w:instrText>ADDIN CSL_CITATION { "citationItems" : [ { "id" : "ITEM-1", "itemData" : { "ISSN" : "0392-839X", "abstract" : "The fine chems. and pharmaceutical industry is taking numerous measures to improve on the sustainability of their manufg. processes and safeguard compliance and quality of their products.  One way to do so is taking better control of the origin of sensitive but quality crit. starting materials by producing them on-site-on-demand.  This replaces the transport, storage and handling of versatile but hazardous starting materials by their on-site-on-demand prodn. and use in a subsequent reaction.  An increasing no. of starting materials is thus produced by continuous processes in small-structured reactors and used immediately after generation. [on SciFinder(R)]", "author" : [ { "dropping-particle" : "", "family" : "Poechlauer", "given" : "Peter", "non-dropping-particle" : "", "parse-names" : false, "suffix" : "" }, { "dropping-particle" : "", "family" : "Braune", "given" : "Sascha", "non-dropping-particle" : "", "parse-names" : false, "suffix" : "" }, { "dropping-particle" : "", "family" : "Dielemans", "given" : "Bert", "non-dropping-particle" : "", "parse-names" : false, "suffix" : "" }, { "dropping-particle" : "", "family" : "Kaptein", "given" : "Bernard", "non-dropping-particle" : "", "parse-names" : false, "suffix" : "" }, { "dropping-particle" : "", "family" : "Obermueller", "given" : "Roland", "non-dropping-particle" : "", "parse-names" : false, "suffix" : "" }, { "dropping-particle" : "", "family" : "Thathagar", "given" : "Mehul.", "non-dropping-particle" : "", "parse-names" : false, "suffix" : "" } ], "container-title" : "Chimica Oggi", "id" : "ITEM-1", "issue" : "4", "issued" : { "date-parts" : [ [ "2012" ] ] }, "note" : "CAPLUS AN 2012:1501270(Journal)", "page" : "51-54", "publisher" : "Tekno Scienze", "title" : "On-site-on demand: production of hazardous chemicals by continuous flow processes.", "type" : "article-journal", "volume" : "30" }, "uris" : [ "http://www.mendeley.com/documents/?uuid=5baccc8d-ef33-45d9-aec6-a110180ee3b3" ] } ], "mendeley" : { "formattedCitation" : "&lt;sup&gt;[96]&lt;/sup&gt;", "plainTextFormattedCitation" : "[96]", "previouslyFormattedCitation" : "&lt;sup&gt;[96]&lt;/sup&gt;" }, "properties" : { "noteIndex" : 0 }, "schema" : "https://github.com/citation-style-language/schema/raw/master/csl-citation.json" }</w:instrText>
      </w:r>
      <w:r w:rsidR="002831D0">
        <w:rPr>
          <w:sz w:val="24"/>
          <w:szCs w:val="24"/>
        </w:rPr>
        <w:fldChar w:fldCharType="separate"/>
      </w:r>
      <w:r w:rsidR="0055300D" w:rsidRPr="0055300D">
        <w:rPr>
          <w:noProof/>
          <w:sz w:val="24"/>
          <w:szCs w:val="24"/>
          <w:vertAlign w:val="superscript"/>
        </w:rPr>
        <w:t>[96]</w:t>
      </w:r>
      <w:r w:rsidR="002831D0">
        <w:rPr>
          <w:sz w:val="24"/>
          <w:szCs w:val="24"/>
        </w:rPr>
        <w:fldChar w:fldCharType="end"/>
      </w:r>
    </w:p>
    <w:p w:rsidR="00ED56E5" w:rsidRDefault="00ED56E5" w:rsidP="00063883">
      <w:pPr>
        <w:autoSpaceDE w:val="0"/>
        <w:autoSpaceDN w:val="0"/>
        <w:adjustRightInd w:val="0"/>
        <w:spacing w:after="0" w:line="360" w:lineRule="auto"/>
        <w:jc w:val="both"/>
        <w:rPr>
          <w:sz w:val="24"/>
          <w:szCs w:val="24"/>
        </w:rPr>
      </w:pPr>
    </w:p>
    <w:p w:rsidR="00ED56E5" w:rsidRPr="00ED56E5" w:rsidRDefault="00DD231C" w:rsidP="00DD231C">
      <w:pPr>
        <w:pStyle w:val="Heading2"/>
        <w:rPr>
          <w:rFonts w:cs="DGMetaSerifScience"/>
        </w:rPr>
      </w:pPr>
      <w:bookmarkStart w:id="16" w:name="_Toc446773069"/>
      <w:r>
        <w:t>1.</w:t>
      </w:r>
      <w:r w:rsidR="00591EF1">
        <w:t>4</w:t>
      </w:r>
      <w:r>
        <w:t xml:space="preserve">.4 </w:t>
      </w:r>
      <w:r w:rsidR="00ED56E5" w:rsidRPr="00ED56E5">
        <w:t xml:space="preserve">Diazonium </w:t>
      </w:r>
      <w:r w:rsidR="009C6875">
        <w:t>ions in f</w:t>
      </w:r>
      <w:r w:rsidR="00ED56E5" w:rsidRPr="00ED56E5">
        <w:t>low</w:t>
      </w:r>
      <w:bookmarkEnd w:id="16"/>
    </w:p>
    <w:p w:rsidR="00ED56E5" w:rsidRDefault="007724A5" w:rsidP="002E755A">
      <w:pPr>
        <w:spacing w:line="360" w:lineRule="auto"/>
        <w:jc w:val="both"/>
        <w:rPr>
          <w:rFonts w:cs="DGMetaSerifScience"/>
          <w:sz w:val="24"/>
          <w:szCs w:val="24"/>
        </w:rPr>
      </w:pPr>
      <w:r>
        <w:rPr>
          <w:rFonts w:cs="DGMetaSerifScience"/>
          <w:sz w:val="24"/>
          <w:szCs w:val="24"/>
        </w:rPr>
        <w:t xml:space="preserve">Diazonium salts can be very explosive: the stability of the salt is closely linked with the counter-ion. Diazonium halides are often dangerously explosive and have to be generated and used </w:t>
      </w:r>
      <w:bookmarkStart w:id="17" w:name="_GoBack"/>
      <w:r w:rsidRPr="009C68EE">
        <w:rPr>
          <w:rFonts w:cs="DGMetaSerifScience"/>
          <w:i/>
          <w:sz w:val="24"/>
          <w:szCs w:val="24"/>
        </w:rPr>
        <w:t>in situ</w:t>
      </w:r>
      <w:bookmarkEnd w:id="17"/>
      <w:r>
        <w:rPr>
          <w:rFonts w:cs="DGMetaSerifScience"/>
          <w:sz w:val="24"/>
          <w:szCs w:val="24"/>
        </w:rPr>
        <w:t>. They are unstable above 0 °C and so must be used below this temperature</w:t>
      </w:r>
      <w:r w:rsidR="00FE3B64">
        <w:rPr>
          <w:rFonts w:cs="DGMetaSerifScience"/>
          <w:sz w:val="24"/>
          <w:szCs w:val="24"/>
        </w:rPr>
        <w:t>. Diazonium salts with weakly coordinating counter-ions such as tetrafluoroborates, tosylates and di</w:t>
      </w:r>
      <w:r w:rsidR="006119B2">
        <w:rPr>
          <w:rFonts w:cs="DGMetaSerifScience"/>
          <w:sz w:val="24"/>
          <w:szCs w:val="24"/>
        </w:rPr>
        <w:t>sulfonyl amide</w:t>
      </w:r>
      <w:r w:rsidR="00FE3B64">
        <w:rPr>
          <w:rFonts w:cs="DGMetaSerifScience"/>
          <w:sz w:val="24"/>
          <w:szCs w:val="24"/>
        </w:rPr>
        <w:t>s are quite stable.</w:t>
      </w:r>
      <w:r w:rsidR="00FE3B64">
        <w:rPr>
          <w:rFonts w:cs="DGMetaSerifScience"/>
          <w:sz w:val="24"/>
          <w:szCs w:val="24"/>
        </w:rPr>
        <w:fldChar w:fldCharType="begin" w:fldLock="1"/>
      </w:r>
      <w:r w:rsidR="00F168DA">
        <w:rPr>
          <w:rFonts w:cs="DGMetaSerifScience"/>
          <w:sz w:val="24"/>
          <w:szCs w:val="24"/>
        </w:rPr>
        <w:instrText>ADDIN CSL_CITATION { "citationItems" : [ { "id" : "ITEM-1", "itemData" : { "DOI" : "10.1021/ol8013528", "ISSN" : "1523-7060", "abstract" : "A new, simple, and effective method for the diazotization of a wide range of arylamines has been developed by using a polymer-supported diazotization agent in the presence of p-toluenesulfonic acid.  Various pure arenediazonium tosylates with unusual stabilities can be easily prepd. by this method.  As a result, these salts are useful and versatile substrates for subsequent transformations, such as halogenation and Heck-type reactions.  The unusual stabilities of arenediazonium tosylates are also preliminarily discussed with their X-ray structures. [on SciFinder(R)]", "author" : [ { "dropping-particle" : "", "family" : "Filimonov", "given" : "Victor D", "non-dropping-particle" : "", "parse-names" : false, "suffix" : "" }, { "dropping-particle" : "", "family" : "Trusova", "given" : "Marina", "non-dropping-particle" : "", "parse-names" : false, "suffix" : "" }, { "dropping-particle" : "", "family" : "Postnikov", "given" : "Pavel", "non-dropping-particle" : "", "parse-names" : false, "suffix" : "" }, { "dropping-particle" : "", "family" : "Krasnokutskaya", "given" : "Elena A", "non-dropping-particle" : "", "parse-names" : false, "suffix" : "" }, { "dropping-particle" : "", "family" : "Lee", "given" : "Young Min", "non-dropping-particle" : "", "parse-names" : false, "suffix" : "" }, { "dropping-particle" : "", "family" : "Hwang", "given" : "Ho Yun", "non-dropping-particle" : "", "parse-names" : false, "suffix" : "" }, { "dropping-particle" : "", "family" : "Kim", "given" : "Hyunuk", "non-dropping-particle" : "", "parse-names" : false, "suffix" : "" }, { "dropping-particle" : "", "family" : "Chi", "given" : "Ki-Whan.", "non-dropping-particle" : "", "parse-names" : false, "suffix" : "" } ], "container-title" : "Organic Letters", "id" : "ITEM-1", "issue" : "18", "issued" : { "date-parts" : [ [ "2008" ] ] }, "note" : "CAPLUS AN 2008:1042208(Journal)", "page" : "3961-3964", "publisher" : "American Chemical Society", "title" : "Unusually Stable, Versatile, and Pure Arenediazonium Tosylates: Their Preparation, Structures, and Synthetic Applicability.", "type" : "article-journal", "volume" : "10" }, "uris" : [ "http://www.mendeley.com/documents/?uuid=93f4f468-e005-4a86-b274-e7000edce5dc" ] }, { "id" : "ITEM-2", "itemData" : { "DOI" : "10.1021/ol200752x", "ISSN" : "1523-7052", "abstract" : "The first Heck-Matsuda reaction using a catalytic amt. of diazonium salts has been discovered.  The reaction proceeds through an unprecedented double catalytic cycle in which the electrophile is generated in situ from anilines and tert-butylnitrite through the reaction advancement.  This concept features mild and safe conditions as hazardous aryl diazonium salts are not isolated.  Importantly, this sustainable procedure generates only environmentally friendly byproducts such as t-BuOH, H2O, and N2. [on SciFinder(R)]", "author" : [ { "dropping-particle" : "", "family" : "Callonnec", "given" : "Francois", "non-dropping-particle" : "Le", "parse-names" : false, "suffix" : "" }, { "dropping-particle" : "", "family" : "Fouquet", "given" : "Eric", "non-dropping-particle" : "", "parse-names" : false, "suffix" : "" }, { "dropping-particle" : "", "family" : "Felpin", "given" : "Francois-Xavier.", "non-dropping-particle" : "", "parse-names" : false, "suffix" : "" } ], "container-title" : "Organic Letters", "id" : "ITEM-2", "issue" : "10", "issued" : { "date-parts" : [ [ "2011" ] ] }, "note" : "CAPLUS AN 2011:512070(Journal; Online Computer File)", "page" : "2646-2649", "publisher" : "American Chemical Society", "title" : "Unprecedented Substoichiometric Use of Hazardous Aryl Diazonium Salts in the Heck-Matsuda Reaction via a Double Catalytic Cycle.", "type" : "article-journal", "volume" : "13" }, "uris" : [ "http://www.mendeley.com/documents/?uuid=b2b87b1a-ab45-4456-92e9-685252b33cb7" ] } ], "mendeley" : { "formattedCitation" : "&lt;sup&gt;[97,98]&lt;/sup&gt;", "plainTextFormattedCitation" : "[97,98]", "previouslyFormattedCitation" : "&lt;sup&gt;[97,98]&lt;/sup&gt;" }, "properties" : { "noteIndex" : 0 }, "schema" : "https://github.com/citation-style-language/schema/raw/master/csl-citation.json" }</w:instrText>
      </w:r>
      <w:r w:rsidR="00FE3B64">
        <w:rPr>
          <w:rFonts w:cs="DGMetaSerifScience"/>
          <w:sz w:val="24"/>
          <w:szCs w:val="24"/>
        </w:rPr>
        <w:fldChar w:fldCharType="separate"/>
      </w:r>
      <w:r w:rsidR="0055300D" w:rsidRPr="0055300D">
        <w:rPr>
          <w:rFonts w:cs="DGMetaSerifScience"/>
          <w:noProof/>
          <w:sz w:val="24"/>
          <w:szCs w:val="24"/>
          <w:vertAlign w:val="superscript"/>
        </w:rPr>
        <w:t>[97,98]</w:t>
      </w:r>
      <w:r w:rsidR="00FE3B64">
        <w:rPr>
          <w:rFonts w:cs="DGMetaSerifScience"/>
          <w:sz w:val="24"/>
          <w:szCs w:val="24"/>
        </w:rPr>
        <w:fldChar w:fldCharType="end"/>
      </w:r>
      <w:r w:rsidR="00FE3B64">
        <w:rPr>
          <w:rFonts w:cs="DGMetaSerifScience"/>
          <w:sz w:val="24"/>
          <w:szCs w:val="24"/>
        </w:rPr>
        <w:t xml:space="preserve"> </w:t>
      </w:r>
      <w:r w:rsidR="00AC46BA">
        <w:rPr>
          <w:rFonts w:cs="DGMetaSerifScience"/>
          <w:sz w:val="24"/>
          <w:szCs w:val="24"/>
        </w:rPr>
        <w:t xml:space="preserve">There are several examples in the literature of the generation and use of diazonium salts using </w:t>
      </w:r>
      <w:r w:rsidR="00A939D6">
        <w:rPr>
          <w:rFonts w:cs="DGMetaSerifScience"/>
          <w:sz w:val="24"/>
          <w:szCs w:val="24"/>
        </w:rPr>
        <w:t>continuous flow</w:t>
      </w:r>
      <w:r w:rsidR="00AC46BA">
        <w:rPr>
          <w:rFonts w:cs="DGMetaSerifScience"/>
          <w:sz w:val="24"/>
          <w:szCs w:val="24"/>
        </w:rPr>
        <w:t xml:space="preserve"> technology</w:t>
      </w:r>
      <w:r w:rsidR="00CF7F3B">
        <w:rPr>
          <w:rFonts w:cs="DGMetaSerifScience"/>
          <w:sz w:val="24"/>
          <w:szCs w:val="24"/>
        </w:rPr>
        <w:t>.</w:t>
      </w:r>
      <w:r w:rsidR="00CF7F3B">
        <w:rPr>
          <w:rFonts w:cs="DGMetaSerifScience"/>
          <w:sz w:val="24"/>
          <w:szCs w:val="24"/>
        </w:rPr>
        <w:fldChar w:fldCharType="begin" w:fldLock="1"/>
      </w:r>
      <w:r w:rsidR="00F168DA">
        <w:rPr>
          <w:rFonts w:cs="DGMetaSerifScience"/>
          <w:sz w:val="24"/>
          <w:szCs w:val="24"/>
        </w:rPr>
        <w:instrText>ADDIN CSL_CITATION { "citationItems" : [ { "id" : "ITEM-1", "itemData" : { "DOI" : "10.1039/b111286d", "ISSN" : "1473-0197", "abstract" : "Monolithic nanoreactors for the safe and expedient continuous synthesis of products requiring unstable intermediates were fabricated and tested by the synthesis of azo dyes under hydrodynamic pumping regimes. [on SciFinder(R)]", "author" : [ { "dropping-particle" : "", "family" : "Wootton", "given" : "Robert C R", "non-dropping-particle" : "", "parse-names" : false, "suffix" : "" }, { "dropping-particle" : "", "family" : "Fortt", "given" : "Robin", "non-dropping-particle" : "", "parse-names" : false, "suffix" : "" }, { "dropping-particle" : "", "family" : "Mello", "given" : "Andrew J", "non-dropping-particle" : "de", "parse-names" : false, "suffix" : "" } ], "container-title" : "Lab on a Chip", "id" : "ITEM-1", "issue" : "1", "issued" : { "date-parts" : [ [ "2002" ] ] }, "note" : "CAPLUS AN 2002:102489(Journal)", "page" : "5-7", "publisher" : "Royal Society of Chemistry", "title" : "On-chip generation and reaction of unstable intermediates-monolithic nanoreactors for diazonium chemistry: Azo dyes.", "type" : "article-journal", "volume" : "2" }, "uris" : [ "http://www.mendeley.com/documents/?uuid=c0216936-d014-474c-a049-512f76d8d3c6", "http://www.mendeley.com/documents/?uuid=97499153-fdf7-4c81-a1f9-ef1a9899effd" ] }, { "id" : "ITEM-2", "itemData" : { "DOI" : "10.1021/op025586j", "ISSN" : "1083-6160", "abstract" : "Monolithic microfluidic reactors for the safe, expedient, and continuous synthesis of products involving unstable intermediates were fabricated and assessed.  The formation of diazonium salts in anhyd. conditions and their subsequent in situ chlorination within microfluidic channels under hydrodynamic pumping regimes is presented.  Significant enhancements in yield were obsd. due to enhanced heat and mass transfer in microfluidic systems.  Monitoring performed using off-line GC and GC-MS was compared with online, on-chip Raman spectroscopy for the direct detn. of compds. [on SciFinder(R)]", "author" : [ { "dropping-particle" : "", "family" : "Fortt", "given" : "Robin", "non-dropping-particle" : "", "parse-names" : false, "suffix" : "" }, { "dropping-particle" : "", "family" : "Wootton", "given" : "Robert C R", "non-dropping-particle" : "", "parse-names" : false, "suffix" : "" }, { "dropping-particle" : "", "family" : "Mello", "given" : "Andrew J", "non-dropping-particle" : "de", "parse-names" : false, "suffix" : "" } ], "container-title" : "Organic Process Research &amp; Development", "id" : "ITEM-2", "issue" : "5", "issued" : { "date-parts" : [ [ "2003" ] ] }, "note" : "CAPLUS AN 2003:421359(Journal)", "page" : "762-768", "publisher" : "American Chemical Society", "title" : "Continuous-Flow Generation of Anhydrous Diazonium Species: Monolithic Microfluidic Reactors for the Chemistry of Unstable Intermediates.", "type" : "article-journal", "volume" : "7" }, "uris" : [ "http://www.mendeley.com/documents/?uuid=90f65a69-bea2-4f74-9f70-4214a3d5d4e6", "http://www.mendeley.com/documents/?uuid=c611d58f-7db0-42ff-814c-7c2d468a081d" ] }, { "id" : "ITEM-3", "itemData" : { "DOI" : "10.1016/j.tetlet.2009.02.133", "ISSN" : "0040-4039", "abstract" : "Various Heck couplings were carried out using segmented flow conditions to accelerate the reactions.  Aryl iodides and -bromides as well as anilines in diazonium-type Heck reactions were used successfully. [on SciFinder(R)]", "author" : [ { "dropping-particle" : "", "family" : "Ahmed-Omer", "given" : "Batoul", "non-dropping-particle" : "", "parse-names" : false, "suffix" : "" }, { "dropping-particle" : "", "family" : "Barrow", "given" : "David A", "non-dropping-particle" : "", "parse-names" : false, "suffix" : "" }, { "dropping-particle" : "", "family" : "Wirth", "given" : "Thomas.", "non-dropping-particle" : "", "parse-names" : false, "suffix" : "" } ], "container-title" : "Tetrahedron Letters", "id" : "ITEM-3", "issue" : "26", "issued" : { "date-parts" : [ [ "2009" ] ] }, "note" : "CAPLUS AN 2009:603509(Journal)", "page" : "3352-3355", "publisher" : "Elsevier Ltd.", "title" : "Heck reactions using segmented flow conditions.", "type" : "article-journal", "volume" : "50" }, "uris" : [ "http://www.mendeley.com/documents/?uuid=0fb01b9b-a71c-4f49-b6f6-53a9dafaa078", "http://www.mendeley.com/documents/?uuid=3c8a2d4d-ac7f-408f-b40f-ffabcafc26a5" ] }, { "id" : "ITEM-4", "itemData" : { "DOI" : "10.1002/adsc.200505480", "ISSN" : "1615-4150", "abstract" : "For a simple biphasic hydrolysis, the application of various reaction conditions in microreactors using segmented flow can dramatically increase the reaction rate.  A tandem diazotization/Heck reaction served as an example that even homogeneous reactions can be accelerated by segmentation in microreactors. [on SciFinder(R)]", "author" : [ { "dropping-particle" : "", "family" : "Ahmed", "given" : "Batoul", "non-dropping-particle" : "", "parse-names" : false, "suffix" : "" }, { "dropping-particle" : "", "family" : "Barrow", "given" : "David", "non-dropping-particle" : "", "parse-names" : false, "suffix" : "" }, { "dropping-particle" : "", "family" : "Wirth", "given" : "Thomas.", "non-dropping-particle" : "", "parse-names" : false, "suffix" : "" } ], "container-title" : "Advanced Synthesis &amp; Catalysis", "id" : "ITEM-4", "issue" : "9", "issued" : { "date-parts" : [ [ "2006" ] ] }, "note" : "CAPLUS AN 2006:689624(Journal)", "page" : "1043-1048", "publisher" : "Wiley-VCH Verlag GmbH &amp; Co. KGaA", "title" : "Enhancement of reaction rates by segmented fluid flow in capillary scale reactors.", "type" : "article-journal", "volume" : "348" }, "uris" : [ "http://www.mendeley.com/documents/?uuid=5e0456e0-acc7-4486-8971-7be0703d6faa", "http://www.mendeley.com/documents/?uuid=ea020351-eaf2-487d-801b-36fb2832e871" ] }, { "id" : "ITEM-5", "itemData" : { "DOI" : "10.1016/j.tetlet.2012.12.084", "ISSN" : "0040-4039", "abstract" : "A facile and highly efficient procedure for the prepn. of arom. fluorides by Balz-Schiemann reaction via two continuous flow reactors has been set up.  The continuous diazotization reactor was run at about 25\u00b0 with residence times of 10-20 s, and the continuous fluorodediazoniation reactor was performed with a residence time of 1 min in high yields.  The reaction times can be greatly reduced by increasing temp. and thereby taking advantage of superior mass and heat transfer of a continuous flow system. [on SciFinder(R)]", "author" : [ { "dropping-particle" : "", "family" : "Yu", "given" : "Zhi-qun", "non-dropping-particle" : "", "parse-names" : false, "suffix" : "" }, { "dropping-particle" : "", "family" : "Lv", "given" : "Yan-wen", "non-dropping-particle" : "", "parse-names" : false, "suffix" : "" }, { "dropping-particle" : "", "family" : "Yu", "given" : "Chuan-ming", "non-dropping-particle" : "", "parse-names" : false, "suffix" : "" }, { "dropping-particle" : "", "family" : "Su", "given" : "Wei-ke.", "non-dropping-particle" : "", "parse-names" : false, "suffix" : "" } ], "container-title" : "Tetrahedron Letters", "id" : "ITEM-5", "issue" : "10", "issued" : { "date-parts" : [ [ "2013" ] ] }, "note" : "CAPLUS AN 2013:110237(Journal; Online Computer File)", "page" : "1261-1263", "publisher" : "Elsevier Ltd.", "title" : "Continuous flow reactor for Balz-Schiemann reaction: a new procedure for the preparation of aromatic fluorides.", "type" : "article-journal", "volume" : "54" }, "uris" : [ "http://www.mendeley.com/documents/?uuid=2d811d75-0398-4adc-8f01-12ca6ef396ac", "http://www.mendeley.com/documents/?uuid=40e697c4-8310-4207-be96-65bcdc9abe54" ] }, { "id" : "ITEM-6", "itemData" : { "DOI" : "10.1021/op300127x", "ISSN" : "1083-6160", "abstract" : "An expeditious and multikilogram-scale process for the Balz-Schiemann synthesis of o-difluorobenzene from o-fluoroaniline via two sep. continuous flow reactors in 90.0% yield has been set up.  The main steps involved the generation of stable diazonium fluoroborate intermediate in situ via continuous diazotization reactor at 20 \u00b0C, and the choice of o-difluorobenzene as cosolvent to achieve the continuous flow fluorodediazoniation system.  Reaction time of both steps could be brought down to within 10 s and 2 min, resp., by increasing the reaction temp. and thereby taking advantage of improved mass and heat transfer of a continuous flow system. [on SciFinder(R)]", "author" : [ { "dropping-particle" : "", "family" : "Yu", "given" : "Zhiqun", "non-dropping-particle" : "", "parse-names" : false, "suffix" : "" }, { "dropping-particle" : "", "family" : "Lv", "given" : "Yanwen", "non-dropping-particle" : "", "parse-names" : false, "suffix" : "" }, { "dropping-particle" : "", "family" : "Yu", "given" : "Chuanming.", "non-dropping-particle" : "", "parse-names" : false, "suffix" : "" } ], "container-title" : "Organic Process Research &amp; Development", "id" : "ITEM-6", "issue" : "10", "issued" : { "date-parts" : [ [ "2012" ] ] }, "note" : "CAPLUS AN 2012:1282291(Journal; Online Computer File)", "page" : "1669-1672", "publisher" : "American Chemical Society", "title" : "A Continuous Kilogram-Scale Process for the Manufacture of o-Difluorobenzene.", "type" : "article-journal", "volume" : "16" }, "uris" : [ "http://www.mendeley.com/documents/?uuid=841d15a7-a51a-4577-ba91-5b5c50230fa5", "http://www.mendeley.com/documents/?uuid=2f29dcc5-a779-4903-b979-2f6797c83576" ] } ], "mendeley" : { "formattedCitation" : "&lt;sup&gt;[99\u2013104]&lt;/sup&gt;", "plainTextFormattedCitation" : "[99\u2013104]", "previouslyFormattedCitation" : "&lt;sup&gt;[99\u2013104]&lt;/sup&gt;" }, "properties" : { "noteIndex" : 0 }, "schema" : "https://github.com/citation-style-language/schema/raw/master/csl-citation.json" }</w:instrText>
      </w:r>
      <w:r w:rsidR="00CF7F3B">
        <w:rPr>
          <w:rFonts w:cs="DGMetaSerifScience"/>
          <w:sz w:val="24"/>
          <w:szCs w:val="24"/>
        </w:rPr>
        <w:fldChar w:fldCharType="separate"/>
      </w:r>
      <w:r w:rsidR="0055300D" w:rsidRPr="0055300D">
        <w:rPr>
          <w:rFonts w:cs="DGMetaSerifScience"/>
          <w:noProof/>
          <w:sz w:val="24"/>
          <w:szCs w:val="24"/>
          <w:vertAlign w:val="superscript"/>
        </w:rPr>
        <w:t>[99–104]</w:t>
      </w:r>
      <w:r w:rsidR="00CF7F3B">
        <w:rPr>
          <w:rFonts w:cs="DGMetaSerifScience"/>
          <w:sz w:val="24"/>
          <w:szCs w:val="24"/>
        </w:rPr>
        <w:fldChar w:fldCharType="end"/>
      </w:r>
    </w:p>
    <w:p w:rsidR="00FE3B64" w:rsidRDefault="00FB7C91" w:rsidP="002E755A">
      <w:pPr>
        <w:spacing w:line="360" w:lineRule="auto"/>
        <w:jc w:val="both"/>
        <w:rPr>
          <w:rFonts w:cs="DGMetaSerifScience"/>
          <w:sz w:val="24"/>
          <w:szCs w:val="24"/>
        </w:rPr>
      </w:pPr>
      <w:r>
        <w:rPr>
          <w:rFonts w:cs="DGMetaSerifScience"/>
          <w:sz w:val="24"/>
          <w:szCs w:val="24"/>
        </w:rPr>
        <w:t xml:space="preserve">Ley and collaborators at Pfizer have reported a variation of the Sandmeyer reaction which allows them to access sulfonyl chlorides from anilines </w:t>
      </w:r>
      <w:r w:rsidRPr="00FB7C91">
        <w:rPr>
          <w:rFonts w:cs="DGMetaSerifScience"/>
          <w:i/>
          <w:sz w:val="24"/>
          <w:szCs w:val="24"/>
        </w:rPr>
        <w:t>via</w:t>
      </w:r>
      <w:r>
        <w:rPr>
          <w:rFonts w:cs="DGMetaSerifScience"/>
          <w:sz w:val="24"/>
          <w:szCs w:val="24"/>
        </w:rPr>
        <w:t xml:space="preserve"> diazonium salts.</w:t>
      </w:r>
      <w:r>
        <w:rPr>
          <w:rFonts w:cs="DGMetaSerifScience"/>
          <w:sz w:val="24"/>
          <w:szCs w:val="24"/>
        </w:rPr>
        <w:fldChar w:fldCharType="begin" w:fldLock="1"/>
      </w:r>
      <w:r w:rsidR="00F168DA">
        <w:rPr>
          <w:rFonts w:cs="DGMetaSerifScience"/>
          <w:sz w:val="24"/>
          <w:szCs w:val="24"/>
        </w:rPr>
        <w:instrText>ADDIN CSL_CITATION { "citationItems" : [ { "id" : "ITEM-1", "itemData" : { "DOI" : "10.1039/c0ob00450b", "ISSN" : "1477-0520", "abstract" : "A flow procedure for the prepn. of arylsulfonyl chlorides from aniline derivs. is described; the reaction is carried out using CuCl2 catalyst in ethylene glycol, SO2 in acetonitrile, benzyltriethylammonium chloride and tert-Bu nitrite (tBuONO).  The reaction conditions are mild, requiring no added acid and are amenable to continuous flow processing, in a safe, easily scalable and less labor intensive way than the corresponding batch method. [on SciFinder(R)]", "author" : [ { "dropping-particle" : "", "family" : "Malet-Sanz", "given" : "Laia", "non-dropping-particle" : "", "parse-names" : false, "suffix" : "" }, { "dropping-particle" : "", "family" : "Madrzak", "given" : "Julia", "non-dropping-particle" : "", "parse-names" : false, "suffix" : "" }, { "dropping-particle" : "V", "family" : "Ley", "given" : "Steven", "non-dropping-particle" : "", "parse-names" : false, "suffix" : "" }, { "dropping-particle" : "", "family" : "Baxendale", "given" : "Ian R", "non-dropping-particle" : "", "parse-names" : false, "suffix" : "" } ], "container-title" : "Organic &amp; Biomolecular Chemistry", "id" : "ITEM-1", "issue" : "23", "issued" : { "date-parts" : [ [ "2010" ] ] }, "note" : "CAPLUS AN 2010:1401039(Journal)", "page" : "5324-5332", "publisher" : "Royal Society of Chemistry", "title" : "Preparation of arylsulfonyl chlorides by chlorosulfonylation of in situ generated diazonium salts using a continuous flow reactor.", "type" : "article-journal", "volume" : "8" }, "uris" : [ "http://www.mendeley.com/documents/?uuid=294dba13-8684-46aa-88f6-bee876c9b0d9", "http://www.mendeley.com/documents/?uuid=9e11935e-0587-4845-aa24-68b725b8813a" ] } ], "mendeley" : { "formattedCitation" : "&lt;sup&gt;[105]&lt;/sup&gt;", "plainTextFormattedCitation" : "[105]", "previouslyFormattedCitation" : "&lt;sup&gt;[105]&lt;/sup&gt;" }, "properties" : { "noteIndex" : 0 }, "schema" : "https://github.com/citation-style-language/schema/raw/master/csl-citation.json" }</w:instrText>
      </w:r>
      <w:r>
        <w:rPr>
          <w:rFonts w:cs="DGMetaSerifScience"/>
          <w:sz w:val="24"/>
          <w:szCs w:val="24"/>
        </w:rPr>
        <w:fldChar w:fldCharType="separate"/>
      </w:r>
      <w:r w:rsidR="0055300D" w:rsidRPr="0055300D">
        <w:rPr>
          <w:rFonts w:cs="DGMetaSerifScience"/>
          <w:noProof/>
          <w:sz w:val="24"/>
          <w:szCs w:val="24"/>
          <w:vertAlign w:val="superscript"/>
        </w:rPr>
        <w:t>[105]</w:t>
      </w:r>
      <w:r>
        <w:rPr>
          <w:rFonts w:cs="DGMetaSerifScience"/>
          <w:sz w:val="24"/>
          <w:szCs w:val="24"/>
        </w:rPr>
        <w:fldChar w:fldCharType="end"/>
      </w:r>
      <w:r>
        <w:rPr>
          <w:rFonts w:cs="DGMetaSerifScience"/>
          <w:sz w:val="24"/>
          <w:szCs w:val="24"/>
        </w:rPr>
        <w:t xml:space="preserve"> The classical reaction was first reported by Meerwein and co-workers.</w:t>
      </w:r>
      <w:r>
        <w:rPr>
          <w:rFonts w:cs="DGMetaSerifScience"/>
          <w:sz w:val="24"/>
          <w:szCs w:val="24"/>
        </w:rPr>
        <w:fldChar w:fldCharType="begin" w:fldLock="1"/>
      </w:r>
      <w:r w:rsidR="00F168DA">
        <w:rPr>
          <w:rFonts w:cs="DGMetaSerifScience"/>
          <w:sz w:val="24"/>
          <w:szCs w:val="24"/>
        </w:rPr>
        <w:instrText>ADDIN CSL_CITATION { "citationItems" : [ { "id" : "ITEM-1", "itemData" : { "ISSN" : "0009-2940", "abstract" : "cf. C.A. 33, 62616.  In general, 0.25 mole RN2Cl (R = aryl) (I) in as concd. a soln. as possible in HCl was added with stirring to 200 cc. satd. (about 30%) SO2 soln. in glacial AcOH contg. 0.06-0.1 mole CuCl2.2H2O (or Cu2Cl2) at a temp. such that N was actively evolved.  This involved cooling for I with neg., and gentle warming for I with pos. substituents.  After reaction times of 5 min. to several hrs. the RSO2Cl (II) sepd. as solids or oils, or were pptd. with ice H2O [R, temp., duration of reaction (min.), b.p., m.p., and % yield]: Ph, 30-42\u00b0, 45, b15 119-21\u00b0, 14.5\u00b0, 53 or 68.2; m-MeC6H4, 30-47\u00b0, 10, b22 146\u00b0, -, 71.2; p-MeC6H4, 35-47\u00b0, 30, b21 124\u00b0, 69\u00b0, 39.3 or 80.3; 2-C10H7, 20-35\u00b0, 150, b0.3 151-4\u00b0, 76\u00b0, 40.3; 4,4'-C6H4C6H4, 30-5\u00b0, 50, -, 201\u00b0, 89; \u03bf-ClC6H4, 10-19\u00b0, 30, b12 144-6\u00b0, -, 73.2; m-ClC6H4, 12-26\u00b0, 12, b12 134\u00b0, -, 73; p-ClC6H4, 14-30\u00b0, 40, b15 141-2\u00b0, 53\u00b0, 90; p-BrC6H4, 12-35\u00b0, 4, b15 153\u00b0, 76.4\u00b0, 92; \u03bf-O2NC6H4, 16-29\u00b0, 35, -, 66\u00b0, 78; m-O2NC6H4, 16-21\u00b0, 30, -, 64\u00b0, 86.5; p-O2NC6H4, 10-22\u00b0, 20, b17 180-1\u00b0, 80\u00b0, 87; \u03bf-MeOC6H4, 40-60\u00b0, 240, b0.3 126-9\u00b0, -, 37.4; p-MeOC6H4, 37-45\u00b0, 60, b0.4 119-22\u00b0, 42-3\u00b0, 26.9 or 40.1;  m-HO2CC6H4, 30\u00b0, 20, -, 133\u00b0, 71.2; p-HO2CC6H4, 4-22\u00b0, 45, -, 233\u00b0, 78.6; 6,2-HO2CC10H6, 40\u00b0, 60, -, 256-8\u00b0 (decompn.), 79.8; \u03bf-MeO2CC6H4, 10-30\u00b0, 60, -, 64-5\u00b0, 75-80; p-MeO2CC6H4, 10-35\u00b0, 3, b0.05 126\u00b0, 72-3\u00b0, 87-92; 4,2-Cl(O2N)C6H3, 10-30\u00b0, 30, -, 77\u00b0, 83.3.  Where 2 yields are reported, the higher yields were obtained by addn. of MgCl2 to increase the Cl- concn., or by adding enough CCl4 or C6H6 to produce a 2-phase reaction mixt.  When neg. substituents sufficiently favored the unstable mesomeric form of I with 6 electrons around the 2nd N, omission of the catalyst was possible [R, duration of reaction (min.), % yield of II without and with catalyst, and m.p. of II given]: 2,4-(O2N)2C6H3, 0.5, 67.4, 82.2, 102\u00b0; 3,5-(O2N)2C6H3, -, 63, 81, 98.5\u00b0; 2,6-(O2N)2C6H3, 60, 77, 85, 136\u00b0; 2,3-(O2N)2C6H3, 30, 74.5, 82, 118\u00b0; 2,4,6-Cl3C6H2, -, 59.3, -, -.  Since I [R = 2,6- and 2,3-(O2N)2C6H3] prepd. in the usual way resulted in substitution of 2-O2N by 2-Cl, 2,6-(or 2,3)-(O2N)2C6H3NH2 (0.1 mole) was suspended in 120 cc. AcOH-HBF4 (from addn. of an equiv. amt. H2F2 to BF3.2AcOH) and diazotized at -15\u00b0 with 9.35 g. NaNO2 (90% aq. soln.) to yield 21 g. 2,6-(or 2,3)-(O2N)2C6H3N2BF4 (III), m. 95-8\u00b0 (decompn.) and 170\u00b0 (decompn.), resp.  The III then added to SO2 in AcOH as were the I gave the desired II.  A mechanism is suggested an\u2026", "author" : [ { "dropping-particle" : "", "family" : "Meerwein", "given" : "Hans", "non-dropping-particle" : "", "parse-names" : false, "suffix" : "" }, { "dropping-particle" : "", "family" : "Dittmar", "given" : "Gerhard", "non-dropping-particle" : "", "parse-names" : false, "suffix" : "" }, { "dropping-particle" : "", "family" : "Gollner", "given" : "Rudolf", "non-dropping-particle" : "", "parse-names" : false, "suffix" : "" }, { "dropping-particle" : "", "family" : "Hafner", "given" : "Klaus", "non-dropping-particle" : "", "parse-names" : false, "suffix" : "" }, { "dropping-particle" : "", "family" : "Mensch", "given" : "Fritz", "non-dropping-particle" : "", "parse-names" : false, "suffix" : "" }, { "dropping-particle" : "", "family" : "Steinfort", "given" : "Otto.", "non-dropping-particle" : "", "parse-names" : false, "suffix" : "" } ], "container-title" : "Chemische Berichte", "id" : "ITEM-1", "issued" : { "date-parts" : [ [ "1957" ] ] }, "note" : "CAPLUS AN 1958:50385(Journal)", "page" : "841-852", "title" : "Aromatic diazo compounds. II. Preparation of aromatic sulfonyl chlorides, a new modification of the Sandmeyer reaction.", "type" : "article-journal", "volume" : "90" }, "uris" : [ "http://www.mendeley.com/documents/?uuid=99c98704-aee2-4c0c-87ca-317b3bc3e727", "http://www.mendeley.com/documents/?uuid=8268ff3e-cd7a-42c1-a986-0049466619db" ] } ], "mendeley" : { "formattedCitation" : "&lt;sup&gt;[106]&lt;/sup&gt;", "plainTextFormattedCitation" : "[106]", "previouslyFormattedCitation" : "&lt;sup&gt;[106]&lt;/sup&gt;" }, "properties" : { "noteIndex" : 0 }, "schema" : "https://github.com/citation-style-language/schema/raw/master/csl-citation.json" }</w:instrText>
      </w:r>
      <w:r>
        <w:rPr>
          <w:rFonts w:cs="DGMetaSerifScience"/>
          <w:sz w:val="24"/>
          <w:szCs w:val="24"/>
        </w:rPr>
        <w:fldChar w:fldCharType="separate"/>
      </w:r>
      <w:r w:rsidR="0055300D" w:rsidRPr="0055300D">
        <w:rPr>
          <w:rFonts w:cs="DGMetaSerifScience"/>
          <w:noProof/>
          <w:sz w:val="24"/>
          <w:szCs w:val="24"/>
          <w:vertAlign w:val="superscript"/>
        </w:rPr>
        <w:t>[106]</w:t>
      </w:r>
      <w:r>
        <w:rPr>
          <w:rFonts w:cs="DGMetaSerifScience"/>
          <w:sz w:val="24"/>
          <w:szCs w:val="24"/>
        </w:rPr>
        <w:fldChar w:fldCharType="end"/>
      </w:r>
      <w:r>
        <w:rPr>
          <w:rFonts w:cs="DGMetaSerifScience"/>
          <w:sz w:val="24"/>
          <w:szCs w:val="24"/>
        </w:rPr>
        <w:t xml:space="preserve"> This variation of the Sandmeyer reaction converted anilines to diazonium salts by reaction with </w:t>
      </w:r>
      <w:r w:rsidR="00C456E3">
        <w:rPr>
          <w:rFonts w:cs="DGMetaSerifScience"/>
          <w:sz w:val="24"/>
          <w:szCs w:val="24"/>
        </w:rPr>
        <w:t>sodium</w:t>
      </w:r>
      <w:r>
        <w:rPr>
          <w:rFonts w:cs="DGMetaSerifScience"/>
          <w:sz w:val="24"/>
          <w:szCs w:val="24"/>
        </w:rPr>
        <w:t xml:space="preserve"> nitrite</w:t>
      </w:r>
      <w:r w:rsidR="003A5F1A">
        <w:rPr>
          <w:rFonts w:cs="DGMetaSerifScience"/>
          <w:b/>
          <w:sz w:val="24"/>
          <w:szCs w:val="24"/>
        </w:rPr>
        <w:t xml:space="preserve"> </w:t>
      </w:r>
      <w:r>
        <w:rPr>
          <w:rFonts w:cs="DGMetaSerifScience"/>
          <w:sz w:val="24"/>
          <w:szCs w:val="24"/>
        </w:rPr>
        <w:t>in a mixture of conc. HC</w:t>
      </w:r>
      <w:r w:rsidR="000F35A2">
        <w:rPr>
          <w:rFonts w:cs="DGMetaSerifScience"/>
          <w:sz w:val="24"/>
          <w:szCs w:val="24"/>
        </w:rPr>
        <w:t>l</w:t>
      </w:r>
      <w:r>
        <w:rPr>
          <w:rFonts w:cs="DGMetaSerifScience"/>
          <w:sz w:val="24"/>
          <w:szCs w:val="24"/>
        </w:rPr>
        <w:t xml:space="preserve"> and acetic acid</w:t>
      </w:r>
      <w:r w:rsidR="00C456E3">
        <w:rPr>
          <w:rFonts w:cs="DGMetaSerifScience"/>
          <w:sz w:val="24"/>
          <w:szCs w:val="24"/>
        </w:rPr>
        <w:t xml:space="preserve"> (</w:t>
      </w:r>
      <w:r w:rsidR="00C456E3" w:rsidRPr="00C456E3">
        <w:rPr>
          <w:rFonts w:cs="DGMetaSerifScience"/>
          <w:b/>
          <w:sz w:val="24"/>
          <w:szCs w:val="24"/>
        </w:rPr>
        <w:t>Scheme 1.32</w:t>
      </w:r>
      <w:r w:rsidR="00C456E3">
        <w:rPr>
          <w:rFonts w:cs="DGMetaSerifScience"/>
          <w:sz w:val="24"/>
          <w:szCs w:val="24"/>
        </w:rPr>
        <w:t>)</w:t>
      </w:r>
      <w:r>
        <w:rPr>
          <w:rFonts w:cs="DGMetaSerifScience"/>
          <w:sz w:val="24"/>
          <w:szCs w:val="24"/>
        </w:rPr>
        <w:t>. The corresponding sulfonyl chlorides can then be prepared.</w:t>
      </w:r>
    </w:p>
    <w:p w:rsidR="00FB7C91" w:rsidRDefault="003A5F1A" w:rsidP="00FB7C91">
      <w:pPr>
        <w:spacing w:line="360" w:lineRule="auto"/>
        <w:jc w:val="center"/>
      </w:pPr>
      <w:r>
        <w:object w:dxaOrig="5740" w:dyaOrig="1540">
          <v:shape id="_x0000_i1059" type="#_x0000_t75" style="width:293.25pt;height:78.75pt" o:ole="">
            <v:imagedata r:id="rId85" o:title=""/>
          </v:shape>
          <o:OLEObject Type="Embed" ProgID="ChemDraw.Document.6.0" ShapeID="_x0000_i1059" DrawAspect="Content" ObjectID="_1531849602" r:id="rId86"/>
        </w:object>
      </w:r>
    </w:p>
    <w:p w:rsidR="00C456E3" w:rsidRDefault="00C456E3" w:rsidP="00FB7C91">
      <w:pPr>
        <w:spacing w:line="360" w:lineRule="auto"/>
        <w:jc w:val="center"/>
      </w:pPr>
      <w:r w:rsidRPr="00C456E3">
        <w:rPr>
          <w:rFonts w:cs="DGMetaSerifScience"/>
          <w:b/>
          <w:sz w:val="24"/>
          <w:szCs w:val="24"/>
        </w:rPr>
        <w:t>Scheme 1.32</w:t>
      </w:r>
    </w:p>
    <w:p w:rsidR="00FB7C91" w:rsidRDefault="00FB7C91" w:rsidP="00FB7C91">
      <w:pPr>
        <w:spacing w:line="360" w:lineRule="auto"/>
        <w:jc w:val="both"/>
      </w:pPr>
    </w:p>
    <w:p w:rsidR="00FB7C91" w:rsidRPr="000F35A2" w:rsidRDefault="00D866D4" w:rsidP="00FB7C91">
      <w:pPr>
        <w:spacing w:line="360" w:lineRule="auto"/>
        <w:jc w:val="both"/>
        <w:rPr>
          <w:sz w:val="24"/>
          <w:szCs w:val="24"/>
        </w:rPr>
      </w:pPr>
      <w:r w:rsidRPr="000F35A2">
        <w:rPr>
          <w:sz w:val="24"/>
          <w:szCs w:val="24"/>
        </w:rPr>
        <w:t xml:space="preserve">Ley </w:t>
      </w:r>
      <w:r w:rsidRPr="008F714D">
        <w:rPr>
          <w:i/>
          <w:sz w:val="24"/>
          <w:szCs w:val="24"/>
        </w:rPr>
        <w:t>et al</w:t>
      </w:r>
      <w:r w:rsidR="00F92837">
        <w:rPr>
          <w:sz w:val="24"/>
          <w:szCs w:val="24"/>
        </w:rPr>
        <w:t>. aimed</w:t>
      </w:r>
      <w:r w:rsidRPr="000F35A2">
        <w:rPr>
          <w:sz w:val="24"/>
          <w:szCs w:val="24"/>
        </w:rPr>
        <w:t xml:space="preserve"> to generate diazonium ions in a continuous flow to form the sulfonyl chlorides. A number of adjustments to the original reaction conditions were necessary in order to make the process amenable to a flow process. Concentrated hydrochloric acid and acetic acid is not suitable for use in a flow reactor due to issues associated with corrosion of the stainless steel components in the pumps. The formation of precipitates was a major issue, causing blockages in the reactor. It was decided to use </w:t>
      </w:r>
      <w:r w:rsidRPr="000F35A2">
        <w:rPr>
          <w:i/>
          <w:sz w:val="24"/>
          <w:szCs w:val="24"/>
        </w:rPr>
        <w:t>t</w:t>
      </w:r>
      <w:r w:rsidRPr="000F35A2">
        <w:rPr>
          <w:sz w:val="24"/>
          <w:szCs w:val="24"/>
        </w:rPr>
        <w:t xml:space="preserve">-butyl nitrite </w:t>
      </w:r>
      <w:r w:rsidR="003A5F1A">
        <w:rPr>
          <w:b/>
          <w:sz w:val="24"/>
          <w:szCs w:val="24"/>
        </w:rPr>
        <w:t>49</w:t>
      </w:r>
      <w:r w:rsidR="003A5F1A">
        <w:rPr>
          <w:sz w:val="24"/>
          <w:szCs w:val="24"/>
        </w:rPr>
        <w:t xml:space="preserve"> in place of sodium nitrite</w:t>
      </w:r>
      <w:r w:rsidRPr="000F35A2">
        <w:rPr>
          <w:sz w:val="24"/>
          <w:szCs w:val="24"/>
        </w:rPr>
        <w:t xml:space="preserve">, which allowed use of benzyltriethylammonium chloride (BTEAC) </w:t>
      </w:r>
      <w:r w:rsidR="00C456E3">
        <w:rPr>
          <w:b/>
          <w:sz w:val="24"/>
          <w:szCs w:val="24"/>
        </w:rPr>
        <w:t>5</w:t>
      </w:r>
      <w:r w:rsidR="003A5F1A">
        <w:rPr>
          <w:b/>
          <w:sz w:val="24"/>
          <w:szCs w:val="24"/>
        </w:rPr>
        <w:t>0</w:t>
      </w:r>
      <w:r w:rsidR="00D27D14" w:rsidRPr="000F35A2">
        <w:rPr>
          <w:b/>
          <w:sz w:val="24"/>
          <w:szCs w:val="24"/>
        </w:rPr>
        <w:t xml:space="preserve"> </w:t>
      </w:r>
      <w:r w:rsidR="00D27D14" w:rsidRPr="000F35A2">
        <w:rPr>
          <w:sz w:val="24"/>
          <w:szCs w:val="24"/>
        </w:rPr>
        <w:t>as an alternative source of chloride to hydrochloric acid. Ethylene glycol was used to solubilise CuCl</w:t>
      </w:r>
      <w:r w:rsidR="00D27D14" w:rsidRPr="000F35A2">
        <w:rPr>
          <w:sz w:val="24"/>
          <w:szCs w:val="24"/>
          <w:vertAlign w:val="subscript"/>
        </w:rPr>
        <w:t>2</w:t>
      </w:r>
      <w:r w:rsidR="00D27D14" w:rsidRPr="000F35A2">
        <w:rPr>
          <w:sz w:val="24"/>
          <w:szCs w:val="24"/>
        </w:rPr>
        <w:t xml:space="preserve"> in acetonitrile. By implementing these changes</w:t>
      </w:r>
      <w:r w:rsidR="00C456E3">
        <w:rPr>
          <w:sz w:val="24"/>
          <w:szCs w:val="24"/>
        </w:rPr>
        <w:t xml:space="preserve">, illustrated in </w:t>
      </w:r>
      <w:r w:rsidR="00C456E3" w:rsidRPr="00C456E3">
        <w:rPr>
          <w:b/>
          <w:sz w:val="24"/>
          <w:szCs w:val="24"/>
        </w:rPr>
        <w:t>Scheme 1.33</w:t>
      </w:r>
      <w:r w:rsidR="00D27D14" w:rsidRPr="000F35A2">
        <w:rPr>
          <w:sz w:val="24"/>
          <w:szCs w:val="24"/>
        </w:rPr>
        <w:t>, the authors were able to design a successful flow synthesis for arylsulfonyl chlorides.</w:t>
      </w:r>
    </w:p>
    <w:p w:rsidR="003339C9" w:rsidRDefault="003339C9" w:rsidP="00FB7C91">
      <w:pPr>
        <w:spacing w:line="360" w:lineRule="auto"/>
        <w:jc w:val="both"/>
      </w:pPr>
    </w:p>
    <w:p w:rsidR="00D27D14" w:rsidRDefault="008E2D00" w:rsidP="00D27D14">
      <w:pPr>
        <w:spacing w:line="360" w:lineRule="auto"/>
        <w:jc w:val="center"/>
      </w:pPr>
      <w:r>
        <w:object w:dxaOrig="5594" w:dyaOrig="3746">
          <v:shape id="_x0000_i1096" type="#_x0000_t75" style="width:281.25pt;height:186pt" o:ole="">
            <v:imagedata r:id="rId87" o:title=""/>
          </v:shape>
          <o:OLEObject Type="Embed" ProgID="ChemDraw.Document.6.0" ShapeID="_x0000_i1096" DrawAspect="Content" ObjectID="_1531849603" r:id="rId88"/>
        </w:object>
      </w:r>
    </w:p>
    <w:p w:rsidR="00C456E3" w:rsidRDefault="00C456E3" w:rsidP="00D27D14">
      <w:pPr>
        <w:spacing w:line="360" w:lineRule="auto"/>
        <w:jc w:val="center"/>
      </w:pPr>
      <w:r w:rsidRPr="00C456E3">
        <w:rPr>
          <w:b/>
          <w:sz w:val="24"/>
          <w:szCs w:val="24"/>
        </w:rPr>
        <w:t>Scheme 1.33</w:t>
      </w:r>
    </w:p>
    <w:p w:rsidR="00C456E3" w:rsidRDefault="00C456E3" w:rsidP="00D27D14">
      <w:pPr>
        <w:spacing w:line="360" w:lineRule="auto"/>
        <w:jc w:val="center"/>
      </w:pPr>
    </w:p>
    <w:p w:rsidR="00D27D14" w:rsidRDefault="002B307F" w:rsidP="00D27D14">
      <w:pPr>
        <w:spacing w:line="360" w:lineRule="auto"/>
        <w:jc w:val="both"/>
        <w:rPr>
          <w:rFonts w:cs="DGMetaSerifScience"/>
          <w:sz w:val="24"/>
          <w:szCs w:val="24"/>
        </w:rPr>
      </w:pPr>
      <w:r>
        <w:rPr>
          <w:rFonts w:cs="DGMetaSerifScience"/>
          <w:sz w:val="24"/>
          <w:szCs w:val="24"/>
        </w:rPr>
        <w:lastRenderedPageBreak/>
        <w:t xml:space="preserve">Jacq </w:t>
      </w:r>
      <w:r w:rsidRPr="008F714D">
        <w:rPr>
          <w:rFonts w:cs="DGMetaSerifScience"/>
          <w:i/>
          <w:sz w:val="24"/>
          <w:szCs w:val="24"/>
        </w:rPr>
        <w:t>et al</w:t>
      </w:r>
      <w:r>
        <w:rPr>
          <w:rFonts w:cs="DGMetaSerifScience"/>
          <w:sz w:val="24"/>
          <w:szCs w:val="24"/>
        </w:rPr>
        <w:t>. have reported the synthesis of diazonium salts as part of a telescoped synthesis of 2-substituted [1,2,3]-triazoles.</w:t>
      </w:r>
      <w:r>
        <w:rPr>
          <w:rFonts w:cs="DGMetaSerifScience"/>
          <w:sz w:val="24"/>
          <w:szCs w:val="24"/>
        </w:rPr>
        <w:fldChar w:fldCharType="begin" w:fldLock="1"/>
      </w:r>
      <w:r w:rsidR="00F168DA">
        <w:rPr>
          <w:rFonts w:cs="DGMetaSerifScience"/>
          <w:sz w:val="24"/>
          <w:szCs w:val="24"/>
        </w:rPr>
        <w:instrText>ADDIN CSL_CITATION { "citationItems" : [ { "id" : "ITEM-1", "itemData" : { "DOI" : "10.1002/chem.201402074", "ISSN" : "0947-6539", "abstract" : "Efficient flow synthesis was developed for the prepn. of 2-aryl-1,2,3-triazoles.  This strategy involves a 3-step synthesis under continuous-flow conditions that starts from the diazotization of anilines and subsequent reaction with malononitrile, followed by nucleophilic addn. of amines, and finally employs a catalytic Cu(II) cyclization.  Potential safety hazards assocd. with the formation of reactive diazonium species were addressed by in-line quenching.  The use of flow equipment allows reliable scale up processes with precise control of the reaction conditions.  The synthesis of 2-substituted 1,2,3-triazoles was achieved in good yields with excellent selectivities, thus providing a wide range of 1,2,3-triazoles. [on SciFinder(R)]", "author" : [ { "dropping-particle" : "", "family" : "Jacq", "given" : "Jerome", "non-dropping-particle" : "", "parse-names" : false, "suffix" : "" }, { "dropping-particle" : "", "family" : "Pasau", "given" : "Patrick.", "non-dropping-particle" : "", "parse-names" : false, "suffix" : "" } ], "container-title" : "Chemistry - A European Journal", "id" : "ITEM-1", "issue" : "38", "issued" : { "date-parts" : [ [ "2014" ] ] }, "note" : "CAPLUS AN 2014:1252086(Journal)", "page" : "12223-12233", "publisher" : "Wiley-VCH Verlag GmbH &amp; Co. KGaA", "title" : "Multistep flow synthesis of 5-amino-2-aryl-2H-[1,2,3]-triazole-4-carbonitriles.", "type" : "article-journal", "volume" : "20" }, "uris" : [ "http://www.mendeley.com/documents/?uuid=3b0c0cc6-f1e6-4262-a19e-f6c6e64b5a0c", "http://www.mendeley.com/documents/?uuid=90dc2eb6-a328-4afa-9ca3-0641847be707" ] } ], "mendeley" : { "formattedCitation" : "&lt;sup&gt;[107]&lt;/sup&gt;", "plainTextFormattedCitation" : "[107]", "previouslyFormattedCitation" : "&lt;sup&gt;[107]&lt;/sup&gt;" }, "properties" : { "noteIndex" : 0 }, "schema" : "https://github.com/citation-style-language/schema/raw/master/csl-citation.json" }</w:instrText>
      </w:r>
      <w:r>
        <w:rPr>
          <w:rFonts w:cs="DGMetaSerifScience"/>
          <w:sz w:val="24"/>
          <w:szCs w:val="24"/>
        </w:rPr>
        <w:fldChar w:fldCharType="separate"/>
      </w:r>
      <w:r w:rsidR="0055300D" w:rsidRPr="0055300D">
        <w:rPr>
          <w:rFonts w:cs="DGMetaSerifScience"/>
          <w:noProof/>
          <w:sz w:val="24"/>
          <w:szCs w:val="24"/>
          <w:vertAlign w:val="superscript"/>
        </w:rPr>
        <w:t>[107]</w:t>
      </w:r>
      <w:r>
        <w:rPr>
          <w:rFonts w:cs="DGMetaSerifScience"/>
          <w:sz w:val="24"/>
          <w:szCs w:val="24"/>
        </w:rPr>
        <w:fldChar w:fldCharType="end"/>
      </w:r>
      <w:r>
        <w:rPr>
          <w:rFonts w:cs="DGMetaSerifScience"/>
          <w:sz w:val="24"/>
          <w:szCs w:val="24"/>
        </w:rPr>
        <w:t xml:space="preserve"> The diazonium salt </w:t>
      </w:r>
      <w:r w:rsidR="00C456E3">
        <w:rPr>
          <w:rFonts w:cs="DGMetaSerifScience"/>
          <w:b/>
          <w:sz w:val="24"/>
          <w:szCs w:val="24"/>
        </w:rPr>
        <w:t>5</w:t>
      </w:r>
      <w:r w:rsidR="003A5F1A">
        <w:rPr>
          <w:rFonts w:cs="DGMetaSerifScience"/>
          <w:b/>
          <w:sz w:val="24"/>
          <w:szCs w:val="24"/>
        </w:rPr>
        <w:t>1</w:t>
      </w:r>
      <w:r>
        <w:rPr>
          <w:rFonts w:cs="DGMetaSerifScience"/>
          <w:sz w:val="24"/>
          <w:szCs w:val="24"/>
        </w:rPr>
        <w:t xml:space="preserve"> is formed by reaction of aniline </w:t>
      </w:r>
      <w:r w:rsidR="003A5F1A" w:rsidRPr="003A5F1A">
        <w:rPr>
          <w:rFonts w:cs="DGMetaSerifScience"/>
          <w:b/>
          <w:sz w:val="24"/>
          <w:szCs w:val="24"/>
        </w:rPr>
        <w:t>52</w:t>
      </w:r>
      <w:r>
        <w:rPr>
          <w:rFonts w:cs="DGMetaSerifScience"/>
          <w:sz w:val="24"/>
          <w:szCs w:val="24"/>
        </w:rPr>
        <w:t xml:space="preserve"> with </w:t>
      </w:r>
      <w:r w:rsidRPr="000A2A66">
        <w:rPr>
          <w:rFonts w:cs="DGMetaSerifScience"/>
          <w:i/>
          <w:sz w:val="24"/>
          <w:szCs w:val="24"/>
        </w:rPr>
        <w:t>t</w:t>
      </w:r>
      <w:r>
        <w:rPr>
          <w:rFonts w:cs="DGMetaSerifScience"/>
          <w:sz w:val="24"/>
          <w:szCs w:val="24"/>
        </w:rPr>
        <w:t xml:space="preserve">-butyl nitrite </w:t>
      </w:r>
      <w:r w:rsidR="003A5F1A">
        <w:rPr>
          <w:rFonts w:cs="DGMetaSerifScience"/>
          <w:b/>
          <w:sz w:val="24"/>
          <w:szCs w:val="24"/>
        </w:rPr>
        <w:t>49</w:t>
      </w:r>
      <w:r>
        <w:rPr>
          <w:rFonts w:cs="DGMetaSerifScience"/>
          <w:sz w:val="24"/>
          <w:szCs w:val="24"/>
        </w:rPr>
        <w:t xml:space="preserve"> in acetonitrile. The 2-arylhydrazonoomalononitrile intermediate </w:t>
      </w:r>
      <w:r w:rsidR="00C456E3">
        <w:rPr>
          <w:rFonts w:cs="DGMetaSerifScience"/>
          <w:b/>
          <w:sz w:val="24"/>
          <w:szCs w:val="24"/>
        </w:rPr>
        <w:t>53</w:t>
      </w:r>
      <w:r>
        <w:rPr>
          <w:rFonts w:cs="DGMetaSerifScience"/>
          <w:sz w:val="24"/>
          <w:szCs w:val="24"/>
        </w:rPr>
        <w:t xml:space="preserve"> was then </w:t>
      </w:r>
      <w:r w:rsidR="003339C9">
        <w:rPr>
          <w:rFonts w:cs="DGMetaSerifScience"/>
          <w:sz w:val="24"/>
          <w:szCs w:val="24"/>
        </w:rPr>
        <w:t>reacted</w:t>
      </w:r>
      <w:r>
        <w:rPr>
          <w:rFonts w:cs="DGMetaSerifScience"/>
          <w:sz w:val="24"/>
          <w:szCs w:val="24"/>
        </w:rPr>
        <w:t xml:space="preserve"> with ammonia to produce 2-arylhydrazonoacetamidine </w:t>
      </w:r>
      <w:r w:rsidR="00C456E3">
        <w:rPr>
          <w:rFonts w:cs="DGMetaSerifScience"/>
          <w:b/>
          <w:sz w:val="24"/>
          <w:szCs w:val="24"/>
        </w:rPr>
        <w:t>54</w:t>
      </w:r>
      <w:r>
        <w:rPr>
          <w:rFonts w:cs="DGMetaSerifScience"/>
          <w:sz w:val="24"/>
          <w:szCs w:val="24"/>
        </w:rPr>
        <w:t xml:space="preserve"> in good yields (&gt;4g in 6.25h)</w:t>
      </w:r>
      <w:r w:rsidR="00C456E3">
        <w:rPr>
          <w:rFonts w:cs="DGMetaSerifScience"/>
          <w:sz w:val="24"/>
          <w:szCs w:val="24"/>
        </w:rPr>
        <w:t xml:space="preserve">, as can be seen in </w:t>
      </w:r>
      <w:r w:rsidR="00C456E3" w:rsidRPr="00C456E3">
        <w:rPr>
          <w:rFonts w:cs="DGMetaSerifScience"/>
          <w:b/>
          <w:sz w:val="24"/>
          <w:szCs w:val="24"/>
        </w:rPr>
        <w:t>Scheme 1.34</w:t>
      </w:r>
      <w:r>
        <w:rPr>
          <w:rFonts w:cs="DGMetaSerifScience"/>
          <w:sz w:val="24"/>
          <w:szCs w:val="24"/>
        </w:rPr>
        <w:t>.</w:t>
      </w:r>
    </w:p>
    <w:p w:rsidR="000F35A2" w:rsidRDefault="000F35A2" w:rsidP="00D27D14">
      <w:pPr>
        <w:spacing w:line="360" w:lineRule="auto"/>
        <w:jc w:val="both"/>
        <w:rPr>
          <w:rFonts w:cs="DGMetaSerifScience"/>
          <w:sz w:val="24"/>
          <w:szCs w:val="24"/>
        </w:rPr>
      </w:pPr>
    </w:p>
    <w:p w:rsidR="00425F63" w:rsidRDefault="008E2D00" w:rsidP="002B307F">
      <w:pPr>
        <w:spacing w:line="360" w:lineRule="auto"/>
        <w:jc w:val="center"/>
      </w:pPr>
      <w:r>
        <w:object w:dxaOrig="6691" w:dyaOrig="5068">
          <v:shape id="_x0000_i1097" type="#_x0000_t75" style="width:327.75pt;height:249.75pt" o:ole="">
            <v:imagedata r:id="rId89" o:title=""/>
          </v:shape>
          <o:OLEObject Type="Embed" ProgID="ChemDraw.Document.6.0" ShapeID="_x0000_i1097" DrawAspect="Content" ObjectID="_1531849604" r:id="rId90"/>
        </w:object>
      </w:r>
    </w:p>
    <w:p w:rsidR="00C456E3" w:rsidRDefault="00C456E3" w:rsidP="002B307F">
      <w:pPr>
        <w:spacing w:line="360" w:lineRule="auto"/>
        <w:jc w:val="center"/>
      </w:pPr>
      <w:r w:rsidRPr="00C456E3">
        <w:rPr>
          <w:rFonts w:cs="DGMetaSerifScience"/>
          <w:b/>
          <w:sz w:val="24"/>
          <w:szCs w:val="24"/>
        </w:rPr>
        <w:t>Scheme 1.34</w:t>
      </w:r>
    </w:p>
    <w:p w:rsidR="002B307F" w:rsidRDefault="002B307F" w:rsidP="002B307F">
      <w:pPr>
        <w:spacing w:line="360" w:lineRule="auto"/>
        <w:jc w:val="center"/>
      </w:pPr>
    </w:p>
    <w:p w:rsidR="002B307F" w:rsidRPr="00997017" w:rsidRDefault="00DD231C" w:rsidP="00DD231C">
      <w:pPr>
        <w:pStyle w:val="Heading2"/>
      </w:pPr>
      <w:bookmarkStart w:id="18" w:name="_Toc446773070"/>
      <w:r w:rsidRPr="00DD231C">
        <w:t>1</w:t>
      </w:r>
      <w:r>
        <w:rPr>
          <w:rFonts w:ascii="Symbol" w:hAnsi="Symbol"/>
        </w:rPr>
        <w:t></w:t>
      </w:r>
      <w:r w:rsidR="00591EF1">
        <w:rPr>
          <w:rFonts w:asciiTheme="majorHAnsi" w:hAnsiTheme="majorHAnsi"/>
        </w:rPr>
        <w:t>4</w:t>
      </w:r>
      <w:r>
        <w:rPr>
          <w:rFonts w:asciiTheme="majorHAnsi" w:hAnsiTheme="majorHAnsi"/>
        </w:rPr>
        <w:t>.5</w:t>
      </w:r>
      <w:r>
        <w:rPr>
          <w:rFonts w:ascii="Symbol" w:hAnsi="Symbol"/>
        </w:rPr>
        <w:t></w:t>
      </w:r>
      <w:r w:rsidR="005D2008" w:rsidRPr="00997017">
        <w:rPr>
          <w:rFonts w:ascii="Symbol" w:hAnsi="Symbol"/>
        </w:rPr>
        <w:t></w:t>
      </w:r>
      <w:r w:rsidR="005D2008" w:rsidRPr="00997017">
        <w:t xml:space="preserve">-Diazocarbonyl </w:t>
      </w:r>
      <w:r w:rsidR="009C6875">
        <w:t>compounds in f</w:t>
      </w:r>
      <w:r w:rsidR="005D2008" w:rsidRPr="00997017">
        <w:t>low</w:t>
      </w:r>
      <w:bookmarkEnd w:id="18"/>
    </w:p>
    <w:p w:rsidR="00997017" w:rsidRPr="00997017" w:rsidRDefault="00997017" w:rsidP="002B307F">
      <w:pPr>
        <w:spacing w:line="360" w:lineRule="auto"/>
        <w:jc w:val="both"/>
        <w:rPr>
          <w:sz w:val="24"/>
          <w:szCs w:val="24"/>
        </w:rPr>
      </w:pPr>
      <w:r w:rsidRPr="00997017">
        <w:rPr>
          <w:rFonts w:ascii="Symbol" w:hAnsi="Symbol"/>
          <w:sz w:val="24"/>
          <w:szCs w:val="24"/>
        </w:rPr>
        <w:t></w:t>
      </w:r>
      <w:r>
        <w:rPr>
          <w:sz w:val="24"/>
          <w:szCs w:val="24"/>
        </w:rPr>
        <w:t>-Diazocarbonyl compounds are generally stable compounds, however the reagents used to generate them can be very shock and temperature sensitive, making them unsuitable for use on an industrial scale.</w:t>
      </w:r>
      <w:r>
        <w:rPr>
          <w:sz w:val="24"/>
          <w:szCs w:val="24"/>
        </w:rPr>
        <w:fldChar w:fldCharType="begin" w:fldLock="1"/>
      </w:r>
      <w:r w:rsidR="00E2013D">
        <w:rPr>
          <w:sz w:val="24"/>
          <w:szCs w:val="24"/>
        </w:rPr>
        <w:instrText>ADDIN CSL_CITATION { "citationItems" : [ { "id" : "ITEM-1", "itemData" : { "ISSN" : "0936-5214", "abstract" : "A review with 30 refs. The explosive hazard of widely used diazotransfer reagents has been measured. Since no single reagent is suitable for all uses, selection must be based on minimization of hazard and ease of purifn. of the product. In general, azidotransfer reagents are more energetic than diazotransfer reagents, therefore more hazardous to the researcher. Users of azidotransfer reagents are invited to det. the inherent hazards of these compds. [on SciFinder(R)]", "author" : [ { "dropping-particle" : "", "family" : "Bollinger", "given" : "Frederick W", "non-dropping-particle" : "", "parse-names" : false, "suffix" : "" }, { "dropping-particle" : "", "family" : "Tuma", "given" : "Linda D", "non-dropping-particle" : "", "parse-names" : false, "suffix" : "" } ], "container-title" : "Synlett", "id" : "ITEM-1", "issue" : "5", "issued" : { "date-parts" : [ [ "1996" ] ] }, "note" : "CAPLUS AN 1996:339089(Journal; General Review)", "page" : "407-413", "publisher" : "Thieme", "title" : "Diazotransfer reagents.", "type" : "article-journal" }, "uris" : [ "http://www.mendeley.com/documents/?uuid=a96952d8-7a81-4b6f-b61d-aba6dde60f1e" ] }, { "id" : "ITEM-2", "itemData" : { "DOI" : "10.1002/anie.200902785", "ISSN" : "1521-3773", "PMID" : "19790217", "abstract" : "Diazo compounds (R1R2C=N2) are known as versatile and useful substrates for an array of chemical transformations and, therefore, diazo chemistry is still far from losing anything of its long-standing fascination. In addition to many studies on the subsequent chemistry of the diazo group, the inventory of methods for the preparation of diazo compounds is continuously supplemented by new methods and novel variations of established procedures. Several of these synthetic approaches take into account the lability and remarkable chemical reactivity of certain classes of diazo compounds, and environmentally more benign procedures also continue to be developed.", "author" : [ { "dropping-particle" : "", "family" : "Maas", "given" : "Gerhard", "non-dropping-particle" : "", "parse-names" : false, "suffix" : "" } ], "container-title" : "Angewandte Chemie (International ed. in English)", "id" : "ITEM-2", "issue" : "44", "issued" : { "date-parts" : [ [ "2009", "1" ] ] }, "page" : "8186-95", "title" : "New syntheses of diazo compounds.", "type" : "article-journal", "volume" : "48" }, "uris" : [ "http://www.mendeley.com/documents/?uuid=5a48bb05-933e-487b-9558-0910d88d068d" ] } ], "mendeley" : { "formattedCitation" : "&lt;sup&gt;[5,10]&lt;/sup&gt;", "plainTextFormattedCitation" : "[5,10]", "previouslyFormattedCitation" : "&lt;sup&gt;[5,10]&lt;/sup&gt;" }, "properties" : { "noteIndex" : 0 }, "schema" : "https://github.com/citation-style-language/schema/raw/master/csl-citation.json" }</w:instrText>
      </w:r>
      <w:r>
        <w:rPr>
          <w:sz w:val="24"/>
          <w:szCs w:val="24"/>
        </w:rPr>
        <w:fldChar w:fldCharType="separate"/>
      </w:r>
      <w:r w:rsidR="00DF4000" w:rsidRPr="00DF4000">
        <w:rPr>
          <w:noProof/>
          <w:sz w:val="24"/>
          <w:szCs w:val="24"/>
          <w:vertAlign w:val="superscript"/>
        </w:rPr>
        <w:t>[5,10]</w:t>
      </w:r>
      <w:r>
        <w:rPr>
          <w:sz w:val="24"/>
          <w:szCs w:val="24"/>
        </w:rPr>
        <w:fldChar w:fldCharType="end"/>
      </w:r>
      <w:r>
        <w:rPr>
          <w:sz w:val="24"/>
          <w:szCs w:val="24"/>
        </w:rPr>
        <w:t xml:space="preserve"> Various syntheses have been published making these versatile compounds in flow.</w:t>
      </w:r>
      <w:r>
        <w:rPr>
          <w:sz w:val="24"/>
          <w:szCs w:val="24"/>
        </w:rPr>
        <w:fldChar w:fldCharType="begin" w:fldLock="1"/>
      </w:r>
      <w:r w:rsidR="00F168DA">
        <w:rPr>
          <w:sz w:val="24"/>
          <w:szCs w:val="24"/>
        </w:rPr>
        <w:instrText>ADDIN CSL_CITATION { "citationItems" : [ { "id" : "ITEM-1", "itemData" : { "DOI" : "10.1021/jo101783m", "ISSN" : "0022-3263", "abstract" : "An in-flow process for the synthesis of \u03b2-keto esters via BF3\u00b7OEt2-catalyzed formal C-H insertion of Et diazoacetate into aldehydes was reported.  The \u03b2-keto esters were then condensed with a range of amidines to give a variety of 2,6-substituted pyrimidin-4-ols. [on SciFinder(R)]", "author" : [ { "dropping-particle" : "", "family" : "Bartrum", "given" : "Hannah E", "non-dropping-particle" : "", "parse-names" : false, "suffix" : "" }, { "dropping-particle" : "", "family" : "Blakemore", "given" : "David C", "non-dropping-particle" : "", "parse-names" : false, "suffix" : "" }, { "dropping-particle" : "", "family" : "Moody", "given" : "Christopher J", "non-dropping-particle" : "", "parse-names" : false, "suffix" : "" }, { "dropping-particle" : "", "family" : "Hayes", "given" : "Christopher J", "non-dropping-particle" : "", "parse-names" : false, "suffix" : "" } ], "container-title" : "Journal of Organic Chemistry", "id" : "ITEM-1", "issue" : "24", "issued" : { "date-parts" : [ [ "2010" ] ] }, "note" : "CAPLUS AN 2010:1438940(Journal)", "page" : "8674-8676", "publisher" : "American Chemical Society", "title" : "Synthesis of \u03b2-Keto Esters In-Flow and Rapid Access to Substituted Pyrimidines.", "type" : "article-journal", "volume" : "75" }, "uris" : [ "http://www.mendeley.com/documents/?uuid=4503d7ea-bcd9-414b-a9ac-49e9fb77c98e" ] }, { "id" : "ITEM-2", "itemData" : { "DOI" : "10.1055/s-0033-1340835", "ISSN" : "0936-5214", "abstract" : "A safe and fast method for the prodn. of \u03b2-hydroxy-\u03b1-diazoesters in continuous flow technol. is described.  The synthesis involves the formation of Et diazoacetate in situ and the addn. to several aldehydes in a two-step continuous flow microreactor setup.  Rhodium acetate catalyzes a subsequent 1,2-hydride shift to give access to \u03b2-keto esters in a three-step sequence. [on SciFinder(R)]", "author" : [ { "dropping-particle" : "", "family" : "Muller", "given" : "Simon T R", "non-dropping-particle" : "", "parse-names" : false, "suffix" : "" }, { "dropping-particle" : "", "family" : "Smith", "given" : "Daniel", "non-dropping-particle" : "", "parse-names" : false, "suffix" : "" }, { "dropping-particle" : "", "family" : "Hellier", "given" : "Paul", "non-dropping-particle" : "", "parse-names" : false, "suffix" : "" }, { "dropping-particle" : "", "family" : "Wirth", "given" : "Thomas.", "non-dropping-particle" : "", "parse-names" : false, "suffix" : "" } ], "container-title" : "Synlett", "id" : "ITEM-2", "issue" : "6", "issued" : { "date-parts" : [ [ "2014" ] ] }, "note" : "CAPLUS AN 2014:1714107(Journal)", "page" : "871-875", "publisher" : "Georg Thieme Verlag", "title" : "Safe generation and direct use of diazoesters in flow chemistry.", "type" : "article-journal", "volume" : "25" }, "uris" : [ "http://www.mendeley.com/documents/?uuid=6d8a9851-38bb-4506-aef2-1f9d48ee6472" ] }, { "id" : "ITEM-3", "itemData" : { "DOI" : "10.1039/C3GC41226A", "ISSN" : "1463-9262", "abstract" : "An integrated microfluidic system for multiple reactions and sepns. of hazardous Et diazoacetate is presented.  The integrated techniques include: a droplet technique for liq.-liq. and/or gas-liq. sepn. and in situ generation of the toxic reagent, a dual channel membrane technique based on a cheap polymeric microseparator for liq.-liq. sepn., and a capillary microreactor for carrying out cascade reactions in a sequential and continuous manner. [on SciFinder(R)]", "author" : [ { "dropping-particle" : "", "family" : "Maurya", "given" : "Ram Awatar", "non-dropping-particle" : "", "parse-names" : false, "suffix" : "" }, { "dropping-particle" : "", "family" : "Min", "given" : "Kyoung-Ik", "non-dropping-particle" : "", "parse-names" : false, "suffix" : "" }, { "dropping-particle" : "", "family" : "Kim", "given" : "Dong-Pyo.", "non-dropping-particle" : "", "parse-names" : false, "suffix" : "" } ], "container-title" : "Green Chemistry", "id" : "ITEM-3", "issue" : "1", "issued" : { "date-parts" : [ [ "2014" ] ] }, "note" : "CAPLUS AN 2013:1948616(Journal; Online Computer File)", "page" : "116-120", "publisher" : "Royal Society of Chemistry", "title" : "Continuous flow synthesis of toxic ethyl diazoacetate for utilization in an integrated microfluidic system.", "type" : "article-journal", "volume" : "16" }, "uris" : [ "http://www.mendeley.com/documents/?uuid=7008016c-4872-4f7f-a626-c472dae4b796" ] }, { "id" : "ITEM-4", "itemData" : { "DOI" : "10.1021/ol1027927", "ISSN" : "1523-7052", "abstract" : "A flow method for the synthesis of aliph. and arom. diazoketones from acyl chloride precursors has been developed and used to prep. quinoxalines in a multistep sequence without isolation of the potentially explosive diazoketone.  The protocol showcases an efficient in-line purifn. using supported scavengers with time-saving and safety benefits and in particular a redn. in the operator's exposure to carcinogenic phenylenediamines. [on SciFinder(R)]", "author" : [ { "dropping-particle" : "", "family" : "Martin", "given" : "Laetitia J", "non-dropping-particle" : "", "parse-names" : false, "suffix" : "" }, { "dropping-particle" : "", "family" : "Marzinzik", "given" : "Andreas L", "non-dropping-particle" : "", "parse-names" : false, "suffix" : "" }, { "dropping-particle" : "V", "family" : "Ley", "given" : "Steven", "non-dropping-particle" : "", "parse-names" : false, "suffix" : "" }, { "dropping-particle" : "", "family" : "Baxendale", "given" : "Ian R", "non-dropping-particle" : "", "parse-names" : false, "suffix" : "" } ], "container-title" : "Organic Letters", "id" : "ITEM-4", "issue" : "2", "issued" : { "date-parts" : [ [ "2011" ] ] }, "note" : "CAPLUS AN 2010:1569863(Journal; Online Computer File)", "page" : "320-323", "publisher" : "American Chemical Society", "title" : "Safe and Reliable Synthesis of Diazoketones and Quinoxalines in a Continuous Flow Reactor.", "type" : "article-journal", "volume" : "13" }, "uris" : [ "http://www.mendeley.com/documents/?uuid=917964db-1e21-4c41-9864-f5dd62755e61" ] }, { "id" : "ITEM-5", "itemData" : { "DOI" : "10.1002/chem.201101590", "ISSN" : "0947-6539", "abstract" : "A highly efficient continuous-flow process has been developed for the synthesis of diazoesters from arylsulfonylhydrazones by means of in-flow Bamford-Stevens reactions.  Furthermore, a range of \u03b1-alkoxy and \u03b1-amino ester derivs. has been prepd. in excellent yields through rhodium(II)-mediated O-H and N-H insertions, without the need to isolate or handle the potentially hazardous diazo species. [on SciFinder(R)]", "author" : [ { "dropping-particle" : "", "family" : "Bartrum", "given" : "Hannah E", "non-dropping-particle" : "", "parse-names" : false, "suffix" : "" }, { "dropping-particle" : "", "family" : "Blakemore", "given" : "David C", "non-dropping-particle" : "", "parse-names" : false, "suffix" : "" }, { "dropping-particle" : "", "family" : "Moody", "given" : "Christopher J", "non-dropping-particle" : "", "parse-names" : false, "suffix" : "" }, { "dropping-particle" : "", "family" : "Hayes", "given" : "Christopher J", "non-dropping-particle" : "", "parse-names" : false, "suffix" : "" } ], "container-title" : "Chemistry - A European Journal", "id" : "ITEM-5", "issue" : "35", "issued" : { "date-parts" : [ [ "2011" ] ] }, "note" : "CAPLUS AN 2011:952061(Journal)", "page" : "9586-9589, S9586/1-S9586/91", "publisher" : "Wiley-VCH Verlag GmbH &amp; Co. KGaA", "title" : "Rapid Access to \u03b1-Alkoxy and \u03b1-Amino Acid Derivatives through Safe Continuous-Flow Generation of Diazoesters.", "type" : "article-journal", "volume" : "17" }, "uris" : [ "http://www.mendeley.com/documents/?uuid=72901cd7-fe88-4e6f-b2e7-30f2d91891e0" ] }, { "id" : "ITEM-6", "itemData" : { "DOI" : "10.1016/j.tet.2013.01.020", "ISSN" : "0040-4020", "abstract" : "The synthesis of \u03b1-sulfanyl, \u03b1-sulfonyl, and \u03b1-phosphono carboxylates has been achieved using a two-step procedure involving the in-flow generation of diazoesters from sulfonylhydrazones, via Bamford-Stevens elimination, and then subsequent S-H, sulfinate, and P-H carbene insertion reactions.  The method for \u03b1-sulfonyl ester is particularly noteworthy as it represents a very atom economic ('green') way to access the products, and it completely avoids the use of alkyl halides. [on SciFinder(R)]", "author" : [ { "dropping-particle" : "", "family" : "Bartrum", "given" : "Hannah E", "non-dropping-particle" : "", "parse-names" : false, "suffix" : "" }, { "dropping-particle" : "", "family" : "Blakemore", "given" : "David C", "non-dropping-particle" : "", "parse-names" : false, "suffix" : "" }, { "dropping-particle" : "", "family" : "Moody", "given" : "Christopher J", "non-dropping-particle" : "", "parse-names" : false, "suffix" : "" }, { "dropping-particle" : "", "family" : "Hayes", "given" : "Christopher J", "non-dropping-particle" : "", "parse-names" : false, "suffix" : "" } ], "container-title" : "Tetrahedron", "id" : "ITEM-6", "issue" : "10", "issued" : { "date-parts" : [ [ "2013" ] ] }, "note" : "CAPLUS AN 2013:171865(Journal; Online Computer File)", "page" : "2276-2282", "publisher" : "Elsevier Ltd.", "title" : "Continuous-flow generation of diazoesters and their direct use in S-H and P-H insertion reactions: synthesis of \u03b1-sulfanyl, \u03b1-sulfonyl, and \u03b1-phosphono carboxylates.", "type" : "article-journal", "volume" : "69" }, "uris" : [ "http://www.mendeley.com/documents/?uuid=6e327ea3-27c7-4ac1-8601-f82223b9a938" ] } ], "mendeley" : { "formattedCitation" : "&lt;sup&gt;[94,95,108\u2013111]&lt;/sup&gt;", "plainTextFormattedCitation" : "[94,95,108\u2013111]", "previouslyFormattedCitation" : "&lt;sup&gt;[94,95,108\u2013111]&lt;/sup&gt;"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[94,95,108–111]</w:t>
      </w:r>
      <w:r>
        <w:rPr>
          <w:sz w:val="24"/>
          <w:szCs w:val="24"/>
        </w:rPr>
        <w:fldChar w:fldCharType="end"/>
      </w:r>
    </w:p>
    <w:p w:rsidR="007A4FB7" w:rsidRDefault="00804A77" w:rsidP="002B307F">
      <w:pPr>
        <w:spacing w:line="360" w:lineRule="auto"/>
        <w:jc w:val="both"/>
        <w:rPr>
          <w:sz w:val="24"/>
          <w:szCs w:val="24"/>
        </w:rPr>
      </w:pPr>
      <w:r w:rsidRPr="00804A77">
        <w:rPr>
          <w:sz w:val="24"/>
          <w:szCs w:val="24"/>
        </w:rPr>
        <w:t>Ley and collaborators at Novartis have reported generation and telescoped use of diazoketones from acyl chloride precursors.</w:t>
      </w:r>
      <w:r w:rsidRPr="00804A77">
        <w:rPr>
          <w:sz w:val="24"/>
          <w:szCs w:val="24"/>
        </w:rPr>
        <w:fldChar w:fldCharType="begin" w:fldLock="1"/>
      </w:r>
      <w:r w:rsidR="00F168DA">
        <w:rPr>
          <w:sz w:val="24"/>
          <w:szCs w:val="24"/>
        </w:rPr>
        <w:instrText>ADDIN CSL_CITATION { "citationItems" : [ { "id" : "ITEM-1", "itemData" : { "DOI" : "10.1021/ol1027927", "ISSN" : "1523-7052", "abstract" : "A flow method for the synthesis of aliph. and arom. diazoketones from acyl chloride precursors has been developed and used to prep. quinoxalines in a multistep sequence without isolation of the potentially explosive diazoketone.  The protocol showcases an efficient in-line purifn. using supported scavengers with time-saving and safety benefits and in particular a redn. in the operator's exposure to carcinogenic phenylenediamines. [on SciFinder(R)]", "author" : [ { "dropping-particle" : "", "family" : "Martin", "given" : "Laetitia J", "non-dropping-particle" : "", "parse-names" : false, "suffix" : "" }, { "dropping-particle" : "", "family" : "Marzinzik", "given" : "Andreas L", "non-dropping-particle" : "", "parse-names" : false, "suffix" : "" }, { "dropping-particle" : "V", "family" : "Ley", "given" : "Steven", "non-dropping-particle" : "", "parse-names" : false, "suffix" : "" }, { "dropping-particle" : "", "family" : "Baxendale", "given" : "Ian R", "non-dropping-particle" : "", "parse-names" : false, "suffix" : "" } ], "container-title" : "Organic Letters", "id" : "ITEM-1", "issue" : "2", "issued" : { "date-parts" : [ [ "2011" ] ] }, "note" : "CAPLUS AN 2010:1569863(Journal; Online Computer File)", "page" : "320-323", "publisher" : "American Chemical Society", "title" : "Safe and Reliable Synthesis of Diazoketones and Quinoxalines in a Continuous Flow Reactor.", "type" : "article-journal", "volume" : "13" }, "uris" : [ "http://www.mendeley.com/documents/?uuid=917964db-1e21-4c41-9864-f5dd62755e61" ] } ], "mendeley" : { "formattedCitation" : "&lt;sup&gt;[109]&lt;/sup&gt;", "plainTextFormattedCitation" : "[109]", "previouslyFormattedCitation" : "&lt;sup&gt;[109]&lt;/sup&gt;" }, "properties" : { "noteIndex" : 0 }, "schema" : "https://github.com/citation-style-language/schema/raw/master/csl-citation.json" }</w:instrText>
      </w:r>
      <w:r w:rsidRPr="00804A77">
        <w:rPr>
          <w:sz w:val="24"/>
          <w:szCs w:val="24"/>
        </w:rPr>
        <w:fldChar w:fldCharType="separate"/>
      </w:r>
      <w:r w:rsidR="0055300D" w:rsidRPr="0055300D">
        <w:rPr>
          <w:noProof/>
          <w:sz w:val="24"/>
          <w:szCs w:val="24"/>
          <w:vertAlign w:val="superscript"/>
        </w:rPr>
        <w:t>[109]</w:t>
      </w:r>
      <w:r w:rsidRPr="00804A77">
        <w:rPr>
          <w:sz w:val="24"/>
          <w:szCs w:val="24"/>
        </w:rPr>
        <w:fldChar w:fldCharType="end"/>
      </w:r>
      <w:r w:rsidRPr="00804A77">
        <w:rPr>
          <w:sz w:val="24"/>
          <w:szCs w:val="24"/>
        </w:rPr>
        <w:t xml:space="preserve"> The authors employed trimethylsilyldiazomethane (TMSCHN</w:t>
      </w:r>
      <w:r w:rsidRPr="00804A77">
        <w:rPr>
          <w:sz w:val="24"/>
          <w:szCs w:val="24"/>
          <w:vertAlign w:val="subscript"/>
        </w:rPr>
        <w:t>2</w:t>
      </w:r>
      <w:r w:rsidRPr="00804A77">
        <w:rPr>
          <w:sz w:val="24"/>
          <w:szCs w:val="24"/>
        </w:rPr>
        <w:t xml:space="preserve">) </w:t>
      </w:r>
      <w:r w:rsidR="00FD4822">
        <w:rPr>
          <w:b/>
          <w:sz w:val="24"/>
          <w:szCs w:val="24"/>
        </w:rPr>
        <w:t>56</w:t>
      </w:r>
      <w:r w:rsidRPr="00804A77">
        <w:rPr>
          <w:sz w:val="24"/>
          <w:szCs w:val="24"/>
        </w:rPr>
        <w:t xml:space="preserve"> as a safer alternative to diazomethane</w:t>
      </w:r>
      <w:r w:rsidR="00725F16">
        <w:rPr>
          <w:sz w:val="24"/>
          <w:szCs w:val="24"/>
        </w:rPr>
        <w:t xml:space="preserve"> </w:t>
      </w:r>
      <w:r w:rsidR="00725F16" w:rsidRPr="00725F16">
        <w:rPr>
          <w:b/>
          <w:sz w:val="24"/>
          <w:szCs w:val="24"/>
        </w:rPr>
        <w:t>44</w:t>
      </w:r>
      <w:r>
        <w:rPr>
          <w:sz w:val="24"/>
          <w:szCs w:val="24"/>
        </w:rPr>
        <w:t xml:space="preserve">. </w:t>
      </w:r>
      <w:r w:rsidR="00FD4822">
        <w:rPr>
          <w:b/>
          <w:sz w:val="24"/>
          <w:szCs w:val="24"/>
        </w:rPr>
        <w:t>56</w:t>
      </w:r>
      <w:r>
        <w:rPr>
          <w:sz w:val="24"/>
          <w:szCs w:val="24"/>
        </w:rPr>
        <w:t xml:space="preserve"> is more thermally stable than </w:t>
      </w:r>
      <w:r w:rsidR="002255A5">
        <w:rPr>
          <w:b/>
          <w:sz w:val="24"/>
          <w:szCs w:val="24"/>
        </w:rPr>
        <w:t>4</w:t>
      </w:r>
      <w:r w:rsidR="00725F16">
        <w:rPr>
          <w:b/>
          <w:sz w:val="24"/>
          <w:szCs w:val="24"/>
        </w:rPr>
        <w:t>4</w:t>
      </w:r>
      <w:r>
        <w:rPr>
          <w:sz w:val="24"/>
          <w:szCs w:val="24"/>
        </w:rPr>
        <w:t xml:space="preserve">, but is still toxic and therefore requires care when handling. A range of aliphatic, aromatic and heteroaromatic diazoketones were generated by reaction of </w:t>
      </w:r>
      <w:r>
        <w:rPr>
          <w:sz w:val="24"/>
          <w:szCs w:val="24"/>
        </w:rPr>
        <w:lastRenderedPageBreak/>
        <w:t>acyl halides and TMSCHN</w:t>
      </w:r>
      <w:r>
        <w:rPr>
          <w:sz w:val="24"/>
          <w:szCs w:val="24"/>
          <w:vertAlign w:val="subscript"/>
        </w:rPr>
        <w:t xml:space="preserve">2 </w:t>
      </w:r>
      <w:r w:rsidR="00FD4822">
        <w:rPr>
          <w:b/>
          <w:sz w:val="24"/>
          <w:szCs w:val="24"/>
        </w:rPr>
        <w:t>56</w:t>
      </w:r>
      <w:r w:rsidR="00FD4822">
        <w:rPr>
          <w:sz w:val="24"/>
          <w:szCs w:val="24"/>
          <w:vertAlign w:val="subscript"/>
        </w:rPr>
        <w:t xml:space="preserve"> </w:t>
      </w:r>
      <w:r>
        <w:rPr>
          <w:sz w:val="24"/>
          <w:szCs w:val="24"/>
        </w:rPr>
        <w:t>in dichloroethane (DCE)</w:t>
      </w:r>
      <w:r w:rsidR="008F7F0C">
        <w:rPr>
          <w:sz w:val="24"/>
          <w:szCs w:val="24"/>
        </w:rPr>
        <w:t xml:space="preserve">. PS-tetraalkylammonium fluoride salt </w:t>
      </w:r>
      <w:r w:rsidR="00FD4822">
        <w:rPr>
          <w:b/>
          <w:sz w:val="24"/>
          <w:szCs w:val="24"/>
        </w:rPr>
        <w:t>57</w:t>
      </w:r>
      <w:r w:rsidR="008F7F0C">
        <w:rPr>
          <w:sz w:val="24"/>
          <w:szCs w:val="24"/>
        </w:rPr>
        <w:t xml:space="preserve"> was found to work well as both base and impurity scavenger for this stage of the reaction.</w:t>
      </w:r>
    </w:p>
    <w:p w:rsidR="008F7F0C" w:rsidRDefault="008F7F0C" w:rsidP="002B307F">
      <w:pPr>
        <w:spacing w:line="360" w:lineRule="auto"/>
        <w:jc w:val="both"/>
        <w:rPr>
          <w:sz w:val="24"/>
          <w:szCs w:val="24"/>
        </w:rPr>
      </w:pPr>
      <w:r>
        <w:rPr>
          <w:sz w:val="24"/>
          <w:szCs w:val="24"/>
        </w:rPr>
        <w:t xml:space="preserve">Once the </w:t>
      </w:r>
      <w:r w:rsidR="009C452D">
        <w:rPr>
          <w:sz w:val="24"/>
          <w:szCs w:val="24"/>
        </w:rPr>
        <w:t>diazoketone</w:t>
      </w:r>
      <w:r>
        <w:rPr>
          <w:sz w:val="24"/>
          <w:szCs w:val="24"/>
        </w:rPr>
        <w:t xml:space="preserve">s had successfully been synthesised, it was decided to attempt to use them in the synthesis of interesting heterocycles, </w:t>
      </w:r>
      <w:r w:rsidR="000A2A66">
        <w:rPr>
          <w:sz w:val="24"/>
          <w:szCs w:val="24"/>
        </w:rPr>
        <w:t>e.g.</w:t>
      </w:r>
      <w:r>
        <w:rPr>
          <w:sz w:val="24"/>
          <w:szCs w:val="24"/>
        </w:rPr>
        <w:t xml:space="preserve"> quinoxaline</w:t>
      </w:r>
      <w:r w:rsidR="000A2A66">
        <w:rPr>
          <w:sz w:val="24"/>
          <w:szCs w:val="24"/>
        </w:rPr>
        <w:t>s</w:t>
      </w:r>
      <w:r>
        <w:rPr>
          <w:sz w:val="24"/>
          <w:szCs w:val="24"/>
        </w:rPr>
        <w:t xml:space="preserve"> </w:t>
      </w:r>
      <w:r w:rsidR="00FD4822">
        <w:rPr>
          <w:b/>
          <w:sz w:val="24"/>
          <w:szCs w:val="24"/>
        </w:rPr>
        <w:t>58</w:t>
      </w:r>
      <w:r w:rsidR="000A2A66">
        <w:rPr>
          <w:sz w:val="24"/>
          <w:szCs w:val="24"/>
        </w:rPr>
        <w:t>. D</w:t>
      </w:r>
      <w:r>
        <w:rPr>
          <w:sz w:val="24"/>
          <w:szCs w:val="24"/>
        </w:rPr>
        <w:t xml:space="preserve">iazoketone </w:t>
      </w:r>
      <w:r w:rsidR="00FD4822">
        <w:rPr>
          <w:b/>
          <w:sz w:val="24"/>
          <w:szCs w:val="24"/>
        </w:rPr>
        <w:t>59</w:t>
      </w:r>
      <w:r w:rsidR="000A2A66">
        <w:rPr>
          <w:sz w:val="24"/>
          <w:szCs w:val="24"/>
        </w:rPr>
        <w:t xml:space="preserve"> was reacted with</w:t>
      </w:r>
      <w:r>
        <w:rPr>
          <w:sz w:val="24"/>
          <w:szCs w:val="24"/>
        </w:rPr>
        <w:t xml:space="preserve"> suitable 1,2-diaminobenzene</w:t>
      </w:r>
      <w:r w:rsidR="000A2A66">
        <w:rPr>
          <w:sz w:val="24"/>
          <w:szCs w:val="24"/>
        </w:rPr>
        <w:t>s</w:t>
      </w:r>
      <w:r>
        <w:rPr>
          <w:sz w:val="24"/>
          <w:szCs w:val="24"/>
        </w:rPr>
        <w:t xml:space="preserve"> </w:t>
      </w:r>
      <w:r w:rsidR="00FD4822">
        <w:rPr>
          <w:b/>
          <w:sz w:val="24"/>
          <w:szCs w:val="24"/>
        </w:rPr>
        <w:t>60</w:t>
      </w:r>
      <w:r>
        <w:rPr>
          <w:sz w:val="24"/>
          <w:szCs w:val="24"/>
        </w:rPr>
        <w:t xml:space="preserve">. The authors chose to make use of PS-scavengers to purify the reaction stream in an attempt to carry out quinoxaline synthesis in a single telescoped flow sequence. PS-thiourea </w:t>
      </w:r>
      <w:r w:rsidR="00FD4822">
        <w:rPr>
          <w:b/>
          <w:sz w:val="24"/>
          <w:szCs w:val="24"/>
        </w:rPr>
        <w:t>61</w:t>
      </w:r>
      <w:r>
        <w:rPr>
          <w:sz w:val="24"/>
          <w:szCs w:val="24"/>
        </w:rPr>
        <w:t xml:space="preserve"> was used to scavenge any dissolved metal salts. PS-tosylchloride </w:t>
      </w:r>
      <w:r w:rsidR="00FD4822">
        <w:rPr>
          <w:b/>
          <w:sz w:val="24"/>
          <w:szCs w:val="24"/>
        </w:rPr>
        <w:t>20</w:t>
      </w:r>
      <w:r>
        <w:rPr>
          <w:sz w:val="24"/>
          <w:szCs w:val="24"/>
        </w:rPr>
        <w:t xml:space="preserve"> captured any unreacted diamine, and PS-tosylhydrazine (PS-TsNHNH</w:t>
      </w:r>
      <w:r w:rsidRPr="008F7F0C">
        <w:rPr>
          <w:sz w:val="24"/>
          <w:szCs w:val="24"/>
          <w:vertAlign w:val="subscript"/>
        </w:rPr>
        <w:t>2</w:t>
      </w:r>
      <w:r>
        <w:rPr>
          <w:sz w:val="24"/>
          <w:szCs w:val="24"/>
        </w:rPr>
        <w:t xml:space="preserve">) </w:t>
      </w:r>
      <w:r w:rsidR="00FD4822">
        <w:rPr>
          <w:b/>
          <w:sz w:val="24"/>
          <w:szCs w:val="24"/>
        </w:rPr>
        <w:t>62</w:t>
      </w:r>
      <w:r>
        <w:rPr>
          <w:sz w:val="24"/>
          <w:szCs w:val="24"/>
        </w:rPr>
        <w:t xml:space="preserve"> was used to scavenge residual diazoketone. In this manner an efficient, rapid and safe process for the generaton and use of diazoketones in a telescoped synthesis of quinoxaline</w:t>
      </w:r>
      <w:r w:rsidR="00FB00B1">
        <w:rPr>
          <w:sz w:val="24"/>
          <w:szCs w:val="24"/>
        </w:rPr>
        <w:t>s</w:t>
      </w:r>
      <w:r>
        <w:rPr>
          <w:sz w:val="24"/>
          <w:szCs w:val="24"/>
        </w:rPr>
        <w:t xml:space="preserve"> </w:t>
      </w:r>
      <w:r w:rsidR="00FD4822">
        <w:rPr>
          <w:b/>
          <w:sz w:val="24"/>
          <w:szCs w:val="24"/>
        </w:rPr>
        <w:t>58</w:t>
      </w:r>
      <w:r>
        <w:rPr>
          <w:sz w:val="24"/>
          <w:szCs w:val="24"/>
        </w:rPr>
        <w:t xml:space="preserve"> was </w:t>
      </w:r>
      <w:r w:rsidR="00FD4822">
        <w:rPr>
          <w:sz w:val="24"/>
          <w:szCs w:val="24"/>
        </w:rPr>
        <w:t xml:space="preserve">developed, which is shown in </w:t>
      </w:r>
      <w:r w:rsidR="00FD4822" w:rsidRPr="00FD4822">
        <w:rPr>
          <w:b/>
          <w:sz w:val="24"/>
          <w:szCs w:val="24"/>
        </w:rPr>
        <w:t>Scheme 1.35</w:t>
      </w:r>
      <w:r w:rsidR="00FD4822">
        <w:rPr>
          <w:sz w:val="24"/>
          <w:szCs w:val="24"/>
        </w:rPr>
        <w:t>.</w:t>
      </w:r>
    </w:p>
    <w:p w:rsidR="00C74BE6" w:rsidRDefault="00C74BE6" w:rsidP="002B307F">
      <w:pPr>
        <w:spacing w:line="360" w:lineRule="auto"/>
        <w:jc w:val="both"/>
        <w:rPr>
          <w:sz w:val="24"/>
          <w:szCs w:val="24"/>
        </w:rPr>
      </w:pPr>
    </w:p>
    <w:p w:rsidR="00C74BE6" w:rsidRDefault="000A2A66" w:rsidP="00C74BE6">
      <w:pPr>
        <w:spacing w:line="360" w:lineRule="auto"/>
        <w:jc w:val="center"/>
      </w:pPr>
      <w:r>
        <w:object w:dxaOrig="7211" w:dyaOrig="6451">
          <v:shape id="_x0000_i1060" type="#_x0000_t75" style="width:350.25pt;height:313.5pt" o:ole="">
            <v:imagedata r:id="rId91" o:title=""/>
          </v:shape>
          <o:OLEObject Type="Embed" ProgID="ChemDraw.Document.6.0" ShapeID="_x0000_i1060" DrawAspect="Content" ObjectID="_1531849605" r:id="rId92"/>
        </w:object>
      </w:r>
    </w:p>
    <w:p w:rsidR="00FD4822" w:rsidRDefault="00FD4822" w:rsidP="00C74BE6">
      <w:pPr>
        <w:spacing w:line="360" w:lineRule="auto"/>
        <w:jc w:val="center"/>
      </w:pPr>
      <w:r w:rsidRPr="00FD4822">
        <w:rPr>
          <w:b/>
          <w:sz w:val="24"/>
          <w:szCs w:val="24"/>
        </w:rPr>
        <w:t>Scheme 1.35</w:t>
      </w:r>
    </w:p>
    <w:p w:rsidR="00240337" w:rsidRDefault="00240337" w:rsidP="00FC1FA2">
      <w:pPr>
        <w:spacing w:line="360" w:lineRule="auto"/>
      </w:pPr>
    </w:p>
    <w:p w:rsidR="00146F94" w:rsidRPr="00E37D4B" w:rsidRDefault="00146F94" w:rsidP="00240337">
      <w:pPr>
        <w:spacing w:line="360" w:lineRule="auto"/>
        <w:jc w:val="both"/>
        <w:rPr>
          <w:sz w:val="24"/>
          <w:szCs w:val="24"/>
        </w:rPr>
      </w:pPr>
      <w:r w:rsidRPr="00E37D4B">
        <w:rPr>
          <w:sz w:val="24"/>
          <w:szCs w:val="24"/>
        </w:rPr>
        <w:lastRenderedPageBreak/>
        <w:t xml:space="preserve">Bartrum and co-workers employed a Bamford-Stevens type reaction to synthesise </w:t>
      </w:r>
      <w:r w:rsidRPr="00E37D4B">
        <w:rPr>
          <w:rFonts w:ascii="Symbol" w:hAnsi="Symbol"/>
          <w:sz w:val="24"/>
          <w:szCs w:val="24"/>
        </w:rPr>
        <w:t></w:t>
      </w:r>
      <w:r w:rsidRPr="00E37D4B">
        <w:rPr>
          <w:sz w:val="24"/>
          <w:szCs w:val="24"/>
        </w:rPr>
        <w:t>-diazoesters as part of</w:t>
      </w:r>
      <w:r w:rsidR="00E37D4B" w:rsidRPr="00E37D4B">
        <w:rPr>
          <w:sz w:val="24"/>
          <w:szCs w:val="24"/>
        </w:rPr>
        <w:t xml:space="preserve"> a two-step process to generate </w:t>
      </w:r>
      <w:r w:rsidRPr="00E37D4B">
        <w:rPr>
          <w:sz w:val="24"/>
          <w:szCs w:val="24"/>
        </w:rPr>
        <w:t>a ran</w:t>
      </w:r>
      <w:r w:rsidR="00E37D4B" w:rsidRPr="00E37D4B">
        <w:rPr>
          <w:sz w:val="24"/>
          <w:szCs w:val="24"/>
        </w:rPr>
        <w:t xml:space="preserve">ge of different </w:t>
      </w:r>
      <w:r w:rsidR="00E37D4B" w:rsidRPr="00E37D4B">
        <w:rPr>
          <w:rFonts w:ascii="Symbol" w:hAnsi="Symbol"/>
          <w:sz w:val="24"/>
          <w:szCs w:val="24"/>
        </w:rPr>
        <w:t></w:t>
      </w:r>
      <w:r w:rsidR="00E37D4B" w:rsidRPr="00E37D4B">
        <w:rPr>
          <w:sz w:val="24"/>
          <w:szCs w:val="24"/>
        </w:rPr>
        <w:t xml:space="preserve">-alkoxy and </w:t>
      </w:r>
      <w:r w:rsidR="00E37D4B" w:rsidRPr="00E37D4B">
        <w:rPr>
          <w:rFonts w:ascii="Symbol" w:hAnsi="Symbol"/>
          <w:sz w:val="24"/>
          <w:szCs w:val="24"/>
        </w:rPr>
        <w:t></w:t>
      </w:r>
      <w:r w:rsidR="00E37D4B" w:rsidRPr="00E37D4B">
        <w:rPr>
          <w:sz w:val="24"/>
          <w:szCs w:val="24"/>
        </w:rPr>
        <w:t>-amino acid</w:t>
      </w:r>
      <w:r w:rsidRPr="00E37D4B">
        <w:rPr>
          <w:sz w:val="24"/>
          <w:szCs w:val="24"/>
        </w:rPr>
        <w:t xml:space="preserve"> derivatives</w:t>
      </w:r>
      <w:r w:rsidR="00FD4822">
        <w:rPr>
          <w:sz w:val="24"/>
          <w:szCs w:val="24"/>
        </w:rPr>
        <w:t xml:space="preserve">, illustrated below in </w:t>
      </w:r>
      <w:r w:rsidR="00FD4822" w:rsidRPr="00FD4822">
        <w:rPr>
          <w:b/>
          <w:sz w:val="24"/>
          <w:szCs w:val="24"/>
        </w:rPr>
        <w:t xml:space="preserve">Scheme </w:t>
      </w:r>
      <w:r w:rsidR="00FD4822">
        <w:rPr>
          <w:b/>
          <w:sz w:val="24"/>
          <w:szCs w:val="24"/>
        </w:rPr>
        <w:t>1.36</w:t>
      </w:r>
      <w:r w:rsidR="00E37D4B" w:rsidRPr="00E37D4B">
        <w:rPr>
          <w:sz w:val="24"/>
          <w:szCs w:val="24"/>
        </w:rPr>
        <w:t>.</w:t>
      </w:r>
      <w:r w:rsidR="00E37D4B" w:rsidRPr="00E37D4B">
        <w:rPr>
          <w:sz w:val="24"/>
          <w:szCs w:val="24"/>
        </w:rPr>
        <w:fldChar w:fldCharType="begin" w:fldLock="1"/>
      </w:r>
      <w:r w:rsidR="00F168DA">
        <w:rPr>
          <w:sz w:val="24"/>
          <w:szCs w:val="24"/>
        </w:rPr>
        <w:instrText>ADDIN CSL_CITATION { "citationItems" : [ { "id" : "ITEM-1", "itemData" : { "DOI" : "10.1002/chem.201101590", "ISSN" : "0947-6539", "abstract" : "A highly efficient continuous-flow process has been developed for the synthesis of diazoesters from arylsulfonylhydrazones by means of in-flow Bamford-Stevens reactions.  Furthermore, a range of \u03b1-alkoxy and \u03b1-amino ester derivs. has been prepd. in excellent yields through rhodium(II)-mediated O-H and N-H insertions, without the need to isolate or handle the potentially hazardous diazo species. [on SciFinder(R)]", "author" : [ { "dropping-particle" : "", "family" : "Bartrum", "given" : "Hannah E", "non-dropping-particle" : "", "parse-names" : false, "suffix" : "" }, { "dropping-particle" : "", "family" : "Blakemore", "given" : "David C", "non-dropping-particle" : "", "parse-names" : false, "suffix" : "" }, { "dropping-particle" : "", "family" : "Moody", "given" : "Christopher J", "non-dropping-particle" : "", "parse-names" : false, "suffix" : "" }, { "dropping-particle" : "", "family" : "Hayes", "given" : "Christopher J", "non-dropping-particle" : "", "parse-names" : false, "suffix" : "" } ], "container-title" : "Chemistry - A European Journal", "id" : "ITEM-1", "issue" : "35", "issued" : { "date-parts" : [ [ "2011" ] ] }, "note" : "CAPLUS AN 2011:952061(Journal)", "page" : "9586-9589, S9586/1-S9586/91", "publisher" : "Wiley-VCH Verlag GmbH &amp; Co. KGaA", "title" : "Rapid Access to \u03b1-Alkoxy and \u03b1-Amino Acid Derivatives through Safe Continuous-Flow Generation of Diazoesters.", "type" : "article-journal", "volume" : "17" }, "uris" : [ "http://www.mendeley.com/documents/?uuid=72901cd7-fe88-4e6f-b2e7-30f2d91891e0" ] } ], "mendeley" : { "formattedCitation" : "&lt;sup&gt;[110]&lt;/sup&gt;", "plainTextFormattedCitation" : "[110]", "previouslyFormattedCitation" : "&lt;sup&gt;[110]&lt;/sup&gt;" }, "properties" : { "noteIndex" : 0 }, "schema" : "https://github.com/citation-style-language/schema/raw/master/csl-citation.json" }</w:instrText>
      </w:r>
      <w:r w:rsidR="00E37D4B" w:rsidRPr="00E37D4B">
        <w:rPr>
          <w:sz w:val="24"/>
          <w:szCs w:val="24"/>
        </w:rPr>
        <w:fldChar w:fldCharType="separate"/>
      </w:r>
      <w:r w:rsidR="0055300D" w:rsidRPr="0055300D">
        <w:rPr>
          <w:noProof/>
          <w:sz w:val="24"/>
          <w:szCs w:val="24"/>
          <w:vertAlign w:val="superscript"/>
        </w:rPr>
        <w:t>[110]</w:t>
      </w:r>
      <w:r w:rsidR="00E37D4B" w:rsidRPr="00E37D4B">
        <w:rPr>
          <w:sz w:val="24"/>
          <w:szCs w:val="24"/>
        </w:rPr>
        <w:fldChar w:fldCharType="end"/>
      </w:r>
      <w:r w:rsidR="00E37D4B" w:rsidRPr="00E37D4B">
        <w:rPr>
          <w:sz w:val="24"/>
          <w:szCs w:val="24"/>
        </w:rPr>
        <w:t xml:space="preserve">  </w:t>
      </w:r>
      <w:r w:rsidR="00E37D4B">
        <w:rPr>
          <w:sz w:val="24"/>
          <w:szCs w:val="24"/>
        </w:rPr>
        <w:t xml:space="preserve">This was achieved by </w:t>
      </w:r>
      <w:r w:rsidR="00E37D4B" w:rsidRPr="00E37D4B">
        <w:rPr>
          <w:sz w:val="24"/>
          <w:szCs w:val="24"/>
        </w:rPr>
        <w:t>decomposition of arylsulfonylhydrazones</w:t>
      </w:r>
      <w:r w:rsidR="003A5F1A">
        <w:rPr>
          <w:sz w:val="24"/>
          <w:szCs w:val="24"/>
        </w:rPr>
        <w:t xml:space="preserve"> </w:t>
      </w:r>
      <w:r w:rsidR="003A5F1A" w:rsidRPr="003A5F1A">
        <w:rPr>
          <w:b/>
          <w:sz w:val="24"/>
          <w:szCs w:val="24"/>
        </w:rPr>
        <w:t>63</w:t>
      </w:r>
      <w:r w:rsidR="00E37D4B" w:rsidRPr="00E37D4B">
        <w:rPr>
          <w:sz w:val="24"/>
          <w:szCs w:val="24"/>
        </w:rPr>
        <w:t>, with the sulfinic acid by-product being trapped by a Et</w:t>
      </w:r>
      <w:r w:rsidR="00E37D4B" w:rsidRPr="00E37D4B">
        <w:rPr>
          <w:sz w:val="24"/>
          <w:szCs w:val="24"/>
          <w:vertAlign w:val="subscript"/>
        </w:rPr>
        <w:t>3</w:t>
      </w:r>
      <w:r w:rsidR="00E37D4B" w:rsidRPr="00E37D4B">
        <w:rPr>
          <w:sz w:val="24"/>
          <w:szCs w:val="24"/>
        </w:rPr>
        <w:t xml:space="preserve">N/silica gel scavenger column. Addition of a 250 psi back-pressure regulator (BPR) in </w:t>
      </w:r>
      <w:r w:rsidR="00E37D4B">
        <w:rPr>
          <w:sz w:val="24"/>
          <w:szCs w:val="24"/>
        </w:rPr>
        <w:t>line after t</w:t>
      </w:r>
      <w:r w:rsidR="00997017">
        <w:rPr>
          <w:sz w:val="24"/>
          <w:szCs w:val="24"/>
        </w:rPr>
        <w:t>h</w:t>
      </w:r>
      <w:r w:rsidR="00E37D4B">
        <w:rPr>
          <w:sz w:val="24"/>
          <w:szCs w:val="24"/>
        </w:rPr>
        <w:t xml:space="preserve">e scavenger column allowed </w:t>
      </w:r>
      <w:r w:rsidR="003B3D4D">
        <w:rPr>
          <w:sz w:val="24"/>
          <w:szCs w:val="24"/>
        </w:rPr>
        <w:t xml:space="preserve">safe superheating of the hydrazones to their corresponding </w:t>
      </w:r>
      <w:r w:rsidR="003B3D4D" w:rsidRPr="003B3D4D">
        <w:rPr>
          <w:rFonts w:ascii="Symbol" w:hAnsi="Symbol"/>
          <w:sz w:val="24"/>
          <w:szCs w:val="24"/>
        </w:rPr>
        <w:t></w:t>
      </w:r>
      <w:r w:rsidR="003B3D4D">
        <w:rPr>
          <w:sz w:val="24"/>
          <w:szCs w:val="24"/>
        </w:rPr>
        <w:t>-diazoesters</w:t>
      </w:r>
      <w:r w:rsidR="003A5F1A">
        <w:rPr>
          <w:sz w:val="24"/>
          <w:szCs w:val="24"/>
        </w:rPr>
        <w:t xml:space="preserve"> </w:t>
      </w:r>
      <w:r w:rsidR="003A5F1A" w:rsidRPr="003A5F1A">
        <w:rPr>
          <w:b/>
          <w:sz w:val="24"/>
          <w:szCs w:val="24"/>
        </w:rPr>
        <w:t>64</w:t>
      </w:r>
      <w:r w:rsidR="003B3D4D">
        <w:rPr>
          <w:sz w:val="24"/>
          <w:szCs w:val="24"/>
        </w:rPr>
        <w:t>.</w:t>
      </w:r>
    </w:p>
    <w:p w:rsidR="00240337" w:rsidRPr="00E37D4B" w:rsidRDefault="00240337" w:rsidP="00C74BE6">
      <w:pPr>
        <w:spacing w:line="360" w:lineRule="auto"/>
        <w:jc w:val="center"/>
        <w:rPr>
          <w:sz w:val="24"/>
          <w:szCs w:val="24"/>
        </w:rPr>
      </w:pPr>
    </w:p>
    <w:p w:rsidR="00240337" w:rsidRDefault="00AF0501" w:rsidP="00C74BE6">
      <w:pPr>
        <w:spacing w:line="360" w:lineRule="auto"/>
        <w:jc w:val="center"/>
      </w:pPr>
      <w:r>
        <w:object w:dxaOrig="5983" w:dyaOrig="5486">
          <v:shape id="_x0000_i1098" type="#_x0000_t75" style="width:315pt;height:289.5pt" o:ole="">
            <v:imagedata r:id="rId93" o:title=""/>
          </v:shape>
          <o:OLEObject Type="Embed" ProgID="ChemDraw.Document.6.0" ShapeID="_x0000_i1098" DrawAspect="Content" ObjectID="_1531849606" r:id="rId94"/>
        </w:object>
      </w:r>
    </w:p>
    <w:p w:rsidR="00FD4822" w:rsidRDefault="00FD4822" w:rsidP="00C74BE6">
      <w:pPr>
        <w:spacing w:line="360" w:lineRule="auto"/>
        <w:jc w:val="center"/>
      </w:pPr>
      <w:r w:rsidRPr="00FD4822">
        <w:rPr>
          <w:b/>
          <w:sz w:val="24"/>
          <w:szCs w:val="24"/>
        </w:rPr>
        <w:t xml:space="preserve">Scheme </w:t>
      </w:r>
      <w:r>
        <w:rPr>
          <w:b/>
          <w:sz w:val="24"/>
          <w:szCs w:val="24"/>
        </w:rPr>
        <w:t>1.36</w:t>
      </w:r>
    </w:p>
    <w:p w:rsidR="003B3D4D" w:rsidRDefault="003B3D4D" w:rsidP="00C74BE6">
      <w:pPr>
        <w:spacing w:line="360" w:lineRule="auto"/>
        <w:jc w:val="center"/>
      </w:pPr>
    </w:p>
    <w:p w:rsidR="003B3D4D" w:rsidRDefault="003B3D4D" w:rsidP="003B3D4D">
      <w:pPr>
        <w:spacing w:line="360" w:lineRule="auto"/>
        <w:jc w:val="both"/>
        <w:rPr>
          <w:sz w:val="24"/>
          <w:szCs w:val="24"/>
        </w:rPr>
      </w:pPr>
      <w:r w:rsidRPr="003B3D4D">
        <w:rPr>
          <w:sz w:val="24"/>
          <w:szCs w:val="24"/>
        </w:rPr>
        <w:t xml:space="preserve">The </w:t>
      </w:r>
      <w:r w:rsidRPr="006E75DB">
        <w:rPr>
          <w:rFonts w:ascii="Symbol" w:hAnsi="Symbol"/>
          <w:sz w:val="24"/>
          <w:szCs w:val="24"/>
        </w:rPr>
        <w:t></w:t>
      </w:r>
      <w:r w:rsidRPr="003B3D4D">
        <w:rPr>
          <w:sz w:val="24"/>
          <w:szCs w:val="24"/>
        </w:rPr>
        <w:t>-diazoesters were then collected and used in O-H and N-H insertion reactions in</w:t>
      </w:r>
      <w:r>
        <w:rPr>
          <w:sz w:val="24"/>
          <w:szCs w:val="24"/>
        </w:rPr>
        <w:t xml:space="preserve"> batch mode, to form a range of </w:t>
      </w:r>
      <w:r w:rsidRPr="00E37D4B">
        <w:rPr>
          <w:rFonts w:ascii="Symbol" w:hAnsi="Symbol"/>
          <w:sz w:val="24"/>
          <w:szCs w:val="24"/>
        </w:rPr>
        <w:t></w:t>
      </w:r>
      <w:r w:rsidRPr="00E37D4B">
        <w:rPr>
          <w:sz w:val="24"/>
          <w:szCs w:val="24"/>
        </w:rPr>
        <w:t xml:space="preserve">-alkoxy and </w:t>
      </w:r>
      <w:r w:rsidRPr="00E37D4B">
        <w:rPr>
          <w:rFonts w:ascii="Symbol" w:hAnsi="Symbol"/>
          <w:sz w:val="24"/>
          <w:szCs w:val="24"/>
        </w:rPr>
        <w:t></w:t>
      </w:r>
      <w:r w:rsidRPr="00E37D4B">
        <w:rPr>
          <w:sz w:val="24"/>
          <w:szCs w:val="24"/>
        </w:rPr>
        <w:t>-amino acid derivatives.</w:t>
      </w:r>
      <w:r>
        <w:rPr>
          <w:sz w:val="24"/>
          <w:szCs w:val="24"/>
        </w:rPr>
        <w:t xml:space="preserve"> The authors later reported S-H and P-H insertion reactions using the same hybrid flow-batch methodology.</w:t>
      </w:r>
      <w:r>
        <w:rPr>
          <w:sz w:val="24"/>
          <w:szCs w:val="24"/>
        </w:rPr>
        <w:fldChar w:fldCharType="begin" w:fldLock="1"/>
      </w:r>
      <w:r w:rsidR="00F168DA">
        <w:rPr>
          <w:sz w:val="24"/>
          <w:szCs w:val="24"/>
        </w:rPr>
        <w:instrText>ADDIN CSL_CITATION { "citationItems" : [ { "id" : "ITEM-1", "itemData" : { "DOI" : "10.1016/j.tet.2013.01.020", "ISSN" : "0040-4020", "abstract" : "The synthesis of \u03b1-sulfanyl, \u03b1-sulfonyl, and \u03b1-phosphono carboxylates has been achieved using a two-step procedure involving the in-flow generation of diazoesters from sulfonylhydrazones, via Bamford-Stevens elimination, and then subsequent S-H, sulfinate, and P-H carbene insertion reactions.  The method for \u03b1-sulfonyl ester is particularly noteworthy as it represents a very atom economic ('green') way to access the products, and it completely avoids the use of alkyl halides. [on SciFinder(R)]", "author" : [ { "dropping-particle" : "", "family" : "Bartrum", "given" : "Hannah E", "non-dropping-particle" : "", "parse-names" : false, "suffix" : "" }, { "dropping-particle" : "", "family" : "Blakemore", "given" : "David C", "non-dropping-particle" : "", "parse-names" : false, "suffix" : "" }, { "dropping-particle" : "", "family" : "Moody", "given" : "Christopher J", "non-dropping-particle" : "", "parse-names" : false, "suffix" : "" }, { "dropping-particle" : "", "family" : "Hayes", "given" : "Christopher J", "non-dropping-particle" : "", "parse-names" : false, "suffix" : "" } ], "container-title" : "Tetrahedron", "id" : "ITEM-1", "issue" : "10", "issued" : { "date-parts" : [ [ "2013" ] ] }, "note" : "CAPLUS AN 2013:171865(Journal; Online Computer File)", "page" : "2276-2282", "publisher" : "Elsevier Ltd.", "title" : "Continuous-flow generation of diazoesters and their direct use in S-H and P-H insertion reactions: synthesis of \u03b1-sulfanyl, \u03b1-sulfonyl, and \u03b1-phosphono carboxylates.", "type" : "article-journal", "volume" : "69" }, "uris" : [ "http://www.mendeley.com/documents/?uuid=6e327ea3-27c7-4ac1-8601-f82223b9a938" ] } ], "mendeley" : { "formattedCitation" : "&lt;sup&gt;[111]&lt;/sup&gt;", "plainTextFormattedCitation" : "[111]", "previouslyFormattedCitation" : "&lt;sup&gt;[111]&lt;/sup&gt;"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[111]</w:t>
      </w:r>
      <w:r>
        <w:rPr>
          <w:sz w:val="24"/>
          <w:szCs w:val="24"/>
        </w:rPr>
        <w:fldChar w:fldCharType="end"/>
      </w:r>
      <w:r>
        <w:rPr>
          <w:sz w:val="24"/>
          <w:szCs w:val="24"/>
        </w:rPr>
        <w:t xml:space="preserve"> </w:t>
      </w:r>
    </w:p>
    <w:p w:rsidR="00DB6EEB" w:rsidRDefault="00EB3F5D" w:rsidP="003B3D4D">
      <w:pPr>
        <w:spacing w:line="360" w:lineRule="auto"/>
        <w:jc w:val="both"/>
        <w:rPr>
          <w:sz w:val="24"/>
          <w:szCs w:val="24"/>
        </w:rPr>
      </w:pPr>
      <w:r>
        <w:rPr>
          <w:sz w:val="24"/>
          <w:szCs w:val="24"/>
        </w:rPr>
        <w:t xml:space="preserve">Wirth </w:t>
      </w:r>
      <w:r w:rsidRPr="00EB3F5D">
        <w:rPr>
          <w:i/>
          <w:sz w:val="24"/>
          <w:szCs w:val="24"/>
        </w:rPr>
        <w:t>et al</w:t>
      </w:r>
      <w:r>
        <w:rPr>
          <w:sz w:val="24"/>
          <w:szCs w:val="24"/>
        </w:rPr>
        <w:t xml:space="preserve">. reported the generation of </w:t>
      </w:r>
      <w:r w:rsidRPr="00EB3F5D">
        <w:rPr>
          <w:rFonts w:ascii="Symbol" w:hAnsi="Symbol"/>
          <w:sz w:val="24"/>
          <w:szCs w:val="24"/>
        </w:rPr>
        <w:t></w:t>
      </w:r>
      <w:r>
        <w:rPr>
          <w:sz w:val="24"/>
          <w:szCs w:val="24"/>
        </w:rPr>
        <w:t>-diazo-</w:t>
      </w:r>
      <w:r w:rsidRPr="00EB3F5D">
        <w:rPr>
          <w:rFonts w:ascii="Symbol" w:hAnsi="Symbol"/>
          <w:sz w:val="24"/>
          <w:szCs w:val="24"/>
        </w:rPr>
        <w:t></w:t>
      </w:r>
      <w:r>
        <w:rPr>
          <w:sz w:val="24"/>
          <w:szCs w:val="24"/>
        </w:rPr>
        <w:t>-hydroxy esters using continuous processing.</w:t>
      </w:r>
      <w:r>
        <w:rPr>
          <w:sz w:val="24"/>
          <w:szCs w:val="24"/>
        </w:rPr>
        <w:fldChar w:fldCharType="begin" w:fldLock="1"/>
      </w:r>
      <w:r w:rsidR="00F168DA">
        <w:rPr>
          <w:sz w:val="24"/>
          <w:szCs w:val="24"/>
        </w:rPr>
        <w:instrText>ADDIN CSL_CITATION { "citationItems" : [ { "id" : "ITEM-1", "itemData" : { "DOI" : "10.1055/s-0033-1340835", "ISSN" : "0936-5214", "abstract" : "A safe and fast method for the prodn. of \u03b2-hydroxy-\u03b1-diazoesters in continuous flow technol. is described.  The synthesis involves the formation of Et diazoacetate in situ and the addn. to several aldehydes in a two-step continuous flow microreactor setup.  Rhodium acetate catalyzes a subsequent 1,2-hydride shift to give access to \u03b2-keto esters in a three-step sequence. [on SciFinder(R)]", "author" : [ { "dropping-particle" : "", "family" : "Muller", "given" : "Simon T R", "non-dropping-particle" : "", "parse-names" : false, "suffix" : "" }, { "dropping-particle" : "", "family" : "Smith", "given" : "Daniel", "non-dropping-particle" : "", "parse-names" : false, "suffix" : "" }, { "dropping-particle" : "", "family" : "Hellier", "given" : "Paul", "non-dropping-particle" : "", "parse-names" : false, "suffix" : "" }, { "dropping-particle" : "", "family" : "Wirth", "given" : "Thomas.", "non-dropping-particle" : "", "parse-names" : false, "suffix" : "" } ], "container-title" : "Synlett", "id" : "ITEM-1", "issue" : "6", "issued" : { "date-parts" : [ [ "2014" ] ] }, "note" : "CAPLUS AN 2014:1714107(Journal)", "page" : "871-875", "publisher" : "Georg Thieme Verlag", "title" : "Safe generation and direct use of diazoesters in flow chemistry.", "type" : "article-journal", "volume" : "25" }, "uris" : [ "http://www.mendeley.com/documents/?uuid=6d8a9851-38bb-4506-aef2-1f9d48ee6472" ] } ], "mendeley" : { "formattedCitation" : "&lt;sup&gt;[95]&lt;/sup&gt;", "plainTextFormattedCitation" : "[95]", "previouslyFormattedCitation" : "&lt;sup&gt;[95]&lt;/sup&gt;"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[95]</w:t>
      </w:r>
      <w:r>
        <w:rPr>
          <w:sz w:val="24"/>
          <w:szCs w:val="24"/>
        </w:rPr>
        <w:fldChar w:fldCharType="end"/>
      </w:r>
      <w:r>
        <w:rPr>
          <w:sz w:val="24"/>
          <w:szCs w:val="24"/>
        </w:rPr>
        <w:t xml:space="preserve"> This was achieved by </w:t>
      </w:r>
      <w:r w:rsidRPr="00EB3F5D">
        <w:rPr>
          <w:i/>
          <w:sz w:val="24"/>
          <w:szCs w:val="24"/>
        </w:rPr>
        <w:t>in situ</w:t>
      </w:r>
      <w:r>
        <w:rPr>
          <w:sz w:val="24"/>
          <w:szCs w:val="24"/>
        </w:rPr>
        <w:t xml:space="preserve"> generation of ethyl diazoacetate and subsequent reaction with the appropriate aldehyde as shown in </w:t>
      </w:r>
      <w:r w:rsidRPr="00EB3F5D">
        <w:rPr>
          <w:b/>
          <w:sz w:val="24"/>
          <w:szCs w:val="24"/>
        </w:rPr>
        <w:t>Scheme 1.37</w:t>
      </w:r>
      <w:r>
        <w:rPr>
          <w:sz w:val="24"/>
          <w:szCs w:val="24"/>
        </w:rPr>
        <w:t>.</w:t>
      </w:r>
    </w:p>
    <w:p w:rsidR="00EB3F5D" w:rsidRDefault="00EB3F5D" w:rsidP="00EB3F5D">
      <w:pPr>
        <w:spacing w:line="360" w:lineRule="auto"/>
        <w:jc w:val="center"/>
      </w:pPr>
      <w:r>
        <w:object w:dxaOrig="7368" w:dyaOrig="4677">
          <v:shape id="_x0000_i1061" type="#_x0000_t75" style="width:337.5pt;height:211.5pt;mso-position-horizontal:absolute" o:ole="">
            <v:imagedata r:id="rId95" o:title=""/>
          </v:shape>
          <o:OLEObject Type="Embed" ProgID="ChemDraw.Document.6.0" ShapeID="_x0000_i1061" DrawAspect="Content" ObjectID="_1531849607" r:id="rId96"/>
        </w:object>
      </w:r>
    </w:p>
    <w:p w:rsidR="00EB3F5D" w:rsidRPr="00EB3F5D" w:rsidRDefault="00EB3F5D" w:rsidP="00EB3F5D">
      <w:pPr>
        <w:spacing w:line="360" w:lineRule="auto"/>
        <w:jc w:val="center"/>
        <w:rPr>
          <w:b/>
          <w:sz w:val="24"/>
          <w:szCs w:val="24"/>
        </w:rPr>
      </w:pPr>
      <w:r w:rsidRPr="00EB3F5D">
        <w:rPr>
          <w:b/>
          <w:sz w:val="24"/>
          <w:szCs w:val="24"/>
        </w:rPr>
        <w:t>Scheme 1.37</w:t>
      </w:r>
    </w:p>
    <w:p w:rsidR="00EB3F5D" w:rsidRDefault="00EB3F5D" w:rsidP="003B3D4D">
      <w:pPr>
        <w:spacing w:line="360" w:lineRule="auto"/>
        <w:jc w:val="both"/>
        <w:rPr>
          <w:sz w:val="24"/>
          <w:szCs w:val="24"/>
        </w:rPr>
      </w:pPr>
    </w:p>
    <w:p w:rsidR="00990C2D" w:rsidRDefault="00EB3F5D" w:rsidP="003B3D4D">
      <w:pPr>
        <w:spacing w:line="360" w:lineRule="auto"/>
        <w:jc w:val="both"/>
        <w:rPr>
          <w:sz w:val="24"/>
          <w:szCs w:val="24"/>
        </w:rPr>
      </w:pPr>
      <w:r>
        <w:rPr>
          <w:sz w:val="24"/>
          <w:szCs w:val="24"/>
        </w:rPr>
        <w:t xml:space="preserve">Wirth and co-workers also </w:t>
      </w:r>
      <w:r w:rsidR="001676D8">
        <w:rPr>
          <w:sz w:val="24"/>
          <w:szCs w:val="24"/>
        </w:rPr>
        <w:t>published a telescoped synthesis of bicyclic lactones</w:t>
      </w:r>
      <w:r w:rsidR="00E34A3D">
        <w:rPr>
          <w:sz w:val="24"/>
          <w:szCs w:val="24"/>
        </w:rPr>
        <w:t xml:space="preserve"> such as </w:t>
      </w:r>
      <w:r w:rsidR="00E34A3D" w:rsidRPr="00E34A3D">
        <w:rPr>
          <w:b/>
          <w:sz w:val="24"/>
          <w:szCs w:val="24"/>
        </w:rPr>
        <w:t>68</w:t>
      </w:r>
      <w:r w:rsidR="001676D8">
        <w:rPr>
          <w:sz w:val="24"/>
          <w:szCs w:val="24"/>
        </w:rPr>
        <w:t xml:space="preserve"> </w:t>
      </w:r>
      <w:r w:rsidR="001676D8" w:rsidRPr="001676D8">
        <w:rPr>
          <w:i/>
          <w:sz w:val="24"/>
          <w:szCs w:val="24"/>
        </w:rPr>
        <w:t xml:space="preserve">via </w:t>
      </w:r>
      <w:r w:rsidR="001676D8">
        <w:rPr>
          <w:sz w:val="24"/>
          <w:szCs w:val="24"/>
        </w:rPr>
        <w:t>diazoesters.</w:t>
      </w:r>
      <w:r w:rsidR="001676D8">
        <w:rPr>
          <w:sz w:val="24"/>
          <w:szCs w:val="24"/>
        </w:rPr>
        <w:fldChar w:fldCharType="begin" w:fldLock="1"/>
      </w:r>
      <w:r w:rsidR="00F168DA">
        <w:rPr>
          <w:sz w:val="24"/>
          <w:szCs w:val="24"/>
        </w:rPr>
        <w:instrText>ADDIN CSL_CITATION { "citationItems" : [ { "id" : "ITEM-1", "itemData" : { "DOI" : "10.1021/acs.oprd.5b00308", "ISSN" : "1083-6160", "abstract" : "The safe use of diazo reagents for the prepn. of a key structure, phenyloxabicyclohexanone I, in the synthesis of milnacipran analogs is described herein.  Using continuous flow technol., allyl phenyldiazoacetate is synthesized, purified, dried, and subsequently used in semi-batch mode for intramol. cyclopropanation to give I.  Side products formed in the reaction are isolated and rationalized to optimize the process.  Different sepn. techniques in flow are compared with regard to their ability to produce pure and dry diazo reagents.  Analogs of I were prepd. from allylic arylacetates by diazo transfer and cyclopropanation using a similar method; the method was used to prep. I on gram scale. [on SciFinder(R)]", "author" : [ { "dropping-particle" : "", "family" : "Muller", "given" : "Simon T R", "non-dropping-particle" : "", "parse-names" : false, "suffix" : "" }, { "dropping-particle" : "", "family" : "Murat", "given" : "Aurelien", "non-dropping-particle" : "", "parse-names" : false, "suffix" : "" }, { "dropping-particle" : "", "family" : "Hellier", "given" : "Paul", "non-dropping-particle" : "", "parse-names" : false, "suffix" : "" }, { "dropping-particle" : "", "family" : "Wirth", "given" : "Thomas.", "non-dropping-particle" : "", "parse-names" : false, "suffix" : "" } ], "container-title" : "Organic Process Research &amp; Development", "id" : "ITEM-1", "issue" : "2", "issued" : { "date-parts" : [ [ "2016" ] ] }, "note" : "CAPLUS AN 2015:1741048(Journal; Online Computer File)", "page" : "495-502", "publisher" : "American Chemical Society", "title" : "Toward a Large-Scale Approach to Milnacipran Analogues Using Diazo Compounds in Flow Chemistry.", "type" : "article-journal", "volume" : "20" }, "uris" : [ "http://www.mendeley.com/documents/?uuid=f1e2fa2b-85ca-492a-b6f5-77c515050474" ] } ], "mendeley" : { "formattedCitation" : "&lt;sup&gt;[112]&lt;/sup&gt;", "plainTextFormattedCitation" : "[112]", "previouslyFormattedCitation" : "&lt;sup&gt;[112]&lt;/sup&gt;" }, "properties" : { "noteIndex" : 0 }, "schema" : "https://github.com/citation-style-language/schema/raw/master/csl-citation.json" }</w:instrText>
      </w:r>
      <w:r w:rsidR="001676D8">
        <w:rPr>
          <w:sz w:val="24"/>
          <w:szCs w:val="24"/>
        </w:rPr>
        <w:fldChar w:fldCharType="separate"/>
      </w:r>
      <w:r w:rsidR="0055300D" w:rsidRPr="0055300D">
        <w:rPr>
          <w:noProof/>
          <w:sz w:val="24"/>
          <w:szCs w:val="24"/>
          <w:vertAlign w:val="superscript"/>
        </w:rPr>
        <w:t>[112]</w:t>
      </w:r>
      <w:r w:rsidR="001676D8">
        <w:rPr>
          <w:sz w:val="24"/>
          <w:szCs w:val="24"/>
        </w:rPr>
        <w:fldChar w:fldCharType="end"/>
      </w:r>
      <w:r w:rsidR="001676D8">
        <w:rPr>
          <w:sz w:val="24"/>
          <w:szCs w:val="24"/>
        </w:rPr>
        <w:t xml:space="preserve"> </w:t>
      </w:r>
      <w:r w:rsidR="00B323CC">
        <w:rPr>
          <w:sz w:val="24"/>
          <w:szCs w:val="24"/>
        </w:rPr>
        <w:t xml:space="preserve">The authors first optimized the </w:t>
      </w:r>
      <w:r w:rsidR="009C452D">
        <w:rPr>
          <w:sz w:val="24"/>
          <w:szCs w:val="24"/>
        </w:rPr>
        <w:t>rhodium(II)</w:t>
      </w:r>
      <w:r w:rsidR="00B323CC">
        <w:rPr>
          <w:sz w:val="24"/>
          <w:szCs w:val="24"/>
        </w:rPr>
        <w:t xml:space="preserve"> catalysed decomposition of diazoesters (</w:t>
      </w:r>
      <w:r w:rsidR="00B323CC" w:rsidRPr="00E34A3D">
        <w:rPr>
          <w:b/>
          <w:sz w:val="24"/>
          <w:szCs w:val="24"/>
        </w:rPr>
        <w:t>Scheme 1.38</w:t>
      </w:r>
      <w:r w:rsidR="00B323CC">
        <w:rPr>
          <w:sz w:val="24"/>
          <w:szCs w:val="24"/>
        </w:rPr>
        <w:t xml:space="preserve">), a range of which were also prepared in flow. The </w:t>
      </w:r>
      <w:r w:rsidR="009C452D">
        <w:rPr>
          <w:sz w:val="24"/>
          <w:szCs w:val="24"/>
        </w:rPr>
        <w:t>rhodium(II)</w:t>
      </w:r>
      <w:r w:rsidR="00B323CC">
        <w:rPr>
          <w:sz w:val="24"/>
          <w:szCs w:val="24"/>
        </w:rPr>
        <w:t xml:space="preserve"> catalysts were suspended in </w:t>
      </w:r>
      <w:r w:rsidR="001A4487" w:rsidRPr="001A4487">
        <w:rPr>
          <w:sz w:val="24"/>
          <w:szCs w:val="24"/>
        </w:rPr>
        <w:t>various solvents</w:t>
      </w:r>
      <w:r w:rsidR="00B323CC">
        <w:rPr>
          <w:sz w:val="24"/>
          <w:szCs w:val="24"/>
        </w:rPr>
        <w:t xml:space="preserve"> and combined with the diazoesters at a T-piece. A back-pressure regulator is required when using a solid reagent suspended in a solvent, due to the potential for clogging of the lines, as discussed in </w:t>
      </w:r>
      <w:r w:rsidR="00B323CC" w:rsidRPr="00B323CC">
        <w:rPr>
          <w:b/>
          <w:sz w:val="24"/>
          <w:szCs w:val="24"/>
        </w:rPr>
        <w:t>Section 1.5.1</w:t>
      </w:r>
      <w:r w:rsidR="00B323CC">
        <w:rPr>
          <w:sz w:val="24"/>
          <w:szCs w:val="24"/>
        </w:rPr>
        <w:t>.</w:t>
      </w:r>
      <w:r w:rsidR="001A4487">
        <w:rPr>
          <w:sz w:val="24"/>
          <w:szCs w:val="24"/>
        </w:rPr>
        <w:t xml:space="preserve"> Due to issues of solubility of the catalysts, it was decided that the intramolecular cyclopropanation under continuous flow conditions was not suitable for scale-up.</w:t>
      </w:r>
    </w:p>
    <w:p w:rsidR="001676D8" w:rsidRDefault="001A4487" w:rsidP="00B323CC">
      <w:pPr>
        <w:spacing w:line="360" w:lineRule="auto"/>
        <w:jc w:val="center"/>
      </w:pPr>
      <w:r>
        <w:object w:dxaOrig="6801" w:dyaOrig="2277">
          <v:shape id="_x0000_i1062" type="#_x0000_t75" style="width:340.5pt;height:114pt" o:ole="">
            <v:imagedata r:id="rId97" o:title=""/>
          </v:shape>
          <o:OLEObject Type="Embed" ProgID="ChemDraw.Document.6.0" ShapeID="_x0000_i1062" DrawAspect="Content" ObjectID="_1531849608" r:id="rId98"/>
        </w:object>
      </w:r>
    </w:p>
    <w:p w:rsidR="00B323CC" w:rsidRDefault="00B323CC" w:rsidP="00B323CC">
      <w:pPr>
        <w:spacing w:line="360" w:lineRule="auto"/>
        <w:jc w:val="center"/>
        <w:rPr>
          <w:b/>
          <w:sz w:val="24"/>
          <w:szCs w:val="24"/>
        </w:rPr>
      </w:pPr>
      <w:r w:rsidRPr="00B323CC">
        <w:rPr>
          <w:b/>
          <w:sz w:val="24"/>
          <w:szCs w:val="24"/>
        </w:rPr>
        <w:t>Scheme 1.38</w:t>
      </w:r>
    </w:p>
    <w:p w:rsidR="00B323CC" w:rsidRDefault="00B323CC" w:rsidP="00B323CC">
      <w:pPr>
        <w:spacing w:line="360" w:lineRule="auto"/>
        <w:jc w:val="center"/>
        <w:rPr>
          <w:b/>
          <w:sz w:val="24"/>
          <w:szCs w:val="24"/>
        </w:rPr>
      </w:pPr>
    </w:p>
    <w:p w:rsidR="00B323CC" w:rsidRDefault="00B323CC" w:rsidP="00B323CC">
      <w:pPr>
        <w:spacing w:line="360" w:lineRule="auto"/>
        <w:jc w:val="both"/>
        <w:rPr>
          <w:sz w:val="24"/>
          <w:szCs w:val="24"/>
        </w:rPr>
      </w:pPr>
      <w:r>
        <w:rPr>
          <w:sz w:val="24"/>
          <w:szCs w:val="24"/>
        </w:rPr>
        <w:t xml:space="preserve">The complete telescoped synthesis of the bicyclic lactone </w:t>
      </w:r>
      <w:r w:rsidRPr="00B323CC">
        <w:rPr>
          <w:b/>
          <w:sz w:val="24"/>
          <w:szCs w:val="24"/>
        </w:rPr>
        <w:t>68</w:t>
      </w:r>
      <w:r>
        <w:rPr>
          <w:sz w:val="24"/>
          <w:szCs w:val="24"/>
        </w:rPr>
        <w:t xml:space="preserve"> is shown in </w:t>
      </w:r>
      <w:r w:rsidRPr="00B323CC">
        <w:rPr>
          <w:b/>
          <w:sz w:val="24"/>
          <w:szCs w:val="24"/>
        </w:rPr>
        <w:t>Scheme 1.39</w:t>
      </w:r>
      <w:r>
        <w:rPr>
          <w:sz w:val="24"/>
          <w:szCs w:val="24"/>
        </w:rPr>
        <w:t xml:space="preserve">. The authors used in-line IR analysis to confirm the formation of </w:t>
      </w:r>
      <w:r w:rsidRPr="00B323CC">
        <w:rPr>
          <w:b/>
          <w:sz w:val="24"/>
          <w:szCs w:val="24"/>
        </w:rPr>
        <w:t>67</w:t>
      </w:r>
      <w:r>
        <w:rPr>
          <w:sz w:val="24"/>
          <w:szCs w:val="24"/>
        </w:rPr>
        <w:t xml:space="preserve"> before the continuous stream </w:t>
      </w:r>
      <w:r>
        <w:rPr>
          <w:sz w:val="24"/>
          <w:szCs w:val="24"/>
        </w:rPr>
        <w:lastRenderedPageBreak/>
        <w:t xml:space="preserve">is directed into a unique in-line liquid-liquid extraction. </w:t>
      </w:r>
      <w:r w:rsidR="001A4487">
        <w:rPr>
          <w:sz w:val="24"/>
          <w:szCs w:val="24"/>
        </w:rPr>
        <w:t xml:space="preserve">A stream of the diazo compound in the organic layer was directed into a flask containing the rhodium catalyst in </w:t>
      </w:r>
      <w:r w:rsidR="001A4487" w:rsidRPr="001A4487">
        <w:rPr>
          <w:i/>
          <w:sz w:val="24"/>
          <w:szCs w:val="24"/>
        </w:rPr>
        <w:t>n</w:t>
      </w:r>
      <w:r w:rsidR="001A4487">
        <w:rPr>
          <w:sz w:val="24"/>
          <w:szCs w:val="24"/>
        </w:rPr>
        <w:t>-heptane</w:t>
      </w:r>
      <w:r w:rsidR="000474C8">
        <w:rPr>
          <w:sz w:val="24"/>
          <w:szCs w:val="24"/>
        </w:rPr>
        <w:t xml:space="preserve"> to produce the desired product </w:t>
      </w:r>
      <w:r w:rsidR="000474C8" w:rsidRPr="000474C8">
        <w:rPr>
          <w:b/>
          <w:sz w:val="24"/>
          <w:szCs w:val="24"/>
        </w:rPr>
        <w:t>68</w:t>
      </w:r>
      <w:r w:rsidR="001A4487">
        <w:rPr>
          <w:sz w:val="24"/>
          <w:szCs w:val="24"/>
        </w:rPr>
        <w:t>. This method was successfully scaled-up to gram quantities, however a reduced yield was obtained. Although this is a semi-batch protocol, it avoids the need for column chromatography of the diazo reagent.</w:t>
      </w:r>
    </w:p>
    <w:p w:rsidR="001D23ED" w:rsidRDefault="001D23ED" w:rsidP="00B323CC">
      <w:pPr>
        <w:spacing w:line="360" w:lineRule="auto"/>
        <w:jc w:val="both"/>
        <w:rPr>
          <w:sz w:val="24"/>
          <w:szCs w:val="24"/>
        </w:rPr>
      </w:pPr>
      <w:r>
        <w:rPr>
          <w:noProof/>
          <w:sz w:val="24"/>
          <w:szCs w:val="24"/>
          <w:lang w:eastAsia="en-IE"/>
        </w:rPr>
        <w:drawing>
          <wp:inline distT="0" distB="0" distL="0" distR="0" wp14:anchorId="0B95F345" wp14:editId="12A25B5C">
            <wp:extent cx="5720080" cy="16160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0080" cy="1616075"/>
                    </a:xfrm>
                    <a:prstGeom prst="rect">
                      <a:avLst/>
                    </a:prstGeom>
                    <a:noFill/>
                    <a:ln>
                      <a:noFill/>
                    </a:ln>
                  </pic:spPr>
                </pic:pic>
              </a:graphicData>
            </a:graphic>
          </wp:inline>
        </w:drawing>
      </w:r>
    </w:p>
    <w:p w:rsidR="00EB3F5D" w:rsidRPr="00454707" w:rsidRDefault="00451339" w:rsidP="001D23ED">
      <w:pPr>
        <w:spacing w:line="360" w:lineRule="auto"/>
        <w:jc w:val="center"/>
        <w:rPr>
          <w:sz w:val="20"/>
          <w:szCs w:val="20"/>
        </w:rPr>
      </w:pPr>
      <w:r>
        <w:rPr>
          <w:b/>
          <w:sz w:val="24"/>
          <w:szCs w:val="24"/>
        </w:rPr>
        <w:t>Scheme 1.39</w:t>
      </w:r>
      <w:r w:rsidR="00454707">
        <w:rPr>
          <w:b/>
          <w:sz w:val="24"/>
          <w:szCs w:val="24"/>
        </w:rPr>
        <w:t xml:space="preserve"> </w:t>
      </w:r>
      <w:r w:rsidR="00454707" w:rsidRPr="00454707">
        <w:rPr>
          <w:sz w:val="20"/>
          <w:szCs w:val="20"/>
        </w:rPr>
        <w:t>Reproduced from Ref 113.</w:t>
      </w:r>
    </w:p>
    <w:p w:rsidR="00EB3F5D" w:rsidRDefault="00EB3F5D" w:rsidP="001224E7">
      <w:pPr>
        <w:pStyle w:val="Heading1"/>
      </w:pPr>
    </w:p>
    <w:p w:rsidR="001224E7" w:rsidRDefault="00DB62B8" w:rsidP="001224E7">
      <w:pPr>
        <w:pStyle w:val="Heading1"/>
      </w:pPr>
      <w:bookmarkStart w:id="19" w:name="_Toc446773071"/>
      <w:r>
        <w:t>1.</w:t>
      </w:r>
      <w:r w:rsidR="00591EF1">
        <w:t>5</w:t>
      </w:r>
      <w:r w:rsidR="001224E7">
        <w:t xml:space="preserve"> Reactivity of </w:t>
      </w:r>
      <w:r w:rsidR="001224E7" w:rsidRPr="001224E7">
        <w:rPr>
          <w:rFonts w:ascii="Symbol" w:hAnsi="Symbol"/>
        </w:rPr>
        <w:t></w:t>
      </w:r>
      <w:r w:rsidR="001224E7">
        <w:t>-</w:t>
      </w:r>
      <w:r w:rsidR="009C6875">
        <w:t>d</w:t>
      </w:r>
      <w:r w:rsidR="001224E7">
        <w:t xml:space="preserve">iazocarbonyl </w:t>
      </w:r>
      <w:r w:rsidR="009C6875">
        <w:t>c</w:t>
      </w:r>
      <w:r w:rsidR="001224E7">
        <w:t>ompounds</w:t>
      </w:r>
      <w:bookmarkEnd w:id="19"/>
    </w:p>
    <w:p w:rsidR="000F602B" w:rsidRDefault="00DB62B8" w:rsidP="00A95EE2">
      <w:pPr>
        <w:pStyle w:val="Heading2"/>
      </w:pPr>
      <w:bookmarkStart w:id="20" w:name="_Toc446773072"/>
      <w:r>
        <w:t>1.</w:t>
      </w:r>
      <w:r w:rsidR="00591EF1">
        <w:t>5</w:t>
      </w:r>
      <w:r w:rsidR="00B673D2">
        <w:t>.1</w:t>
      </w:r>
      <w:r w:rsidR="00A95EE2">
        <w:t xml:space="preserve"> Mechanism of transition metal catalysed decomposition</w:t>
      </w:r>
      <w:bookmarkEnd w:id="20"/>
      <w:r w:rsidR="00A95EE2">
        <w:t xml:space="preserve"> </w:t>
      </w:r>
    </w:p>
    <w:p w:rsidR="003A5A3C" w:rsidRDefault="006F37A2" w:rsidP="006F37A2">
      <w:pPr>
        <w:spacing w:line="360" w:lineRule="auto"/>
        <w:jc w:val="both"/>
        <w:rPr>
          <w:sz w:val="24"/>
          <w:szCs w:val="24"/>
        </w:rPr>
      </w:pPr>
      <w:r w:rsidRPr="006F37A2">
        <w:rPr>
          <w:sz w:val="24"/>
          <w:szCs w:val="24"/>
        </w:rPr>
        <w:t xml:space="preserve">The widely accepted mechanism for diazocarbonyl decomposition is shown in </w:t>
      </w:r>
      <w:r w:rsidRPr="006F37A2">
        <w:rPr>
          <w:b/>
          <w:sz w:val="24"/>
          <w:szCs w:val="24"/>
        </w:rPr>
        <w:t>Scheme</w:t>
      </w:r>
      <w:r w:rsidR="00451339">
        <w:rPr>
          <w:b/>
          <w:sz w:val="24"/>
          <w:szCs w:val="24"/>
        </w:rPr>
        <w:t xml:space="preserve"> 1.40</w:t>
      </w:r>
      <w:r w:rsidRPr="006F37A2">
        <w:rPr>
          <w:sz w:val="24"/>
          <w:szCs w:val="24"/>
        </w:rPr>
        <w:t>.</w:t>
      </w:r>
      <w:r>
        <w:rPr>
          <w:sz w:val="24"/>
          <w:szCs w:val="24"/>
        </w:rPr>
        <w:fldChar w:fldCharType="begin" w:fldLock="1"/>
      </w:r>
      <w:r w:rsidR="00F168DA">
        <w:rPr>
          <w:sz w:val="24"/>
          <w:szCs w:val="24"/>
        </w:rPr>
        <w:instrText>ADDIN CSL_CITATION { "citationItems" : [ { "id" : "ITEM-1", "itemData" : { "author" : [ { "dropping-particle" : "", "family" : "Doyle", "given" : "M. P", "non-dropping-particle" : "", "parse-names" : false, "suffix" : "" } ], "chapter-number" : "5.2", "container-title" : "Organometallic Chemistry II Vol 12", "id" : "ITEM-1", "issued" : { "date-parts" : [ [ "1995" ] ] }, "publisher" : "Pergamon Press", "publisher-place" : "New York", "title" : "Metal Carbene Complexes in Organic Synthesis: Diazo decomposition-Insertion and Ylide Chemistry", "type" : "chapter" }, "uris" : [ "http://www.mendeley.com/documents/?uuid=8615c132-d00a-46ca-b756-1c53c5d5ca24" ] }, { "id" : "ITEM-2", "itemData" : { "DOI" : "10.1016/S0040-4020(01)82371-1", "ISSN" : "0040-4020", "abstract" : "A review with 42 refs. of the title reactions.  The stereochem. of vinylcarbenoid cyclopropanations is discussed. [on SciFinder(R)]", "author" : [ { "dropping-particle" : "", "family" : "Davies", "given" : "Huw M L", "non-dropping-particle" : "", "parse-names" : false, "suffix" : "" } ], "container-title" : "Tetrahedron", "id" : "ITEM-2", "issue" : "24", "issued" : { "date-parts" : [ [ "1993" ] ] }, "note" : "CAPLUS AN 1993:580409(Journal; General Review)", "page" : "5203-5223", "title" : "Tandem cyclopropanation/Cope rearrangement: a general method for the construction of seven-membered rings.", "type" : "article-journal", "volume" : "49" }, "uris" : [ "http://www.mendeley.com/documents/?uuid=fb135c8d-cab0-4c21-b878-10d563c77dda" ] }, { "id" : "ITEM-3", "itemData" : { "ISSN" : "0044-8249", "abstract" : "A review with 178 refs. with emphasis on the chem. behavior of transition metal carbenoid complexes that are greatly affected by the nature of the ligand groups attached to the metal center. [on SciFinder(R)]", "author" : [ { "dropping-particle" : "", "family" : "Padwa", "given" : "Albert", "non-dropping-particle" : "", "parse-names" : false, "suffix" : "" }, { "dropping-particle" : "", "family" : "Austin", "given" : "David J", "non-dropping-particle" : "", "parse-names" : false, "suffix" : "" } ], "container-title" : "Angewandte Chemie", "id" : "ITEM-3", "issue" : "18", "issued" : { "date-parts" : [ [ "1994" ] ] }, "note" : "CAPLUS AN 1996:45807(Journal; General Review)", "page" : "1881-1899", "publisher" : "VCH", "title" : "Transition-metal-catalyzed reactions of \u03b1-diazo carbonyl compounds: effect of ligands on chemoselectivity.", "type" : "article-journal", "volume" : "106" }, "uris" : [ "http://www.mendeley.com/documents/?uuid=c9bec13e-0bf9-43ff-bca1-052eda83c7b7" ] } ], "mendeley" : { "formattedCitation" : "&lt;sup&gt;[6,113,114]&lt;/sup&gt;", "plainTextFormattedCitation" : "[6,113,114]", "previouslyFormattedCitation" : "&lt;sup&gt;[6,113,114]&lt;/sup&gt;"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[6,113,114]</w:t>
      </w:r>
      <w:r>
        <w:rPr>
          <w:sz w:val="24"/>
          <w:szCs w:val="24"/>
        </w:rPr>
        <w:fldChar w:fldCharType="end"/>
      </w:r>
      <w:r w:rsidRPr="006F37A2">
        <w:rPr>
          <w:sz w:val="24"/>
          <w:szCs w:val="24"/>
        </w:rPr>
        <w:t xml:space="preserve"> This has been confirmed using computational studies by Nakamura and </w:t>
      </w:r>
      <w:r w:rsidR="00F62F72" w:rsidRPr="006F37A2">
        <w:rPr>
          <w:sz w:val="24"/>
          <w:szCs w:val="24"/>
        </w:rPr>
        <w:t>co-workers</w:t>
      </w:r>
      <w:r w:rsidRPr="006F37A2">
        <w:rPr>
          <w:sz w:val="24"/>
          <w:szCs w:val="24"/>
        </w:rPr>
        <w:t>.</w:t>
      </w:r>
      <w:r>
        <w:rPr>
          <w:sz w:val="24"/>
          <w:szCs w:val="24"/>
        </w:rPr>
        <w:fldChar w:fldCharType="begin" w:fldLock="1"/>
      </w:r>
      <w:r w:rsidR="00F168DA">
        <w:rPr>
          <w:sz w:val="24"/>
          <w:szCs w:val="24"/>
        </w:rPr>
        <w:instrText>ADDIN CSL_CITATION { "citationItems" : [ { "id" : "ITEM-1", "itemData" : { "DOI" : "10.1021/ja017823o", "ISSN" : "0002-7863", "abstract" : "The B3LYP d. functional studies on the dirhodium tetracarboxylate-catalyzed C-H bond activation/C-C bond formation reaction of a diazo compd. with an alkane revealed the energetics and the geometry of important intermediates and transition states in the catalytic cycle.  The reaction is initiated by complexation between the rhodium catalyst and the diazo compd.  Driven by the back-donation from the Rh 4dxz orbital to the C-N \u03c3*-orbital, nitrogen extrusion takes place to afford a rhodium-carbene complex.  The carbene carbon of the complex is strongly electrophilic because of its vacant 2p orbital.  The C-H activation/C-C formation proceeds in a single step through a three-centered hydride transfer-like transition state with a small activation energy.  Only one of the two rhodium atoms works as a carbene binding site throughout the reaction, and the other rhodium atom assists the C-H insertion reaction.  The second Rh atom acts as a mobile ligand for the first one to enhance the electrophilicity of the carbene moiety and to facilitate the cleavage of the rhodium-carbon bond.  The calcns. reproduce exptl. data including the activation enthalpy of the nitrogen extrusion, the kinetic isotope effect of the C-H insertion, and the reactivity order of the C-H bond. [on SciFinder(R)]", "author" : [ { "dropping-particle" : "", "family" : "Nakamura", "given" : "Eiichi", "non-dropping-particle" : "", "parse-names" : false, "suffix" : "" }, { "dropping-particle" : "", "family" : "Yoshikai", "given" : "Naohiko", "non-dropping-particle" : "", "parse-names" : false, "suffix" : "" }, { "dropping-particle" : "", "family" : "Yamanaka", "given" : "Masahiro.", "non-dropping-particle" : "", "parse-names" : false, "suffix" : "" } ], "container-title" : "Journal of the American Chemical Society", "id" : "ITEM-1", "issue" : "24", "issued" : { "date-parts" : [ [ "2002" ] ] }, "note" : "CAPLUS AN 2002:382118(Journal)", "page" : "7181-7192", "publisher" : "American Chemical Society", "title" : "Mechanism of C-H Bond Activation/C-C Bond Formation Reaction between Diazo Compound and Alkane Catalyzed by Dirhodium Tetracarboxylate.", "type" : "article-journal", "volume" : "124" }, "uris" : [ "http://www.mendeley.com/documents/?uuid=351d6d96-718c-4289-961e-b3403274f283" ] } ], "mendeley" : { "formattedCitation" : "&lt;sup&gt;[115]&lt;/sup&gt;", "plainTextFormattedCitation" : "[115]", "previouslyFormattedCitation" : "&lt;sup&gt;[115]&lt;/sup&gt;"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[115]</w:t>
      </w:r>
      <w:r>
        <w:rPr>
          <w:sz w:val="24"/>
          <w:szCs w:val="24"/>
        </w:rPr>
        <w:fldChar w:fldCharType="end"/>
      </w:r>
      <w:r>
        <w:rPr>
          <w:sz w:val="24"/>
          <w:szCs w:val="24"/>
        </w:rPr>
        <w:t xml:space="preserve"> </w:t>
      </w:r>
      <w:r w:rsidR="00273678">
        <w:rPr>
          <w:sz w:val="24"/>
          <w:szCs w:val="24"/>
        </w:rPr>
        <w:t>The first step is electrophilic addition</w:t>
      </w:r>
      <w:r w:rsidR="000C2874">
        <w:rPr>
          <w:sz w:val="24"/>
          <w:szCs w:val="24"/>
        </w:rPr>
        <w:t xml:space="preserve"> of the diazocarbonyl compound to the transition metal</w:t>
      </w:r>
      <w:r w:rsidR="00273678">
        <w:rPr>
          <w:sz w:val="24"/>
          <w:szCs w:val="24"/>
        </w:rPr>
        <w:t xml:space="preserve">, followed by nitrogen extrusion. This results in the formation of a metal stabilised carbene, which is then transferred to an electron rich substrate (S:) to complete the catalytic cycle. </w:t>
      </w:r>
      <w:r w:rsidR="00F62F72" w:rsidRPr="00F62F72">
        <w:rPr>
          <w:sz w:val="24"/>
          <w:szCs w:val="24"/>
        </w:rPr>
        <w:t>The transition metal catalysts effective in the decomposition of α-diazocarbonyl compounds are e</w:t>
      </w:r>
      <w:r w:rsidR="00454707">
        <w:rPr>
          <w:sz w:val="24"/>
          <w:szCs w:val="24"/>
        </w:rPr>
        <w:t>ssentially</w:t>
      </w:r>
      <w:r w:rsidR="00F62F72" w:rsidRPr="00F62F72">
        <w:rPr>
          <w:sz w:val="24"/>
          <w:szCs w:val="24"/>
        </w:rPr>
        <w:t xml:space="preserve"> Lewis acids</w:t>
      </w:r>
      <w:r w:rsidR="000C2874">
        <w:rPr>
          <w:sz w:val="24"/>
          <w:szCs w:val="24"/>
        </w:rPr>
        <w:t>, which have an empty molecular orbital into which the electrophilic carbene can donate electrons</w:t>
      </w:r>
      <w:r w:rsidR="00F62F72" w:rsidRPr="00F62F72">
        <w:rPr>
          <w:sz w:val="24"/>
          <w:szCs w:val="24"/>
        </w:rPr>
        <w:t>.</w:t>
      </w:r>
      <w:r w:rsidR="00F62F72">
        <w:rPr>
          <w:sz w:val="24"/>
          <w:szCs w:val="24"/>
        </w:rPr>
        <w:fldChar w:fldCharType="begin" w:fldLock="1"/>
      </w:r>
      <w:r w:rsidR="00FC74EF">
        <w:rPr>
          <w:sz w:val="24"/>
          <w:szCs w:val="24"/>
        </w:rPr>
        <w:instrText>ADDIN CSL_CITATION { "citationItems" : [ { "id" : "ITEM-1", "itemData" : { "DOI" : "10.1021/cr00075a013", "ISSN" : "0009-2665", "abstract" : "A review with \u223c170 refs. in which catalysts for the title reactions, and catalytic cyclopropanations, dipolar cycloaddn., and insertion reactions, and catalytic methods for ylide generation and rearrangement are discussed. [on SciFinder(R)]", "author" : [ { "dropping-particle" : "", "family" : "Doyle", "given" : "Michael P", "non-dropping-particle" : "", "parse-names" : false, "suffix" : "" } ], "container-title" : "Chemical Reviews (Washington, DC, United States)", "id" : "ITEM-1", "issue" : "5", "issued" : { "date-parts" : [ [ "1986" ] ] }, "note" : "CAPLUS AN 1986:571432(Journal; General Review)", "page" : "919-940", "title" : "Catalytic methods for metal carbene transformations.", "type" : "article-journal", "volume" : "86" }, "uris" : [ "http://www.mendeley.com/documents/?uuid=7ea73c16-244d-4c2d-b534-f3280081552f" ] } ], "mendeley" : { "formattedCitation" : "&lt;sup&gt;[3]&lt;/sup&gt;", "plainTextFormattedCitation" : "[3]", "previouslyFormattedCitation" : "&lt;sup&gt;[3]&lt;/sup&gt;" }, "properties" : { "noteIndex" : 0 }, "schema" : "https://github.com/citation-style-language/schema/raw/master/csl-citation.json" }</w:instrText>
      </w:r>
      <w:r w:rsidR="00F62F72">
        <w:rPr>
          <w:sz w:val="24"/>
          <w:szCs w:val="24"/>
        </w:rPr>
        <w:fldChar w:fldCharType="separate"/>
      </w:r>
      <w:r w:rsidR="00F62F72" w:rsidRPr="00F62F72">
        <w:rPr>
          <w:noProof/>
          <w:sz w:val="24"/>
          <w:szCs w:val="24"/>
          <w:vertAlign w:val="superscript"/>
        </w:rPr>
        <w:t>[3]</w:t>
      </w:r>
      <w:r w:rsidR="00F62F72">
        <w:rPr>
          <w:sz w:val="24"/>
          <w:szCs w:val="24"/>
        </w:rPr>
        <w:fldChar w:fldCharType="end"/>
      </w:r>
    </w:p>
    <w:p w:rsidR="0096319E" w:rsidRDefault="0096319E" w:rsidP="006F37A2">
      <w:pPr>
        <w:spacing w:line="360" w:lineRule="auto"/>
        <w:jc w:val="both"/>
        <w:rPr>
          <w:sz w:val="24"/>
          <w:szCs w:val="24"/>
        </w:rPr>
      </w:pPr>
    </w:p>
    <w:p w:rsidR="003A5A3C" w:rsidRDefault="0096319E" w:rsidP="0096319E">
      <w:pPr>
        <w:spacing w:line="360" w:lineRule="auto"/>
        <w:jc w:val="center"/>
      </w:pPr>
      <w:r>
        <w:object w:dxaOrig="4812" w:dyaOrig="3122">
          <v:shape id="_x0000_i1063" type="#_x0000_t75" style="width:240pt;height:155.25pt" o:ole="">
            <v:imagedata r:id="rId100" o:title=""/>
          </v:shape>
          <o:OLEObject Type="Embed" ProgID="ChemDraw.Document.6.0" ShapeID="_x0000_i1063" DrawAspect="Content" ObjectID="_1531849609" r:id="rId101"/>
        </w:object>
      </w:r>
    </w:p>
    <w:p w:rsidR="0096319E" w:rsidRDefault="00451339" w:rsidP="0096319E">
      <w:pPr>
        <w:spacing w:line="360" w:lineRule="auto"/>
        <w:jc w:val="center"/>
        <w:rPr>
          <w:b/>
          <w:sz w:val="24"/>
          <w:szCs w:val="24"/>
        </w:rPr>
      </w:pPr>
      <w:r>
        <w:rPr>
          <w:b/>
          <w:sz w:val="24"/>
          <w:szCs w:val="24"/>
        </w:rPr>
        <w:t>Scheme 1.40</w:t>
      </w:r>
    </w:p>
    <w:p w:rsidR="0096319E" w:rsidRDefault="0096319E" w:rsidP="0096319E">
      <w:pPr>
        <w:spacing w:line="360" w:lineRule="auto"/>
        <w:jc w:val="center"/>
        <w:rPr>
          <w:b/>
          <w:sz w:val="24"/>
          <w:szCs w:val="24"/>
        </w:rPr>
      </w:pPr>
    </w:p>
    <w:p w:rsidR="00B673D2" w:rsidRDefault="003A5A3C" w:rsidP="00B673D2">
      <w:pPr>
        <w:spacing w:line="360" w:lineRule="auto"/>
        <w:jc w:val="both"/>
        <w:rPr>
          <w:sz w:val="24"/>
          <w:szCs w:val="24"/>
        </w:rPr>
      </w:pPr>
      <w:r>
        <w:rPr>
          <w:sz w:val="24"/>
          <w:szCs w:val="24"/>
        </w:rPr>
        <w:t xml:space="preserve">Copper catalysts were the predominant catalyst for decomposition of </w:t>
      </w:r>
      <w:r w:rsidRPr="000C2874">
        <w:rPr>
          <w:rFonts w:ascii="Symbol" w:hAnsi="Symbol"/>
          <w:sz w:val="24"/>
          <w:szCs w:val="24"/>
        </w:rPr>
        <w:t></w:t>
      </w:r>
      <w:r>
        <w:rPr>
          <w:sz w:val="24"/>
          <w:szCs w:val="24"/>
        </w:rPr>
        <w:t xml:space="preserve">-diazocarbonyl compounds for almost 70 years, until Teyssie introduced </w:t>
      </w:r>
      <w:r w:rsidR="009C452D">
        <w:rPr>
          <w:sz w:val="24"/>
          <w:szCs w:val="24"/>
        </w:rPr>
        <w:t>rhodium(II)</w:t>
      </w:r>
      <w:r>
        <w:rPr>
          <w:sz w:val="24"/>
          <w:szCs w:val="24"/>
        </w:rPr>
        <w:t xml:space="preserve"> acetate for the same purpose in 1973.</w:t>
      </w:r>
      <w:r>
        <w:rPr>
          <w:sz w:val="24"/>
          <w:szCs w:val="24"/>
        </w:rPr>
        <w:fldChar w:fldCharType="begin" w:fldLock="1"/>
      </w:r>
      <w:r>
        <w:rPr>
          <w:sz w:val="24"/>
          <w:szCs w:val="24"/>
        </w:rPr>
        <w:instrText>ADDIN CSL_CITATION { "citationItems" : [ { "id" : "ITEM-1", "itemData" : { "DOI" : "10.1016/S0040-4039(01)87603-6", "ISSN" : "0040-4039", "abstract" : "ROH (R = Et, Me2CH, Me3C, H, Ac) with N2CHCO2Et and Rh2(OAc)4 gave 80-93% ROCH2CO2Et.  The reaction, which was first order in Rh concn., may proceed via a Rh-N2CHCO2Et complex. [on SciFinder(R)]", "author" : [ { "dropping-particle" : "", "family" : "Paulissen", "given" : "Robert", "non-dropping-particle" : "", "parse-names" : false, "suffix" : "" }, { "dropping-particle" : "", "family" : "Reimlinger", "given" : "H", "non-dropping-particle" : "", "parse-names" : false, "suffix" : "" }, { "dropping-particle" : "", "family" : "Hayez", "given" : "E", "non-dropping-particle" : "", "parse-names" : false, "suffix" : "" }, { "dropping-particle" : "", "family" : "Hubert", "given" : "A J", "non-dropping-particle" : "", "parse-names" : false, "suffix" : "" }, { "dropping-particle" : "", "family" : "Teyssie", "given" : "Ph.", "non-dropping-particle" : "", "parse-names" : false, "suffix" : "" } ], "container-title" : "Tetrahedron Letters", "id" : "ITEM-1", "issue" : "24", "issued" : { "date-parts" : [ [ "1973" ] ] }, "note" : "CAPLUS AN 1973:491509(Journal)", "page" : "2233-2236", "title" : "Transition metal catalyzed reactions of diazo compounds.  II.  Insertion in the hydroxylic bond.", "type" : "article-journal" }, "uris" : [ "http://www.mendeley.com/documents/?uuid=f6e71e4a-b578-4314-aae8-1a1353f26948" ] }, { "id" : "ITEM-2", "itemData" : { "DOI" : "10.1055/s-1976-24132", "ISSN" : "0039-7881", "abstract" : "Nineteen cyclopropanes I (R = Me, Et, Pr, H; R1 = H, Me; R2 = Et, Me, H, pentyl; R3 = H, Me, Pr, Bu, pentyl; R4 = Me, Et, Br) were prepd. in 7-100% yield by reaction of RCR1:CR2R3 with N2:CHCO2R4 in the presence of Rh(O2CR5)2 (R5 = Me, Pr, CMe3).  The best yields were obtained with N2:CHCO2Bu in the presence of Rh(O2CMe)2; this was explained by the increased soly. and stabilization of the intermediate carbenoid species. [on SciFinder(R)]", "author" : [ { "dropping-particle" : "", "family" : "Hubert", "given" : "Andre J", "non-dropping-particle" : "", "parse-names" : false, "suffix" : "" }, { "dropping-particle" : "", "family" : "Noels", "given" : "Alfred F", "non-dropping-particle" : "", "parse-names" : false, "suffix" : "" }, { "dropping-particle" : "", "family" : "Anciaux", "given" : "Andre J", "non-dropping-particle" : "", "parse-names" : false, "suffix" : "" }, { "dropping-particle" : "", "family" : "Teyssie", "given" : "Philippe.", "non-dropping-particle" : "", "parse-names" : false, "suffix" : "" } ], "container-title" : "Synthesis", "id" : "ITEM-2", "issue" : "9", "issued" : { "date-parts" : [ [ "1976" ] ] }, "note" : "CAPLUS AN 1977:43228(Journal)", "page" : "600-602", "title" : "Rhodium(II) carboxylates:  novel highly efficient catalysts for the cyclopropanation of alkenes with alkyl diazoacetates.", "type" : "article-journal" }, "uris" : [ "http://www.mendeley.com/documents/?uuid=d4b9c6dc-565e-49d7-abe5-6cb7c386cc7d" ] } ], "mendeley" : { "formattedCitation" : "&lt;sup&gt;[1,2]&lt;/sup&gt;", "plainTextFormattedCitation" : "[1,2]", "previouslyFormattedCitation" : "&lt;sup&gt;[1,2]&lt;/sup&gt;" }, "properties" : { "noteIndex" : 0 }, "schema" : "https://github.com/citation-style-language/schema/raw/master/csl-citation.json" }</w:instrText>
      </w:r>
      <w:r>
        <w:rPr>
          <w:sz w:val="24"/>
          <w:szCs w:val="24"/>
        </w:rPr>
        <w:fldChar w:fldCharType="separate"/>
      </w:r>
      <w:r w:rsidRPr="003A5A3C">
        <w:rPr>
          <w:noProof/>
          <w:sz w:val="24"/>
          <w:szCs w:val="24"/>
          <w:vertAlign w:val="superscript"/>
        </w:rPr>
        <w:t>[1,2]</w:t>
      </w:r>
      <w:r>
        <w:rPr>
          <w:sz w:val="24"/>
          <w:szCs w:val="24"/>
        </w:rPr>
        <w:fldChar w:fldCharType="end"/>
      </w:r>
      <w:r>
        <w:rPr>
          <w:sz w:val="24"/>
          <w:szCs w:val="24"/>
        </w:rPr>
        <w:t xml:space="preserve"> </w:t>
      </w:r>
      <w:r w:rsidR="009C452D">
        <w:rPr>
          <w:sz w:val="24"/>
          <w:szCs w:val="24"/>
        </w:rPr>
        <w:t>Rhodium(II)</w:t>
      </w:r>
      <w:r w:rsidR="008F30D1">
        <w:rPr>
          <w:sz w:val="24"/>
          <w:szCs w:val="24"/>
        </w:rPr>
        <w:t xml:space="preserve"> acetate</w:t>
      </w:r>
      <w:r w:rsidR="0096319E">
        <w:rPr>
          <w:sz w:val="24"/>
          <w:szCs w:val="24"/>
        </w:rPr>
        <w:t xml:space="preserve"> </w:t>
      </w:r>
      <w:r w:rsidR="0096319E" w:rsidRPr="0096319E">
        <w:rPr>
          <w:b/>
          <w:sz w:val="24"/>
          <w:szCs w:val="24"/>
        </w:rPr>
        <w:t>69</w:t>
      </w:r>
      <w:r w:rsidR="008F30D1">
        <w:rPr>
          <w:sz w:val="24"/>
          <w:szCs w:val="24"/>
        </w:rPr>
        <w:t xml:space="preserve"> (</w:t>
      </w:r>
      <w:r w:rsidR="008F30D1" w:rsidRPr="008F30D1">
        <w:rPr>
          <w:b/>
          <w:sz w:val="24"/>
          <w:szCs w:val="24"/>
        </w:rPr>
        <w:t>Figure</w:t>
      </w:r>
      <w:r w:rsidR="0096319E">
        <w:rPr>
          <w:b/>
          <w:sz w:val="24"/>
          <w:szCs w:val="24"/>
        </w:rPr>
        <w:t xml:space="preserve"> 1.7</w:t>
      </w:r>
      <w:r w:rsidR="008F30D1">
        <w:rPr>
          <w:sz w:val="24"/>
          <w:szCs w:val="24"/>
        </w:rPr>
        <w:t>) is a binuclear compound, with four bridging acetate ligands and D</w:t>
      </w:r>
      <w:r w:rsidR="008F30D1">
        <w:rPr>
          <w:sz w:val="24"/>
          <w:szCs w:val="24"/>
          <w:vertAlign w:val="subscript"/>
        </w:rPr>
        <w:t>4h</w:t>
      </w:r>
      <w:r w:rsidR="008F30D1">
        <w:rPr>
          <w:sz w:val="24"/>
          <w:szCs w:val="24"/>
        </w:rPr>
        <w:t xml:space="preserve"> symmetry.</w:t>
      </w:r>
      <w:r w:rsidR="008F30D1">
        <w:rPr>
          <w:sz w:val="24"/>
          <w:szCs w:val="24"/>
        </w:rPr>
        <w:fldChar w:fldCharType="begin" w:fldLock="1"/>
      </w:r>
      <w:r w:rsidR="00F168DA">
        <w:rPr>
          <w:sz w:val="24"/>
          <w:szCs w:val="24"/>
        </w:rPr>
        <w:instrText>ADDIN CSL_CITATION { "citationItems" : [ { "id" : "ITEM-1", "itemData" : { "DOI" : "10.1002/9780470166307.ch2", "ISSN" : "0079-6379", "abstract" : "A review with 353 refs. [on SciFinder(R)]", "author" : [ { "dropping-particle" : "", "family" : "Felthouse", "given" : "Timothy R", "non-dropping-particle" : "", "parse-names" : false, "suffix" : "" } ], "container-title" : "Progress in Inorganic Chemistry", "id" : "ITEM-1", "issued" : { "date-parts" : [ [ "1982" ] ] }, "note" : "CAPLUS AN 1982:503131(Journal; General Review)", "page" : "73-166", "title" : "The chemistry, structure, and metal-metal bonding in compounds of rhodium(II).", "type" : "article-journal", "volume" : "29" }, "uris" : [ "http://www.mendeley.com/documents/?uuid=462373ad-ada0-4ca0-84d8-5ffbfd232eae" ] }, { "id" : "ITEM-2", "itemData" : { "DOI" : "10.1016/0010-8545(83)85028-0", "ISSN" : "0010-8545", "abstract" : "A review with 211 refs. [on SciFinder(R)]", "author" : [ { "dropping-particle" : "", "family" : "Boyar", "given" : "Esther B", "non-dropping-particle" : "", "parse-names" : false, "suffix" : "" }, { "dropping-particle" : "", "family" : "Robinson", "given" : "Stephen D", "non-dropping-particle" : "", "parse-names" : false, "suffix" : "" } ], "container-title" : "Coordination Chemistry Reviews", "id" : "ITEM-2", "issue" : "1-2", "issued" : { "date-parts" : [ [ "1983" ] ] }, "note" : "CAPLUS AN 1983:432096(Journal; General Review)", "page" : "109-208", "title" : "Rhodium(II) carboxylates.", "type" : "article-journal", "volume" : "50" }, "uris" : [ "http://www.mendeley.com/documents/?uuid=9080805b-3db7-4433-b52b-37a03bc7aa8c" ] } ], "mendeley" : { "formattedCitation" : "&lt;sup&gt;[116,117]&lt;/sup&gt;", "plainTextFormattedCitation" : "[116,117]", "previouslyFormattedCitation" : "&lt;sup&gt;[116,117]&lt;/sup&gt;" }, "properties" : { "noteIndex" : 0 }, "schema" : "https://github.com/citation-style-language/schema/raw/master/csl-citation.json" }</w:instrText>
      </w:r>
      <w:r w:rsidR="008F30D1">
        <w:rPr>
          <w:sz w:val="24"/>
          <w:szCs w:val="24"/>
        </w:rPr>
        <w:fldChar w:fldCharType="separate"/>
      </w:r>
      <w:r w:rsidR="0055300D" w:rsidRPr="0055300D">
        <w:rPr>
          <w:noProof/>
          <w:sz w:val="24"/>
          <w:szCs w:val="24"/>
          <w:vertAlign w:val="superscript"/>
        </w:rPr>
        <w:t>[116,117]</w:t>
      </w:r>
      <w:r w:rsidR="008F30D1">
        <w:rPr>
          <w:sz w:val="24"/>
          <w:szCs w:val="24"/>
        </w:rPr>
        <w:fldChar w:fldCharType="end"/>
      </w:r>
      <w:r w:rsidR="008F30D1">
        <w:rPr>
          <w:sz w:val="24"/>
          <w:szCs w:val="24"/>
        </w:rPr>
        <w:t xml:space="preserve"> It possesses one vacant axial coordination site per metal atom.</w:t>
      </w:r>
      <w:r w:rsidRPr="006F37A2">
        <w:rPr>
          <w:sz w:val="24"/>
          <w:szCs w:val="24"/>
        </w:rPr>
        <w:t xml:space="preserve"> </w:t>
      </w:r>
    </w:p>
    <w:p w:rsidR="0096319E" w:rsidRDefault="0096319E" w:rsidP="00B673D2">
      <w:pPr>
        <w:spacing w:line="360" w:lineRule="auto"/>
        <w:jc w:val="center"/>
      </w:pPr>
      <w:r>
        <w:object w:dxaOrig="2795" w:dyaOrig="2685">
          <v:shape id="_x0000_i1064" type="#_x0000_t75" style="width:139.5pt;height:134.25pt" o:ole="">
            <v:imagedata r:id="rId102" o:title=""/>
          </v:shape>
          <o:OLEObject Type="Embed" ProgID="ChemDraw.Document.6.0" ShapeID="_x0000_i1064" DrawAspect="Content" ObjectID="_1531849610" r:id="rId103"/>
        </w:object>
      </w:r>
    </w:p>
    <w:p w:rsidR="008F30D1" w:rsidRPr="0096319E" w:rsidRDefault="0096319E" w:rsidP="00B673D2">
      <w:pPr>
        <w:spacing w:line="360" w:lineRule="auto"/>
        <w:jc w:val="center"/>
        <w:rPr>
          <w:b/>
          <w:sz w:val="24"/>
          <w:szCs w:val="24"/>
        </w:rPr>
      </w:pPr>
      <w:r w:rsidRPr="0096319E">
        <w:rPr>
          <w:b/>
          <w:sz w:val="24"/>
          <w:szCs w:val="24"/>
        </w:rPr>
        <w:t>Figure 1.7</w:t>
      </w:r>
      <w:r w:rsidR="000F602B" w:rsidRPr="0096319E">
        <w:rPr>
          <w:b/>
          <w:sz w:val="24"/>
          <w:szCs w:val="24"/>
        </w:rPr>
        <w:br w:type="page"/>
      </w:r>
    </w:p>
    <w:p w:rsidR="00A95EE2" w:rsidRDefault="00DB62B8" w:rsidP="00A95EE2">
      <w:pPr>
        <w:pStyle w:val="Heading2"/>
      </w:pPr>
      <w:bookmarkStart w:id="21" w:name="_Toc446773073"/>
      <w:r>
        <w:lastRenderedPageBreak/>
        <w:t>1.</w:t>
      </w:r>
      <w:r w:rsidR="00591EF1">
        <w:t>5</w:t>
      </w:r>
      <w:r w:rsidR="00B673D2">
        <w:t>.2</w:t>
      </w:r>
      <w:r w:rsidR="00A95EE2">
        <w:t xml:space="preserve"> Wolff </w:t>
      </w:r>
      <w:r w:rsidR="009C6875">
        <w:t>r</w:t>
      </w:r>
      <w:r w:rsidR="00A95EE2">
        <w:t>earrangement</w:t>
      </w:r>
      <w:bookmarkEnd w:id="21"/>
    </w:p>
    <w:p w:rsidR="00A95EE2" w:rsidRPr="00A95EE2" w:rsidRDefault="00A95EE2" w:rsidP="00A95EE2"/>
    <w:p w:rsidR="00A95EE2" w:rsidRPr="00A95EE2" w:rsidRDefault="001224E7" w:rsidP="00A95DDA">
      <w:pPr>
        <w:spacing w:line="360" w:lineRule="auto"/>
        <w:jc w:val="both"/>
        <w:rPr>
          <w:rFonts w:cs="Times New Roman"/>
          <w:sz w:val="24"/>
          <w:szCs w:val="24"/>
        </w:rPr>
      </w:pPr>
      <w:r w:rsidRPr="001224E7">
        <w:rPr>
          <w:rFonts w:cs="Times New Roman"/>
          <w:sz w:val="24"/>
          <w:szCs w:val="24"/>
        </w:rPr>
        <w:t xml:space="preserve">The Wolff rearrangement was first reported by Ludwig Wolff in 1902, and has since become a </w:t>
      </w:r>
      <w:r>
        <w:rPr>
          <w:rFonts w:cs="Times New Roman"/>
          <w:sz w:val="24"/>
          <w:szCs w:val="24"/>
        </w:rPr>
        <w:t>widely used synthetic pathway.</w:t>
      </w:r>
      <w:r>
        <w:rPr>
          <w:rFonts w:cs="Times New Roman"/>
          <w:sz w:val="24"/>
          <w:szCs w:val="24"/>
        </w:rPr>
        <w:fldChar w:fldCharType="begin" w:fldLock="1"/>
      </w:r>
      <w:r w:rsidR="00F168DA">
        <w:rPr>
          <w:rFonts w:cs="Times New Roman"/>
          <w:sz w:val="24"/>
          <w:szCs w:val="24"/>
        </w:rPr>
        <w:instrText>ADDIN CSL_CITATION { "citationItems" : [ { "id" : "ITEM-1", "itemData" : { "ISSN" : "0075-4617", "author" : [ { "dropping-particle" : "", "family" : "Wolff", "given" : "Ludwig.", "non-dropping-particle" : "", "parse-names" : false, "suffix" : "" } ], "container-title" : "Justus Liebigs Annalen der Chemie", "id" : "ITEM-1", "issued" : { "date-parts" : [ [ "1912" ] ] }, "note" : "CAPLUS AN 1906:664(Journal)", "page" : "23-108", "title" : "Diazo anhydride (1,2,3-oxydiazoles or diazooxides) and diazo ketones.", "type" : "article-journal", "volume" : "394" }, "uris" : [ "http://www.mendeley.com/documents/?uuid=f644b3d2-eea9-4420-b768-f4c98e1731f7" ] } ], "mendeley" : { "formattedCitation" : "&lt;sup&gt;[118]&lt;/sup&gt;", "plainTextFormattedCitation" : "[118]", "previouslyFormattedCitation" : "&lt;sup&gt;[118]&lt;/sup&gt;" }, "properties" : { "noteIndex" : 0 }, "schema" : "https://github.com/citation-style-language/schema/raw/master/csl-citation.json" }</w:instrText>
      </w:r>
      <w:r>
        <w:rPr>
          <w:rFonts w:cs="Times New Roman"/>
          <w:sz w:val="24"/>
          <w:szCs w:val="24"/>
        </w:rPr>
        <w:fldChar w:fldCharType="separate"/>
      </w:r>
      <w:r w:rsidR="0055300D" w:rsidRPr="0055300D">
        <w:rPr>
          <w:rFonts w:cs="Times New Roman"/>
          <w:noProof/>
          <w:sz w:val="24"/>
          <w:szCs w:val="24"/>
          <w:vertAlign w:val="superscript"/>
        </w:rPr>
        <w:t>[118]</w:t>
      </w:r>
      <w:r>
        <w:rPr>
          <w:rFonts w:cs="Times New Roman"/>
          <w:sz w:val="24"/>
          <w:szCs w:val="24"/>
        </w:rPr>
        <w:fldChar w:fldCharType="end"/>
      </w:r>
      <w:r>
        <w:rPr>
          <w:rFonts w:cs="Times New Roman"/>
          <w:sz w:val="24"/>
          <w:szCs w:val="24"/>
        </w:rPr>
        <w:t xml:space="preserve"> </w:t>
      </w:r>
      <w:r w:rsidR="00A95DDA" w:rsidRPr="00EF6D65">
        <w:rPr>
          <w:rFonts w:cs="Times New Roman"/>
          <w:sz w:val="24"/>
          <w:szCs w:val="24"/>
        </w:rPr>
        <w:t xml:space="preserve">Many reviews </w:t>
      </w:r>
      <w:r w:rsidR="00A95DDA">
        <w:rPr>
          <w:rFonts w:cs="Times New Roman"/>
          <w:sz w:val="24"/>
          <w:szCs w:val="24"/>
        </w:rPr>
        <w:t>have been published concerning this rearrangement,</w:t>
      </w:r>
      <w:r w:rsidR="00A95DDA">
        <w:rPr>
          <w:rFonts w:cs="Times New Roman"/>
          <w:sz w:val="24"/>
          <w:szCs w:val="24"/>
        </w:rPr>
        <w:fldChar w:fldCharType="begin" w:fldLock="1"/>
      </w:r>
      <w:r w:rsidR="00F168DA">
        <w:rPr>
          <w:rFonts w:cs="Times New Roman"/>
          <w:sz w:val="24"/>
          <w:szCs w:val="24"/>
        </w:rPr>
        <w:instrText>ADDIN CSL_CITATION { "citationItems" : [ { "id" : "ITEM-1", "itemData" : { "DOI" : "10.1016/B978-0-08-097742-3.00325-6", "abstract" : "A review.  The Wolff rearrangement reaction and their mechanism, stereochem., synthetic uses and its applications were reviewed. [on SciFinder(R)]", "author" : [ { "dropping-particle" : "", "family" : "Candeias", "given" : "N R", "non-dropping-particle" : "", "parse-names" : false, "suffix" : "" }, { "dropping-particle" : "", "family" : "Trindade", "given" : "A F", "non-dropping-particle" : "", "parse-names" : false, "suffix" : "" }, { "dropping-particle" : "", "family" : "Gois", "given" : "P M P", "non-dropping-particle" : "", "parse-names" : false, "suffix" : "" }, { "dropping-particle" : "", "family" : "Afonso", "given" : "C A M", "non-dropping-particle" : "", "parse-names" : false, "suffix" : "" } ], "container-title" : "Compr. Org. Synth. (2nd Ed.)", "id" : "ITEM-1", "issued" : { "date-parts" : [ [ "2014" ] ] }, "note" : "CAPLUS AN 2015:114761(Conference; General Review)", "page" : "944-991", "publisher" : "Elsevier B.V.", "title" : "The Wolff Rearrangement.", "type" : "paper-conference", "volume" : "3" }, "uris" : [ "http://www.mendeley.com/documents/?uuid=305b5185-5630-49a9-87e5-6367a627b580" ] }, { "id" : "ITEM-2", "itemData" : { "abstract" : "A review is given on the conversion of \u03b1-diazo ketones into ketenes. [on SciFinder(R)]", "author" : [ { "dropping-particle" : "", "family" : "Kumar", "given" : "Raju Ranjith", "non-dropping-particle" : "", "parse-names" : false, "suffix" : "" }, { "dropping-particle" : "", "family" : "Balasubramanian", "given" : "Marudai.", "non-dropping-particle" : "", "parse-names" : false, "suffix" : "" } ], "container-title" : "Name React. Homol.", "id" : "ITEM-2", "issue" : "Pt. 2", "issued" : { "date-parts" : [ [ "2009" ] ] }, "note" : "CAPLUS AN 2009:1383958(Conference; General Review)", "page" : "257-273", "publisher" : "John Wiley &amp; Sons, Inc.", "title" : "Wolff rearrangement.", "type" : "paper-conference" }, "uris" : [ "http://www.mendeley.com/documents/?uuid=f3ff88bb-1623-465b-9123-11e2d15381de" ] }, { "id" : "ITEM-3", "itemData" : { "ISSN" : "0044-8249", "abstract" : "A review on the title subject is given with 259 refs. [on SciFinder(R)]", "author" : [ { "dropping-particle" : "", "family" : "Meier", "given" : "Herbert", "non-dropping-particle" : "", "parse-names" : false, "suffix" : "" }, { "dropping-particle" : "", "family" : "Zeller", "given" : "Klaus P", "non-dropping-particle" : "", "parse-names" : false, "suffix" : "" } ], "container-title" : "Angewandte Chemie", "id" : "ITEM-3", "issue" : "2", "issued" : { "date-parts" : [ [ "1975" ] ] }, "note" : "CAPLUS AN 1975:111093(Journal; General Review)", "page" : "52-63", "title" : "Wolff rearrangement of \u03b1-diazo carbonyl compounds.", "type" : "article-journal", "volume" : "87" }, "uris" : [ "http://www.mendeley.com/documents/?uuid=79be96a9-ab09-406d-bff9-0e4fea0b2064" ] }, { "id" : "ITEM-4", "itemData" : { "ISSN" : "0042-1308", "abstract" : "A review with 243 references through part of 1965 dealing with the Wolff rearrangement: its mechanism, stereochemistry, synthetic uses and reactions that may compete with it (hydride and alkyl rearrangements, di- and trimerization, ketazine formation, oxo carbene intermediate formation, intramol. addn. of oxo carbenes to the double bond).  On the basis of existing data the proposed overall mechanism appears to be correct. [on SciFinder(R)]", "author" : [ { "dropping-particle" : "", "family" : "Rodina", "given" : "L L", "non-dropping-particle" : "", "parse-names" : false, "suffix" : "" }, { "dropping-particle" : "", "family" : "Korobitsyna", "given" : "I K", "non-dropping-particle" : "", "parse-names" : false, "suffix" : "" } ], "container-title" : "Uspekhi Khimii", "id" : "ITEM-4", "issue" : "4", "issued" : { "date-parts" : [ [ "1967" ] ] }, "note" : "CAPLUS AN 1967:516250(Journal; General Review)", "page" : "611-635", "title" : "Wolff rearrangement.", "type" : "article-journal", "volume" : "36" }, "uris" : [ "http://www.mendeley.com/documents/?uuid=16b83983-cb13-41a1-a9ee-ef4bcca8d146" ] } ], "mendeley" : { "formattedCitation" : "&lt;sup&gt;[119\u2013122]&lt;/sup&gt;", "plainTextFormattedCitation" : "[119\u2013122]", "previouslyFormattedCitation" : "&lt;sup&gt;[119\u2013122]&lt;/sup&gt;" }, "properties" : { "noteIndex" : 0 }, "schema" : "https://github.com/citation-style-language/schema/raw/master/csl-citation.json" }</w:instrText>
      </w:r>
      <w:r w:rsidR="00A95DDA">
        <w:rPr>
          <w:rFonts w:cs="Times New Roman"/>
          <w:sz w:val="24"/>
          <w:szCs w:val="24"/>
        </w:rPr>
        <w:fldChar w:fldCharType="separate"/>
      </w:r>
      <w:r w:rsidR="0055300D" w:rsidRPr="0055300D">
        <w:rPr>
          <w:rFonts w:cs="Times New Roman"/>
          <w:noProof/>
          <w:sz w:val="24"/>
          <w:szCs w:val="24"/>
          <w:vertAlign w:val="superscript"/>
        </w:rPr>
        <w:t>[119–122]</w:t>
      </w:r>
      <w:r w:rsidR="00A95DDA">
        <w:rPr>
          <w:rFonts w:cs="Times New Roman"/>
          <w:sz w:val="24"/>
          <w:szCs w:val="24"/>
        </w:rPr>
        <w:fldChar w:fldCharType="end"/>
      </w:r>
      <w:r w:rsidR="00A95DDA">
        <w:rPr>
          <w:rFonts w:cs="Times New Roman"/>
          <w:sz w:val="24"/>
          <w:szCs w:val="24"/>
        </w:rPr>
        <w:t xml:space="preserve"> the most comprehensive of which is a 100 year overview by Kirmse.</w:t>
      </w:r>
      <w:r w:rsidR="00A95DDA">
        <w:rPr>
          <w:rFonts w:cs="Times New Roman"/>
          <w:sz w:val="24"/>
          <w:szCs w:val="24"/>
        </w:rPr>
        <w:fldChar w:fldCharType="begin" w:fldLock="1"/>
      </w:r>
      <w:r w:rsidR="00F168DA">
        <w:rPr>
          <w:rFonts w:cs="Times New Roman"/>
          <w:sz w:val="24"/>
          <w:szCs w:val="24"/>
        </w:rPr>
        <w:instrText>ADDIN CSL_CITATION { "citationItems" : [ { "id" : "ITEM-1", "itemData" : { "DOI" : "10.1002/1099-0690(200207)2002:14&lt;2193::AID-EJOC2193&gt;3.0.CO;2-D", "ISSN" : "1434-193X", "abstract" : "A review.  The conversion of \u03b1-diazo ketones to ketenes, and products derived therefrom, was discovered by Wolff in 1902.  Major applications of the Wolff rearrangement, such as the Arndt-Eistert reaction (homologation of carboxylic acids) and the ring contraction of cyclic ketones, have been with us for some while.  Nevertheless, substantial progress has been made recently.  The reaction mechanism has been explored by means of matrix isolation, time-resolved spectroscopy, and computation.  Full retention of configuration of the migrating group has been established by using enantioselective chromatog.  The Arndt-Eistert reaction has witnessed a renaissance in the field of natural products, in particular \u03b2-amino acids and \u03b2-peptides.  Ring-contracting Wolff rearrangements and ketene cycloaddns. have been applied in syntheses of increasingly complex, biol. active target mols.  These accomplishments, as well as unsolved problems, are addressed. [on SciFinder(R)]", "author" : [ { "dropping-particle" : "", "family" : "Kirmse", "given" : "Wolfgang.", "non-dropping-particle" : "", "parse-names" : false, "suffix" : "" } ], "container-title" : "European Journal of Organic Chemistry", "id" : "ITEM-1", "issue" : "14", "issued" : { "date-parts" : [ [ "2002" ] ] }, "note" : "CAPLUS AN 2002:550651(Journal; General Review)", "page" : "2193-2256", "publisher" : "Wiley-VCH Verlag GmbH", "title" : "100 years of the Wolff rearrangement.", "type" : "article-journal" }, "uris" : [ "http://www.mendeley.com/documents/?uuid=fe8a23cb-cc91-42ab-8cf0-c6a56092e2b8" ] } ], "mendeley" : { "formattedCitation" : "&lt;sup&gt;[123]&lt;/sup&gt;", "plainTextFormattedCitation" : "[123]", "previouslyFormattedCitation" : "&lt;sup&gt;[123]&lt;/sup&gt;" }, "properties" : { "noteIndex" : 0 }, "schema" : "https://github.com/citation-style-language/schema/raw/master/csl-citation.json" }</w:instrText>
      </w:r>
      <w:r w:rsidR="00A95DDA">
        <w:rPr>
          <w:rFonts w:cs="Times New Roman"/>
          <w:sz w:val="24"/>
          <w:szCs w:val="24"/>
        </w:rPr>
        <w:fldChar w:fldCharType="separate"/>
      </w:r>
      <w:r w:rsidR="0055300D" w:rsidRPr="0055300D">
        <w:rPr>
          <w:rFonts w:cs="Times New Roman"/>
          <w:noProof/>
          <w:sz w:val="24"/>
          <w:szCs w:val="24"/>
          <w:vertAlign w:val="superscript"/>
        </w:rPr>
        <w:t>[123]</w:t>
      </w:r>
      <w:r w:rsidR="00A95DDA">
        <w:rPr>
          <w:rFonts w:cs="Times New Roman"/>
          <w:sz w:val="24"/>
          <w:szCs w:val="24"/>
        </w:rPr>
        <w:fldChar w:fldCharType="end"/>
      </w:r>
      <w:r w:rsidR="00A95DDA">
        <w:rPr>
          <w:rFonts w:cs="Times New Roman"/>
          <w:sz w:val="24"/>
          <w:szCs w:val="24"/>
        </w:rPr>
        <w:t xml:space="preserve"> It is a 1,2-rearrangement of </w:t>
      </w:r>
      <w:r w:rsidR="009C452D">
        <w:rPr>
          <w:rFonts w:cs="Times New Roman"/>
          <w:sz w:val="24"/>
          <w:szCs w:val="24"/>
        </w:rPr>
        <w:t>diazoketone</w:t>
      </w:r>
      <w:r w:rsidR="00A95DDA">
        <w:rPr>
          <w:rFonts w:cs="Times New Roman"/>
          <w:sz w:val="24"/>
          <w:szCs w:val="24"/>
        </w:rPr>
        <w:t>s, initiated by the loss of nitrogen, to form a ketene which may undergo further reactions with nucleophiles or cycloadditions to unsaturated systems (</w:t>
      </w:r>
      <w:r w:rsidR="00A95DDA" w:rsidRPr="00EF6D65">
        <w:rPr>
          <w:rFonts w:cs="Times New Roman"/>
          <w:b/>
          <w:sz w:val="24"/>
          <w:szCs w:val="24"/>
        </w:rPr>
        <w:t>Scheme</w:t>
      </w:r>
      <w:r w:rsidR="0096319E">
        <w:rPr>
          <w:rFonts w:cs="Times New Roman"/>
          <w:b/>
          <w:sz w:val="24"/>
          <w:szCs w:val="24"/>
        </w:rPr>
        <w:t xml:space="preserve"> 1.4</w:t>
      </w:r>
      <w:r w:rsidR="00451339">
        <w:rPr>
          <w:rFonts w:cs="Times New Roman"/>
          <w:b/>
          <w:sz w:val="24"/>
          <w:szCs w:val="24"/>
        </w:rPr>
        <w:t>1</w:t>
      </w:r>
      <w:r w:rsidR="00A95DDA">
        <w:rPr>
          <w:rFonts w:cs="Times New Roman"/>
          <w:sz w:val="24"/>
          <w:szCs w:val="24"/>
        </w:rPr>
        <w:t>).</w:t>
      </w:r>
    </w:p>
    <w:p w:rsidR="00A95DDA" w:rsidRDefault="009C68EE" w:rsidP="0096319E">
      <w:pPr>
        <w:spacing w:line="360" w:lineRule="auto"/>
        <w:jc w:val="center"/>
      </w:pPr>
      <w:r>
        <w:object w:dxaOrig="7819" w:dyaOrig="2642">
          <v:shape id="_x0000_i1103" type="#_x0000_t75" style="width:390.75pt;height:131.25pt" o:ole="">
            <v:imagedata r:id="rId104" o:title=""/>
          </v:shape>
          <o:OLEObject Type="Embed" ProgID="ChemDraw.Document.6.0" ShapeID="_x0000_i1103" DrawAspect="Content" ObjectID="_1531849611" r:id="rId105"/>
        </w:object>
      </w:r>
    </w:p>
    <w:p w:rsidR="0096319E" w:rsidRDefault="00451339" w:rsidP="0096319E">
      <w:pPr>
        <w:spacing w:line="360" w:lineRule="auto"/>
        <w:jc w:val="center"/>
        <w:rPr>
          <w:b/>
          <w:sz w:val="24"/>
          <w:szCs w:val="24"/>
        </w:rPr>
      </w:pPr>
      <w:r>
        <w:rPr>
          <w:b/>
          <w:sz w:val="24"/>
          <w:szCs w:val="24"/>
        </w:rPr>
        <w:t>Scheme 1.41</w:t>
      </w:r>
    </w:p>
    <w:p w:rsidR="001224E7" w:rsidRDefault="00A95DDA" w:rsidP="001224E7">
      <w:pPr>
        <w:spacing w:line="360" w:lineRule="auto"/>
        <w:jc w:val="both"/>
        <w:rPr>
          <w:rFonts w:ascii="Calibri" w:hAnsi="Calibri" w:cs="Times New Roman"/>
          <w:sz w:val="24"/>
          <w:szCs w:val="24"/>
        </w:rPr>
      </w:pPr>
      <w:r w:rsidRPr="00A95DDA">
        <w:rPr>
          <w:rFonts w:ascii="Calibri" w:hAnsi="Calibri" w:cs="Times New Roman"/>
          <w:sz w:val="24"/>
          <w:szCs w:val="24"/>
        </w:rPr>
        <w:t xml:space="preserve">The </w:t>
      </w:r>
      <w:r>
        <w:rPr>
          <w:rFonts w:ascii="Calibri" w:hAnsi="Calibri" w:cs="Times New Roman"/>
          <w:sz w:val="24"/>
          <w:szCs w:val="24"/>
        </w:rPr>
        <w:t>W</w:t>
      </w:r>
      <w:r w:rsidRPr="00A95DDA">
        <w:rPr>
          <w:rFonts w:ascii="Calibri" w:hAnsi="Calibri" w:cs="Times New Roman"/>
          <w:sz w:val="24"/>
          <w:szCs w:val="24"/>
        </w:rPr>
        <w:t xml:space="preserve">olff rearrangement can be initiated </w:t>
      </w:r>
      <w:r w:rsidR="004E5B0C">
        <w:rPr>
          <w:rFonts w:ascii="Calibri" w:hAnsi="Calibri" w:cs="Times New Roman"/>
          <w:sz w:val="24"/>
          <w:szCs w:val="24"/>
        </w:rPr>
        <w:t xml:space="preserve">by thermolysis, photolysis, or metal ion catalysis. </w:t>
      </w:r>
      <w:r w:rsidR="00E54FC9">
        <w:rPr>
          <w:rFonts w:ascii="Calibri" w:hAnsi="Calibri" w:cs="Times New Roman"/>
          <w:sz w:val="24"/>
          <w:szCs w:val="24"/>
        </w:rPr>
        <w:t xml:space="preserve">The widely accepted mechanism </w:t>
      </w:r>
      <w:r w:rsidR="00E62A10">
        <w:rPr>
          <w:rFonts w:ascii="Calibri" w:hAnsi="Calibri" w:cs="Times New Roman"/>
          <w:sz w:val="24"/>
          <w:szCs w:val="24"/>
        </w:rPr>
        <w:t xml:space="preserve">is viewed as concerted, although much evidence for a stepwise mechanism </w:t>
      </w:r>
      <w:r w:rsidR="00E62A10" w:rsidRPr="00FF5CDF">
        <w:rPr>
          <w:rFonts w:ascii="Calibri" w:hAnsi="Calibri" w:cs="Times New Roman"/>
          <w:i/>
          <w:sz w:val="24"/>
          <w:szCs w:val="24"/>
        </w:rPr>
        <w:t>via</w:t>
      </w:r>
      <w:r w:rsidR="00E62A10">
        <w:rPr>
          <w:rFonts w:ascii="Calibri" w:hAnsi="Calibri" w:cs="Times New Roman"/>
          <w:sz w:val="24"/>
          <w:szCs w:val="24"/>
        </w:rPr>
        <w:t xml:space="preserve"> formation of reactive carbonylcarbenes has been derived from various matrix-isolation studies and low-temperature time-resolved spectroscopy.</w:t>
      </w:r>
      <w:r w:rsidR="00E62A10">
        <w:rPr>
          <w:rFonts w:ascii="Calibri" w:hAnsi="Calibri" w:cs="Times New Roman"/>
          <w:sz w:val="24"/>
          <w:szCs w:val="24"/>
        </w:rPr>
        <w:fldChar w:fldCharType="begin" w:fldLock="1"/>
      </w:r>
      <w:r w:rsidR="00F168DA">
        <w:rPr>
          <w:rFonts w:ascii="Calibri" w:hAnsi="Calibri" w:cs="Times New Roman"/>
          <w:sz w:val="24"/>
          <w:szCs w:val="24"/>
        </w:rPr>
        <w:instrText>ADDIN CSL_CITATION { "citationItems" : [ { "id" : "ITEM-1", "itemData" : { "DOI" : "10.1021/JA962672O", "ISSN" : "0002-7863", "abstract" : "Dicarbalkoxyketenes (RO2C)2C:C:O (8; R = Me, Et) are obtained by photolysis of diazo esters RO2CC(:O)C(:N2)CO2R (7) in cryogenic matrixes or by FVT of 7 followed by matrix isolation.  The photochem. Wolff rearrangement of diazomalonates (RO2C)2C:N2 1 in Ar matrix at temps. as low as 6.5 K produces alkoxy(alkoxycarbonyl)ketenes (RO2C)(RO)C:C:O 3, also obtained by FVT of 1.  Photolysis of 1 in CO matrix at \u22656.5 K produces the dicarbalkoxyketenes 8.  Ketenes 3, 8, and dipivaloylketene react with pyridine above 40 K to produce ketene-pyridine ylides. [on SciFinder(R)]", "author" : [ { "dropping-particle" : "", "family" : "Visser", "given" : "Peter", "non-dropping-particle" : "", "parse-names" : false, "suffix" : "" }, { "dropping-particle" : "", "family" : "Zuhse", "given" : "Ralf", "non-dropping-particle" : "", "parse-names" : false, "suffix" : "" }, { "dropping-particle" : "", "family" : "Wong", "given" : "Ming Wah", "non-dropping-particle" : "", "parse-names" : false, "suffix" : "" }, { "dropping-particle" : "", "family" : "Wentrup", "given" : "Curt.", "non-dropping-particle" : "", "parse-names" : false, "suffix" : "" } ], "container-title" : "Journal of the American Chemical Society", "id" : "ITEM-1", "issue" : "50", "issued" : { "date-parts" : [ [ "1996" ] ] }, "note" : "CAPLUS AN 1996:710377(Journal)", "page" : "12598-12602", "publisher" : "American Chemical Society", "title" : "Reactivity of Carbenes and Ketenes in Low-Temperature Matrixes. Carbene CO Trapping, Wolff Rearrangement, and Ketene-Pyridine Ylide Observation.", "type" : "article-journal", "volume" : "118" }, "uris" : [ "http://www.mendeley.com/documents/?uuid=e4a21897-bf13-46ce-93ba-4bf8f1c1b446" ] }, { "id" : "ITEM-2", "itemData" : { "DOI" : "10.1021/jp108690n", "ISSN" : "1089-5639", "abstract" : "The photochem. of two simple acyclic diazo carbonyl compds., azibenzil and diazoacetone, were studied using the tools of ultrafast time-resolved spectroscopy.  In the former case, UV-vis detection allows observation of an absorption band of singlet benzoylphenylcarbene, decaying with a 740 \u00b1 150 ps time-const. in acetonitrile.  IR detection shows that the ketene product of Wolff rearrangement (\u223c2100 cm-1) is formed by two parallel pathways: a stepwise mechanism with carbene intermediacy with a slow rise time-const. of 660 \u00b1 100 ps, and directly in the diazo excited state as confirmed by the immediate formation of an IR band of a nascent hot ketene species.  Photolysis (270 nm) of diazoacetone in chloroform leads mainly to the ketene species through a concerted process, consistent with the predominance of the syn conformation in the diazoacetone electronic ground state and a zero quantum yield of the internal conversion process. [on SciFinder(R)]", "author" : [ { "dropping-particle" : "", "family" : "Burdzinski", "given" : "Gotard", "non-dropping-particle" : "", "parse-names" : false, "suffix" : "" }, { "dropping-particle" : "", "family" : "Zhang", "given" : "Yunlong", "non-dropping-particle" : "", "parse-names" : false, "suffix" : "" }, { "dropping-particle" : "", "family" : "Wang", "given" : "Jin", "non-dropping-particle" : "", "parse-names" : false, "suffix" : "" }, { "dropping-particle" : "", "family" : "Platz", "given" : "Matthew S", "non-dropping-particle" : "", "parse-names" : false, "suffix" : "" } ], "container-title" : "Journal of Physical Chemistry A", "id" : "ITEM-2", "issue" : "50", "issued" : { "date-parts" : [ [ "2010" ] ] }, "note" : "CAPLUS AN 2010:1497547(Journal)", "page" : "13065-13068", "publisher" : "American Chemical Society", "title" : "Concerted Wolff Rearrangement in Two Simple Acyclic Diazocarbonyl Compounds.", "type" : "article-journal", "volume" : "114" }, "uris" : [ "http://www.mendeley.com/documents/?uuid=b3f90820-a3f1-482e-944d-8df13b410c88" ] }, { "id" : "ITEM-3", "itemData" : { "DOI" : "10.1021/jp803820c", "ISSN" : "1089-5639", "abstract" : "The photochem. of Diazo Meldrum's acid (DM) was investigated by fs time-resolved UV-vis and IR spectroscopic methods.  UV (266 nm) excitation of DM pumps the mol. to the S5 and S7 excited states.  After fast internal conversion (IC), the S2 state is formed, which will undergo Wolff rearrangement to form vibrationally excited ketene, which relaxes in 9 ps.  The S2 state will also relax to the S1 state, which isomerizes to diazirine, fragments to form carbene, and relaxes further to the ground state of DM.  The singlet carbene absorbs at 305 nm, is formed within 300 fs of the laser pulse, and has a lifetime of 2.3 ps in acetonitrile.  The lifetime of DM in the S2 and S1 states is less than 300 fs.  The quantum efficiency of DM decompn. is \u223c50% in chloroform with 266 nm excitation. [on SciFinder(R)]", "author" : [ { "dropping-particle" : "", "family" : "Burdzinski", "given" : "Gotard", "non-dropping-particle" : "", "parse-names" : false, "suffix" : "" }, { "dropping-particle" : "", "family" : "Rehault", "given" : "Julien", "non-dropping-particle" : "", "parse-names" : false, "suffix" : "" }, { "dropping-particle" : "", "family" : "Wang", "given" : "Jin", "non-dropping-particle" : "", "parse-names" : false, "suffix" : "" }, { "dropping-particle" : "", "family" : "Platz", "given" : "Matthew S", "non-dropping-particle" : "", "parse-names" : false, "suffix" : "" } ], "container-title" : "Journal of Physical Chemistry A", "id" : "ITEM-3", "issue" : "41", "issued" : { "date-parts" : [ [ "2008" ] ] }, "note" : "CAPLUS AN 2008:1161918(Journal)", "page" : "10108-10112", "publisher" : "American Chemical Society", "title" : "A study of the photochemistry of diazo meldrum's acid by Ultrafast Time-Resolved spectroscopies.", "type" : "article-journal", "volume" : "112" }, "uris" : [ "http://www.mendeley.com/documents/?uuid=36318aba-ada7-44bc-b453-bf368f35598f" ] }, { "id" : "ITEM-4", "itemData" : { "DOI" : "10.1021/ja8002827", "ISSN" : "0002-7863", "abstract" : "The photochem. of two isomeric aryl diazo ketones was investigated by fs time-resolved UV-vis and IR spectroscopies.  Both diazo ketone excited states decomp. in less than 300 fs by multiple pathways.  One pathway involves concerted Wolff rearrangement and nitrogen extrusion, most likely in the syn rotamer.  In the anti rotamer of one isomer, oxygen migration proceeds in concert with nitrogen extrusion to form rearranged keto carbene.  This rotamer excited state also decomps. to form unrearranged carbene, which isomerizes in 5 ps. [on SciFinder(R)]", "author" : [ { "dropping-particle" : "", "family" : "Wang", "given" : "Jin", "non-dropping-particle" : "", "parse-names" : false, "suffix" : "" }, { "dropping-particle" : "", "family" : "Burdzinski", "given" : "Gotard", "non-dropping-particle" : "", "parse-names" : false, "suffix" : "" }, { "dropping-particle" : "", "family" : "Kubicki", "given" : "Jacek", "non-dropping-particle" : "", "parse-names" : false, "suffix" : "" }, { "dropping-particle" : "", "family" : "Gustafson", "given" : "Terry L", "non-dropping-particle" : "", "parse-names" : false, "suffix" : "" }, { "dropping-particle" : "", "family" : "Platz", "given" : "Matthew S", "non-dropping-particle" : "", "parse-names" : false, "suffix" : "" } ], "container-title" : "Journal of the American Chemical Society", "id" : "ITEM-4", "issue" : "16", "issued" : { "date-parts" : [ [ "2008" ] ] }, "note" : "CAPLUS AN 2008:370343(Journal)", "page" : "5418-5419", "publisher" : "American Chemical Society", "title" : "Ultrafast Carbene-Carbene Isomerization.", "type" : "article-journal", "volume" : "130" }, "uris" : [ "http://www.mendeley.com/documents/?uuid=912076f4-a30a-4910-87c6-ab3833e31d1a" ] }, { "id" : "ITEM-5", "itemData" : { "DOI" : "10.1021/JA983278O", "ISSN" : "0002-7863", "abstract" : "To clarify the role of diazocarbonyl excited states in Wolff rearrangement., time-resolved IR (TRIR) spectroscopy has been used to study Me 2-diazo-(2-naphthyl) acetate (I) and the subsequently produced 2-naphthyl(carbomethoxy)carbene (II). TRIR anal. of the growth rate of the ketene rearrangement product following laser excitation of diazoester I demonstrates that in this case ketene is formed almost exclusively from the carbene.  The absence of reaction from the diazoester excited state is likely due to the highly preferred anti relationship between the diazo and carbonyl groups in I.  In addn., the detection of IR bands from both the singlet and triplet states of spin-equilibrated carbene II has allowed a direct exptl. est. of the singlet/triplet energy gap in soln. at ambient temp.  This work represents the first TRIR detection and study of a carbene intermediate and demonstrates the potential value of TRIR spectroscopy in structural and mechanistic aspects of carbene chem. [on SciFinder(R)]", "author" : [ { "dropping-particle" : "", "family" : "Wang", "given" : "Yuhong", "non-dropping-particle" : "", "parse-names" : false, "suffix" : "" }, { "dropping-particle" : "", "family" : "Yuzawa", "given" : "Tetsuro", "non-dropping-particle" : "", "parse-names" : false, "suffix" : "" }, { "dropping-particle" : "", "family" : "Hamaguchi", "given" : "Hiro-o", "non-dropping-particle" : "", "parse-names" : false, "suffix" : "" }, { "dropping-particle" : "", "family" : "Toscano", "given" : "John P", "non-dropping-particle" : "", "parse-names" : false, "suffix" : "" } ], "container-title" : "Journal of the American Chemical Society", "id" : "ITEM-5", "issue" : "12", "issued" : { "date-parts" : [ [ "1999" ] ] }, "note" : "CAPLUS AN 1999:173798(Journal)", "page" : "2875-2882", "publisher" : "American Chemical Society", "title" : "Time-Resolved IR Studies of 2-Naphthyl(carbomethoxy)carbene: Reactivity and Direct Experimental Estimate of the Singlet/Triplet Energy Gap.", "type" : "article-journal", "volume" : "121" }, "uris" : [ "http://www.mendeley.com/documents/?uuid=865fb261-c9d3-491a-9206-1b7afb64e0ce" ] }, { "id" : "ITEM-6", "itemData" : { "DOI" : "10.1021/JA9906406", "ISSN" : "0002-7863", "abstract" : "The question of whether \u03b1-carbonylcarbene intermediates are formed as ketene precursors in the photo-Wolff reaction of \u03b1-diazocarbonyl compds. was addressed by comparing pyridine scavenging of transients generated by laser flash photolysis of benzoyldiazomethane and 1-naphthoyldiazomethane with pyridine scavenging of transients formed by flash photolysis of the corresponding arylhydroxycyclopropenones.  The rate laws for the scavenging process in the two different photoreactions in aq. soln. were found to be exactly the same, and since ketene intermediates are common to both reactions but \u03b1-carbonylcarbenes are not, the transients were thus identified as ketenes.  Formation of these ketene intermediates in the photo-Wolff reaction took place within the duration of the laser pulse (ca. 20 ns), and \u03b1-carbonylcarbene intermediates, if formed at all, must have lifetimes shorter than this. [on SciFinder(R)]", "author" : [ { "dropping-particle" : "", "family" : "Chiang", "given" : "Y", "non-dropping-particle" : "", "parse-names" : false, "suffix" : "" }, { "dropping-particle" : "", "family" : "Kresge", "given" : "A J", "non-dropping-particle" : "", "parse-names" : false, "suffix" : "" }, { "dropping-particle" : "V", "family" : "Popik", "given" : "V", "non-dropping-particle" : "", "parse-names" : false, "suffix" : "" } ], "container-title" : "Journal of the American Chemical Society", "id" : "ITEM-6", "issue" : "25", "issued" : { "date-parts" : [ [ "1999" ] ] }, "note" : "CAPLUS AN 1999:352039(Journal)", "page" : "5930-5932", "publisher" : "American Chemical Society", "title" : "Scavenging of Intermediates Formed in Photolysis of \u03b1-Diazocarbonyl Compounds and Hydroxycyclopropenones. Implication on the Mechanism of the Photo-Wolff Reaction.", "type" : "article-journal", "volume" : "121" }, "uris" : [ "http://www.mendeley.com/documents/?uuid=eeb333ad-fa27-47d1-9f9a-75b74b2ad434" ] } ], "mendeley" : { "formattedCitation" : "&lt;sup&gt;[124\u2013129]&lt;/sup&gt;", "plainTextFormattedCitation" : "[124\u2013129]", "previouslyFormattedCitation" : "&lt;sup&gt;[124\u2013129]&lt;/sup&gt;" }, "properties" : { "noteIndex" : 0 }, "schema" : "https://github.com/citation-style-language/schema/raw/master/csl-citation.json" }</w:instrText>
      </w:r>
      <w:r w:rsidR="00E62A10">
        <w:rPr>
          <w:rFonts w:ascii="Calibri" w:hAnsi="Calibri" w:cs="Times New Roman"/>
          <w:sz w:val="24"/>
          <w:szCs w:val="24"/>
        </w:rPr>
        <w:fldChar w:fldCharType="separate"/>
      </w:r>
      <w:r w:rsidR="0055300D" w:rsidRPr="0055300D">
        <w:rPr>
          <w:rFonts w:ascii="Calibri" w:hAnsi="Calibri" w:cs="Times New Roman"/>
          <w:noProof/>
          <w:sz w:val="24"/>
          <w:szCs w:val="24"/>
          <w:vertAlign w:val="superscript"/>
        </w:rPr>
        <w:t>[124–129]</w:t>
      </w:r>
      <w:r w:rsidR="00E62A10">
        <w:rPr>
          <w:rFonts w:ascii="Calibri" w:hAnsi="Calibri" w:cs="Times New Roman"/>
          <w:sz w:val="24"/>
          <w:szCs w:val="24"/>
        </w:rPr>
        <w:fldChar w:fldCharType="end"/>
      </w:r>
    </w:p>
    <w:p w:rsidR="004B038E" w:rsidRDefault="004B038E" w:rsidP="001224E7">
      <w:pPr>
        <w:spacing w:line="360" w:lineRule="auto"/>
        <w:jc w:val="both"/>
        <w:rPr>
          <w:rFonts w:ascii="Calibri" w:hAnsi="Calibri" w:cs="Times New Roman"/>
          <w:sz w:val="24"/>
          <w:szCs w:val="24"/>
        </w:rPr>
      </w:pPr>
      <w:r>
        <w:rPr>
          <w:rFonts w:ascii="Calibri" w:hAnsi="Calibri" w:cs="Times New Roman"/>
          <w:sz w:val="24"/>
          <w:szCs w:val="24"/>
        </w:rPr>
        <w:t>The most common application of the Wolff rearrangement is the Arndt-Eistert s</w:t>
      </w:r>
      <w:r w:rsidR="00B91D5F">
        <w:rPr>
          <w:rFonts w:ascii="Calibri" w:hAnsi="Calibri" w:cs="Times New Roman"/>
          <w:sz w:val="24"/>
          <w:szCs w:val="24"/>
        </w:rPr>
        <w:t>ynthesis, which is a one-carbon homolgation of carboxylic acids</w:t>
      </w:r>
      <w:r w:rsidR="002313BB">
        <w:rPr>
          <w:rFonts w:ascii="Calibri" w:hAnsi="Calibri" w:cs="Times New Roman"/>
          <w:sz w:val="24"/>
          <w:szCs w:val="24"/>
        </w:rPr>
        <w:t xml:space="preserve"> using diazomethane</w:t>
      </w:r>
      <w:r w:rsidR="00B91D5F">
        <w:rPr>
          <w:rFonts w:ascii="Calibri" w:hAnsi="Calibri" w:cs="Times New Roman"/>
          <w:sz w:val="24"/>
          <w:szCs w:val="24"/>
        </w:rPr>
        <w:t>.</w:t>
      </w:r>
      <w:r w:rsidR="00B91D5F">
        <w:rPr>
          <w:rFonts w:ascii="Calibri" w:hAnsi="Calibri" w:cs="Times New Roman"/>
          <w:sz w:val="24"/>
          <w:szCs w:val="24"/>
        </w:rPr>
        <w:fldChar w:fldCharType="begin" w:fldLock="1"/>
      </w:r>
      <w:r w:rsidR="00F168DA">
        <w:rPr>
          <w:rFonts w:ascii="Calibri" w:hAnsi="Calibri" w:cs="Times New Roman"/>
          <w:sz w:val="24"/>
          <w:szCs w:val="24"/>
        </w:rPr>
        <w:instrText>ADDIN CSL_CITATION { "citationItems" : [ { "id" : "ITEM-1", "itemData" : { "ISSN" : "0365-9488", "abstract" : "Acid chlorides in CH2N2 soln. give diazo ketones whose decompn. by H2O, alcs., NH3 or PhNH2 in mild alk. soln. is catalyzed by Pt, Cu or Ag and yields the homologous acid, or its deriv., contg. 1 more C atom than the original.  Thus, 18.6 g. o-O2NC6H4COCl gives 10 g. o-O2NC6H4CONH2; 19 g. \u03b1-C10H7COCl gives 18 g. of the diazo ketone, of which 10 g. yields 6 g. \u03b1-C10H7CH2CO2Et, 5 g. yields 4.2 g. \u03b1-C10H7CH2CONH2, 3 g. yields 1.4 g. \u03b1-C10H7CH2CO2H and 3 g. yields 100% \u03b1-C10H7CH2CONHPh.  Veratroyl chloride (16 g.) gives 4.2 g. homoveratric acid; 30 g. BzCl gives 20 g. PhCH2CONH2 and 14.5 g. gives 8-9 g. PhCH2CONHPh.  Similarly obtained are 2-anthraquinoneacetanilide, m. 267-8\u00b0; 1-Cl deriv., m. 285-6\u00b0; 1-nitro deriv., m. 256\u00b0: the intermediate diazo ketones m. 179\u00b0, 148-50\u00b0 and 200\u00b0, resp.(all uncor.). [on SciFinder(R)]", "author" : [ { "dropping-particle" : "", "family" : "Arndt", "given" : "F", "non-dropping-particle" : "", "parse-names" : false, "suffix" : "" }, { "dropping-particle" : "", "family" : "Eistert", "given" : "B", "non-dropping-particle" : "", "parse-names" : false, "suffix" : "" } ], "container-title" : "Berichte der Deutschen Chemischen Gesellschaft [Abteilung] B: Abhandlungen", "id" : "ITEM-1", "issued" : { "date-parts" : [ [ "1935" ] ] }, "note" : "CAPLUS AN 1935:25649(Journal)", "page" : "200-208", "title" : "A method for conversion of carboxylic acids to higher homologs or their derivatives.", "type" : "article-journal", "volume" : "68B" }, "uris" : [ "http://www.mendeley.com/documents/?uuid=6b87071a-b06d-410e-9483-c68913d7da10" ] } ], "mendeley" : { "formattedCitation" : "&lt;sup&gt;[130]&lt;/sup&gt;", "plainTextFormattedCitation" : "[130]", "previouslyFormattedCitation" : "&lt;sup&gt;[130]&lt;/sup&gt;" }, "properties" : { "noteIndex" : 0 }, "schema" : "https://github.com/citation-style-language/schema/raw/master/csl-citation.json" }</w:instrText>
      </w:r>
      <w:r w:rsidR="00B91D5F">
        <w:rPr>
          <w:rFonts w:ascii="Calibri" w:hAnsi="Calibri" w:cs="Times New Roman"/>
          <w:sz w:val="24"/>
          <w:szCs w:val="24"/>
        </w:rPr>
        <w:fldChar w:fldCharType="separate"/>
      </w:r>
      <w:r w:rsidR="0055300D" w:rsidRPr="0055300D">
        <w:rPr>
          <w:rFonts w:ascii="Calibri" w:hAnsi="Calibri" w:cs="Times New Roman"/>
          <w:noProof/>
          <w:sz w:val="24"/>
          <w:szCs w:val="24"/>
          <w:vertAlign w:val="superscript"/>
        </w:rPr>
        <w:t>[130]</w:t>
      </w:r>
      <w:r w:rsidR="00B91D5F">
        <w:rPr>
          <w:rFonts w:ascii="Calibri" w:hAnsi="Calibri" w:cs="Times New Roman"/>
          <w:sz w:val="24"/>
          <w:szCs w:val="24"/>
        </w:rPr>
        <w:fldChar w:fldCharType="end"/>
      </w:r>
      <w:r w:rsidR="002313BB">
        <w:rPr>
          <w:rFonts w:ascii="Calibri" w:hAnsi="Calibri" w:cs="Times New Roman"/>
          <w:sz w:val="24"/>
          <w:szCs w:val="24"/>
        </w:rPr>
        <w:t xml:space="preserve"> Hundreds of variations on the original paper have been published to date, including the example shown below in </w:t>
      </w:r>
      <w:r w:rsidR="002313BB" w:rsidRPr="002313BB">
        <w:rPr>
          <w:rFonts w:ascii="Calibri" w:hAnsi="Calibri" w:cs="Times New Roman"/>
          <w:b/>
          <w:sz w:val="24"/>
          <w:szCs w:val="24"/>
        </w:rPr>
        <w:t>Scheme</w:t>
      </w:r>
      <w:r w:rsidR="00F92837">
        <w:rPr>
          <w:rFonts w:ascii="Calibri" w:hAnsi="Calibri" w:cs="Times New Roman"/>
          <w:b/>
          <w:sz w:val="24"/>
          <w:szCs w:val="24"/>
        </w:rPr>
        <w:t xml:space="preserve"> 1.4</w:t>
      </w:r>
      <w:r w:rsidR="00451339">
        <w:rPr>
          <w:rFonts w:ascii="Calibri" w:hAnsi="Calibri" w:cs="Times New Roman"/>
          <w:b/>
          <w:sz w:val="24"/>
          <w:szCs w:val="24"/>
        </w:rPr>
        <w:t>2</w:t>
      </w:r>
      <w:r w:rsidR="002313BB">
        <w:rPr>
          <w:rFonts w:ascii="Calibri" w:hAnsi="Calibri" w:cs="Times New Roman"/>
          <w:sz w:val="24"/>
          <w:szCs w:val="24"/>
        </w:rPr>
        <w:t>.</w:t>
      </w:r>
      <w:r w:rsidR="005306D1">
        <w:rPr>
          <w:rFonts w:ascii="Calibri" w:hAnsi="Calibri" w:cs="Times New Roman"/>
          <w:sz w:val="24"/>
          <w:szCs w:val="24"/>
        </w:rPr>
        <w:fldChar w:fldCharType="begin" w:fldLock="1"/>
      </w:r>
      <w:r w:rsidR="00F168DA">
        <w:rPr>
          <w:rFonts w:ascii="Calibri" w:hAnsi="Calibri" w:cs="Times New Roman"/>
          <w:sz w:val="24"/>
          <w:szCs w:val="24"/>
        </w:rPr>
        <w:instrText>ADDIN CSL_CITATION { "citationItems" : [ { "id" : "ITEM-1", "itemData" : { "DOI" : "10.1016/j.tetlet.2004.12.095", "ISSN" : "0040-4039", "abstract" : "During the past decade, the chem. of BINAP, BINAM, and BINOL derivs. experienced an important development due to multiple applications in catalysis, metallo-supramol. chem. and material science.  Consequently, the need to develop functionalized binaphthyl derivs. became crucial.  In this context, 2,2'-dimethoxy-1,1'-binaphthyl-3,3'-diacetic acid species became target compds.  The latter were efficiently prepd. using a modified Arndt-Eistert reaction that afforded the expected chiral diacid in good yield.  Compared to a method described earlier, this strategy allowed the prepn. of the target homologated diacid chloride in a very efficient manner, limiting wastes and tedious column chromatogs. [on SciFinder(R)]", "author" : [ { "dropping-particle" : "", "family" : "Zrig", "given" : "Samia", "non-dropping-particle" : "", "parse-names" : false, "suffix" : "" }, { "dropping-particle" : "", "family" : "Andrioletti", "given" : "Bruno", "non-dropping-particle" : "", "parse-names" : false, "suffix" : "" }, { "dropping-particle" : "", "family" : "Rose", "given" : "Eric", "non-dropping-particle" : "", "parse-names" : false, "suffix" : "" }, { "dropping-particle" : "", "family" : "Colin", "given" : "Julie.", "non-dropping-particle" : "", "parse-names" : false, "suffix" : "" } ], "container-title" : "Tetrahedron Letters", "id" : "ITEM-1", "issue" : "7", "issued" : { "date-parts" : [ [ "2005" ] ] }, "note" : "CAPLUS AN 2005:74511(Journal)", "page" : "1103-1105", "publisher" : "Elsevier B.V.", "title" : "Improved synthesis of 2,2'-dimethoxy-1,1'-binaphthyl-3,3'-diacetic acid derivatives.", "type" : "article-journal", "volume" : "46" }, "uris" : [ "http://www.mendeley.com/documents/?uuid=89ddd842-0b74-4655-ac1b-14265b0a98aa" ] } ], "mendeley" : { "formattedCitation" : "&lt;sup&gt;[131]&lt;/sup&gt;", "plainTextFormattedCitation" : "[131]", "previouslyFormattedCitation" : "&lt;sup&gt;[131]&lt;/sup&gt;" }, "properties" : { "noteIndex" : 0 }, "schema" : "https://github.com/citation-style-language/schema/raw/master/csl-citation.json" }</w:instrText>
      </w:r>
      <w:r w:rsidR="005306D1">
        <w:rPr>
          <w:rFonts w:ascii="Calibri" w:hAnsi="Calibri" w:cs="Times New Roman"/>
          <w:sz w:val="24"/>
          <w:szCs w:val="24"/>
        </w:rPr>
        <w:fldChar w:fldCharType="separate"/>
      </w:r>
      <w:r w:rsidR="0055300D" w:rsidRPr="0055300D">
        <w:rPr>
          <w:rFonts w:ascii="Calibri" w:hAnsi="Calibri" w:cs="Times New Roman"/>
          <w:noProof/>
          <w:sz w:val="24"/>
          <w:szCs w:val="24"/>
          <w:vertAlign w:val="superscript"/>
        </w:rPr>
        <w:t>[131]</w:t>
      </w:r>
      <w:r w:rsidR="005306D1">
        <w:rPr>
          <w:rFonts w:ascii="Calibri" w:hAnsi="Calibri" w:cs="Times New Roman"/>
          <w:sz w:val="24"/>
          <w:szCs w:val="24"/>
        </w:rPr>
        <w:fldChar w:fldCharType="end"/>
      </w:r>
      <w:r w:rsidR="00BE27F6">
        <w:rPr>
          <w:rFonts w:ascii="Calibri" w:hAnsi="Calibri" w:cs="Times New Roman"/>
          <w:sz w:val="24"/>
          <w:szCs w:val="24"/>
        </w:rPr>
        <w:t xml:space="preserve"> The reaction of </w:t>
      </w:r>
      <w:r w:rsidR="00F92837">
        <w:rPr>
          <w:rFonts w:ascii="Calibri" w:hAnsi="Calibri" w:cs="Times New Roman"/>
          <w:sz w:val="24"/>
          <w:szCs w:val="24"/>
        </w:rPr>
        <w:t xml:space="preserve">a </w:t>
      </w:r>
      <w:r w:rsidR="00BE27F6">
        <w:rPr>
          <w:rFonts w:ascii="Calibri" w:hAnsi="Calibri" w:cs="Times New Roman"/>
          <w:sz w:val="24"/>
          <w:szCs w:val="24"/>
        </w:rPr>
        <w:t>bis(acid chloride) with diazomethane</w:t>
      </w:r>
      <w:r w:rsidR="005306D1">
        <w:rPr>
          <w:rFonts w:ascii="Calibri" w:hAnsi="Calibri" w:cs="Times New Roman"/>
          <w:sz w:val="24"/>
          <w:szCs w:val="24"/>
        </w:rPr>
        <w:t xml:space="preserve"> failed to give reproducible results. By using (trimethylsilyl)-diazomethane instead, the authors were able to successfully produce diazoketone </w:t>
      </w:r>
      <w:r w:rsidR="0096319E" w:rsidRPr="0096319E">
        <w:rPr>
          <w:rFonts w:ascii="Calibri" w:hAnsi="Calibri" w:cs="Times New Roman"/>
          <w:b/>
          <w:sz w:val="24"/>
          <w:szCs w:val="24"/>
        </w:rPr>
        <w:t>70</w:t>
      </w:r>
      <w:r w:rsidR="005306D1">
        <w:rPr>
          <w:rFonts w:ascii="Calibri" w:hAnsi="Calibri" w:cs="Times New Roman"/>
          <w:sz w:val="24"/>
          <w:szCs w:val="24"/>
        </w:rPr>
        <w:t xml:space="preserve">, which could be converted to diester </w:t>
      </w:r>
      <w:r w:rsidR="0096319E">
        <w:rPr>
          <w:rFonts w:ascii="Calibri" w:hAnsi="Calibri" w:cs="Times New Roman"/>
          <w:b/>
          <w:sz w:val="24"/>
          <w:szCs w:val="24"/>
        </w:rPr>
        <w:t>71</w:t>
      </w:r>
      <w:r w:rsidR="005306D1">
        <w:rPr>
          <w:rFonts w:ascii="Calibri" w:hAnsi="Calibri" w:cs="Times New Roman"/>
          <w:sz w:val="24"/>
          <w:szCs w:val="24"/>
        </w:rPr>
        <w:t xml:space="preserve"> in the presence of silver benzoate in ethanol.</w:t>
      </w:r>
      <w:r w:rsidR="00BE27F6">
        <w:rPr>
          <w:rFonts w:ascii="Calibri" w:hAnsi="Calibri" w:cs="Times New Roman"/>
          <w:sz w:val="24"/>
          <w:szCs w:val="24"/>
        </w:rPr>
        <w:t xml:space="preserve"> </w:t>
      </w:r>
    </w:p>
    <w:p w:rsidR="00BE27F6" w:rsidRPr="00A95DDA" w:rsidRDefault="00BE27F6" w:rsidP="001224E7">
      <w:pPr>
        <w:spacing w:line="360" w:lineRule="auto"/>
        <w:jc w:val="both"/>
        <w:rPr>
          <w:rFonts w:ascii="Calibri" w:hAnsi="Calibri" w:cs="Times New Roman"/>
          <w:sz w:val="24"/>
          <w:szCs w:val="24"/>
        </w:rPr>
      </w:pPr>
    </w:p>
    <w:p w:rsidR="00EF6D65" w:rsidRDefault="00EF6D65" w:rsidP="001224E7">
      <w:pPr>
        <w:spacing w:line="360" w:lineRule="auto"/>
        <w:jc w:val="both"/>
        <w:rPr>
          <w:rFonts w:ascii="Times New Roman" w:hAnsi="Times New Roman" w:cs="Times New Roman"/>
          <w:b/>
          <w:sz w:val="24"/>
          <w:szCs w:val="24"/>
        </w:rPr>
      </w:pPr>
    </w:p>
    <w:p w:rsidR="00A95EE2" w:rsidRDefault="00A95EE2">
      <w:pPr>
        <w:rPr>
          <w:sz w:val="24"/>
          <w:szCs w:val="24"/>
        </w:rPr>
      </w:pPr>
    </w:p>
    <w:p w:rsidR="00A95EE2" w:rsidRDefault="004D7E19" w:rsidP="0096319E">
      <w:pPr>
        <w:jc w:val="center"/>
      </w:pPr>
      <w:r>
        <w:object w:dxaOrig="6251" w:dyaOrig="4838">
          <v:shape id="_x0000_i1065" type="#_x0000_t75" style="width:313.5pt;height:243pt" o:ole="">
            <v:imagedata r:id="rId106" o:title=""/>
          </v:shape>
          <o:OLEObject Type="Embed" ProgID="ChemDraw.Document.6.0" ShapeID="_x0000_i1065" DrawAspect="Content" ObjectID="_1531849612" r:id="rId107"/>
        </w:object>
      </w:r>
    </w:p>
    <w:p w:rsidR="0096319E" w:rsidRDefault="0096319E" w:rsidP="0096319E">
      <w:pPr>
        <w:jc w:val="center"/>
        <w:rPr>
          <w:b/>
          <w:sz w:val="24"/>
          <w:szCs w:val="24"/>
        </w:rPr>
      </w:pPr>
      <w:r w:rsidRPr="0096319E">
        <w:rPr>
          <w:b/>
          <w:sz w:val="24"/>
          <w:szCs w:val="24"/>
        </w:rPr>
        <w:t>Scheme 1.4</w:t>
      </w:r>
      <w:r w:rsidR="00451339">
        <w:rPr>
          <w:b/>
          <w:sz w:val="24"/>
          <w:szCs w:val="24"/>
        </w:rPr>
        <w:t>2</w:t>
      </w:r>
    </w:p>
    <w:p w:rsidR="0096319E" w:rsidRDefault="0096319E" w:rsidP="0096319E">
      <w:pPr>
        <w:jc w:val="center"/>
        <w:rPr>
          <w:b/>
          <w:sz w:val="24"/>
          <w:szCs w:val="24"/>
        </w:rPr>
      </w:pPr>
    </w:p>
    <w:p w:rsidR="00787373" w:rsidRDefault="00787373" w:rsidP="005F3FC6">
      <w:pPr>
        <w:spacing w:line="360" w:lineRule="auto"/>
        <w:jc w:val="both"/>
        <w:rPr>
          <w:sz w:val="24"/>
          <w:szCs w:val="24"/>
        </w:rPr>
      </w:pPr>
      <w:r>
        <w:rPr>
          <w:sz w:val="24"/>
          <w:szCs w:val="24"/>
        </w:rPr>
        <w:t>The Wolff rearrangement also has applications in natural product synthesis.</w:t>
      </w:r>
      <w:r w:rsidR="005F3FC6">
        <w:rPr>
          <w:sz w:val="24"/>
          <w:szCs w:val="24"/>
        </w:rPr>
        <w:t xml:space="preserve"> </w:t>
      </w:r>
      <w:r w:rsidR="00922FB7">
        <w:rPr>
          <w:sz w:val="24"/>
          <w:szCs w:val="24"/>
        </w:rPr>
        <w:t xml:space="preserve">Thommen </w:t>
      </w:r>
      <w:r w:rsidR="00922FB7" w:rsidRPr="00922FB7">
        <w:rPr>
          <w:i/>
          <w:sz w:val="24"/>
          <w:szCs w:val="24"/>
        </w:rPr>
        <w:t>et al</w:t>
      </w:r>
      <w:r w:rsidR="00922FB7">
        <w:rPr>
          <w:sz w:val="24"/>
          <w:szCs w:val="24"/>
        </w:rPr>
        <w:t xml:space="preserve">. reported the use of a Wolff </w:t>
      </w:r>
      <w:r w:rsidR="004D7E19">
        <w:rPr>
          <w:sz w:val="24"/>
          <w:szCs w:val="24"/>
        </w:rPr>
        <w:t xml:space="preserve">rearrangement to give </w:t>
      </w:r>
      <w:r w:rsidR="00922FB7">
        <w:rPr>
          <w:sz w:val="24"/>
          <w:szCs w:val="24"/>
        </w:rPr>
        <w:t xml:space="preserve">ring contraction as a </w:t>
      </w:r>
      <w:r w:rsidR="009C5BE5">
        <w:rPr>
          <w:sz w:val="24"/>
          <w:szCs w:val="24"/>
        </w:rPr>
        <w:t>crucial</w:t>
      </w:r>
      <w:r w:rsidR="004D7E19">
        <w:rPr>
          <w:sz w:val="24"/>
          <w:szCs w:val="24"/>
        </w:rPr>
        <w:t xml:space="preserve"> step in the</w:t>
      </w:r>
      <w:r w:rsidR="00922FB7">
        <w:rPr>
          <w:sz w:val="24"/>
          <w:szCs w:val="24"/>
        </w:rPr>
        <w:t xml:space="preserve"> total syntheses of taiwaniaquinone F</w:t>
      </w:r>
      <w:r w:rsidR="0096319E">
        <w:rPr>
          <w:sz w:val="24"/>
          <w:szCs w:val="24"/>
        </w:rPr>
        <w:t xml:space="preserve"> </w:t>
      </w:r>
      <w:r w:rsidR="0096319E" w:rsidRPr="0096319E">
        <w:rPr>
          <w:b/>
          <w:sz w:val="24"/>
          <w:szCs w:val="24"/>
        </w:rPr>
        <w:t>7</w:t>
      </w:r>
      <w:r w:rsidR="0096319E">
        <w:rPr>
          <w:b/>
          <w:sz w:val="24"/>
          <w:szCs w:val="24"/>
        </w:rPr>
        <w:t>3</w:t>
      </w:r>
      <w:r w:rsidR="00922FB7">
        <w:rPr>
          <w:sz w:val="24"/>
          <w:szCs w:val="24"/>
        </w:rPr>
        <w:t xml:space="preserve"> and taiwaniaquinol A</w:t>
      </w:r>
      <w:r w:rsidR="0096319E">
        <w:rPr>
          <w:sz w:val="24"/>
          <w:szCs w:val="24"/>
        </w:rPr>
        <w:t xml:space="preserve"> </w:t>
      </w:r>
      <w:r w:rsidR="0096319E" w:rsidRPr="0096319E">
        <w:rPr>
          <w:b/>
          <w:sz w:val="24"/>
          <w:szCs w:val="24"/>
        </w:rPr>
        <w:t>74</w:t>
      </w:r>
      <w:r w:rsidR="00922FB7">
        <w:rPr>
          <w:sz w:val="24"/>
          <w:szCs w:val="24"/>
        </w:rPr>
        <w:t>.</w:t>
      </w:r>
      <w:r w:rsidR="00922FB7">
        <w:rPr>
          <w:sz w:val="24"/>
          <w:szCs w:val="24"/>
        </w:rPr>
        <w:fldChar w:fldCharType="begin" w:fldLock="1"/>
      </w:r>
      <w:r w:rsidR="00F168DA">
        <w:rPr>
          <w:sz w:val="24"/>
          <w:szCs w:val="24"/>
        </w:rPr>
        <w:instrText>ADDIN CSL_CITATION { "citationItems" : [ { "id" : "ITEM-1", "itemData" : { "DOI" : "10.1021/ol4003652", "ISSN" : "1523-7052", "abstract" : "A protecting-group-free route to (-)-taiwaniaquinone F (I) based on a ring contraction and subsequent arom. oxidn. of a sugiol deriv. is reported.  In addn., the first synthesis of (+)-taiwaniaquinol A (II) is reported via short time exposure of (-)-taiwaniaquinone F to sunlight triggering a remote C-H functionalization.  The hypothesis that the biogenesis of some methylenedioxy bridged natural products could proceed via similar nonenzymic mechanisms is presented. [on SciFinder(R)]", "author" : [ { "dropping-particle" : "", "family" : "Thommen", "given" : "Christophe", "non-dropping-particle" : "", "parse-names" : false, "suffix" : "" }, { "dropping-particle" : "", "family" : "Jana", "given" : "Chandan Kumar", "non-dropping-particle" : "", "parse-names" : false, "suffix" : "" }, { "dropping-particle" : "", "family" : "Neuburger", "given" : "Markus", "non-dropping-particle" : "", "parse-names" : false, "suffix" : "" }, { "dropping-particle" : "", "family" : "Gademann", "given" : "Karl.", "non-dropping-particle" : "", "parse-names" : false, "suffix" : "" } ], "container-title" : "Organic Letters", "id" : "ITEM-1", "issue" : "6", "issued" : { "date-parts" : [ [ "2013" ] ] }, "note" : "CAPLUS AN 2013:353158(Journal; Online Computer File)", "page" : "1390-1393", "publisher" : "American Chemical Society", "title" : "Syntheses of Taiwaniaquinone F and Taiwaniaquinol A via an Unusual Remote C-H Functionalization.", "type" : "article-journal", "volume" : "15" }, "uris" : [ "http://www.mendeley.com/documents/?uuid=dacc875a-d394-483c-acf9-ee2dc82feb1c" ] } ], "mendeley" : { "formattedCitation" : "&lt;sup&gt;[132]&lt;/sup&gt;", "plainTextFormattedCitation" : "[132]", "previouslyFormattedCitation" : "&lt;sup&gt;[132]&lt;/sup&gt;" }, "properties" : { "noteIndex" : 0 }, "schema" : "https://github.com/citation-style-language/schema/raw/master/csl-citation.json" }</w:instrText>
      </w:r>
      <w:r w:rsidR="00922FB7">
        <w:rPr>
          <w:sz w:val="24"/>
          <w:szCs w:val="24"/>
        </w:rPr>
        <w:fldChar w:fldCharType="separate"/>
      </w:r>
      <w:r w:rsidR="0055300D" w:rsidRPr="0055300D">
        <w:rPr>
          <w:noProof/>
          <w:sz w:val="24"/>
          <w:szCs w:val="24"/>
          <w:vertAlign w:val="superscript"/>
        </w:rPr>
        <w:t>[132]</w:t>
      </w:r>
      <w:r w:rsidR="00922FB7">
        <w:rPr>
          <w:sz w:val="24"/>
          <w:szCs w:val="24"/>
        </w:rPr>
        <w:fldChar w:fldCharType="end"/>
      </w:r>
      <w:r w:rsidR="00922FB7">
        <w:rPr>
          <w:sz w:val="24"/>
          <w:szCs w:val="24"/>
        </w:rPr>
        <w:t xml:space="preserve"> </w:t>
      </w:r>
      <w:r w:rsidR="009C5BE5">
        <w:rPr>
          <w:sz w:val="24"/>
          <w:szCs w:val="24"/>
        </w:rPr>
        <w:t>This photolysis mediated rearrangement of the diazo derivative of sugiol methyl ether</w:t>
      </w:r>
      <w:r w:rsidR="0096319E">
        <w:rPr>
          <w:sz w:val="24"/>
          <w:szCs w:val="24"/>
        </w:rPr>
        <w:t xml:space="preserve"> </w:t>
      </w:r>
      <w:r w:rsidR="0096319E" w:rsidRPr="0096319E">
        <w:rPr>
          <w:b/>
          <w:sz w:val="24"/>
          <w:szCs w:val="24"/>
        </w:rPr>
        <w:t>72</w:t>
      </w:r>
      <w:r w:rsidR="009C5BE5">
        <w:rPr>
          <w:sz w:val="24"/>
          <w:szCs w:val="24"/>
        </w:rPr>
        <w:t xml:space="preserve"> yielded the unusual 6-5-6 ring system associated with taiwaniaquinoids.</w:t>
      </w:r>
    </w:p>
    <w:p w:rsidR="00922C34" w:rsidRDefault="0096319E" w:rsidP="00922FB7">
      <w:pPr>
        <w:spacing w:line="360" w:lineRule="auto"/>
        <w:jc w:val="center"/>
      </w:pPr>
      <w:r>
        <w:object w:dxaOrig="6974" w:dyaOrig="4888">
          <v:shape id="_x0000_i1066" type="#_x0000_t75" style="width:348.75pt;height:244.5pt" o:ole="">
            <v:imagedata r:id="rId108" o:title=""/>
          </v:shape>
          <o:OLEObject Type="Embed" ProgID="ChemDraw.Document.6.0" ShapeID="_x0000_i1066" DrawAspect="Content" ObjectID="_1531849613" r:id="rId109"/>
        </w:object>
      </w:r>
    </w:p>
    <w:p w:rsidR="0096319E" w:rsidRPr="0096319E" w:rsidRDefault="0096319E" w:rsidP="00922FB7">
      <w:pPr>
        <w:spacing w:line="360" w:lineRule="auto"/>
        <w:jc w:val="center"/>
        <w:rPr>
          <w:b/>
          <w:sz w:val="24"/>
          <w:szCs w:val="24"/>
        </w:rPr>
      </w:pPr>
      <w:r w:rsidRPr="0096319E">
        <w:rPr>
          <w:b/>
          <w:sz w:val="24"/>
          <w:szCs w:val="24"/>
        </w:rPr>
        <w:t>Scheme 1.4</w:t>
      </w:r>
      <w:r w:rsidR="00451339">
        <w:rPr>
          <w:b/>
          <w:sz w:val="24"/>
          <w:szCs w:val="24"/>
        </w:rPr>
        <w:t>3</w:t>
      </w:r>
    </w:p>
    <w:p w:rsidR="004D7FA0" w:rsidRPr="004D7FA0" w:rsidRDefault="00DB62B8" w:rsidP="004D7FA0">
      <w:pPr>
        <w:pStyle w:val="Heading2"/>
      </w:pPr>
      <w:bookmarkStart w:id="22" w:name="_Toc446773074"/>
      <w:r>
        <w:lastRenderedPageBreak/>
        <w:t>1.</w:t>
      </w:r>
      <w:r w:rsidR="00591EF1">
        <w:t>5</w:t>
      </w:r>
      <w:r w:rsidR="00B673D2">
        <w:t>.3</w:t>
      </w:r>
      <w:r w:rsidR="00A95EE2">
        <w:t xml:space="preserve"> </w:t>
      </w:r>
      <w:r w:rsidR="00F62F72">
        <w:t>C-H insertion</w:t>
      </w:r>
      <w:r w:rsidR="003C5633">
        <w:t xml:space="preserve"> reactions</w:t>
      </w:r>
      <w:bookmarkEnd w:id="22"/>
    </w:p>
    <w:p w:rsidR="004D7FA0" w:rsidRDefault="00FC74EF" w:rsidP="004D7FA0">
      <w:pPr>
        <w:spacing w:line="360" w:lineRule="auto"/>
        <w:jc w:val="both"/>
        <w:rPr>
          <w:sz w:val="24"/>
          <w:szCs w:val="24"/>
        </w:rPr>
      </w:pPr>
      <w:r w:rsidRPr="00FC74EF">
        <w:rPr>
          <w:sz w:val="24"/>
          <w:szCs w:val="24"/>
        </w:rPr>
        <w:t xml:space="preserve">Carbene insertion into C-H bonds is an important synthetic </w:t>
      </w:r>
      <w:r w:rsidR="004D7FA0">
        <w:rPr>
          <w:sz w:val="24"/>
          <w:szCs w:val="24"/>
        </w:rPr>
        <w:t>reaction</w:t>
      </w:r>
      <w:r w:rsidRPr="00FC74EF">
        <w:rPr>
          <w:sz w:val="24"/>
          <w:szCs w:val="24"/>
        </w:rPr>
        <w:t>.</w:t>
      </w:r>
      <w:r>
        <w:rPr>
          <w:sz w:val="24"/>
          <w:szCs w:val="24"/>
        </w:rPr>
        <w:t xml:space="preserve"> </w:t>
      </w:r>
      <w:r w:rsidR="004D7FA0">
        <w:rPr>
          <w:sz w:val="24"/>
          <w:szCs w:val="24"/>
        </w:rPr>
        <w:t>Hundreds of examples of this extremely useful transformation can be found in the literature</w:t>
      </w:r>
      <w:r w:rsidR="00386817">
        <w:rPr>
          <w:sz w:val="24"/>
          <w:szCs w:val="24"/>
        </w:rPr>
        <w:t>, and the reaction has b</w:t>
      </w:r>
      <w:r w:rsidR="00787373">
        <w:rPr>
          <w:sz w:val="24"/>
          <w:szCs w:val="24"/>
        </w:rPr>
        <w:t>een reviewed most recently by Maguire</w:t>
      </w:r>
      <w:r w:rsidR="00787373">
        <w:rPr>
          <w:sz w:val="24"/>
          <w:szCs w:val="24"/>
        </w:rPr>
        <w:fldChar w:fldCharType="begin" w:fldLock="1"/>
      </w:r>
      <w:r w:rsidR="00F168DA">
        <w:rPr>
          <w:sz w:val="24"/>
          <w:szCs w:val="24"/>
        </w:rPr>
        <w:instrText>ADDIN CSL_CITATION { "citationItems" : [ { "id" : "ITEM-1", "itemData" : { "DOI" : "10.1016/j.tet.2010.05.073", "ISSN" : "0040-4020", "abstract" : "A review.  Catalytic C-H insertion reactions of \u03b1-diazocarbonyl compds. represent a very powerful transformation in org. chem., allowing activation of an unactivated C-H bond under very mild conditions, rendering this a very valuable synthetic process.  In excess of 60 chiral catalytic complexes have been demonstrated to effect enantioinduction in intramol. and intermol. C-H insertion reactions.  The large majority of these catalysts are rhodium(II)-based systems, but recent reports have indicated the return of copper(I) complexes as viable catalyst choices for asym. carbenoid insertion into C-H bonds.  In addn., the possibility of broadening the range of available chiral catalysts for enantioselective C-H insertions beyond rhodium(II) and copper(I) complexes has recently been realized with the development of iridium(III)-salen complexes capable of catalyzing asym. intermol. C-H insertion reactions.  Catalytic methods for the asym. synthesis of carbocyclic compds., oxygen-contg. heterocycles, nitrogen-contg. heterocycles and sulfur-contg. heterocycles are reviewed. [on SciFinder(R)]", "author" : [ { "dropping-particle" : "", "family" : "Slattery", "given" : "Catherine N", "non-dropping-particle" : "", "parse-names" : false, "suffix" : "" }, { "dropping-particle" : "", "family" : "Ford", "given" : "Alan", "non-dropping-particle" : "", "parse-names" : false, "suffix" : "" }, { "dropping-particle" : "", "family" : "Maguire", "given" : "Anita R", "non-dropping-particle" : "", "parse-names" : false, "suffix" : "" } ], "container-title" : "Tetrahedron", "id" : "ITEM-1", "issue" : "34", "issued" : { "date-parts" : [ [ "2010" ] ] }, "note" : "CAPLUS AN 2010:964508(Journal; General Review)", "page" : "6681-6705", "publisher" : "Elsevier Ltd.", "title" : "Catalytic asymmetric C-H insertion reactions of \u03b1-diazocarbonyl compounds.", "type" : "article-journal", "volume" : "66" }, "uris" : [ "http://www.mendeley.com/documents/?uuid=06c39f39-cc24-4640-b013-d7846c17a8ed" ] } ], "mendeley" : { "formattedCitation" : "&lt;sup&gt;[133]&lt;/sup&gt;", "plainTextFormattedCitation" : "[133]", "previouslyFormattedCitation" : "&lt;sup&gt;[133]&lt;/sup&gt;" }, "properties" : { "noteIndex" : 0 }, "schema" : "https://github.com/citation-style-language/schema/raw/master/csl-citation.json" }</w:instrText>
      </w:r>
      <w:r w:rsidR="00787373">
        <w:rPr>
          <w:sz w:val="24"/>
          <w:szCs w:val="24"/>
        </w:rPr>
        <w:fldChar w:fldCharType="separate"/>
      </w:r>
      <w:r w:rsidR="0055300D" w:rsidRPr="0055300D">
        <w:rPr>
          <w:noProof/>
          <w:sz w:val="24"/>
          <w:szCs w:val="24"/>
          <w:vertAlign w:val="superscript"/>
        </w:rPr>
        <w:t>[133]</w:t>
      </w:r>
      <w:r w:rsidR="00787373">
        <w:rPr>
          <w:sz w:val="24"/>
          <w:szCs w:val="24"/>
        </w:rPr>
        <w:fldChar w:fldCharType="end"/>
      </w:r>
      <w:r w:rsidR="00787373">
        <w:rPr>
          <w:sz w:val="24"/>
          <w:szCs w:val="24"/>
        </w:rPr>
        <w:t xml:space="preserve"> and Doyle.</w:t>
      </w:r>
      <w:r w:rsidR="00787373">
        <w:rPr>
          <w:sz w:val="24"/>
          <w:szCs w:val="24"/>
        </w:rPr>
        <w:fldChar w:fldCharType="begin" w:fldLock="1"/>
      </w:r>
      <w:r w:rsidR="00F168DA">
        <w:rPr>
          <w:sz w:val="24"/>
          <w:szCs w:val="24"/>
        </w:rPr>
        <w:instrText>ADDIN CSL_CITATION { "citationItems" : [ { "id" : "ITEM-1", "itemData" : { "DOI" : "10.1039/c0ob00698j", "ISSN" : "1477-0520", "abstract" : "A review.  The synthetic potential of highly directional formal insertion of a carbene between carbon and hydrogen of a carbon-hydrogen bond was recently developed for intramol. reactions that led to compds. of biol. and medicinal interest.  Stereoselective and regiocontrolled intramol. processes from diazoacetate reactants, catalyzed by dirhodium(ii) compds. with chiral carboxamidate ligands, provide efficient and selective access to compds. as diverse as enterolactone, baclofen, imperanene, xylolactone, and rolipram.  A comparison of the CH insertion methodol. with alternative approaches is presented. [on SciFinder(R)]", "author" : [ { "dropping-particle" : "", "family" : "Doyle", "given" : "Michael P", "non-dropping-particle" : "", "parse-names" : false, "suffix" : "" }, { "dropping-particle" : "", "family" : "Ratnikov", "given" : "Maxim", "non-dropping-particle" : "", "parse-names" : false, "suffix" : "" }, { "dropping-particle" : "", "family" : "Liu", "given" : "Yu.", "non-dropping-particle" : "", "parse-names" : false, "suffix" : "" } ], "container-title" : "Organic &amp; Biomolecular Chemistry", "id" : "ITEM-1", "issue" : "11", "issued" : { "date-parts" : [ [ "2011" ] ] }, "note" : "CAPLUS AN 2011:618249(Journal; General Review; Online Computer File)", "page" : "4007-4016", "publisher" : "Royal Society of Chemistry", "title" : "Intramolecular catalytic asymmetric carbon-hydrogen insertion reactions. Synthetic advantages in total synthesis in comparison with alternative approaches.", "type" : "article-journal", "volume" : "9" }, "uris" : [ "http://www.mendeley.com/documents/?uuid=c122e789-3f4a-47b4-9e4c-ed386f7d5c75" ] } ], "mendeley" : { "formattedCitation" : "&lt;sup&gt;[134]&lt;/sup&gt;", "plainTextFormattedCitation" : "[134]", "previouslyFormattedCitation" : "&lt;sup&gt;[134]&lt;/sup&gt;" }, "properties" : { "noteIndex" : 0 }, "schema" : "https://github.com/citation-style-language/schema/raw/master/csl-citation.json" }</w:instrText>
      </w:r>
      <w:r w:rsidR="00787373">
        <w:rPr>
          <w:sz w:val="24"/>
          <w:szCs w:val="24"/>
        </w:rPr>
        <w:fldChar w:fldCharType="separate"/>
      </w:r>
      <w:r w:rsidR="0055300D" w:rsidRPr="0055300D">
        <w:rPr>
          <w:noProof/>
          <w:sz w:val="24"/>
          <w:szCs w:val="24"/>
          <w:vertAlign w:val="superscript"/>
        </w:rPr>
        <w:t>[134]</w:t>
      </w:r>
      <w:r w:rsidR="00787373">
        <w:rPr>
          <w:sz w:val="24"/>
          <w:szCs w:val="24"/>
        </w:rPr>
        <w:fldChar w:fldCharType="end"/>
      </w:r>
      <w:r w:rsidR="004D7FA0">
        <w:rPr>
          <w:sz w:val="24"/>
          <w:szCs w:val="24"/>
        </w:rPr>
        <w:t xml:space="preserve"> This section will examine the history of its discovery, along with some interesting applications in natural product synthesis.</w:t>
      </w:r>
    </w:p>
    <w:p w:rsidR="00406B63" w:rsidRDefault="00FC74EF" w:rsidP="00FC74EF">
      <w:pPr>
        <w:spacing w:line="360" w:lineRule="auto"/>
        <w:jc w:val="both"/>
        <w:rPr>
          <w:sz w:val="24"/>
          <w:szCs w:val="24"/>
        </w:rPr>
      </w:pPr>
      <w:r>
        <w:rPr>
          <w:sz w:val="24"/>
          <w:szCs w:val="24"/>
        </w:rPr>
        <w:t>The first report of C-H insertion was a photolysis reaction reported by Meerwein and co-workers.</w:t>
      </w:r>
      <w:r>
        <w:rPr>
          <w:sz w:val="24"/>
          <w:szCs w:val="24"/>
        </w:rPr>
        <w:fldChar w:fldCharType="begin" w:fldLock="1"/>
      </w:r>
      <w:r w:rsidR="00F168DA">
        <w:rPr>
          <w:sz w:val="24"/>
          <w:szCs w:val="24"/>
        </w:rPr>
        <w:instrText>ADDIN CSL_CITATION { "citationItems" : [ { "id" : "ITEM-1", "itemData" : { "ISSN" : "0365-9488", "abstract" : "In agreement with earlier observations (Hantzsch and Lehmann, Ber. 34, 2522(1901)), it is found that CH2N2 (I) in ether in sunlight is rather quickly decomposed into N and C2H4; a slight amt. of (CH2)x is also formed.  The yield of I is increased by at least 10% if the time of contact of the ether soln. with 40% KOH is decreased to a min. (0.8 mole from 1 mole MeN(NO)CONH2) (cf. Arndt and Amende, C. A. 24, 3985).  I (350 g., in 3 lots) in ether was irradiated with summer sunlight for 3-4 days.  There resulted 2.96 g. of (CH2)x and 194.4 l. of gas, contg. 4.6% of C2H4; no C3H6 was present.  Distn. of the ethereal soln. gave 30.8 g. of EtOCHMe2, b. 52-5\u00b0, and 42.3 g. of nearly pure EtOPr, b. 62-5\u00b0.  The ethers were characterized by their reaction with HI and prepn. of derivs. of the resulting alcs.  The residue from the distn. at atm. pressure was distd. in vacuo, yielding a fraction b. 80.5-94\u00b0, which contained 2% N and was probably a mixt. of Pr2O and EtOBu; the fraction b. above 200\u00b0 (11.65 g.) m. 65-85\u00b0 (N 2.71, EtO 3.42%).  (I 61.8 g.) in 2.6 l. tetrahydrofuran in sunlight gave 33.74 l. gas (1.9% C2H4) and 20.6 g. of a mixt. of 2- and 3-methyltetrahydrofuran.  I (60 g.) in 750 cc. iso-PrOH, irradiated for 1.5-2 hrs., gave 2.18 g. C2H4, 15.2 g. Me2CHOMe, 450 g. iso-PrOH and tert-BuOH and 22.7 g. sec-BuOH (3,5-dinitrobenzoate, m. 76-6.5\u00b0).  The mechanism of the methylation reaction is discussed. [on SciFinder(R)]", "author" : [ { "dropping-particle" : "", "family" : "Meerwein", "given" : "Hans", "non-dropping-particle" : "", "parse-names" : false, "suffix" : "" }, { "dropping-particle" : "", "family" : "Rathjen", "given" : "Heinrich", "non-dropping-particle" : "", "parse-names" : false, "suffix" : "" }, { "dropping-particle" : "", "family" : "Werner", "given" : "Hermann.", "non-dropping-particle" : "", "parse-names" : false, "suffix" : "" } ], "container-title" : "Berichte der Deutschen Chemischen Gesellschaft [Abteilung] B: Abhandlungen", "id" : "ITEM-1", "issued" : { "date-parts" : [ [ "1942" ] ] }, "note" : "CAPLUS AN 1944:10044(Journal)", "page" : "1610-1622", "title" : "Methylation of RH compounds by diazomethane under the action of light.", "type" : "article-journal", "volume" : "75B" }, "uris" : [ "http://www.mendeley.com/documents/?uuid=a5b927e3-d410-47fd-99c0-fe22040a0583" ] } ], "mendeley" : { "formattedCitation" : "&lt;sup&gt;[135]&lt;/sup&gt;", "plainTextFormattedCitation" : "[135]", "previouslyFormattedCitation" : "&lt;sup&gt;[135]&lt;/sup&gt;"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[135]</w:t>
      </w:r>
      <w:r>
        <w:rPr>
          <w:sz w:val="24"/>
          <w:szCs w:val="24"/>
        </w:rPr>
        <w:fldChar w:fldCharType="end"/>
      </w:r>
      <w:r>
        <w:rPr>
          <w:sz w:val="24"/>
          <w:szCs w:val="24"/>
        </w:rPr>
        <w:t xml:space="preserve"> </w:t>
      </w:r>
      <w:r w:rsidR="00152173">
        <w:rPr>
          <w:sz w:val="24"/>
          <w:szCs w:val="24"/>
        </w:rPr>
        <w:t>Transition metal</w:t>
      </w:r>
      <w:r>
        <w:rPr>
          <w:sz w:val="24"/>
          <w:szCs w:val="24"/>
        </w:rPr>
        <w:t xml:space="preserve"> catalysed C-H insertion</w:t>
      </w:r>
      <w:r w:rsidRPr="00FC74EF">
        <w:rPr>
          <w:sz w:val="24"/>
          <w:szCs w:val="24"/>
        </w:rPr>
        <w:t xml:space="preserve"> was first reported by Greuter </w:t>
      </w:r>
      <w:r w:rsidRPr="008F714D">
        <w:rPr>
          <w:i/>
          <w:sz w:val="24"/>
          <w:szCs w:val="24"/>
        </w:rPr>
        <w:t>et al</w:t>
      </w:r>
      <w:r w:rsidR="008F714D">
        <w:rPr>
          <w:i/>
          <w:sz w:val="24"/>
          <w:szCs w:val="24"/>
        </w:rPr>
        <w:t>.</w:t>
      </w:r>
      <w:r w:rsidR="00152173">
        <w:rPr>
          <w:sz w:val="24"/>
          <w:szCs w:val="24"/>
        </w:rPr>
        <w:t xml:space="preserve"> as illustrated in </w:t>
      </w:r>
      <w:r w:rsidR="00152173" w:rsidRPr="00152173">
        <w:rPr>
          <w:b/>
          <w:sz w:val="24"/>
          <w:szCs w:val="24"/>
        </w:rPr>
        <w:t>Scheme</w:t>
      </w:r>
      <w:r w:rsidR="00A77419">
        <w:rPr>
          <w:b/>
          <w:sz w:val="24"/>
          <w:szCs w:val="24"/>
        </w:rPr>
        <w:t xml:space="preserve"> 1.4</w:t>
      </w:r>
      <w:r w:rsidR="00451339">
        <w:rPr>
          <w:b/>
          <w:sz w:val="24"/>
          <w:szCs w:val="24"/>
        </w:rPr>
        <w:t>4</w:t>
      </w:r>
      <w:r w:rsidR="00152173">
        <w:rPr>
          <w:sz w:val="24"/>
          <w:szCs w:val="24"/>
        </w:rPr>
        <w:t>.</w:t>
      </w:r>
      <w:r>
        <w:rPr>
          <w:sz w:val="24"/>
          <w:szCs w:val="24"/>
        </w:rPr>
        <w:fldChar w:fldCharType="begin" w:fldLock="1"/>
      </w:r>
      <w:r w:rsidR="00F168DA">
        <w:rPr>
          <w:sz w:val="24"/>
          <w:szCs w:val="24"/>
        </w:rPr>
        <w:instrText>ADDIN CSL_CITATION { "citationItems" : [ { "id" : "ITEM-1", "itemData" : { "ISSN" : "0369-8718", "abstract" : "The thermal decompn. of steroidal 21-diazo-20-ketones is studied.  Heating 21-diazo-5\u03b1-pregnan-20-one (I) in PhMe with CuO yields the cyclized (18 \u2192 21) deriv. (II), \u03bd 1741 cm.-1 (CCl4), which gives a 2,4-dinitrophenylhydrazone and a 21-benzylidene deriv.  (III), \u03bb 297 m\u03bc, log \u03b5 4.23 (EtOH).  Ozonolysis of III in EtOAc at -15\u00b0 gives a dibasic acid (IV), pK\u0302a 6.20, 10.67, \u03bd 1810 and 1757 cm.-1 (CHCl3). [on SciFinder(R)]", "author" : [ { "dropping-particle" : "", "family" : "Greuter", "given" : "F", "non-dropping-particle" : "", "parse-names" : false, "suffix" : "" }, { "dropping-particle" : "", "family" : "Kalvoda", "given" : "J", "non-dropping-particle" : "", "parse-names" : false, "suffix" : "" }, { "dropping-particle" : "", "family" : "Jeger", "given" : "O", "non-dropping-particle" : "", "parse-names" : false, "suffix" : "" } ], "container-title" : "Proceedings of the Chemical Society, London", "id" : "ITEM-1", "issued" : { "date-parts" : [ [ "1958" ] ] }, "note" : "CAPLUS AN 1959:72728(Journal)", "page" : "349", "title" : "Thermal decomposition of 20-diazo-5\u03b1-pregnan-20-one.", "type" : "article-journal" }, "uris" : [ "http://www.mendeley.com/documents/?uuid=4e831ca0-33a4-4c5a-9f9f-db9d317a2c9f" ] } ], "mendeley" : { "formattedCitation" : "&lt;sup&gt;[136]&lt;/sup&gt;", "plainTextFormattedCitation" : "[136]", "previouslyFormattedCitation" : "&lt;sup&gt;[136]&lt;/sup&gt;"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[136]</w:t>
      </w:r>
      <w:r>
        <w:rPr>
          <w:sz w:val="24"/>
          <w:szCs w:val="24"/>
        </w:rPr>
        <w:fldChar w:fldCharType="end"/>
      </w:r>
      <w:r w:rsidR="00152173">
        <w:rPr>
          <w:sz w:val="24"/>
          <w:szCs w:val="24"/>
        </w:rPr>
        <w:t xml:space="preserve"> The authors reported </w:t>
      </w:r>
      <w:r w:rsidR="000137E5">
        <w:rPr>
          <w:sz w:val="24"/>
          <w:szCs w:val="24"/>
        </w:rPr>
        <w:t xml:space="preserve">copper mediated </w:t>
      </w:r>
      <w:r w:rsidR="00152173">
        <w:rPr>
          <w:sz w:val="24"/>
          <w:szCs w:val="24"/>
        </w:rPr>
        <w:t xml:space="preserve">generation of a carbene from the corresponding diazoalkane </w:t>
      </w:r>
      <w:r w:rsidR="00A77419" w:rsidRPr="00A77419">
        <w:rPr>
          <w:b/>
          <w:sz w:val="24"/>
          <w:szCs w:val="24"/>
        </w:rPr>
        <w:t>75</w:t>
      </w:r>
      <w:r w:rsidR="00152173">
        <w:rPr>
          <w:sz w:val="24"/>
          <w:szCs w:val="24"/>
        </w:rPr>
        <w:t xml:space="preserve">, which underwent C-H insertion to form the cyclopentanone </w:t>
      </w:r>
      <w:r w:rsidR="00A77419" w:rsidRPr="00A77419">
        <w:rPr>
          <w:b/>
          <w:sz w:val="24"/>
          <w:szCs w:val="24"/>
        </w:rPr>
        <w:t>76</w:t>
      </w:r>
      <w:r w:rsidR="00152173">
        <w:rPr>
          <w:sz w:val="24"/>
          <w:szCs w:val="24"/>
        </w:rPr>
        <w:t>.</w:t>
      </w:r>
    </w:p>
    <w:p w:rsidR="00406B63" w:rsidRDefault="00F92837" w:rsidP="00A77419">
      <w:pPr>
        <w:spacing w:line="360" w:lineRule="auto"/>
        <w:jc w:val="center"/>
      </w:pPr>
      <w:r>
        <w:object w:dxaOrig="6124" w:dyaOrig="2313">
          <v:shape id="_x0000_i1067" type="#_x0000_t75" style="width:306pt;height:115.5pt" o:ole="">
            <v:imagedata r:id="rId110" o:title=""/>
          </v:shape>
          <o:OLEObject Type="Embed" ProgID="ChemDraw.Document.6.0" ShapeID="_x0000_i1067" DrawAspect="Content" ObjectID="_1531849614" r:id="rId111"/>
        </w:object>
      </w:r>
    </w:p>
    <w:p w:rsidR="00A77419" w:rsidRDefault="00A77419" w:rsidP="00A77419">
      <w:pPr>
        <w:spacing w:line="360" w:lineRule="auto"/>
        <w:jc w:val="center"/>
        <w:rPr>
          <w:b/>
          <w:sz w:val="24"/>
          <w:szCs w:val="24"/>
        </w:rPr>
      </w:pPr>
      <w:r w:rsidRPr="00A77419">
        <w:rPr>
          <w:b/>
          <w:sz w:val="24"/>
          <w:szCs w:val="24"/>
        </w:rPr>
        <w:t>Scheme 1.4</w:t>
      </w:r>
      <w:r w:rsidR="00451339">
        <w:rPr>
          <w:b/>
          <w:sz w:val="24"/>
          <w:szCs w:val="24"/>
        </w:rPr>
        <w:t>4</w:t>
      </w:r>
    </w:p>
    <w:p w:rsidR="00406B63" w:rsidRPr="004D7FA0" w:rsidRDefault="00152173" w:rsidP="00FC74EF">
      <w:pPr>
        <w:spacing w:line="360" w:lineRule="auto"/>
        <w:jc w:val="both"/>
        <w:rPr>
          <w:sz w:val="24"/>
          <w:szCs w:val="24"/>
        </w:rPr>
      </w:pPr>
      <w:r>
        <w:rPr>
          <w:sz w:val="24"/>
          <w:szCs w:val="24"/>
        </w:rPr>
        <w:t xml:space="preserve">The full potential of the C-H insertion reaction was only recognised after Teyssie and co-workers reported the first example of such a reaction catalysed by </w:t>
      </w:r>
      <w:r w:rsidR="009C452D">
        <w:rPr>
          <w:sz w:val="24"/>
          <w:szCs w:val="24"/>
        </w:rPr>
        <w:t>rhodium(II)</w:t>
      </w:r>
      <w:r>
        <w:rPr>
          <w:sz w:val="24"/>
          <w:szCs w:val="24"/>
        </w:rPr>
        <w:t>.</w:t>
      </w:r>
      <w:r>
        <w:rPr>
          <w:sz w:val="24"/>
          <w:szCs w:val="24"/>
        </w:rPr>
        <w:fldChar w:fldCharType="begin" w:fldLock="1"/>
      </w:r>
      <w:r w:rsidR="00F168DA">
        <w:rPr>
          <w:sz w:val="24"/>
          <w:szCs w:val="24"/>
        </w:rPr>
        <w:instrText>ADDIN CSL_CITATION { "citationItems" : [ { "id" : "ITEM-1", "itemData" : { "DOI" : "10.1039/c39810000688", "ISSN" : "0022-4936", "abstract" : "Rh2(O2CCF3)4 (I) and Rh2[O2C(CF2)6CF3]4 are efficient catalysts for the insertion of carbenes generated from diazoesters into the C-H bonds of aliph. and cyclic alkanes.  E.g., cyclopentane on treatment with EtO2CCHN2 (I, 22\u00b0) gave 50% Et cyclopentylacetate.  The reaction was regioselective, the selectivity differing from that of typical free-carbene reactions.  The regioselectivity was catalyst-dependent. [on SciFinder(R)]", "author" : [ { "dropping-particle" : "", "family" : "Demonceau", "given" : "Albert", "non-dropping-particle" : "", "parse-names" : false, "suffix" : "" }, { "dropping-particle" : "", "family" : "Noels", "given" : "Alfred F", "non-dropping-particle" : "", "parse-names" : false, "suffix" : "" }, { "dropping-particle" : "", "family" : "Hubert", "given" : "Andre J", "non-dropping-particle" : "", "parse-names" : false, "suffix" : "" }, { "dropping-particle" : "", "family" : "Teyssie", "given" : "Philippe.", "non-dropping-particle" : "", "parse-names" : false, "suffix" : "" } ], "container-title" : "Journal of the Chemical Society, Chemical Communications", "id" : "ITEM-1", "issue" : "14", "issued" : { "date-parts" : [ [ "1981" ] ] }, "note" : "CAPLUS AN 1982:142294(Journal)", "page" : "688-689", "title" : "Transition metal-catalyzed reactions of diazoesters.  Insertion into carbon-hydrogen bonds of paraffins by carbenoids.", "type" : "article-journal" }, "uris" : [ "http://www.mendeley.com/documents/?uuid=7b778527-54a6-413f-b78f-8941156b4059" ] } ], "mendeley" : { "formattedCitation" : "&lt;sup&gt;[137]&lt;/sup&gt;", "plainTextFormattedCitation" : "[137]", "previouslyFormattedCitation" : "&lt;sup&gt;[137]&lt;/sup&gt;"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[137]</w:t>
      </w:r>
      <w:r>
        <w:rPr>
          <w:sz w:val="24"/>
          <w:szCs w:val="24"/>
        </w:rPr>
        <w:fldChar w:fldCharType="end"/>
      </w:r>
      <w:r>
        <w:rPr>
          <w:sz w:val="24"/>
          <w:szCs w:val="24"/>
        </w:rPr>
        <w:t xml:space="preserve"> </w:t>
      </w:r>
      <w:r w:rsidR="009C5BE5">
        <w:rPr>
          <w:sz w:val="24"/>
          <w:szCs w:val="24"/>
        </w:rPr>
        <w:t xml:space="preserve">Since then, </w:t>
      </w:r>
      <w:r w:rsidR="009C452D">
        <w:rPr>
          <w:sz w:val="24"/>
          <w:szCs w:val="24"/>
        </w:rPr>
        <w:t>rhodium(II)</w:t>
      </w:r>
      <w:r w:rsidR="009C5BE5">
        <w:rPr>
          <w:sz w:val="24"/>
          <w:szCs w:val="24"/>
        </w:rPr>
        <w:t xml:space="preserve"> acetate</w:t>
      </w:r>
      <w:r w:rsidR="00A77419">
        <w:rPr>
          <w:sz w:val="24"/>
          <w:szCs w:val="24"/>
        </w:rPr>
        <w:t xml:space="preserve"> </w:t>
      </w:r>
      <w:r w:rsidR="00A77419" w:rsidRPr="00A77419">
        <w:rPr>
          <w:b/>
          <w:sz w:val="24"/>
          <w:szCs w:val="24"/>
        </w:rPr>
        <w:t>69</w:t>
      </w:r>
      <w:r w:rsidR="009C5BE5">
        <w:rPr>
          <w:sz w:val="24"/>
          <w:szCs w:val="24"/>
        </w:rPr>
        <w:t xml:space="preserve"> has become one of the most widely used rea</w:t>
      </w:r>
      <w:r w:rsidR="00E355DB">
        <w:rPr>
          <w:sz w:val="24"/>
          <w:szCs w:val="24"/>
        </w:rPr>
        <w:t>gents in diazo chemistry, and i</w:t>
      </w:r>
      <w:r w:rsidR="009C5BE5">
        <w:rPr>
          <w:sz w:val="24"/>
          <w:szCs w:val="24"/>
        </w:rPr>
        <w:t xml:space="preserve">s used in various syntheses of natural products. </w:t>
      </w:r>
      <w:r w:rsidR="00406B63">
        <w:rPr>
          <w:sz w:val="24"/>
          <w:szCs w:val="24"/>
        </w:rPr>
        <w:t>A complete synthesis of the alkaloid morphine</w:t>
      </w:r>
      <w:r w:rsidR="00A77419">
        <w:rPr>
          <w:sz w:val="24"/>
          <w:szCs w:val="24"/>
        </w:rPr>
        <w:t xml:space="preserve"> </w:t>
      </w:r>
      <w:r w:rsidR="00A77419" w:rsidRPr="00A77419">
        <w:rPr>
          <w:b/>
          <w:sz w:val="24"/>
          <w:szCs w:val="24"/>
        </w:rPr>
        <w:t>7</w:t>
      </w:r>
      <w:r w:rsidR="00A77419">
        <w:rPr>
          <w:b/>
          <w:sz w:val="24"/>
          <w:szCs w:val="24"/>
        </w:rPr>
        <w:t>9</w:t>
      </w:r>
      <w:r w:rsidR="00406B63">
        <w:rPr>
          <w:sz w:val="24"/>
          <w:szCs w:val="24"/>
        </w:rPr>
        <w:t xml:space="preserve">, a powerful analgesic, was published by White </w:t>
      </w:r>
      <w:r w:rsidR="00406B63" w:rsidRPr="00406B63">
        <w:rPr>
          <w:i/>
          <w:sz w:val="24"/>
          <w:szCs w:val="24"/>
        </w:rPr>
        <w:t>et al</w:t>
      </w:r>
      <w:r w:rsidR="00406B63">
        <w:rPr>
          <w:sz w:val="24"/>
          <w:szCs w:val="24"/>
        </w:rPr>
        <w:t>. in 1997 that employed an intramolecular carbenoid C-H insertion reaction.</w:t>
      </w:r>
      <w:r w:rsidR="00406B63">
        <w:rPr>
          <w:sz w:val="24"/>
          <w:szCs w:val="24"/>
        </w:rPr>
        <w:fldChar w:fldCharType="begin" w:fldLock="1"/>
      </w:r>
      <w:r w:rsidR="00F168DA">
        <w:rPr>
          <w:sz w:val="24"/>
          <w:szCs w:val="24"/>
        </w:rPr>
        <w:instrText>ADDIN CSL_CITATION { "citationItems" : [ { "id" : "ITEM-1", "itemData" : { "DOI" : "10.1021/JO9710994", "ISSN" : "0022-3263", "abstract" : "The unnatural enantiomer of the analgesic agent morphine was synthesized in 28 steps and 3% overall yield from isovanillin.  Asymmetry was introduced by hydrogenation over a chiral catalyst of the Stobbe condensation product I of di-Me succinate with isovanillin, and the resultant carboxylic acid of (S) configuration was converted a tetralone.  Robinson annulation of this material with Me vinyl ketone gave the hydrophenanthrenone, which was brominated and cyclized to the benzofuran II.  After redn. of the ketone and hydrogenation of the furan moieties, the derived diazoketone was treated with rhodium(II) acetate to give the pentacyclic C-H insertion product III.  Beckmann rearrangement of the oxime brosylate derived from III afforded \u03b4-lactam, which underwent N-methylation, deprotection, and oxidn. to IV.  The latter was converted to a enone, which upon redn. furnished the ent-codeine.  O-Demethylation of the ent-codeine to (+)-morphine followed a known procedure. [on SciFinder(R)]", "author" : [ { "dropping-particle" : "", "family" : "White", "given" : "James D", "non-dropping-particle" : "", "parse-names" : false, "suffix" : "" }, { "dropping-particle" : "", "family" : "Hrnciar", "given" : "Peter", "non-dropping-particle" : "", "parse-names" : false, "suffix" : "" }, { "dropping-particle" : "", "family" : "Stappenbeck", "given" : "Frank.", "non-dropping-particle" : "", "parse-names" : false, "suffix" : "" } ], "container-title" : "Journal of Organic Chemistry", "id" : "ITEM-1", "issue" : "16", "issued" : { "date-parts" : [ [ "1997" ] ] }, "note" : "CAPLUS AN 1997:528785(Journal)", "page" : "5250-5251", "publisher" : "American Chemical Society", "title" : "Asymmetric Synthesis of (+)-Morphine. The Phenanthrene Route Revisited.", "type" : "article-journal", "volume" : "62" }, "uris" : [ "http://www.mendeley.com/documents/?uuid=c33a3af9-f4a4-4774-952b-dad0a720dcf8" ] } ], "mendeley" : { "formattedCitation" : "&lt;sup&gt;[138]&lt;/sup&gt;", "plainTextFormattedCitation" : "[138]", "previouslyFormattedCitation" : "&lt;sup&gt;[138]&lt;/sup&gt;" }, "properties" : { "noteIndex" : 0 }, "schema" : "https://github.com/citation-style-language/schema/raw/master/csl-citation.json" }</w:instrText>
      </w:r>
      <w:r w:rsidR="00406B63">
        <w:rPr>
          <w:sz w:val="24"/>
          <w:szCs w:val="24"/>
        </w:rPr>
        <w:fldChar w:fldCharType="separate"/>
      </w:r>
      <w:r w:rsidR="0055300D" w:rsidRPr="0055300D">
        <w:rPr>
          <w:noProof/>
          <w:sz w:val="24"/>
          <w:szCs w:val="24"/>
          <w:vertAlign w:val="superscript"/>
        </w:rPr>
        <w:t>[138]</w:t>
      </w:r>
      <w:r w:rsidR="00406B63">
        <w:rPr>
          <w:sz w:val="24"/>
          <w:szCs w:val="24"/>
        </w:rPr>
        <w:fldChar w:fldCharType="end"/>
      </w:r>
      <w:r w:rsidR="00406B63">
        <w:rPr>
          <w:sz w:val="24"/>
          <w:szCs w:val="24"/>
        </w:rPr>
        <w:t xml:space="preserve"> </w:t>
      </w:r>
      <w:r w:rsidR="009C452D">
        <w:rPr>
          <w:sz w:val="24"/>
          <w:szCs w:val="24"/>
        </w:rPr>
        <w:t>Rhodium(II)</w:t>
      </w:r>
      <w:r w:rsidR="00406B63">
        <w:rPr>
          <w:sz w:val="24"/>
          <w:szCs w:val="24"/>
        </w:rPr>
        <w:t xml:space="preserve"> acetate was used to achieve the transformation from the diazoketone </w:t>
      </w:r>
      <w:r w:rsidR="00A77419" w:rsidRPr="00A77419">
        <w:rPr>
          <w:b/>
          <w:sz w:val="24"/>
          <w:szCs w:val="24"/>
        </w:rPr>
        <w:t>77</w:t>
      </w:r>
      <w:r w:rsidR="00406B63" w:rsidRPr="00A77419">
        <w:rPr>
          <w:b/>
          <w:sz w:val="24"/>
          <w:szCs w:val="24"/>
        </w:rPr>
        <w:t xml:space="preserve"> </w:t>
      </w:r>
      <w:r w:rsidR="00406B63">
        <w:rPr>
          <w:sz w:val="24"/>
          <w:szCs w:val="24"/>
        </w:rPr>
        <w:t xml:space="preserve">to </w:t>
      </w:r>
      <w:r w:rsidR="00A77419" w:rsidRPr="00A77419">
        <w:rPr>
          <w:b/>
          <w:sz w:val="24"/>
          <w:szCs w:val="24"/>
        </w:rPr>
        <w:t>78</w:t>
      </w:r>
      <w:r w:rsidR="00406B63">
        <w:rPr>
          <w:sz w:val="24"/>
          <w:szCs w:val="24"/>
        </w:rPr>
        <w:t xml:space="preserve">, establishing a bond from C13 to C15, as </w:t>
      </w:r>
      <w:r w:rsidR="00E355DB">
        <w:rPr>
          <w:sz w:val="24"/>
          <w:szCs w:val="24"/>
        </w:rPr>
        <w:t>shown</w:t>
      </w:r>
      <w:r w:rsidR="00406B63">
        <w:rPr>
          <w:sz w:val="24"/>
          <w:szCs w:val="24"/>
        </w:rPr>
        <w:t xml:space="preserve"> below in </w:t>
      </w:r>
      <w:r w:rsidR="00406B63" w:rsidRPr="00406B63">
        <w:rPr>
          <w:b/>
          <w:sz w:val="24"/>
          <w:szCs w:val="24"/>
        </w:rPr>
        <w:t>Scheme</w:t>
      </w:r>
      <w:r w:rsidR="00A77419">
        <w:rPr>
          <w:b/>
          <w:sz w:val="24"/>
          <w:szCs w:val="24"/>
        </w:rPr>
        <w:t xml:space="preserve"> 1.4</w:t>
      </w:r>
      <w:r w:rsidR="00451339">
        <w:rPr>
          <w:b/>
          <w:sz w:val="24"/>
          <w:szCs w:val="24"/>
        </w:rPr>
        <w:t>5</w:t>
      </w:r>
      <w:r w:rsidR="00406B63" w:rsidRPr="004D7FA0">
        <w:rPr>
          <w:sz w:val="24"/>
          <w:szCs w:val="24"/>
        </w:rPr>
        <w:t>.</w:t>
      </w:r>
    </w:p>
    <w:p w:rsidR="004D7FA0" w:rsidRDefault="00A77419" w:rsidP="00591EF1">
      <w:pPr>
        <w:jc w:val="center"/>
      </w:pPr>
      <w:r>
        <w:object w:dxaOrig="6376" w:dyaOrig="5251">
          <v:shape id="_x0000_i1068" type="#_x0000_t75" style="width:318.75pt;height:262.5pt" o:ole="">
            <v:imagedata r:id="rId112" o:title=""/>
          </v:shape>
          <o:OLEObject Type="Embed" ProgID="ChemDraw.Document.6.0" ShapeID="_x0000_i1068" DrawAspect="Content" ObjectID="_1531849615" r:id="rId113"/>
        </w:object>
      </w:r>
    </w:p>
    <w:p w:rsidR="00A77419" w:rsidRDefault="00A77419" w:rsidP="00A77419">
      <w:pPr>
        <w:jc w:val="center"/>
        <w:rPr>
          <w:b/>
          <w:sz w:val="24"/>
          <w:szCs w:val="24"/>
        </w:rPr>
      </w:pPr>
      <w:r w:rsidRPr="00A77419">
        <w:rPr>
          <w:b/>
          <w:sz w:val="24"/>
          <w:szCs w:val="24"/>
        </w:rPr>
        <w:t>Scheme 1.4</w:t>
      </w:r>
      <w:r w:rsidR="00451339">
        <w:rPr>
          <w:b/>
          <w:sz w:val="24"/>
          <w:szCs w:val="24"/>
        </w:rPr>
        <w:t>5</w:t>
      </w:r>
    </w:p>
    <w:p w:rsidR="00A77419" w:rsidRDefault="00A77419" w:rsidP="00A77419">
      <w:pPr>
        <w:jc w:val="center"/>
        <w:rPr>
          <w:b/>
          <w:sz w:val="24"/>
          <w:szCs w:val="24"/>
        </w:rPr>
      </w:pPr>
    </w:p>
    <w:p w:rsidR="00FE4857" w:rsidRDefault="00176963" w:rsidP="004D7FA0">
      <w:pPr>
        <w:spacing w:line="360" w:lineRule="auto"/>
        <w:jc w:val="both"/>
        <w:rPr>
          <w:sz w:val="24"/>
          <w:szCs w:val="24"/>
        </w:rPr>
      </w:pPr>
      <w:r>
        <w:rPr>
          <w:sz w:val="24"/>
          <w:szCs w:val="24"/>
        </w:rPr>
        <w:t xml:space="preserve">Lloyd and co-workers employed another </w:t>
      </w:r>
      <w:r w:rsidR="009C452D">
        <w:rPr>
          <w:sz w:val="24"/>
          <w:szCs w:val="24"/>
        </w:rPr>
        <w:t>rhodium(II)</w:t>
      </w:r>
      <w:r>
        <w:rPr>
          <w:sz w:val="24"/>
          <w:szCs w:val="24"/>
        </w:rPr>
        <w:t xml:space="preserve"> catalyst,  in their selective C-H insertion reactions for the synthesis of </w:t>
      </w:r>
      <w:r w:rsidRPr="00176963">
        <w:rPr>
          <w:rFonts w:ascii="Symbol" w:hAnsi="Symbol"/>
          <w:sz w:val="24"/>
          <w:szCs w:val="24"/>
        </w:rPr>
        <w:t></w:t>
      </w:r>
      <w:r>
        <w:rPr>
          <w:sz w:val="24"/>
          <w:szCs w:val="24"/>
        </w:rPr>
        <w:t>-methylene-</w:t>
      </w:r>
      <w:r>
        <w:rPr>
          <w:rFonts w:ascii="Symbol" w:hAnsi="Symbol"/>
          <w:sz w:val="24"/>
          <w:szCs w:val="24"/>
        </w:rPr>
        <w:t></w:t>
      </w:r>
      <w:r>
        <w:rPr>
          <w:sz w:val="24"/>
          <w:szCs w:val="24"/>
        </w:rPr>
        <w:t>-butyrolactone natural products.</w:t>
      </w:r>
      <w:r>
        <w:rPr>
          <w:sz w:val="24"/>
          <w:szCs w:val="24"/>
        </w:rPr>
        <w:fldChar w:fldCharType="begin" w:fldLock="1"/>
      </w:r>
      <w:r w:rsidR="00F168DA">
        <w:rPr>
          <w:sz w:val="24"/>
          <w:szCs w:val="24"/>
        </w:rPr>
        <w:instrText>ADDIN CSL_CITATION { "citationItems" : [ { "id" : "ITEM-1", "itemData" : { "DOI" : "10.1039/C5OB02579F", "ISSN" : "1477-0520", "abstract" : "A regio- and stereoselective 1-pot C-H insertion/olefination protocol was developed for the late stage installation of \u03b1-methylene-\u03b3-butyrolactones into conformationally restricted cyclohexanol-derivs.  The method was successfully applied in the total synthesis of eudesmanolide natural product frameworks, including \u03b1-cyclocostunolide. [on SciFinder(R)]", "author" : [ { "dropping-particle" : "", "family" : "Lloyd", "given" : "Matthew G", "non-dropping-particle" : "", "parse-names" : false, "suffix" : "" }, { "dropping-particle" : "", "family" : "D'Acunto", "given" : "Mariantonietta", "non-dropping-particle" : "", "parse-names" : false, "suffix" : "" }, { "dropping-particle" : "", "family" : "Taylor", "given" : "Richard J K", "non-dropping-particle" : "", "parse-names" : false, "suffix" : "" }, { "dropping-particle" : "", "family" : "Unsworth", "given" : "William P", "non-dropping-particle" : "", "parse-names" : false, "suffix" : "" } ], "container-title" : "Organic &amp; Biomolecular Chemistry", "id" : "ITEM-1", "issue" : "5", "issued" : { "date-parts" : [ [ "2016" ] ] }, "note" : "CAPLUS AN 2015:2046786(Journal; Online Computer File)", "page" : "1641-1645", "publisher" : "Royal Society of Chemistry", "title" : "A selective C-H insertion/olefination protocol for the synthesis of \u03b1-methylene-\u03b3-butyrolactone natural products.", "type" : "article-journal", "volume" : "14" }, "uris" : [ "http://www.mendeley.com/documents/?uuid=d6315027-9ef2-4d16-88ac-9acb0483cfad" ] } ], "mendeley" : { "formattedCitation" : "&lt;sup&gt;[139]&lt;/sup&gt;", "plainTextFormattedCitation" : "[139]", "previouslyFormattedCitation" : "&lt;sup&gt;[139]&lt;/sup&gt;"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[139]</w:t>
      </w:r>
      <w:r>
        <w:rPr>
          <w:sz w:val="24"/>
          <w:szCs w:val="24"/>
        </w:rPr>
        <w:fldChar w:fldCharType="end"/>
      </w:r>
      <w:r>
        <w:rPr>
          <w:sz w:val="24"/>
          <w:szCs w:val="24"/>
        </w:rPr>
        <w:t xml:space="preserve"> Dirhodium tetraoctanoate </w:t>
      </w:r>
      <w:r w:rsidR="0039536F" w:rsidRPr="0039536F">
        <w:rPr>
          <w:b/>
          <w:sz w:val="24"/>
          <w:szCs w:val="24"/>
        </w:rPr>
        <w:t>80</w:t>
      </w:r>
      <w:r w:rsidR="0039536F">
        <w:rPr>
          <w:sz w:val="24"/>
          <w:szCs w:val="24"/>
        </w:rPr>
        <w:t xml:space="preserve"> </w:t>
      </w:r>
      <w:r>
        <w:rPr>
          <w:sz w:val="24"/>
          <w:szCs w:val="24"/>
        </w:rPr>
        <w:t xml:space="preserve">is a </w:t>
      </w:r>
      <w:r w:rsidR="009C452D">
        <w:rPr>
          <w:sz w:val="24"/>
          <w:szCs w:val="24"/>
        </w:rPr>
        <w:t>rhodium(II)</w:t>
      </w:r>
      <w:r>
        <w:rPr>
          <w:sz w:val="24"/>
          <w:szCs w:val="24"/>
        </w:rPr>
        <w:t xml:space="preserve"> is a binuclear compound, with four bridging octanoate ligands whose structure is shown in </w:t>
      </w:r>
      <w:r w:rsidRPr="00176963">
        <w:rPr>
          <w:b/>
          <w:sz w:val="24"/>
          <w:szCs w:val="24"/>
        </w:rPr>
        <w:t>Figure</w:t>
      </w:r>
      <w:r w:rsidR="0039536F">
        <w:rPr>
          <w:b/>
          <w:sz w:val="24"/>
          <w:szCs w:val="24"/>
        </w:rPr>
        <w:t xml:space="preserve"> 1.8</w:t>
      </w:r>
      <w:r>
        <w:rPr>
          <w:sz w:val="24"/>
          <w:szCs w:val="24"/>
        </w:rPr>
        <w:t>.</w:t>
      </w:r>
    </w:p>
    <w:p w:rsidR="00176963" w:rsidRDefault="00E355DB" w:rsidP="00176963">
      <w:pPr>
        <w:spacing w:line="360" w:lineRule="auto"/>
        <w:jc w:val="center"/>
      </w:pPr>
      <w:r>
        <w:object w:dxaOrig="2682" w:dyaOrig="2687">
          <v:shape id="_x0000_i1069" type="#_x0000_t75" style="width:134.25pt;height:134.25pt" o:ole="">
            <v:imagedata r:id="rId114" o:title=""/>
          </v:shape>
          <o:OLEObject Type="Embed" ProgID="ChemDraw.Document.6.0" ShapeID="_x0000_i1069" DrawAspect="Content" ObjectID="_1531849616" r:id="rId115"/>
        </w:object>
      </w:r>
    </w:p>
    <w:p w:rsidR="00CF45CA" w:rsidRDefault="0039536F" w:rsidP="0039536F">
      <w:pPr>
        <w:spacing w:line="360" w:lineRule="auto"/>
        <w:jc w:val="center"/>
      </w:pPr>
      <w:r w:rsidRPr="0039536F">
        <w:rPr>
          <w:b/>
          <w:sz w:val="24"/>
          <w:szCs w:val="24"/>
        </w:rPr>
        <w:t>Figure 1.8</w:t>
      </w:r>
    </w:p>
    <w:p w:rsidR="00176963" w:rsidRPr="00CF45CA" w:rsidRDefault="00176963" w:rsidP="00CF45CA">
      <w:pPr>
        <w:spacing w:line="360" w:lineRule="auto"/>
        <w:jc w:val="both"/>
        <w:rPr>
          <w:sz w:val="24"/>
          <w:szCs w:val="24"/>
        </w:rPr>
      </w:pPr>
      <w:r w:rsidRPr="00CF45CA">
        <w:rPr>
          <w:sz w:val="24"/>
          <w:szCs w:val="24"/>
        </w:rPr>
        <w:t xml:space="preserve">The authors </w:t>
      </w:r>
      <w:r w:rsidR="00CF45CA" w:rsidRPr="00CF45CA">
        <w:rPr>
          <w:sz w:val="24"/>
          <w:szCs w:val="24"/>
        </w:rPr>
        <w:t xml:space="preserve">synthesised a range of conformationally restricted cyclohexane derivatives by use of </w:t>
      </w:r>
      <w:r w:rsidR="009C452D">
        <w:rPr>
          <w:sz w:val="24"/>
          <w:szCs w:val="24"/>
        </w:rPr>
        <w:t>rhodium(II)</w:t>
      </w:r>
      <w:r w:rsidR="00CF45CA" w:rsidRPr="00CF45CA">
        <w:rPr>
          <w:sz w:val="24"/>
          <w:szCs w:val="24"/>
        </w:rPr>
        <w:t xml:space="preserve"> catalysed decomposition of </w:t>
      </w:r>
      <w:r w:rsidR="00CF45CA">
        <w:rPr>
          <w:sz w:val="24"/>
          <w:szCs w:val="24"/>
        </w:rPr>
        <w:t>the corresponding diazophosphonates (</w:t>
      </w:r>
      <w:r w:rsidR="00CF45CA" w:rsidRPr="00CF45CA">
        <w:rPr>
          <w:b/>
          <w:sz w:val="24"/>
          <w:szCs w:val="24"/>
        </w:rPr>
        <w:t>Scheme</w:t>
      </w:r>
      <w:r w:rsidR="0039536F">
        <w:rPr>
          <w:b/>
          <w:sz w:val="24"/>
          <w:szCs w:val="24"/>
        </w:rPr>
        <w:t xml:space="preserve"> 1.4</w:t>
      </w:r>
      <w:r w:rsidR="00451339">
        <w:rPr>
          <w:b/>
          <w:sz w:val="24"/>
          <w:szCs w:val="24"/>
        </w:rPr>
        <w:t>6</w:t>
      </w:r>
      <w:r w:rsidR="00CF45CA">
        <w:rPr>
          <w:sz w:val="24"/>
          <w:szCs w:val="24"/>
        </w:rPr>
        <w:t xml:space="preserve">). This method was then used in the synthesis of the natural product, </w:t>
      </w:r>
      <w:r w:rsidR="00CF45CA" w:rsidRPr="00CF45CA">
        <w:rPr>
          <w:rStyle w:val="Heading4Char"/>
          <w:rFonts w:ascii="Symbol" w:hAnsi="Symbol"/>
          <w:i w:val="0"/>
          <w:color w:val="auto"/>
        </w:rPr>
        <w:t></w:t>
      </w:r>
      <w:r w:rsidR="00CF45CA">
        <w:rPr>
          <w:sz w:val="24"/>
          <w:szCs w:val="24"/>
        </w:rPr>
        <w:t>-cyclocostunolide</w:t>
      </w:r>
      <w:r w:rsidR="00E355DB">
        <w:rPr>
          <w:sz w:val="24"/>
          <w:szCs w:val="24"/>
        </w:rPr>
        <w:t>s</w:t>
      </w:r>
      <w:r w:rsidR="0039536F">
        <w:rPr>
          <w:sz w:val="24"/>
          <w:szCs w:val="24"/>
        </w:rPr>
        <w:t xml:space="preserve"> </w:t>
      </w:r>
      <w:r w:rsidR="0039536F" w:rsidRPr="0039536F">
        <w:rPr>
          <w:b/>
          <w:sz w:val="24"/>
          <w:szCs w:val="24"/>
        </w:rPr>
        <w:t>81</w:t>
      </w:r>
      <w:r w:rsidR="00CF45CA">
        <w:rPr>
          <w:sz w:val="24"/>
          <w:szCs w:val="24"/>
        </w:rPr>
        <w:t>.</w:t>
      </w:r>
    </w:p>
    <w:p w:rsidR="006B2F79" w:rsidRDefault="009E0CD2" w:rsidP="00176963">
      <w:pPr>
        <w:spacing w:line="360" w:lineRule="auto"/>
        <w:jc w:val="center"/>
      </w:pPr>
      <w:r>
        <w:object w:dxaOrig="5635" w:dyaOrig="4408">
          <v:shape id="_x0000_i1099" type="#_x0000_t75" style="width:281.25pt;height:220.5pt" o:ole="">
            <v:imagedata r:id="rId116" o:title=""/>
          </v:shape>
          <o:OLEObject Type="Embed" ProgID="ChemDraw.Document.6.0" ShapeID="_x0000_i1099" DrawAspect="Content" ObjectID="_1531849617" r:id="rId117"/>
        </w:object>
      </w:r>
    </w:p>
    <w:p w:rsidR="0039536F" w:rsidRPr="0039536F" w:rsidRDefault="0039536F" w:rsidP="00176963">
      <w:pPr>
        <w:spacing w:line="360" w:lineRule="auto"/>
        <w:jc w:val="center"/>
        <w:rPr>
          <w:b/>
          <w:sz w:val="24"/>
          <w:szCs w:val="24"/>
        </w:rPr>
      </w:pPr>
      <w:r w:rsidRPr="0039536F">
        <w:rPr>
          <w:b/>
          <w:sz w:val="24"/>
          <w:szCs w:val="24"/>
        </w:rPr>
        <w:t>Scheme 1.4</w:t>
      </w:r>
      <w:r w:rsidR="00451339">
        <w:rPr>
          <w:b/>
          <w:sz w:val="24"/>
          <w:szCs w:val="24"/>
        </w:rPr>
        <w:t>6</w:t>
      </w:r>
    </w:p>
    <w:p w:rsidR="006B2F79" w:rsidRDefault="006B2F79" w:rsidP="004D7FA0">
      <w:pPr>
        <w:spacing w:line="360" w:lineRule="auto"/>
        <w:jc w:val="both"/>
        <w:rPr>
          <w:sz w:val="24"/>
          <w:szCs w:val="24"/>
        </w:rPr>
      </w:pPr>
    </w:p>
    <w:p w:rsidR="006B2F79" w:rsidRDefault="00977B9B" w:rsidP="00977B9B">
      <w:pPr>
        <w:pStyle w:val="Heading2"/>
      </w:pPr>
      <w:bookmarkStart w:id="23" w:name="_Toc446773075"/>
      <w:r>
        <w:t>1.</w:t>
      </w:r>
      <w:r w:rsidR="00591EF1">
        <w:t>5</w:t>
      </w:r>
      <w:r>
        <w:t>.</w:t>
      </w:r>
      <w:r w:rsidR="00B673D2">
        <w:t>4</w:t>
      </w:r>
      <w:r>
        <w:t xml:space="preserve"> Dioxinones</w:t>
      </w:r>
      <w:bookmarkEnd w:id="23"/>
    </w:p>
    <w:p w:rsidR="00072BF7" w:rsidRDefault="003A4CF1" w:rsidP="003A4CF1">
      <w:pPr>
        <w:spacing w:line="360" w:lineRule="auto"/>
        <w:jc w:val="both"/>
        <w:rPr>
          <w:sz w:val="24"/>
          <w:szCs w:val="24"/>
        </w:rPr>
      </w:pPr>
      <w:r w:rsidRPr="003A4CF1">
        <w:rPr>
          <w:sz w:val="24"/>
          <w:szCs w:val="24"/>
        </w:rPr>
        <w:t xml:space="preserve">Diketene </w:t>
      </w:r>
      <w:r w:rsidR="0039536F">
        <w:rPr>
          <w:b/>
          <w:sz w:val="24"/>
          <w:szCs w:val="24"/>
        </w:rPr>
        <w:t>82</w:t>
      </w:r>
      <w:r w:rsidRPr="003A4CF1">
        <w:rPr>
          <w:sz w:val="24"/>
          <w:szCs w:val="24"/>
        </w:rPr>
        <w:t xml:space="preserve"> was first reported by Wilsmore in 1907</w:t>
      </w:r>
      <w:r>
        <w:rPr>
          <w:sz w:val="24"/>
          <w:szCs w:val="24"/>
        </w:rPr>
        <w:t>,</w:t>
      </w:r>
      <w:r w:rsidR="00C057FF">
        <w:rPr>
          <w:sz w:val="24"/>
          <w:szCs w:val="24"/>
        </w:rPr>
        <w:fldChar w:fldCharType="begin" w:fldLock="1"/>
      </w:r>
      <w:r w:rsidR="00F168DA">
        <w:rPr>
          <w:sz w:val="24"/>
          <w:szCs w:val="24"/>
        </w:rPr>
        <w:instrText>ADDIN CSL_CITATION { "citationItems" : [ { "id" : "ITEM-1", "itemData" : { "ISSN" : "0368-1645", "abstract" : "By further study of the gaseous substance produced by the action of a hot platinum wire on Ac2O (Nature, 75, 510), it was found to have the formula C2H20.  On standing, it condensed partially to a brown liquid.  It combined with aniline, o-toluidine, anhydrous liquid ammonia, ethyl and amyl alcohols to form the corresponding acetyl derivatives.  With bromine it yielded bromacetylbromide.  Since no by-products appeared to be formed in these reactions, it may be inferred that the substance is a new anhydride of acetic acid, having the formula CH2: CO or CH: COH, and further that it is the lowest member of the ketene series.  With water, ketene gives chiefly acetic acid, but an aldehyde, probably glycollaldehyde is formed at the same time.  Ketene is also produced when an arc is made to burn under the surface of liquid acetic anhydride. [on SciFinder(R)]", "author" : [ { "dropping-particle" : "", "family" : "Wilsmore", "given" : "Norman Thomas Mortimer.", "non-dropping-particle" : "", "parse-names" : false, "suffix" : "" } ], "container-title" : "Journal of the Chemical Society, Transactions", "id" : "ITEM-1", "issued" : { "date-parts" : [ [ "1907" ] ] }, "note" : "CAPLUS AN 1908:3423(Journal)", "page" : "1938-1941", "title" : "Ketene.", "type" : "article-journal", "volume" : "91" }, "uris" : [ "http://www.mendeley.com/documents/?uuid=2482d226-7cdf-414a-8198-be5c6aaf26fe" ] } ], "mendeley" : { "formattedCitation" : "&lt;sup&gt;[140]&lt;/sup&gt;", "plainTextFormattedCitation" : "[140]", "previouslyFormattedCitation" : "&lt;sup&gt;[140]&lt;/sup&gt;" }, "properties" : { "noteIndex" : 0 }, "schema" : "https://github.com/citation-style-language/schema/raw/master/csl-citation.json" }</w:instrText>
      </w:r>
      <w:r w:rsidR="00C057FF">
        <w:rPr>
          <w:sz w:val="24"/>
          <w:szCs w:val="24"/>
        </w:rPr>
        <w:fldChar w:fldCharType="separate"/>
      </w:r>
      <w:r w:rsidR="0055300D" w:rsidRPr="0055300D">
        <w:rPr>
          <w:noProof/>
          <w:sz w:val="24"/>
          <w:szCs w:val="24"/>
          <w:vertAlign w:val="superscript"/>
        </w:rPr>
        <w:t>[140]</w:t>
      </w:r>
      <w:r w:rsidR="00C057FF">
        <w:rPr>
          <w:sz w:val="24"/>
          <w:szCs w:val="24"/>
        </w:rPr>
        <w:fldChar w:fldCharType="end"/>
      </w:r>
      <w:r>
        <w:rPr>
          <w:sz w:val="24"/>
          <w:szCs w:val="24"/>
        </w:rPr>
        <w:t xml:space="preserve"> but it was not until 1952 that Carroll and Bader </w:t>
      </w:r>
      <w:r w:rsidR="00C057FF">
        <w:rPr>
          <w:sz w:val="24"/>
          <w:szCs w:val="24"/>
        </w:rPr>
        <w:t>reported</w:t>
      </w:r>
      <w:r>
        <w:rPr>
          <w:sz w:val="24"/>
          <w:szCs w:val="24"/>
        </w:rPr>
        <w:t xml:space="preserve"> the reaction of diketene with ketones </w:t>
      </w:r>
      <w:r w:rsidR="00C057FF">
        <w:rPr>
          <w:sz w:val="24"/>
          <w:szCs w:val="24"/>
        </w:rPr>
        <w:t>to form 2,2-disubstituted-4-methyl-6-keto-1,3-dioxinones</w:t>
      </w:r>
      <w:r w:rsidR="00A51F89">
        <w:rPr>
          <w:sz w:val="24"/>
          <w:szCs w:val="24"/>
        </w:rPr>
        <w:t xml:space="preserve">, as shown in </w:t>
      </w:r>
      <w:r w:rsidR="00A51F89" w:rsidRPr="00A51F89">
        <w:rPr>
          <w:b/>
          <w:sz w:val="24"/>
          <w:szCs w:val="24"/>
        </w:rPr>
        <w:t>Scheme</w:t>
      </w:r>
      <w:r w:rsidR="0039536F">
        <w:rPr>
          <w:b/>
          <w:sz w:val="24"/>
          <w:szCs w:val="24"/>
        </w:rPr>
        <w:t xml:space="preserve"> 1.4</w:t>
      </w:r>
      <w:r w:rsidR="00451339">
        <w:rPr>
          <w:b/>
          <w:sz w:val="24"/>
          <w:szCs w:val="24"/>
        </w:rPr>
        <w:t>7</w:t>
      </w:r>
      <w:r w:rsidR="00C057FF">
        <w:rPr>
          <w:sz w:val="24"/>
          <w:szCs w:val="24"/>
        </w:rPr>
        <w:t>.</w:t>
      </w:r>
      <w:r w:rsidR="00C057FF">
        <w:rPr>
          <w:sz w:val="24"/>
          <w:szCs w:val="24"/>
        </w:rPr>
        <w:fldChar w:fldCharType="begin" w:fldLock="1"/>
      </w:r>
      <w:r w:rsidR="00F168DA">
        <w:rPr>
          <w:sz w:val="24"/>
          <w:szCs w:val="24"/>
        </w:rPr>
        <w:instrText>ADDIN CSL_CITATION { "citationItems" : [ { "id" : "ITEM-1", "itemData" : { "DOI" : "10.1021/ja01144a530", "ISSN" : "0002-7863", "abstract" : "See C.A. 49, 1051b. [on SciFinder(R)]", "author" : [ { "dropping-particle" : "", "family" : "Carroll", "given" : "Michael F", "non-dropping-particle" : "", "parse-names" : false, "suffix" : "" }, { "dropping-particle" : "", "family" : "Bader", "given" : "Alfred R", "non-dropping-particle" : "", "parse-names" : false, "suffix" : "" } ], "container-title" : "Journal of the American Chemical Society", "id" : "ITEM-1", "issued" : { "date-parts" : [ [ "1952" ] ] }, "note" : "CAPLUS AN 1955:12017(Journal)", "page" : "6305", "title" : "The reaction of diketene with ketones.", "type" : "article-journal", "volume" : "74" }, "uris" : [ "http://www.mendeley.com/documents/?uuid=b614da9b-7469-4c7d-b60b-f165da02de80" ] }, { "id" : "ITEM-2", "itemData" : { "DOI" : "10.1021/ja01117a076", "ISSN" : "0002-7863", "abstract" : "The acid-catalyzed reactions of diketene (I) with ketones yield 2,2-disubstituted 4-methyl-6-oxo-1,3-dioxenes (II), many reactions of which parallel those of I.  Dry Me2CO (100 cc.), 109 g. I, and 0.5 g. p-MeC6H4SO3H (IIa) refluxed 3 hrs., the excess Me2CO distd. off, and the residue distd. gave 168 g. (91%) 2,2,4-trimethyl-6-oxo-1,3-dioxene (III), b2 65-7\u00b0, m. 12-13\u00b0, nD20 1.4636, d20 1.0879, \u03bbmax.H2O 252.5 m\u03bc (log \u03b5 3.94), \u03bbmax.EtOH 247.5 (3.92), \u03bbmax.isooctane 239.0 (3.93); no reaction took place in the presence of Et2NH; with larger amts. of catalyst, ketene and CH2:CMcOAc (IV) were also formed; in the presence of 3 times as much catalyst 70% III, 2% ketene, and 10% IV were formed.  Similarly were prepd. 2,4-dimethyl-2-ethyl-6-oxo-1,3-dioxene, colorless liquid, b5 70-4\u00b0, nD20 1.4633, d20 1.065, from EtAc. PhAc (120 g.), 84 g. I, and 0.4 g. m-xylenesulfonic acid heated 7 hrs. at 90\u00b0 gave 100 g. crude 2,4-dimethyl-2-phenyl-6-oxo-1,3-dioxene (V), m. 75-80\u00b0; recrystd. from C6H6-cyclohexane, shiny white platelets, m. 93.5\u00b0, \u03bbmax.EtOH 247.5 m\u03bc (log \u03b5 3.86), \u03bbmax.isooctane 240.0 (3.84).  Similarly was prepd. 2,2-dibenzyl-4-methyl-6-oxo-1,3-dioxene, m. 104-5\u00b0, \u03bbmax.EtOH 252.5 m\u03bc (log \u03b5 3.77), \u03bbmax.isooctane 246.0 (3.77), from (PhCH2)2CO, I, and IIa.  III (10 g.), 200 cc. PhMe, and 0.1 g. Ca(OAc)2 heated 5 hrs. with takeoff of 4.0 g. Me2CO in the distillate, the residue extd. with dil. aq. Na2CO3, and the ext. acidified yielded 3 g. (51%) dehydracetic acid.  III (20 g.), 20 g. BuOH, and a trace IIa heated 3 hrs. at 100\u00b0 yielded 21 g. (95%) AcCH2CO2Bu, nD20 1.4280. V (13 g.) and 10 cc. MeOH yielded similarly 9 g. mixt. of PhAc and AcCH2CO2Me.  Cholesterol (4 g.), 8 g. III, 10 cc. PhMe, and a trace IIa refluxed 5 hrs. gave 4 g. cholesteryl acetoacetate.  III (28.4 g.), 18.6 g. PhNH2, and 1 g. (HOCH2CH2)2NH in 100 cc. xylene heated until no more Me2CO was detected in the distillate, the mixt. cooled and acidified with concd. HCl, the solid ppt. and the xylene layer combined and extd. with dil. aq. NaOH, and the alk. ext. acidified gave 16 g. AcCH2CONHPh, m. 84-5\u00b0.  The infrared absorption spectra of III and V are recorded. [on SciFinder(R)]", "author" : [ { "dropping-particle" : "", "family" : "Carroll", "given" : "Michael F", "non-dropping-particle" : "", "parse-names" : false, "suffix" : "" }, { "dropping-particle" : "", "family" : "Bader", "given" : "Alfred R", "non-dropping-particle" : "", "parse-names" : false, "suffix" : "" } ], "container-title" : "Journal of the American Chemical Society", "id" : "ITEM-2", "issued" : { "date-parts" : [ [ "1953" ] ] }, "note" : "CAPLUS AN 1955:4897(Journal)", "page" : "5400-5402", "title" : "The reactions of diketene with ketones.", "type" : "article-journal", "volume" : "75" }, "uris" : [ "http://www.mendeley.com/documents/?uuid=136d9060-8338-486f-b806-3845a4006166" ] } ], "mendeley" : { "formattedCitation" : "&lt;sup&gt;[141,142]&lt;/sup&gt;", "plainTextFormattedCitation" : "[141,142]", "previouslyFormattedCitation" : "&lt;sup&gt;[141,142]&lt;/sup&gt;" }, "properties" : { "noteIndex" : 0 }, "schema" : "https://github.com/citation-style-language/schema/raw/master/csl-citation.json" }</w:instrText>
      </w:r>
      <w:r w:rsidR="00C057FF">
        <w:rPr>
          <w:sz w:val="24"/>
          <w:szCs w:val="24"/>
        </w:rPr>
        <w:fldChar w:fldCharType="separate"/>
      </w:r>
      <w:r w:rsidR="0055300D" w:rsidRPr="0055300D">
        <w:rPr>
          <w:noProof/>
          <w:sz w:val="24"/>
          <w:szCs w:val="24"/>
          <w:vertAlign w:val="superscript"/>
        </w:rPr>
        <w:t>[141,142]</w:t>
      </w:r>
      <w:r w:rsidR="00C057FF">
        <w:rPr>
          <w:sz w:val="24"/>
          <w:szCs w:val="24"/>
        </w:rPr>
        <w:fldChar w:fldCharType="end"/>
      </w:r>
      <w:r w:rsidR="00072BF7">
        <w:rPr>
          <w:sz w:val="24"/>
          <w:szCs w:val="24"/>
        </w:rPr>
        <w:t xml:space="preserve"> </w:t>
      </w:r>
    </w:p>
    <w:p w:rsidR="00A51F89" w:rsidRDefault="0039536F" w:rsidP="0039536F">
      <w:pPr>
        <w:spacing w:line="360" w:lineRule="auto"/>
        <w:jc w:val="center"/>
      </w:pPr>
      <w:r>
        <w:object w:dxaOrig="4948" w:dyaOrig="1650">
          <v:shape id="_x0000_i1070" type="#_x0000_t75" style="width:248.25pt;height:83.25pt" o:ole="">
            <v:imagedata r:id="rId118" o:title=""/>
          </v:shape>
          <o:OLEObject Type="Embed" ProgID="ChemDraw.Document.6.0" ShapeID="_x0000_i1070" DrawAspect="Content" ObjectID="_1531849618" r:id="rId119"/>
        </w:object>
      </w:r>
    </w:p>
    <w:p w:rsidR="0039536F" w:rsidRDefault="0039536F" w:rsidP="0039536F">
      <w:pPr>
        <w:spacing w:line="360" w:lineRule="auto"/>
        <w:jc w:val="center"/>
        <w:rPr>
          <w:b/>
          <w:sz w:val="24"/>
          <w:szCs w:val="24"/>
        </w:rPr>
      </w:pPr>
      <w:r w:rsidRPr="0039536F">
        <w:rPr>
          <w:b/>
          <w:sz w:val="24"/>
          <w:szCs w:val="24"/>
        </w:rPr>
        <w:t>Scheme 1.4</w:t>
      </w:r>
      <w:r w:rsidR="00451339">
        <w:rPr>
          <w:b/>
          <w:sz w:val="24"/>
          <w:szCs w:val="24"/>
        </w:rPr>
        <w:t>7</w:t>
      </w:r>
    </w:p>
    <w:p w:rsidR="00977B9B" w:rsidRDefault="00072BF7" w:rsidP="003A4CF1">
      <w:pPr>
        <w:spacing w:line="360" w:lineRule="auto"/>
        <w:jc w:val="both"/>
        <w:rPr>
          <w:sz w:val="24"/>
          <w:szCs w:val="24"/>
        </w:rPr>
      </w:pPr>
      <w:r>
        <w:rPr>
          <w:sz w:val="24"/>
          <w:szCs w:val="24"/>
        </w:rPr>
        <w:t>The structure of 2,2,6-trimethyl-4H--1,3-dioxin-4</w:t>
      </w:r>
      <w:r w:rsidR="00324037">
        <w:rPr>
          <w:sz w:val="24"/>
          <w:szCs w:val="24"/>
        </w:rPr>
        <w:t>-</w:t>
      </w:r>
      <w:r>
        <w:rPr>
          <w:sz w:val="24"/>
          <w:szCs w:val="24"/>
        </w:rPr>
        <w:t xml:space="preserve">one </w:t>
      </w:r>
      <w:r w:rsidR="0039536F" w:rsidRPr="0039536F">
        <w:rPr>
          <w:b/>
          <w:sz w:val="24"/>
          <w:szCs w:val="24"/>
        </w:rPr>
        <w:t>83</w:t>
      </w:r>
      <w:r>
        <w:rPr>
          <w:sz w:val="24"/>
          <w:szCs w:val="24"/>
        </w:rPr>
        <w:t>, the adduct formed by reaction of diketene with acetone</w:t>
      </w:r>
      <w:r w:rsidR="00D63B3B">
        <w:rPr>
          <w:sz w:val="24"/>
          <w:szCs w:val="24"/>
        </w:rPr>
        <w:t>,</w:t>
      </w:r>
      <w:r>
        <w:rPr>
          <w:sz w:val="24"/>
          <w:szCs w:val="24"/>
        </w:rPr>
        <w:t xml:space="preserve"> was confirmed using proton magnetic resonance in 1956.</w:t>
      </w:r>
      <w:r>
        <w:rPr>
          <w:sz w:val="24"/>
          <w:szCs w:val="24"/>
        </w:rPr>
        <w:fldChar w:fldCharType="begin" w:fldLock="1"/>
      </w:r>
      <w:r w:rsidR="00F168DA">
        <w:rPr>
          <w:sz w:val="24"/>
          <w:szCs w:val="24"/>
        </w:rPr>
        <w:instrText>ADDIN CSL_CITATION { "citationItems" : [ { "id" : "ITEM-1", "itemData" : { "DOI" : "10.1021/jo01113a619", "ISSN" : "0022-3263", "abstract" : "Conflicting evidence recorded in the literature has been resolved by the use of proton magnetic resonance spectrum on diketene-acetone adduct.  The structure is now conclusively shown to be 2,2-dimethyl-4-methyl-6-oxo-1,3-dioxene.  Individual features of the spectra are discussed and the absorption bands interpreted. [on SciFinder(R)]", "author" : [ { "dropping-particle" : "", "family" : "Bader", "given" : "Alfred R", "non-dropping-particle" : "", "parse-names" : false, "suffix" : "" }, { "dropping-particle" : "", "family" : "Gutowsky", "given" : "H S", "non-dropping-particle" : "", "parse-names" : false, "suffix" : "" }, { "dropping-particle" : "", "family" : "Heeschen", "given" : "J P", "non-dropping-particle" : "", "parse-names" : false, "suffix" : "" } ], "container-title" : "Journal of Organic Chemistry", "id" : "ITEM-1", "issued" : { "date-parts" : [ [ "1956" ] ] }, "note" : "CAPLUS AN 1959:1605(Journal)", "page" : "821-822", "title" : "Proton magnetic resonance and structure of the diketene-acetone adduct.", "type" : "article-journal", "volume" : "21" }, "uris" : [ "http://www.mendeley.com/documents/?uuid=6d920190-a94d-4909-b588-83ccf7bed5cd" ] } ], "mendeley" : { "formattedCitation" : "&lt;sup&gt;[143]&lt;/sup&gt;", "plainTextFormattedCitation" : "[143]", "previouslyFormattedCitation" : "&lt;sup&gt;[143]&lt;/sup&gt;"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[143]</w:t>
      </w:r>
      <w:r>
        <w:rPr>
          <w:sz w:val="24"/>
          <w:szCs w:val="24"/>
        </w:rPr>
        <w:fldChar w:fldCharType="end"/>
      </w:r>
      <w:r>
        <w:rPr>
          <w:sz w:val="24"/>
          <w:szCs w:val="24"/>
        </w:rPr>
        <w:t xml:space="preserve"> Since their discovery, dioxinones have been widely used, and have been reviewed a number of times.</w:t>
      </w:r>
      <w:r>
        <w:rPr>
          <w:sz w:val="24"/>
          <w:szCs w:val="24"/>
        </w:rPr>
        <w:fldChar w:fldCharType="begin" w:fldLock="1"/>
      </w:r>
      <w:r w:rsidR="00F168DA">
        <w:rPr>
          <w:sz w:val="24"/>
          <w:szCs w:val="24"/>
        </w:rPr>
        <w:instrText>ADDIN CSL_CITATION { "citationItems" : [ { "id" : "ITEM-1", "itemData" : { "DOI" : "10.1002/jhet.5570270103", "ISSN" : "0022-152X", "abstract" : "A review with 38 refs. on the synthesis of 1,3-dioxin-4-ones and their use as synthons in org. synthesis. [on SciFinder(R)]", "author" : [ { "dropping-particle" : "", "family" : "Kaneko", "given" : "Chikara", "non-dropping-particle" : "", "parse-names" : false, "suffix" : "" }, { "dropping-particle" : "", "family" : "Sato", "given" : "Masayuki", "non-dropping-particle" : "", "parse-names" : false, "suffix" : "" }, { "dropping-particle" : "", "family" : "Sakaki", "given" : "Junichi", "non-dropping-particle" : "", "parse-names" : false, "suffix" : "" }, { "dropping-particle" : "", "family" : "Abe", "given" : "Yoshito.", "non-dropping-particle" : "", "parse-names" : false, "suffix" : "" } ], "container-title" : "Journal of Heterocyclic Chemistry", "id" : "ITEM-1", "issue" : "1", "issued" : { "date-parts" : [ [ "1990" ] ] }, "note" : "CAPLUS AN 1990:216726(Journal; General Review)", "page" : "25-30", "title" : "1,3-Dioxin-4-ones as versatile intermediates for organic synthesis.", "type" : "article-journal", "volume" : "27" }, "uris" : [ "http://www.mendeley.com/documents/?uuid=cb2919f2-e396-4ce6-8182-5af2c6238bfa" ] }, { "id" : "ITEM-2", "itemData" : { "DOI" : "10.5059/yukigoseikyokaishi.57.76", "ISSN" : "0037-9980", "abstract" : "A review with 48 refs.  \u03b1-Oxoketenes are currently of major interest in synthetic and mechanistic studies.  They are most conveniently generated by thermal fragmentation of 1,3-dioxin-4-ones or acylated Meldrum's acids under mild heating.  Meldrum's acid itself also generates carboxyketene through the tautomeric 6-hydroxydioxinone under mild heating.  The fragmentation of dioxinones to \u03b1-oxoketenes is of much interest from mechanistic viewpoint, because the transition structure of the ring opening is almost planner as recently revealed by ab initio calcns.  \u03b1-Oxoketenes thus generated serve as powerful acylating reagents of nucleophiles to produce \u03b2-keto acid derivs.  They also serve as hetero-dienes in 4 + 2 cycloaddns. to produce heterocyclic compds.  In addn., use of dioxinones provides ready access to hydroxylated or aminated ketenes.  Intramol. trappings of these ketenes afford lactones or lactams including macrocyclic compds.  Intramol. dimerization of bis (oxoketene) tethered to oligomethylene unit efficiently produces a series of new cyclophanes. [on SciFinder(R)]", "author" : [ { "dropping-particle" : "", "family" : "Sato", "given" : "Masayuki", "non-dropping-particle" : "", "parse-names" : false, "suffix" : "" }, { "dropping-particle" : "", "family" : "Iwamoto", "given" : "Kenichi.", "non-dropping-particle" : "", "parse-names" : false, "suffix" : "" } ], "container-title" : "Yuki Gosei Kagaku Kyokaishi", "id" : "ITEM-2", "issue" : "2", "issued" : { "date-parts" : [ [ "1999" ] ] }, "note" : "CAPLUS AN 1999:122260(Journal; General Review)", "page" : "76-83", "publisher" : "Yuki Gosei Kagaku Kyokai", "title" : "Development in ketene chemistry. Generation and reaction of \u03b1-oxoketenes.", "type" : "article-journal", "volume" : "57" }, "uris" : [ "http://www.mendeley.com/documents/?uuid=65a51e00-f020-412d-8b20-3368a8842904" ] }, { "id" : "ITEM-3", "itemData" : { "DOI" : "10.1016/j.tetlet.2006.07.046", "ISSN" : "00404039", "abstract" : "A novel 3-nitrobenzeneboronic acid is found to catalyse efficiently the acetylation of a wide range of alcohols as well as phenols with acetic anhydride in good to excellent yields at room temperature under solvent-free conditions. The reactions are clean and the catalyst is mild such that highly sensitive functional groups including oximes are stable to the reaction conditions. ?? 2006 Elsevier Ltd. All rights reserved.", "author" : [ { "dropping-particle" : "", "family" : "Tale", "given" : "R. H.", "non-dropping-particle" : "", "parse-names" : false, "suffix" : "" }, { "dropping-particle" : "", "family" : "Adude", "given" : "R. N.", "non-dropping-particle" : "", "parse-names" : false, "suffix" : "" } ], "container-title" : "Tetrahedron Letters", "id" : "ITEM-3", "issue" : "40", "issued" : { "date-parts" : [ [ "2006", "10" ] ] }, "page" : "7263-7265", "title" : "A novel 3-nitrobenzeneboronic acid as an extremely mild and environmentally benign catalyst for the acetylation of alcohols under solvent-free conditions", "type" : "article-journal", "volume" : "47" }, "uris" : [ "http://www.mendeley.com/documents/?uuid=379848e5-f927-4452-9d4c-7d4acda9f88d" ] }, { "id" : "ITEM-4", "itemData" : { "ISSN" : "0009-3122", "abstract" : "A review on the prodn. of 6-aryl-2,2-dimethyl-1,3-dioxin-4-ones and their thermolysis in the presence of nucleophiles and dienophiles. [on SciFinder(R)]", "author" : [ { "dropping-particle" : "", "family" : "Nekrasov", "given" : "D D", "non-dropping-particle" : "", "parse-names" : false, "suffix" : "" } ], "container-title" : "Chemistry of Heterocyclic Compounds (New York, NY, United States)(Translation of Khimiya Geterotsiklicheskikh Soedinenii)", "id" : "ITEM-4", "issue" : "8", "issued" : { "date-parts" : [ [ "2001" ] ] }, "note" : "CAPLUS AN 2002:67859(Journal; General Review)", "page" : "925-938", "publisher" : "Kluwer Academic/Consultants Bureau", "title" : "6-Aryl-2,2-dimethyl-1,3-dioxin-4-ones: synthesis and chemical characteristics.", "type" : "article-journal", "volume" : "37" }, "uris" : [ "http://www.mendeley.com/documents/?uuid=3a49a552-def3-4798-9c4b-4143f52f50a0" ] } ], "mendeley" : { "formattedCitation" : "&lt;sup&gt;[144\u2013147]&lt;/sup&gt;", "plainTextFormattedCitation" : "[144\u2013147]", "previouslyFormattedCitation" : "&lt;sup&gt;[144\u2013147]&lt;/sup&gt;"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[144–147]</w:t>
      </w:r>
      <w:r>
        <w:rPr>
          <w:sz w:val="24"/>
          <w:szCs w:val="24"/>
        </w:rPr>
        <w:fldChar w:fldCharType="end"/>
      </w:r>
      <w:r>
        <w:rPr>
          <w:sz w:val="24"/>
          <w:szCs w:val="24"/>
        </w:rPr>
        <w:t xml:space="preserve"> The following section will outline some uses of dioxinones.</w:t>
      </w:r>
    </w:p>
    <w:p w:rsidR="00070B1D" w:rsidRDefault="0042406C" w:rsidP="003A4CF1">
      <w:pPr>
        <w:spacing w:line="360" w:lineRule="auto"/>
        <w:jc w:val="both"/>
        <w:rPr>
          <w:sz w:val="24"/>
          <w:szCs w:val="24"/>
        </w:rPr>
      </w:pPr>
      <w:r>
        <w:rPr>
          <w:sz w:val="24"/>
          <w:szCs w:val="24"/>
        </w:rPr>
        <w:t xml:space="preserve">Sato </w:t>
      </w:r>
      <w:r w:rsidRPr="0042406C">
        <w:rPr>
          <w:i/>
          <w:sz w:val="24"/>
          <w:szCs w:val="24"/>
        </w:rPr>
        <w:t>et al</w:t>
      </w:r>
      <w:r>
        <w:rPr>
          <w:sz w:val="24"/>
          <w:szCs w:val="24"/>
        </w:rPr>
        <w:t xml:space="preserve">. reported that dioxinones could be used to form </w:t>
      </w:r>
      <w:r w:rsidR="0039536F">
        <w:rPr>
          <w:sz w:val="24"/>
          <w:szCs w:val="24"/>
        </w:rPr>
        <w:t xml:space="preserve">the corresponding acylketenes </w:t>
      </w:r>
      <w:r w:rsidR="0039536F" w:rsidRPr="000474C8">
        <w:rPr>
          <w:b/>
          <w:sz w:val="24"/>
          <w:szCs w:val="24"/>
        </w:rPr>
        <w:t>84</w:t>
      </w:r>
      <w:r>
        <w:rPr>
          <w:sz w:val="24"/>
          <w:szCs w:val="24"/>
        </w:rPr>
        <w:t xml:space="preserve">, which could either react with nucleophiles to give </w:t>
      </w:r>
      <w:r w:rsidRPr="0039536F">
        <w:rPr>
          <w:rFonts w:ascii="Symbol" w:hAnsi="Symbol"/>
          <w:sz w:val="24"/>
          <w:szCs w:val="24"/>
        </w:rPr>
        <w:t></w:t>
      </w:r>
      <w:r>
        <w:rPr>
          <w:sz w:val="24"/>
          <w:szCs w:val="24"/>
        </w:rPr>
        <w:t xml:space="preserve">-keto acid derivatives </w:t>
      </w:r>
      <w:r w:rsidR="0039536F">
        <w:rPr>
          <w:b/>
          <w:sz w:val="24"/>
          <w:szCs w:val="24"/>
        </w:rPr>
        <w:t>85</w:t>
      </w:r>
      <w:r>
        <w:rPr>
          <w:sz w:val="24"/>
          <w:szCs w:val="24"/>
        </w:rPr>
        <w:t xml:space="preserve">, or react with dipolarophiles to give six-membered heterocyclic compounds </w:t>
      </w:r>
      <w:r w:rsidR="0039536F" w:rsidRPr="0039536F">
        <w:rPr>
          <w:b/>
          <w:sz w:val="24"/>
          <w:szCs w:val="24"/>
        </w:rPr>
        <w:t>86</w:t>
      </w:r>
      <w:r>
        <w:rPr>
          <w:sz w:val="24"/>
          <w:szCs w:val="24"/>
        </w:rPr>
        <w:t>, such as lactones and lactams</w:t>
      </w:r>
      <w:r w:rsidR="0039536F">
        <w:rPr>
          <w:sz w:val="24"/>
          <w:szCs w:val="24"/>
        </w:rPr>
        <w:t xml:space="preserve"> (</w:t>
      </w:r>
      <w:r w:rsidR="0039536F" w:rsidRPr="0039536F">
        <w:rPr>
          <w:b/>
          <w:sz w:val="24"/>
          <w:szCs w:val="24"/>
        </w:rPr>
        <w:t>Scheme 1.4</w:t>
      </w:r>
      <w:r w:rsidR="00451339">
        <w:rPr>
          <w:b/>
          <w:sz w:val="24"/>
          <w:szCs w:val="24"/>
        </w:rPr>
        <w:t>8</w:t>
      </w:r>
      <w:r w:rsidR="0039536F">
        <w:rPr>
          <w:sz w:val="24"/>
          <w:szCs w:val="24"/>
        </w:rPr>
        <w:t>)</w:t>
      </w:r>
      <w:r>
        <w:rPr>
          <w:sz w:val="24"/>
          <w:szCs w:val="24"/>
        </w:rPr>
        <w:t>.</w:t>
      </w:r>
      <w:r>
        <w:rPr>
          <w:sz w:val="24"/>
          <w:szCs w:val="24"/>
        </w:rPr>
        <w:fldChar w:fldCharType="begin" w:fldLock="1"/>
      </w:r>
      <w:r w:rsidR="00F168DA">
        <w:rPr>
          <w:sz w:val="24"/>
          <w:szCs w:val="24"/>
        </w:rPr>
        <w:instrText>ADDIN CSL_CITATION { "citationItems" : [ { "id" : "ITEM-1", "itemData" : { "DOI" : "10.1002/jhet.5570270103", "ISSN" : "0022-152X", "abstract" : "A review with 38 refs. on the synthesis of 1,3-dioxin-4-ones and their use as synthons in org. synthesis. [on SciFinder(R)]", "author" : [ { "dropping-particle" : "", "family" : "Kaneko", "given" : "Chikara", "non-dropping-particle" : "", "parse-names" : false, "suffix" : "" }, { "dropping-particle" : "", "family" : "Sato", "given" : "Masayuki", "non-dropping-particle" : "", "parse-names" : false, "suffix" : "" }, { "dropping-particle" : "", "family" : "Sakaki", "given" : "Junichi", "non-dropping-particle" : "", "parse-names" : false, "suffix" : "" }, { "dropping-particle" : "", "family" : "Abe", "given" : "Yoshito.", "non-dropping-particle" : "", "parse-names" : false, "suffix" : "" } ], "container-title" : "Journal of Heterocyclic Chemistry", "id" : "ITEM-1", "issue" : "1", "issued" : { "date-parts" : [ [ "1990" ] ] }, "note" : "CAPLUS AN 1990:216726(Journal; General Review)", "page" : "25-30", "title" : "1,3-Dioxin-4-ones as versatile intermediates for organic synthesis.", "type" : "article-journal", "volume" : "27" }, "uris" : [ "http://www.mendeley.com/documents/?uuid=cb2919f2-e396-4ce6-8182-5af2c6238bfa" ] }, { "id" : "ITEM-2", "itemData" : { "DOI" : "10.5059/yukigoseikyokaishi.57.76", "ISSN" : "0037-9980", "abstract" : "A review with 48 refs.  \u03b1-Oxoketenes are currently of major interest in synthetic and mechanistic studies.  They are most conveniently generated by thermal fragmentation of 1,3-dioxin-4-ones or acylated Meldrum's acids under mild heating.  Meldrum's acid itself also generates carboxyketene through the tautomeric 6-hydroxydioxinone under mild heating.  The fragmentation of dioxinones to \u03b1-oxoketenes is of much interest from mechanistic viewpoint, because the transition structure of the ring opening is almost planner as recently revealed by ab initio calcns.  \u03b1-Oxoketenes thus generated serve as powerful acylating reagents of nucleophiles to produce \u03b2-keto acid derivs.  They also serve as hetero-dienes in 4 + 2 cycloaddns. to produce heterocyclic compds.  In addn., use of dioxinones provides ready access to hydroxylated or aminated ketenes.  Intramol. trappings of these ketenes afford lactones or lactams including macrocyclic compds.  Intramol. dimerization of bis (oxoketene) tethered to oligomethylene unit efficiently produces a series of new cyclophanes. [on SciFinder(R)]", "author" : [ { "dropping-particle" : "", "family" : "Sato", "given" : "Masayuki", "non-dropping-particle" : "", "parse-names" : false, "suffix" : "" }, { "dropping-particle" : "", "family" : "Iwamoto", "given" : "Kenichi.", "non-dropping-particle" : "", "parse-names" : false, "suffix" : "" } ], "container-title" : "Yuki Gosei Kagaku Kyokaishi", "id" : "ITEM-2", "issue" : "2", "issued" : { "date-parts" : [ [ "1999" ] ] }, "note" : "CAPLUS AN 1999:122260(Journal; General Review)", "page" : "76-83", "publisher" : "Yuki Gosei Kagaku Kyokai", "title" : "Development in ketene chemistry. Generation and reaction of \u03b1-oxoketenes.", "type" : "article-journal", "volume" : "57" }, "uris" : [ "http://www.mendeley.com/documents/?uuid=65a51e00-f020-412d-8b20-3368a8842904" ] }, { "id" : "ITEM-3", "itemData" : { "ISSN" : "0031-6903", "abstract" : "A review with 57 refs. on several synthetic methods of 1,3-dioxin-4-one and its derivs.  Uses of dioxinones in asym. synthesis was also discussed. [on SciFinder(R)]", "author" : [ { "dropping-particle" : "", "family" : "Sato", "given" : "Masayuki.", "non-dropping-particle" : "", "parse-names" : false, "suffix" : "" } ], "container-title" : "Yakugaku Zasshi", "id" : "ITEM-3", "issue" : "9", "issued" : { "date-parts" : [ [ "1988" ] ] }, "note" : "CAPLUS AN 1989:95037(Journal; General Review)", "page" : "805-823", "title" : "Synthesis of 1,3-dioxin-4-ones and their use in synthesis.", "type" : "article-journal", "volume" : "108" }, "uris" : [ "http://www.mendeley.com/documents/?uuid=21f99c32-bb98-4869-a8a2-9e4835f2d1f7" ] } ], "mendeley" : { "formattedCitation" : "&lt;sup&gt;[144,145,148]&lt;/sup&gt;", "plainTextFormattedCitation" : "[144,145,148]", "previouslyFormattedCitation" : "&lt;sup&gt;[144,145,148]&lt;/sup&gt;"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[144,145,148]</w:t>
      </w:r>
      <w:r>
        <w:rPr>
          <w:sz w:val="24"/>
          <w:szCs w:val="24"/>
        </w:rPr>
        <w:fldChar w:fldCharType="end"/>
      </w:r>
    </w:p>
    <w:p w:rsidR="00A51F89" w:rsidRDefault="001D29AC" w:rsidP="0039536F">
      <w:pPr>
        <w:spacing w:line="360" w:lineRule="auto"/>
        <w:jc w:val="center"/>
      </w:pPr>
      <w:r>
        <w:object w:dxaOrig="6772" w:dyaOrig="4706">
          <v:shape id="_x0000_i1071" type="#_x0000_t75" style="width:339pt;height:235.5pt" o:ole="">
            <v:imagedata r:id="rId120" o:title=""/>
          </v:shape>
          <o:OLEObject Type="Embed" ProgID="ChemDraw.Document.6.0" ShapeID="_x0000_i1071" DrawAspect="Content" ObjectID="_1531849619" r:id="rId121"/>
        </w:object>
      </w:r>
    </w:p>
    <w:p w:rsidR="0039536F" w:rsidRPr="0039536F" w:rsidRDefault="0039536F" w:rsidP="0039536F">
      <w:pPr>
        <w:spacing w:line="360" w:lineRule="auto"/>
        <w:jc w:val="center"/>
        <w:rPr>
          <w:b/>
          <w:sz w:val="24"/>
          <w:szCs w:val="24"/>
        </w:rPr>
      </w:pPr>
      <w:r w:rsidRPr="0039536F">
        <w:rPr>
          <w:b/>
          <w:sz w:val="24"/>
          <w:szCs w:val="24"/>
        </w:rPr>
        <w:t>Scheme 1.4</w:t>
      </w:r>
      <w:r w:rsidR="00451339">
        <w:rPr>
          <w:b/>
          <w:sz w:val="24"/>
          <w:szCs w:val="24"/>
        </w:rPr>
        <w:t>8</w:t>
      </w:r>
    </w:p>
    <w:p w:rsidR="0039536F" w:rsidRDefault="0039536F" w:rsidP="005C38BE">
      <w:pPr>
        <w:spacing w:line="360" w:lineRule="auto"/>
        <w:jc w:val="both"/>
        <w:rPr>
          <w:sz w:val="24"/>
          <w:szCs w:val="24"/>
        </w:rPr>
      </w:pPr>
    </w:p>
    <w:p w:rsidR="005C38BE" w:rsidRDefault="005C38BE" w:rsidP="005C38BE">
      <w:pPr>
        <w:spacing w:line="360" w:lineRule="auto"/>
        <w:jc w:val="both"/>
        <w:rPr>
          <w:sz w:val="24"/>
          <w:szCs w:val="24"/>
        </w:rPr>
      </w:pPr>
      <w:r w:rsidRPr="005C38BE">
        <w:rPr>
          <w:sz w:val="24"/>
          <w:szCs w:val="24"/>
        </w:rPr>
        <w:t xml:space="preserve">Dioxinones have been used as a key intermediate in the </w:t>
      </w:r>
      <w:r>
        <w:rPr>
          <w:sz w:val="24"/>
          <w:szCs w:val="24"/>
        </w:rPr>
        <w:t>biomimetic total synthesis of resorcylates.</w:t>
      </w:r>
      <w:r>
        <w:rPr>
          <w:sz w:val="24"/>
          <w:szCs w:val="24"/>
        </w:rPr>
        <w:fldChar w:fldCharType="begin" w:fldLock="1"/>
      </w:r>
      <w:r w:rsidR="00F168DA">
        <w:rPr>
          <w:sz w:val="24"/>
          <w:szCs w:val="24"/>
        </w:rPr>
        <w:instrText>ADDIN CSL_CITATION { "citationItems" : [ { "id" : "ITEM-1", "itemData" : { "DOI" : "10.1021/ar5004169", "ISSN" : "0001-4842", "abstract" : "A review.  Resorcylates are a large group of bioactive natural products that are biosynthesized from acetate and malonate units via the intermediacy of polyketides.  These polyketides undergo cyclization reactions to introduce the arom. core.  The bioactivities of the resorcylates including resorcylate macrocyclic lactones include anticancer, antimalarial, mycotoxicity, antifungal, and antibiotic properties, and several compds. in the series are already in use in medicine.  Examples are prodrugs derived from mycophenolic acid as immunosuppressants and the Hsp-90 inhibitor, AT13387, which is in phase-II clin. trials for the treatment of small cell lung cancer and melanoma.  In consequence of these biol. activities, methods for the concise synthesis of diverse resorcylates are of considerable importance.  In natural product chem., biomimetic total synthesis can have significant advantages including functional group tolerance in key steps, the minimization of the use of protection and deprotection reactions and the shortening of the total no. of synthetic steps.  This Account provides a description of our adaptation of the dioxinone chem. of Hyatt, Clemens, and Feldman for the synthesis and retro-Diels-Alder reactions of diketo-dioxinones.  Such dioxinones, which were synthesized by a range of C-acylation reactions, were found to undergo retro-Diels-Alder reactions on heating to provide the corresponding triketo-ketenes with the loss of acetone.  The ketene reactive intermediates were rapidly trapped both inter- and intramolecularly with alcs. to provide the corresponding \u03b2,\u03b4,\u03b6-triketo-esters.  These compds., which consist of keto-enol mixts., readily undergo cycloaromatization to produce resorcylate esters and macrocyclic lactones.  We have established the use of diketo-dioxinones as key general intermediates for the synthesis of diverse resorcylate natural products and for the synthesis of new classes of compds. for the generation of medicinal chem. lead structures.  Many of the methods used were found to be tolerant of multiple sensitive functional groups.  These include enolate C-acylations with acyl chlorides, 1-acyl-benzotriazoles, acyl imidazolides, or Weinreb amides to prep. diketo-dioxinones and their subsequent use to prep. \u03b2,\u03b4,\u03b6-triketo-esters and lactones and hence resorcylates.  In addn., in most cases, phenol protection was avoided.  As an alternative to the synthesis of \u03b2,\u03b4,\u03b6-triketo-esters, diketo-dioxinones were also found to undergo cyclo\u2026", "author" : [ { "dropping-particle" : "", "family" : "Cookson", "given" : "Rosa", "non-dropping-particle" : "", "parse-names" : false, "suffix" : "" }, { "dropping-particle" : "", "family" : "Barrett", "given" : "Tim N", "non-dropping-particle" : "", "parse-names" : false, "suffix" : "" }, { "dropping-particle" : "", "family" : "Barrett", "given" : "Anthony G M", "non-dropping-particle" : "", "parse-names" : false, "suffix" : "" } ], "container-title" : "Accounts of Chemical Research", "id" : "ITEM-1", "issue" : "3", "issued" : { "date-parts" : [ [ "2015" ] ] }, "note" : "CAPLUS AN 2015:291225(Journal; General Review; Online Computer File)", "page" : "628-642", "publisher" : "American Chemical Society", "title" : "\u03b2-Keto-dioxinones and \u03b2,\u03b4-Diketo-dioxinones in Biomimetic Resorcylate Total Synthesis.", "type" : "article-journal", "volume" : "48" }, "uris" : [ "http://www.mendeley.com/documents/?uuid=285c3a9e-f60a-468c-a0a5-1fff1d55ca1d" ] } ], "mendeley" : { "formattedCitation" : "&lt;sup&gt;[149]&lt;/sup&gt;", "plainTextFormattedCitation" : "[149]", "previouslyFormattedCitation" : "&lt;sup&gt;[149]&lt;/sup&gt;"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[149]</w:t>
      </w:r>
      <w:r>
        <w:rPr>
          <w:sz w:val="24"/>
          <w:szCs w:val="24"/>
        </w:rPr>
        <w:fldChar w:fldCharType="end"/>
      </w:r>
      <w:r>
        <w:rPr>
          <w:sz w:val="24"/>
          <w:szCs w:val="24"/>
        </w:rPr>
        <w:t xml:space="preserve"> Resorcylates are a large group of bioactive natural products, whose bioactivities include anticancer, antimalarial, mycotoxicity, antifungal and antibiotic properties.</w:t>
      </w:r>
    </w:p>
    <w:p w:rsidR="008C4E7A" w:rsidRDefault="008C4E7A" w:rsidP="005C38BE">
      <w:pPr>
        <w:spacing w:line="360" w:lineRule="auto"/>
        <w:jc w:val="both"/>
        <w:rPr>
          <w:sz w:val="24"/>
          <w:szCs w:val="24"/>
        </w:rPr>
      </w:pPr>
      <w:r>
        <w:rPr>
          <w:sz w:val="24"/>
          <w:szCs w:val="24"/>
        </w:rPr>
        <w:t>Key steps in the synthesis of</w:t>
      </w:r>
      <w:r w:rsidR="00324037">
        <w:rPr>
          <w:sz w:val="24"/>
          <w:szCs w:val="24"/>
        </w:rPr>
        <w:t xml:space="preserve"> resorcylate</w:t>
      </w:r>
      <w:r>
        <w:rPr>
          <w:sz w:val="24"/>
          <w:szCs w:val="24"/>
        </w:rPr>
        <w:t xml:space="preserve"> Creuntaren A</w:t>
      </w:r>
      <w:r w:rsidR="0039536F">
        <w:rPr>
          <w:sz w:val="24"/>
          <w:szCs w:val="24"/>
        </w:rPr>
        <w:t xml:space="preserve"> </w:t>
      </w:r>
      <w:r w:rsidR="0039536F" w:rsidRPr="0039536F">
        <w:rPr>
          <w:b/>
          <w:sz w:val="24"/>
          <w:szCs w:val="24"/>
        </w:rPr>
        <w:t>87</w:t>
      </w:r>
      <w:r>
        <w:rPr>
          <w:sz w:val="24"/>
          <w:szCs w:val="24"/>
        </w:rPr>
        <w:t xml:space="preserve"> are shown below in </w:t>
      </w:r>
      <w:r w:rsidRPr="008C4E7A">
        <w:rPr>
          <w:b/>
          <w:sz w:val="24"/>
          <w:szCs w:val="24"/>
        </w:rPr>
        <w:t>Scheme</w:t>
      </w:r>
      <w:r w:rsidR="0039536F">
        <w:rPr>
          <w:b/>
          <w:sz w:val="24"/>
          <w:szCs w:val="24"/>
        </w:rPr>
        <w:t xml:space="preserve"> 1.</w:t>
      </w:r>
      <w:r w:rsidR="00451339">
        <w:rPr>
          <w:b/>
          <w:sz w:val="24"/>
          <w:szCs w:val="24"/>
        </w:rPr>
        <w:t>49</w:t>
      </w:r>
      <w:r>
        <w:rPr>
          <w:sz w:val="24"/>
          <w:szCs w:val="24"/>
        </w:rPr>
        <w:t>. Creuntaren A</w:t>
      </w:r>
      <w:r w:rsidR="0039536F">
        <w:rPr>
          <w:sz w:val="24"/>
          <w:szCs w:val="24"/>
        </w:rPr>
        <w:t xml:space="preserve"> </w:t>
      </w:r>
      <w:r w:rsidR="0039536F" w:rsidRPr="0039536F">
        <w:rPr>
          <w:b/>
          <w:sz w:val="24"/>
          <w:szCs w:val="24"/>
        </w:rPr>
        <w:t>87</w:t>
      </w:r>
      <w:r>
        <w:rPr>
          <w:sz w:val="24"/>
          <w:szCs w:val="24"/>
        </w:rPr>
        <w:t xml:space="preserve"> is an antifungal agent that also inhibits the proliferation of different cancer cell lines, including a multidrug-resistant KB carcinoma cell line.</w:t>
      </w:r>
      <w:r>
        <w:rPr>
          <w:sz w:val="24"/>
          <w:szCs w:val="24"/>
        </w:rPr>
        <w:fldChar w:fldCharType="begin" w:fldLock="1"/>
      </w:r>
      <w:r w:rsidR="00F168DA">
        <w:rPr>
          <w:sz w:val="24"/>
          <w:szCs w:val="24"/>
        </w:rPr>
        <w:instrText>ADDIN CSL_CITATION { "citationItems" : [ { "id" : "ITEM-1", "itemData" : { "DOI" : "http://dx.doi.org/10.1016/j.febslet.2007.06.069", "ISSN" : "0014-5793", "abstract" : "Cruentaren A, a new antifungal benzolactone produced by the myxobacterium Byssovorax cruenta, proved to be highly cytotoxic against various human cell lines. It inhibited the proliferation of different cancer cell lines including a multidrug-resistant KB line at low nanomolar levels. It arrested human histocytic lymphoma cells (U-937) in G0/1 phase, but did not trigger an apoptotic process. Studies to uncover the molecular target of cruentaren A showed that the novel compound, despite its structural similarity to the benzolactone enamides apicularen and salicylihalamide, was no V-ATPase inhibitor. In contrast, cruentaren specifically inhibited mitochondrial FOF1-ATPases with IC50 values of 15\u201330 nM. Although the exact binding site of cruentaren remains undefined, inhibition was shown to occur by interaction with the catalytic F1 domain. Since mitochondrial ATPases play a crucial role in the pathophysiology of several human disorders including cancer, cruentaren or synthetic derivatives thereof could form the basis of future therapeutic strategies.", "author" : [ { "dropping-particle" : "", "family" : "Kunze", "given" : "Brigitte", "non-dropping-particle" : "", "parse-names" : false, "suffix" : "" }, { "dropping-particle" : "", "family" : "Sasse", "given" : "Florenz", "non-dropping-particle" : "", "parse-names" : false, "suffix" : "" }, { "dropping-particle" : "", "family" : "Wieczorek", "given" : "Helmut", "non-dropping-particle" : "", "parse-names" : false, "suffix" : "" }, { "dropping-particle" : "", "family" : "Huss", "given" : "Markus", "non-dropping-particle" : "", "parse-names" : false, "suffix" : "" } ], "container-title" : "FEBS Letters", "id" : "ITEM-1", "issue" : "18", "issued" : { "date-parts" : [ [ "2007", "7", "24" ] ] }, "page" : "3523-3527", "title" : "Cruentaren A, a highly cytotoxic benzolactone from Myxobacteria is a novel selective inhibitor of mitochondrial F1-ATPases", "type" : "article-journal", "volume" : "581" }, "uris" : [ "http://www.mendeley.com/documents/?uuid=3f6b01d9-46de-4f03-8932-9331614b314d" ] } ], "mendeley" : { "formattedCitation" : "&lt;sup&gt;[150]&lt;/sup&gt;", "plainTextFormattedCitation" : "[150]", "previouslyFormattedCitation" : "&lt;sup&gt;[150]&lt;/sup&gt;"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[150]</w:t>
      </w:r>
      <w:r>
        <w:rPr>
          <w:sz w:val="24"/>
          <w:szCs w:val="24"/>
        </w:rPr>
        <w:fldChar w:fldCharType="end"/>
      </w:r>
      <w:r>
        <w:rPr>
          <w:sz w:val="24"/>
          <w:szCs w:val="24"/>
        </w:rPr>
        <w:t xml:space="preserve"> This is just one of the resorcylates whose total synthesis was achieved usin</w:t>
      </w:r>
      <w:r w:rsidR="0066631A">
        <w:rPr>
          <w:sz w:val="24"/>
          <w:szCs w:val="24"/>
        </w:rPr>
        <w:t>g dioxinones as key intermediates by Barrett and co-workers.</w:t>
      </w:r>
      <w:r w:rsidR="0066631A">
        <w:rPr>
          <w:sz w:val="24"/>
          <w:szCs w:val="24"/>
        </w:rPr>
        <w:fldChar w:fldCharType="begin" w:fldLock="1"/>
      </w:r>
      <w:r w:rsidR="00F168DA">
        <w:rPr>
          <w:sz w:val="24"/>
          <w:szCs w:val="24"/>
        </w:rPr>
        <w:instrText>ADDIN CSL_CITATION { "citationItems" : [ { "id" : "ITEM-1", "itemData" : { "DOI" : "10.1021/ar5004169", "ISSN" : "0001-4842", "abstract" : "A review.  Resorcylates are a large group of bioactive natural products that are biosynthesized from acetate and malonate units via the intermediacy of polyketides.  These polyketides undergo cyclization reactions to introduce the arom. core.  The bioactivities of the resorcylates including resorcylate macrocyclic lactones include anticancer, antimalarial, mycotoxicity, antifungal, and antibiotic properties, and several compds. in the series are already in use in medicine.  Examples are prodrugs derived from mycophenolic acid as immunosuppressants and the Hsp-90 inhibitor, AT13387, which is in phase-II clin. trials for the treatment of small cell lung cancer and melanoma.  In consequence of these biol. activities, methods for the concise synthesis of diverse resorcylates are of considerable importance.  In natural product chem., biomimetic total synthesis can have significant advantages including functional group tolerance in key steps, the minimization of the use of protection and deprotection reactions and the shortening of the total no. of synthetic steps.  This Account provides a description of our adaptation of the dioxinone chem. of Hyatt, Clemens, and Feldman for the synthesis and retro-Diels-Alder reactions of diketo-dioxinones.  Such dioxinones, which were synthesized by a range of C-acylation reactions, were found to undergo retro-Diels-Alder reactions on heating to provide the corresponding triketo-ketenes with the loss of acetone.  The ketene reactive intermediates were rapidly trapped both inter- and intramolecularly with alcs. to provide the corresponding \u03b2,\u03b4,\u03b6-triketo-esters.  These compds., which consist of keto-enol mixts., readily undergo cycloaromatization to produce resorcylate esters and macrocyclic lactones.  We have established the use of diketo-dioxinones as key general intermediates for the synthesis of diverse resorcylate natural products and for the synthesis of new classes of compds. for the generation of medicinal chem. lead structures.  Many of the methods used were found to be tolerant of multiple sensitive functional groups.  These include enolate C-acylations with acyl chlorides, 1-acyl-benzotriazoles, acyl imidazolides, or Weinreb amides to prep. diketo-dioxinones and their subsequent use to prep. \u03b2,\u03b4,\u03b6-triketo-esters and lactones and hence resorcylates.  In addn., in most cases, phenol protection was avoided.  As an alternative to the synthesis of \u03b2,\u03b4,\u03b6-triketo-esters, diketo-dioxinones were also found to undergo cyclo\u2026", "author" : [ { "dropping-particle" : "", "family" : "Cookson", "given" : "Rosa", "non-dropping-particle" : "", "parse-names" : false, "suffix" : "" }, { "dropping-particle" : "", "family" : "Barrett", "given" : "Tim N", "non-dropping-particle" : "", "parse-names" : false, "suffix" : "" }, { "dropping-particle" : "", "family" : "Barrett", "given" : "Anthony G M", "non-dropping-particle" : "", "parse-names" : false, "suffix" : "" } ], "container-title" : "Accounts of Chemical Research", "id" : "ITEM-1", "issue" : "3", "issued" : { "date-parts" : [ [ "2015" ] ] }, "note" : "CAPLUS AN 2015:291225(Journal; General Review; Online Computer File)", "page" : "628-642", "publisher" : "American Chemical Society", "title" : "\u03b2-Keto-dioxinones and \u03b2,\u03b4-Diketo-dioxinones in Biomimetic Resorcylate Total Synthesis.", "type" : "article-journal", "volume" : "48" }, "uris" : [ "http://www.mendeley.com/documents/?uuid=285c3a9e-f60a-468c-a0a5-1fff1d55ca1d" ] } ], "mendeley" : { "formattedCitation" : "&lt;sup&gt;[149]&lt;/sup&gt;", "plainTextFormattedCitation" : "[149]", "previouslyFormattedCitation" : "&lt;sup&gt;[149]&lt;/sup&gt;" }, "properties" : { "noteIndex" : 0 }, "schema" : "https://github.com/citation-style-language/schema/raw/master/csl-citation.json" }</w:instrText>
      </w:r>
      <w:r w:rsidR="0066631A">
        <w:rPr>
          <w:sz w:val="24"/>
          <w:szCs w:val="24"/>
        </w:rPr>
        <w:fldChar w:fldCharType="separate"/>
      </w:r>
      <w:r w:rsidR="0055300D" w:rsidRPr="0055300D">
        <w:rPr>
          <w:noProof/>
          <w:sz w:val="24"/>
          <w:szCs w:val="24"/>
          <w:vertAlign w:val="superscript"/>
        </w:rPr>
        <w:t>[149]</w:t>
      </w:r>
      <w:r w:rsidR="0066631A">
        <w:rPr>
          <w:sz w:val="24"/>
          <w:szCs w:val="24"/>
        </w:rPr>
        <w:fldChar w:fldCharType="end"/>
      </w:r>
    </w:p>
    <w:p w:rsidR="0066631A" w:rsidRDefault="00800AC7" w:rsidP="0039536F">
      <w:pPr>
        <w:spacing w:line="360" w:lineRule="auto"/>
        <w:jc w:val="center"/>
      </w:pPr>
      <w:r>
        <w:object w:dxaOrig="9004" w:dyaOrig="7233">
          <v:shape id="_x0000_i1072" type="#_x0000_t75" style="width:450pt;height:361.5pt" o:ole="">
            <v:imagedata r:id="rId122" o:title=""/>
          </v:shape>
          <o:OLEObject Type="Embed" ProgID="ChemDraw.Document.6.0" ShapeID="_x0000_i1072" DrawAspect="Content" ObjectID="_1531849620" r:id="rId123"/>
        </w:object>
      </w:r>
    </w:p>
    <w:p w:rsidR="0039536F" w:rsidRPr="0039536F" w:rsidRDefault="0039536F" w:rsidP="0039536F">
      <w:pPr>
        <w:spacing w:line="360" w:lineRule="auto"/>
        <w:jc w:val="center"/>
        <w:rPr>
          <w:b/>
          <w:sz w:val="24"/>
          <w:szCs w:val="24"/>
        </w:rPr>
      </w:pPr>
      <w:r w:rsidRPr="0039536F">
        <w:rPr>
          <w:b/>
          <w:sz w:val="24"/>
          <w:szCs w:val="24"/>
        </w:rPr>
        <w:t>Scheme 1.</w:t>
      </w:r>
      <w:r w:rsidR="00451339">
        <w:rPr>
          <w:b/>
          <w:sz w:val="24"/>
          <w:szCs w:val="24"/>
        </w:rPr>
        <w:t>49</w:t>
      </w:r>
    </w:p>
    <w:p w:rsidR="0039536F" w:rsidRDefault="0039536F" w:rsidP="0066631A">
      <w:pPr>
        <w:pStyle w:val="Heading1"/>
      </w:pPr>
    </w:p>
    <w:p w:rsidR="0074056F" w:rsidRPr="0066631A" w:rsidRDefault="0074056F" w:rsidP="0066631A">
      <w:pPr>
        <w:pStyle w:val="Heading1"/>
      </w:pPr>
      <w:bookmarkStart w:id="24" w:name="_Toc446773076"/>
      <w:r w:rsidRPr="0074056F">
        <w:t>1.</w:t>
      </w:r>
      <w:r w:rsidR="00591EF1">
        <w:t>6</w:t>
      </w:r>
      <w:r w:rsidRPr="0074056F">
        <w:t xml:space="preserve"> Lanthanides in </w:t>
      </w:r>
      <w:r w:rsidR="009C6875">
        <w:t>o</w:t>
      </w:r>
      <w:r w:rsidRPr="0074056F">
        <w:t xml:space="preserve">rganic </w:t>
      </w:r>
      <w:r w:rsidR="009C6875">
        <w:t>s</w:t>
      </w:r>
      <w:r w:rsidRPr="0074056F">
        <w:t>ynthesis</w:t>
      </w:r>
      <w:bookmarkEnd w:id="24"/>
      <w:r w:rsidRPr="0074056F">
        <w:t xml:space="preserve"> </w:t>
      </w:r>
    </w:p>
    <w:p w:rsidR="0074056F" w:rsidRPr="0074056F" w:rsidRDefault="0074056F" w:rsidP="0074056F">
      <w:pPr>
        <w:pStyle w:val="Heading2"/>
      </w:pPr>
      <w:bookmarkStart w:id="25" w:name="_Toc446773077"/>
      <w:r w:rsidRPr="0074056F">
        <w:t>1.</w:t>
      </w:r>
      <w:r w:rsidR="00591EF1">
        <w:t>6</w:t>
      </w:r>
      <w:r w:rsidRPr="0074056F">
        <w:t>.1 Background</w:t>
      </w:r>
      <w:bookmarkEnd w:id="25"/>
    </w:p>
    <w:p w:rsidR="009068B5" w:rsidRDefault="009068B5" w:rsidP="008337C4">
      <w:pPr>
        <w:spacing w:line="360" w:lineRule="auto"/>
        <w:jc w:val="both"/>
        <w:rPr>
          <w:sz w:val="24"/>
          <w:szCs w:val="24"/>
        </w:rPr>
      </w:pPr>
      <w:r>
        <w:rPr>
          <w:sz w:val="24"/>
          <w:szCs w:val="24"/>
        </w:rPr>
        <w:t>In the 1980s, lanthanide reagents experienced a surge in popularity, with several reviews published on their use in organic synthesis</w:t>
      </w:r>
      <w:r w:rsidR="00272E45">
        <w:rPr>
          <w:sz w:val="24"/>
          <w:szCs w:val="24"/>
        </w:rPr>
        <w:t xml:space="preserve"> in the intervening years</w:t>
      </w:r>
      <w:r w:rsidR="00A265FD">
        <w:rPr>
          <w:sz w:val="24"/>
          <w:szCs w:val="24"/>
        </w:rPr>
        <w:t>.</w:t>
      </w:r>
      <w:r w:rsidR="00A265FD">
        <w:rPr>
          <w:sz w:val="24"/>
          <w:szCs w:val="24"/>
        </w:rPr>
        <w:fldChar w:fldCharType="begin" w:fldLock="1"/>
      </w:r>
      <w:r w:rsidR="00F168DA">
        <w:rPr>
          <w:sz w:val="24"/>
          <w:szCs w:val="24"/>
        </w:rPr>
        <w:instrText>ADDIN CSL_CITATION { "citationItems" : [ { "id" : "ITEM-1", "itemData" : { "DOI" : "10.1016/B978-0-08-097742-3.00111-7", "abstract" : "A review.  A brief overview of lanthanide chem., reactions of ytterbium and samarium reagents has been reviewed.  The main focus of this chapter was on work carried out since the overview of Yb and Sm reagents written for the first edition of this vol. and only seminal studies before 1990 has been presented. [on SciFinder(R)]", "author" : [ { "dropping-particle" : "", "family" : "Choquette", "given" : "K A", "non-dropping-particle" : "", "parse-names" : false, "suffix" : "" }, { "dropping-particle" : "", "family" : "Flowers", "given" : "R A", "non-dropping-particle" : "", "parse-names" : false, "suffix" : "" } ], "container-title" : "Compr. Org. Synth. (2nd Ed.)", "id" : "ITEM-1", "issued" : { "date-parts" : [ [ "2014" ] ] }, "note" : "CAPLUS AN 2015:159964(Conference; General Review)", "page" : "278-343", "publisher" : "Elsevier B.V.", "title" : "Samarium and Ytterbium Reagents.", "type" : "paper-conference", "volume" : "1" }, "uris" : [ "http://www.mendeley.com/documents/?uuid=d573a945-6ab9-4bd9-a17d-90c18bd32f73" ] }, { "id" : "ITEM-2", "itemData" : { "ISSN" : "0368-5470", "abstract" : "A review with over 25 refs.  Lanthanides, as Lewis acids, catalyze hetero- and asym. Diels-Alder, aldol, asym. nitroaldol, and Michael reactions, polymn., and asym. redn. [on SciFinder(R)]", "author" : [ { "dropping-particle" : "", "family" : "Imamoto", "given" : "Tsueno.", "non-dropping-particle" : "", "parse-names" : false, "suffix" : "" } ], "container-title" : "Kagaku, Zokan (Kyoto)", "id" : "ITEM-2", "issued" : { "date-parts" : [ [ "1995" ] ] }, "note" : "CAPLUS AN 1995:907425(Journal; General Review)", "page" : "55-61", "publisher" : "Kagaku Dojin", "title" : "Specific reactions of organometallics derived from lanthanides.", "type" : "article-journal", "volume" : "124" }, "uris" : [ "http://www.mendeley.com/documents/?uuid=665010f1-f7f3-46bc-acce-c7e7ec169a07" ] }, { "id" : "ITEM-3", "itemData" : { "ISSN" : "0910-2205", "abstract" : "A review with 40 refs. on the prepn. of lanthanide complexes such as alkyl-, alkenyl-, and alkynylcerium dichloride as reagents for org. synthesis. [on SciFinder(R)]", "author" : [ { "dropping-particle" : "", "family" : "Imamoto", "given" : "Tsuneo.", "non-dropping-particle" : "", "parse-names" : false, "suffix" : "" } ], "container-title" : "Kidorui", "id" : "ITEM-3", "issued" : { "date-parts" : [ [ "1995" ] ] }, "note" : "CAPLUS AN 1996:70472(Journal; General Review)", "page" : "79-95", "publisher" : "Nippon Kidorui Gakkai", "title" : "preparation of new lanthanide complexes as reagents for organic syntheses.", "type" : "article-journal", "volume" : "27" }, "uris" : [ "http://www.mendeley.com/documents/?uuid=ac1df481-355d-4833-99db-f20996908c0b" ] }, { "id" : "ITEM-4", "itemData" : { "DOI" : "10.1016/S0040-4020(01)82098-6", "ISSN" : "0040-4020", "abstract" : "A review with \u223c200 refs.  Lanthanides in increasing state of oxidn. are considered. [on SciFinder(R)]", "author" : [ { "dropping-particle" : "", "family" : "Kagan", "given" : "H B", "non-dropping-particle" : "", "parse-names" : false, "suffix" : "" }, { "dropping-particle" : "", "family" : "Namy", "given" : "J L", "non-dropping-particle" : "", "parse-names" : false, "suffix" : "" } ], "container-title" : "Tetrahedron", "id" : "ITEM-4", "issue" : "24", "issued" : { "date-parts" : [ [ "1986" ] ] }, "note" : "CAPLUS AN 1987:83625(Journal; General Review)", "page" : "6573-6614", "title" : "Lanthanides in organic synthesis.", "type" : "article-journal", "volume" : "42" }, "uris" : [ "http://www.mendeley.com/documents/?uuid=77d7eb3c-ec22-4028-8bb0-cdf02b93a50e" ] }, { "id" : "ITEM-5", "itemData" : { "DOI" : "10.1021/cr020014i", "ISSN" : "0009-2665", "abstract" : "A review.  A discussion is given of the review articles on lanthanide chem. given in this issue of Chem. Reviews. [on SciFinder(R)]", "author" : [ { "dropping-particle" : "", "family" : "Kagan", "given" : "Henri B", "non-dropping-particle" : "", "parse-names" : false, "suffix" : "" } ], "container-title" : "Chemical Reviews (Washington, DC, United States)", "id" : "ITEM-5", "issue" : "6", "issued" : { "date-parts" : [ [ "2002" ] ] }, "note" : "CAPLUS AN 2002:439298(Journal; General Review)", "page" : "1805-1806", "publisher" : "American Chemical Society", "title" : "Introduction: Frontiers in Lanthanide Chemistry.", "type" : "article-journal", "volume" : "102" }, "uris" : [ "http://www.mendeley.com/documents/?uuid=f79ba325-e180-4799-b267-175c5a8deb1e" ] }, { "id" : "ITEM-6", "itemData" : { "DOI" : "10.1351/pac198860111725", "ISSN" : "0033-4545", "abstract" : "A review with 29 refs. [on SciFinder(R)]", "author" : [ { "dropping-particle" : "", "family" : "Kagan", "given" : "Henri B", "non-dropping-particle" : "", "parse-names" : false, "suffix" : "" }, { "dropping-particle" : "", "family" : "Sasaki", "given" : "Mitsuru", "non-dropping-particle" : "", "parse-names" : false, "suffix" : "" }, { "dropping-particle" : "", "family" : "Collin", "given" : "Jacqueline.", "non-dropping-particle" : "", "parse-names" : false, "suffix" : "" } ], "container-title" : "Pure and Applied Chemistry", "id" : "ITEM-6", "issue" : "11", "issued" : { "date-parts" : [ [ "1988" ] ] }, "note" : "CAPLUS AN 1989:553864(Journal; General Review)", "page" : "1725-1730", "title" : "Organic chemistry with lanthanides.", "type" : "article-journal", "volume" : "60" }, "uris" : [ "http://www.mendeley.com/documents/?uuid=8afbc66d-8ff7-4921-ac44-a79a7cffa143" ] }, { "id" : "ITEM-7", "itemData" : { "DOI" : "10.1002/(SICI)1099-0690(199901)1999:1&lt;15::AID-EJOC15&gt;3.0.CO;2-B", "ISSN" : "1434-193X", "abstract" : "A review with &gt;75 refs.  Sc(OTf)3 (Tf = CF3SO2) a new type of a Lewis acid that is different from typical Lewis acids such as AlCl3,, BF3, SnCl4, etc.  While most Lewis acids are decompd. or deactivated in the presence of water, Sc(OTf)3 is stable and works as a Lewis acid in water solns.  Many N-contg. compds. such as imines and hydrazones are also successfully activated by using a small amt. of Sc(OTf)3 in both org. and aq. solvents.  In addn., Sc(OTf)3 can be recovered after reactions are completed and can be reused.  While lanthanide triflates [Ln(OTf)3] have similar properties, the catalytic activity of Sc(OTf)3 is higher than that of Ln(OTf)3 in several cases. [on SciFinder(R)]", "author" : [ { "dropping-particle" : "", "family" : "Kobayashi", "given" : "Shu.", "non-dropping-particle" : "", "parse-names" : false, "suffix" : "" } ], "container-title" : "European Journal of Organic Chemistry", "id" : "ITEM-7", "issue" : "1", "issued" : { "date-parts" : [ [ "1999" ] ] }, "page" : "15-27", "publisher" : "Wiley-VCH Verlag GmbH", "title" : "Scandium triflate in organic synthesis.", "type" : "article-journal" }, "uris" : [ "http://www.mendeley.com/documents/?uuid=5c236a1c-060d-47c5-b8a8-e0dd2d0e4463" ] }, { "id" : "ITEM-8", "itemData" : { "ISSN" : "1436-6002", "abstract" : "Versatile C-C bond-forming reactions using lanthanide triflates (Ln(OTf)3) as catalysts are discussed.  Lanthanide triflates are new types of Lewis acids different from typical Lewis acids such as AlCl3, BF3, SnCl4, etc.  While most Lewis acids are decompd. or deactivated in the presence of H2O, lanthanide triflates are stable and work as Lewis acids in water solns.  Many N-contg. compds. such as imines and hydrazones are also successfully activated by using a small amt. of Ln(OTf)3.  Lanthanide triflates are also excellent Lewis acid catalysts in org. solvents.  A catalytic amt. of Ln(OTf)3 is enough to complete reactions in most cases.  Ln(OTf)3 can be recovered after reactions are completed and can be reused.  Several chiral lanthanide catalysts for asym. Diels-Alder, aza Diels-Alder, and 1,3-dipolar cycloaddn. reactions are also described.  A review with 107 refs. [on SciFinder(R)]", "author" : [ { "dropping-particle" : "", "family" : "Kobayashi", "given" : "Shu.", "non-dropping-particle" : "", "parse-names" : false, "suffix" : "" } ], "container-title" : "Topics in Organometallic Chemistry", "id" : "ITEM-8", "issue" : "Lanthanides", "issued" : { "date-parts" : [ [ "1999" ] ] }, "note" : "CAPLUS AN 1999:555717(Journal; General Review)", "page" : "63-118", "publisher" : "Springer-Verlag", "title" : "Lanthanide triflate-catalyzed carbon-carbon bond-forming reactions in organic synthesis.", "type" : "article-journal", "volume" : "2" }, "uris" : [ "http://www.mendeley.com/documents/?uuid=6153eb5b-4c9a-4d99-bb0c-18e336c3ee01" ] }, { "id" : "ITEM-9", "itemData" : { "DOI" : "10.1016/S0168-1273(00)29009-0", "abstract" : "Review with many refs. on the use of lanthanide triflates as Lewis acid catalysts in C-C bond-forming reactions. [on SciFinder(R)]", "author" : [ { "dropping-particle" : "", "family" : "Kobayashi", "given" : "Shu.", "non-dropping-particle" : "", "parse-names" : false, "suffix" : "" } ], "container-title" : "Handb. Phys. Chem. Rare Earths", "id" : "ITEM-9", "issued" : { "date-parts" : [ [ "2000" ] ] }, "note" : "CAPLUS AN 2001:295526(Conference; General Review)", "page" : "315-375", "publisher" : "Elsevier", "title" : "Triflates.", "type" : "paper-conference", "volume" : "29" }, "uris" : [ "http://www.mendeley.com/documents/?uuid=14e8f985-eb63-43eb-a611-9cfddb744fb4" ] }, { "id" : "ITEM-10", "itemData" : { "abstract" : "A review. [on SciFinder(R)]", "author" : [ { "dropping-particle" : "", "family" : "Kobayashi", "given" : "Shue.", "non-dropping-particle" : "", "parse-names" : false, "suffix" : "" } ], "container-title" : "Aqueous-Phase Organomet. Catal. (2nd Ed.)", "id" : "ITEM-10", "issued" : { "date-parts" : [ [ "2004" ] ] }, "note" : "CAPLUS AN 2004:1016522(Conference; General Review)", "page" : "88-99", "publisher" : "Wiley-VCH Verlag GmbH &amp; Co. KGaA", "title" : "Lanthanides in aqueous-phase catalysis.", "type" : "paper-conference" }, "uris" : [ "http://www.mendeley.com/documents/?uuid=6ae44d92-3c6a-4351-8d44-218d1ee52578" ] }, { "id" : "ITEM-11", "itemData" : { "DOI" : "10.1021/cr00009a002", "ISSN" : "0009-2665", "abstract" : "A review with 241 refs., including functional group transformations and carbon-carbon bond-forming reactions using lanthanide reagents. [on SciFinder(R)]", "author" : [ { "dropping-particle" : "", "family" : "Molander", "given" : "Gary A", "non-dropping-particle" : "", "parse-names" : false, "suffix" : "" } ], "container-title" : "Chemical Reviews (Washington, DC, United States)", "id" : "ITEM-11", "issue" : "1", "issued" : { "date-parts" : [ [ "1992" ] ] }, "note" : "CAPLUS AN 1992:82902(Journal; General Review)", "page" : "29-68", "title" : "Application of lanthanide reagents in organic synthesis.", "type" : "article-journal", "volume" : "92" }, "uris" : [ "http://www.mendeley.com/documents/?uuid=3968a9fa-c1e7-4b2d-9aa7-38bd4c574aa5" ] }, { "id" : "ITEM-12", "itemData" : { "abstract" : "A review with 148 refs. on the role of lanthanide reagents as catalysts in carbon-carbon bond-forming reactions. [on SciFinder(R)]", "author" : [ { "dropping-particle" : "", "family" : "Molander", "given" : "Gary A", "non-dropping-particle" : "", "parse-names" : false, "suffix" : "" } ], "container-title" : "Chem. Met.-Carbon Bond", "id" : "ITEM-12", "issued" : { "date-parts" : [ [ "1989" ] ] }, "note" : "CAPLUS AN 1990:215734(Conference; General Review)", "page" : "319-396", "publisher" : "Wiley", "title" : "Lanthanide reagents in organic synthesis.", "type" : "paper-conference", "volume" : "5" }, "uris" : [ "http://www.mendeley.com/documents/?uuid=813ef9bb-c5d9-4c45-94ce-2c8120efa880" ] }, { "id" : "ITEM-13", "itemData" : { "DOI" : "10.1039/a908189e", "ISSN" : "1472-7781", "abstract" : "A review covering the literature to Dec. 2000.  Lanthanide-mediated transformations discussed include functional group redn., carbon-carbon bond forming processes, Barbier-Grignard processes, radical alkene addn. reactions, ketyl radical alkene addn. reactions and pinacol coupling processes. [on SciFinder(R)]", "author" : [ { "dropping-particle" : "", "family" : "Steel", "given" : "Patrick G", "non-dropping-particle" : "", "parse-names" : false, "suffix" : "" } ], "container-title" : "Journal of the Chemical Society, Perkin Transactions 1", "id" : "ITEM-13", "issue" : "21", "issued" : { "date-parts" : [ [ "2001" ] ] }, "note" : "CAPLUS AN 2001:822154(Journal; General Review)", "page" : "2727-2751", "publisher" : "Royal Society of Chemistry", "title" : "Recent developments in lanthanide mediated organic synthesis.", "type" : "article-journal" }, "uris" : [ "http://www.mendeley.com/documents/?uuid=c47ac9ec-7cdb-4ea8-aea7-ad3072d219e2" ] }, { "id" : "ITEM-14", "itemData" : { "DOI" : "10.1039/a908189e", "ISSN" : "1472-7781", "abstract" : "A review covering the literature to Dec. 2000.  Lanthanide-mediated transformations discussed include functional group redn., carbon-carbon bond forming processes, Barbier-Grignard processes, radical alkene addn. reactions, ketyl radical alkene addn. reactions and pinacol coupling processes. [on SciFinder(R)]", "author" : [ { "dropping-particle" : "", "family" : "Steel", "given" : "Patrick G", "non-dropping-particle" : "", "parse-names" : false, "suffix" : "" } ], "container-title" : "Journal of the Chemical Society, Perkin Transactions 1", "id" : "ITEM-14", "issue" : "21", "issued" : { "date-parts" : [ [ "2001" ] ] }, "note" : "CAPLUS AN 2001:822154(Journal; General Review)", "page" : "2727-2751", "publisher" : "Royal Society of Chemistry", "title" : "Recent developments in lanthanide mediated organic synthesis.", "type" : "article-journal" }, "uris" : [ "http://www.mendeley.com/documents/?uuid=e4a44044-abfa-470b-8b4a-8f1df179e8f6" ] } ], "mendeley" : { "formattedCitation" : "&lt;sup&gt;[151\u2013163,163]&lt;/sup&gt;", "manualFormatting" : "[152\u2013164]", "plainTextFormattedCitation" : "[151\u2013163,163]", "previouslyFormattedCitation" : "&lt;sup&gt;[151\u2013163,163]&lt;/sup&gt;" }, "properties" : { "noteIndex" : 0 }, "schema" : "https://github.com/citation-style-language/schema/raw/master/csl-citation.json" }</w:instrText>
      </w:r>
      <w:r w:rsidR="00A265FD">
        <w:rPr>
          <w:sz w:val="24"/>
          <w:szCs w:val="24"/>
        </w:rPr>
        <w:fldChar w:fldCharType="separate"/>
      </w:r>
      <w:r w:rsidR="00376C3A" w:rsidRPr="00376C3A">
        <w:rPr>
          <w:noProof/>
          <w:sz w:val="24"/>
          <w:szCs w:val="24"/>
          <w:vertAlign w:val="superscript"/>
        </w:rPr>
        <w:t>[152–164]</w:t>
      </w:r>
      <w:r w:rsidR="00A265FD">
        <w:rPr>
          <w:sz w:val="24"/>
          <w:szCs w:val="24"/>
        </w:rPr>
        <w:fldChar w:fldCharType="end"/>
      </w:r>
      <w:r w:rsidR="007369B2">
        <w:rPr>
          <w:sz w:val="24"/>
          <w:szCs w:val="24"/>
        </w:rPr>
        <w:t xml:space="preserve"> The fol</w:t>
      </w:r>
      <w:r w:rsidR="00AB5C59">
        <w:rPr>
          <w:sz w:val="24"/>
          <w:szCs w:val="24"/>
        </w:rPr>
        <w:t xml:space="preserve">lowing is a brief summary of some of the </w:t>
      </w:r>
      <w:r w:rsidR="007369B2">
        <w:rPr>
          <w:sz w:val="24"/>
          <w:szCs w:val="24"/>
        </w:rPr>
        <w:t>many uses of lanthanide reagents.</w:t>
      </w:r>
    </w:p>
    <w:p w:rsidR="007369B2" w:rsidRDefault="007369B2" w:rsidP="008337C4">
      <w:pPr>
        <w:spacing w:line="360" w:lineRule="auto"/>
        <w:jc w:val="both"/>
        <w:rPr>
          <w:sz w:val="24"/>
          <w:szCs w:val="24"/>
        </w:rPr>
      </w:pPr>
    </w:p>
    <w:p w:rsidR="004C6284" w:rsidRPr="0074056F" w:rsidRDefault="0074056F" w:rsidP="0074056F">
      <w:pPr>
        <w:pStyle w:val="Heading2"/>
      </w:pPr>
      <w:bookmarkStart w:id="26" w:name="_Toc446773078"/>
      <w:r w:rsidRPr="0074056F">
        <w:t>1.</w:t>
      </w:r>
      <w:r w:rsidR="00591EF1">
        <w:t>6</w:t>
      </w:r>
      <w:r w:rsidRPr="0074056F">
        <w:t xml:space="preserve">.2 </w:t>
      </w:r>
      <w:r w:rsidR="004C6284" w:rsidRPr="0074056F">
        <w:t xml:space="preserve">Oxidation </w:t>
      </w:r>
      <w:r w:rsidR="009C6875">
        <w:t>r</w:t>
      </w:r>
      <w:r w:rsidR="004C6284" w:rsidRPr="0074056F">
        <w:t>eactions</w:t>
      </w:r>
      <w:bookmarkEnd w:id="26"/>
    </w:p>
    <w:p w:rsidR="0059458B" w:rsidRDefault="00272E45" w:rsidP="008337C4">
      <w:pPr>
        <w:spacing w:line="360" w:lineRule="auto"/>
        <w:jc w:val="both"/>
        <w:rPr>
          <w:sz w:val="24"/>
          <w:szCs w:val="24"/>
        </w:rPr>
      </w:pPr>
      <w:r>
        <w:rPr>
          <w:sz w:val="24"/>
          <w:szCs w:val="24"/>
        </w:rPr>
        <w:t>Cerium(IV)</w:t>
      </w:r>
      <w:r w:rsidR="004C6284">
        <w:rPr>
          <w:sz w:val="24"/>
          <w:szCs w:val="24"/>
        </w:rPr>
        <w:t xml:space="preserve"> </w:t>
      </w:r>
      <w:r w:rsidR="003804D7">
        <w:rPr>
          <w:sz w:val="24"/>
          <w:szCs w:val="24"/>
        </w:rPr>
        <w:t>compounds are powerful one-electron oxidising agents</w:t>
      </w:r>
      <w:r w:rsidR="004C6284">
        <w:rPr>
          <w:sz w:val="24"/>
          <w:szCs w:val="24"/>
        </w:rPr>
        <w:t>.</w:t>
      </w:r>
      <w:r w:rsidR="00A265FD">
        <w:rPr>
          <w:sz w:val="24"/>
          <w:szCs w:val="24"/>
        </w:rPr>
        <w:fldChar w:fldCharType="begin" w:fldLock="1"/>
      </w:r>
      <w:r w:rsidR="00F168DA">
        <w:rPr>
          <w:sz w:val="24"/>
          <w:szCs w:val="24"/>
        </w:rPr>
        <w:instrText>ADDIN CSL_CITATION { "citationItems" : [ { "id" : "ITEM-1", "itemData" : { "DOI" : "10.1055/s-1973-22210", "ISSN" : "0039-7881", "abstract" : "A review with 55 refs. [on SciFinder(R)]", "author" : [ { "dropping-particle" : "", "family" : "Ho", "given" : "Tse-Lok.", "non-dropping-particle" : "", "parse-names" : false, "suffix" : "" } ], "container-title" : "Synthesis", "id" : "ITEM-1", "issue" : "6", "issued" : { "date-parts" : [ [ "1973" ] ] }, "note" : "CAPLUS AN 1973:465254(Journal; General Review)", "page" : "347-354", "title" : "Ceric ion oxidation in organic chemistry.", "type" : "article-journal" }, "uris" : [ "http://www.mendeley.com/documents/?uuid=df2194f4-640c-47c1-8ec3-a4271ecb7561" ] } ], "mendeley" : { "formattedCitation" : "&lt;sup&gt;[164]&lt;/sup&gt;", "plainTextFormattedCitation" : "[164]", "previouslyFormattedCitation" : "&lt;sup&gt;[164]&lt;/sup&gt;" }, "properties" : { "noteIndex" : 0 }, "schema" : "https://github.com/citation-style-language/schema/raw/master/csl-citation.json" }</w:instrText>
      </w:r>
      <w:r w:rsidR="00A265FD">
        <w:rPr>
          <w:sz w:val="24"/>
          <w:szCs w:val="24"/>
        </w:rPr>
        <w:fldChar w:fldCharType="separate"/>
      </w:r>
      <w:r w:rsidR="0055300D" w:rsidRPr="0055300D">
        <w:rPr>
          <w:noProof/>
          <w:sz w:val="24"/>
          <w:szCs w:val="24"/>
          <w:vertAlign w:val="superscript"/>
        </w:rPr>
        <w:t>[164]</w:t>
      </w:r>
      <w:r w:rsidR="00A265FD">
        <w:rPr>
          <w:sz w:val="24"/>
          <w:szCs w:val="24"/>
        </w:rPr>
        <w:fldChar w:fldCharType="end"/>
      </w:r>
      <w:r w:rsidR="004C6284">
        <w:rPr>
          <w:sz w:val="24"/>
          <w:szCs w:val="24"/>
        </w:rPr>
        <w:t xml:space="preserve"> Ceric ammonium nitra</w:t>
      </w:r>
      <w:r w:rsidR="003804D7">
        <w:rPr>
          <w:sz w:val="24"/>
          <w:szCs w:val="24"/>
        </w:rPr>
        <w:t xml:space="preserve">te </w:t>
      </w:r>
      <w:r w:rsidR="004C6284">
        <w:rPr>
          <w:sz w:val="24"/>
          <w:szCs w:val="24"/>
        </w:rPr>
        <w:t>(NH</w:t>
      </w:r>
      <w:r w:rsidR="004C6284" w:rsidRPr="003804D7">
        <w:rPr>
          <w:sz w:val="24"/>
          <w:szCs w:val="24"/>
          <w:vertAlign w:val="subscript"/>
        </w:rPr>
        <w:t>4</w:t>
      </w:r>
      <w:r w:rsidR="004C6284">
        <w:rPr>
          <w:sz w:val="24"/>
          <w:szCs w:val="24"/>
        </w:rPr>
        <w:t>)</w:t>
      </w:r>
      <w:r w:rsidR="004C6284" w:rsidRPr="003804D7">
        <w:rPr>
          <w:sz w:val="24"/>
          <w:szCs w:val="24"/>
          <w:vertAlign w:val="subscript"/>
        </w:rPr>
        <w:t>2</w:t>
      </w:r>
      <w:r w:rsidR="004C6284">
        <w:rPr>
          <w:sz w:val="24"/>
          <w:szCs w:val="24"/>
        </w:rPr>
        <w:t>Ce(</w:t>
      </w:r>
      <w:r w:rsidR="003804D7">
        <w:rPr>
          <w:sz w:val="24"/>
          <w:szCs w:val="24"/>
        </w:rPr>
        <w:t>NO</w:t>
      </w:r>
      <w:r w:rsidR="003804D7" w:rsidRPr="003804D7">
        <w:rPr>
          <w:sz w:val="24"/>
          <w:szCs w:val="24"/>
          <w:vertAlign w:val="subscript"/>
        </w:rPr>
        <w:t>3</w:t>
      </w:r>
      <w:r w:rsidR="003804D7">
        <w:rPr>
          <w:sz w:val="24"/>
          <w:szCs w:val="24"/>
        </w:rPr>
        <w:t>)</w:t>
      </w:r>
      <w:r w:rsidR="003804D7" w:rsidRPr="003804D7">
        <w:rPr>
          <w:sz w:val="24"/>
          <w:szCs w:val="24"/>
          <w:vertAlign w:val="subscript"/>
        </w:rPr>
        <w:t>6</w:t>
      </w:r>
      <w:r w:rsidR="0039536F">
        <w:rPr>
          <w:sz w:val="24"/>
          <w:szCs w:val="24"/>
          <w:vertAlign w:val="subscript"/>
        </w:rPr>
        <w:t xml:space="preserve"> </w:t>
      </w:r>
      <w:r w:rsidR="0039536F" w:rsidRPr="0039536F">
        <w:rPr>
          <w:b/>
          <w:sz w:val="24"/>
          <w:szCs w:val="24"/>
        </w:rPr>
        <w:t>88</w:t>
      </w:r>
      <w:r w:rsidR="003804D7">
        <w:rPr>
          <w:sz w:val="24"/>
          <w:szCs w:val="24"/>
        </w:rPr>
        <w:t xml:space="preserve">, abbreviated as CAN, is perhaps the most widely used reagent in </w:t>
      </w:r>
      <w:r w:rsidR="003804D7">
        <w:rPr>
          <w:sz w:val="24"/>
          <w:szCs w:val="24"/>
        </w:rPr>
        <w:lastRenderedPageBreak/>
        <w:t xml:space="preserve">this class. </w:t>
      </w:r>
      <w:r>
        <w:rPr>
          <w:sz w:val="24"/>
          <w:szCs w:val="24"/>
        </w:rPr>
        <w:t>Cerium(IV)</w:t>
      </w:r>
      <w:r w:rsidR="00A265FD">
        <w:rPr>
          <w:sz w:val="24"/>
          <w:szCs w:val="24"/>
        </w:rPr>
        <w:t xml:space="preserve"> oxidants have been used to oxidise aromatic systems,</w:t>
      </w:r>
      <w:r w:rsidR="00A265FD">
        <w:rPr>
          <w:sz w:val="24"/>
          <w:szCs w:val="24"/>
        </w:rPr>
        <w:fldChar w:fldCharType="begin" w:fldLock="1"/>
      </w:r>
      <w:r w:rsidR="00F168DA">
        <w:rPr>
          <w:sz w:val="24"/>
          <w:szCs w:val="24"/>
        </w:rPr>
        <w:instrText>ADDIN CSL_CITATION { "citationItems" : [ { "id" : "ITEM-1", "itemData" : { "DOI" : "10.1016/j.apcatb.2007.12.018", "ISSN" : "0926-3373", "abstract" : "The treatment of 2,4-dinitrophenol (DNP) and 2,4,6-trinitrophenol (TNP), typically found in the effluents from the process of mononitrobenzene (MNB) synthesis, was investigated by wet air oxidn. in both noncatalytic (WAO) and catalytic (CWAO) conditions, operating as two-phase and three-phase reactors, resp.  In the first case, the effect of treating DNP and TNP sep. (single-component system) or using mixts. of these compds. (multicomponent systems) was assessed by analyzing the decrease of the individual pollutant concn., the total org. carbon (TOC) evolution, and the reaction byproducts.  Of the various systems screened, it was possible to conclude that the presence of DNP enhances the overall oxidn. in multicomponent systems.  TNP is not oxidized individually but totally degraded in the presence of DNP.  The obsd. reactivities were correlated with the no. and type of functional groups attached to the arom. ring, and the HO-induced denitration may be considered as the main reaction mechanism.  Concerning the CWAO expts., two catalysts were synthesized in this study, a carbon xerogel (CX) and a nanosized cerium oxide (CeO2), using sol-gel and solvothermal methodols., resp., and tested for the degrdn. of the multicomponent system.  The CX catalyst operating in slurry conditions was found to be highly active and led to practically complete removal of DNP and TNP, total bleaching of color, and 83% mineralization after 120 min of reaction.  The best catalyst was thoroughly characterized.  An increase in the concn. of carboxylic acid groups at the catalyst surface was obsd. by TPD anal. of the catalyst after the reaction, followed by a decrease in the concn. of phenolic and quinone functional groups.  The catalyst surface modification was a consequence of the large amts. of nitrates produced from the model compds.  Nitrites were not detected and, therefore, CWAO seems to be a potential treatment which can be coupled with a biol. process to remove the nitrates formed during the reaction.2,4,6-trinitrophenol. [on SciFinder(R)]", "author" : [ { "dropping-particle" : "", "family" : "Apolinario", "given" : "Angela C", "non-dropping-particle" : "", "parse-names" : false, "suffix" : "" }, { "dropping-particle" : "", "family" : "Silva", "given" : "Adrian M T", "non-dropping-particle" : "", "parse-names" : false, "suffix" : "" }, { "dropping-particle" : "", "family" : "Machado", "given" : "Bruno F", "non-dropping-particle" : "", "parse-names" : false, "suffix" : "" }, { "dropping-particle" : "", "family" : "Gomes", "given" : "Helder T", "non-dropping-particle" : "", "parse-names" : false, "suffix" : "" }, { "dropping-particle" : "", "family" : "Araujo", "given" : "Paulo P", "non-dropping-particle" : "", "parse-names" : false, "suffix" : "" }, { "dropping-particle" : "", "family" : "Figueiredo", "given" : "Jose L", "non-dropping-particle" : "", "parse-names" : false, "suffix" : "" }, { "dropping-particle" : "", "family" : "Faria", "given" : "Joaquim L", "non-dropping-particle" : "", "parse-names" : false, "suffix" : "" } ], "container-title" : "Applied Catalysis, B: Environmental", "id" : "ITEM-1", "issue" : "1-2", "issued" : { "date-parts" : [ [ "2008" ] ] }, "note" : "CAPLUS AN 2008:1137714(Journal)", "page" : "75-86", "publisher" : "Elsevier B.V.", "title" : "Wet air oxidation of nitro-aromatic compounds: Reactivity on single- and multi-component systems and surface chemistry studies with a carbon xerogel.", "type" : "article-journal", "volume" : "84" }, "uris" : [ "http://www.mendeley.com/documents/?uuid=2109a1bd-b24a-461e-825c-786cb7b8ba9f" ] } ], "mendeley" : { "formattedCitation" : "&lt;sup&gt;[165]&lt;/sup&gt;", "plainTextFormattedCitation" : "[165]", "previouslyFormattedCitation" : "&lt;sup&gt;[165]&lt;/sup&gt;" }, "properties" : { "noteIndex" : 0 }, "schema" : "https://github.com/citation-style-language/schema/raw/master/csl-citation.json" }</w:instrText>
      </w:r>
      <w:r w:rsidR="00A265FD">
        <w:rPr>
          <w:sz w:val="24"/>
          <w:szCs w:val="24"/>
        </w:rPr>
        <w:fldChar w:fldCharType="separate"/>
      </w:r>
      <w:r w:rsidR="0055300D" w:rsidRPr="0055300D">
        <w:rPr>
          <w:noProof/>
          <w:sz w:val="24"/>
          <w:szCs w:val="24"/>
          <w:vertAlign w:val="superscript"/>
        </w:rPr>
        <w:t>[165]</w:t>
      </w:r>
      <w:r w:rsidR="00A265FD">
        <w:rPr>
          <w:sz w:val="24"/>
          <w:szCs w:val="24"/>
        </w:rPr>
        <w:fldChar w:fldCharType="end"/>
      </w:r>
      <w:r w:rsidR="00A265FD">
        <w:rPr>
          <w:sz w:val="24"/>
          <w:szCs w:val="24"/>
        </w:rPr>
        <w:t xml:space="preserve"> arenes,</w:t>
      </w:r>
      <w:r w:rsidR="00A843FA">
        <w:rPr>
          <w:sz w:val="24"/>
          <w:szCs w:val="24"/>
        </w:rPr>
        <w:fldChar w:fldCharType="begin" w:fldLock="1"/>
      </w:r>
      <w:r w:rsidR="00F168DA">
        <w:rPr>
          <w:sz w:val="24"/>
          <w:szCs w:val="24"/>
        </w:rPr>
        <w:instrText>ADDIN CSL_CITATION { "citationItems" : [ { "id" : "ITEM-1", "itemData" : { "abstract" : "The disclosure is directed to a process for producing arom. carboxylic acids by oxidn. of methylarenes in the presence of an oxidn. reaction medium contg. water and a heterogeneous catalyst.  The heterogeneous catalyst is a cerium oxide nanoparticulate catalyst with controlled morphol. having particle size in the range of 1-30 nm.  Terephthalic acid was prepd. by oxidn. of p-xylene catalyzed by cerium oxide. [on SciFinder(R)]", "author" : [ { "dropping-particle" : "", "family" : "Saha", "given" : "Basudeb", "non-dropping-particle" : "", "parse-names" : false, "suffix" : "" }, { "dropping-particle" : "", "family" : "Deka", "given" : "Sasanka", "non-dropping-particle" : "", "parse-names" : false, "suffix" : "" }, { "dropping-particle" : "", "family" : "Gupta", "given" : "Dinesh", "non-dropping-particle" : "", "parse-names" : false, "suffix" : "" }, { "dropping-particle" : "", "family" : "Deori", "given" : "Kalyan Jyoti.", "non-dropping-particle" : "", "parse-names" : false, "suffix" : "" } ], "container-title" : "Indian Pat. Appl.", "id" : "ITEM-1", "issue" : "IN2013DE01346A", "issued" : { "date-parts" : [ [ "2014", "12", "12" ] ] }, "note" : "CAPLUS AN 2014:2129178(Patent)", "page" : "36pp.", "publisher" : "University of Delhi, India .", "title" : "A process for producing aromatic carboxylic acids by oxidation of methyl arenes.", "type" : "patent" }, "uris" : [ "http://www.mendeley.com/documents/?uuid=6835ffd7-1820-4521-a83e-24e724465854" ] } ], "mendeley" : { "formattedCitation" : "&lt;sup&gt;[166]&lt;/sup&gt;", "plainTextFormattedCitation" : "[166]", "previouslyFormattedCitation" : "&lt;sup&gt;[166]&lt;/sup&gt;" }, "properties" : { "noteIndex" : 0 }, "schema" : "https://github.com/citation-style-language/schema/raw/master/csl-citation.json" }</w:instrText>
      </w:r>
      <w:r w:rsidR="00A843FA">
        <w:rPr>
          <w:sz w:val="24"/>
          <w:szCs w:val="24"/>
        </w:rPr>
        <w:fldChar w:fldCharType="separate"/>
      </w:r>
      <w:r w:rsidR="0055300D" w:rsidRPr="0055300D">
        <w:rPr>
          <w:noProof/>
          <w:sz w:val="24"/>
          <w:szCs w:val="24"/>
          <w:vertAlign w:val="superscript"/>
        </w:rPr>
        <w:t>[166]</w:t>
      </w:r>
      <w:r w:rsidR="00A843FA">
        <w:rPr>
          <w:sz w:val="24"/>
          <w:szCs w:val="24"/>
        </w:rPr>
        <w:fldChar w:fldCharType="end"/>
      </w:r>
      <w:r w:rsidR="00A843FA">
        <w:rPr>
          <w:sz w:val="24"/>
          <w:szCs w:val="24"/>
        </w:rPr>
        <w:t xml:space="preserve"> alcohols,</w:t>
      </w:r>
      <w:r w:rsidR="00A843FA">
        <w:rPr>
          <w:sz w:val="24"/>
          <w:szCs w:val="24"/>
        </w:rPr>
        <w:fldChar w:fldCharType="begin" w:fldLock="1"/>
      </w:r>
      <w:r w:rsidR="00F168DA">
        <w:rPr>
          <w:sz w:val="24"/>
          <w:szCs w:val="24"/>
        </w:rPr>
        <w:instrText>ADDIN CSL_CITATION { "citationItems" : [ { "id" : "ITEM-1", "itemData" : { "DOI" : "10.1002/chem.201503846", "ISSN" : "0947-6539", "abstract" : "A new CeIV complex [Ce{NH(CH2CH2N=CHC6H2-3,5-(tBu)2-2-O)2}(NO3)2] (1), bearing a dianionic pentadentate ligand with an N3O2 donor set, has been prepd. by treating (NH4)2Ce(NO3)6 with the sodium salt of ligand L1.  Complex 1 in the presence of TEMPO and 4 \u00c5 mol. sieves (MS4 A) has been found to serve as a catalyst for the oxidn. of arylmethanols using dioxygen as an oxidant.  We propose an oxidn. mechanism based on the isolation and reactivity study of a trivalent cerium complex [Ce{NH(CH2CH2N=CHC6H2-3,5-(tBu)2-2-O)2}(NO3)(THF)] (2), its side-on \u03bc-O2 adduct [Ce{NH(CH2CH2N=CHC6H2-3,5-(tBu)2-2-O)2}(NO3)]2(\u03bc-\u03b72:\u03b72-O2) (3), and the hydroxo-bridged CeIV complex [Ce{NH(CH2CH2N=CHC6H2-3,5-(tBu)2-2-O)2}(NO3)]2(\u03bc-OH)2 (4) as key intermediates during the catalytic cycle.  Complex 2 was synthesized by redn. of 1 with 2,5-dimethyl-1,4-bis(trimethylsilyl)-1,4-diazacyclohexadiene.  Bubbling O2 into a soln. of 2 resulted in formation of the peroxo complex 3.  This provides the first direct evidence for cerium-catalyzed oxidn. of alcs. under an O2 atmosphere. [on SciFinder(R)]", "author" : [ { "dropping-particle" : "", "family" : "Paul", "given" : "Mitali", "non-dropping-particle" : "", "parse-names" : false, "suffix" : "" }, { "dropping-particle" : "", "family" : "Shirase", "given" : "Satoru", "non-dropping-particle" : "", "parse-names" : false, "suffix" : "" }, { "dropping-particle" : "", "family" : "Morimoto", "given" : "Yuma", "non-dropping-particle" : "", "parse-names" : false, "suffix" : "" }, { "dropping-particle" : "", "family" : "Mathey", "given" : "Laurent", "non-dropping-particle" : "", "parse-names" : false, "suffix" : "" }, { "dropping-particle" : "", "family" : "Balasubramanian", "given" : "Murugesapandian", "non-dropping-particle" : "", "parse-names" : false, "suffix" : "" }, { "dropping-particle" : "", "family" : "Tanaka", "given" : "Shinji", "non-dropping-particle" : "", "parse-names" : false, "suffix" : "" }, { "dropping-particle" : "", "family" : "Itoh", "given" : "Shinobu", "non-dropping-particle" : "", "parse-names" : false, "suffix" : "" }, { "dropping-particle" : "", "family" : "Tsurugi", "given" : "Hayato", "non-dropping-particle" : "", "parse-names" : false, "suffix" : "" }, { "dropping-particle" : "", "family" : "Mashima", "given" : "Kazushi.", "non-dropping-particle" : "", "parse-names" : false, "suffix" : "" } ], "container-title" : "Chemistry - A European Journal", "id" : "ITEM-1", "issued" : { "date-parts" : [ [ "2016" ] ] }, "note" : "CAPLUS AN 2016:124242(Journal)", "page" : "Ahead of Print", "publisher" : "Wiley-VCH Verlag GmbH &amp; Co. KGaA", "title" : "Cerium Complex-Catalyzed Oxidation of Arylmethanols under Atmospheric Pressure of Dioxygen and Its Mechanism through a Side-On \u03bc-Peroxo Dicerium(IV) Complex.", "type" : "article-journal" }, "uris" : [ "http://www.mendeley.com/documents/?uuid=a8ee9f57-ee22-4943-8cef-63a1a00fa2d3" ] }, { "id" : "ITEM-2", "itemData" : { "abstract" : "The present invention provides a method for the synthesis of ketone.  The method comprises: in the presence of a solvent and a dehydrating agent, using cerium ammonium nitrate as catalyst, oxygen agent for oxidn. of \u03b1 - Me tertiary alc. to generate carbonyl compd.  Compared with traditional methods, the method is simple and economical, green, has high yield, mild reaction conditions, does not use any ligand, has low amt. of catalyst, wide range of applications of substrate; it is a simple synthetic method for the synthesis of these compds.  The solvent is 1,4-dioxane, N,N-DMF or so on.  The reaction temp. for oxidn. is 30-100 \u00b0C.  The molar ratio of cerium ammonium nitrate and \u03b1-Me tertiary alc. is 0.1%-10:100.  The dehydrating agent is trifluoroacetic acid or acetic acid.  The molar ratio of dehydrating agent and all reactant is 13.4-134%:1. [on SciFinder(R)]", "author" : [ { "dropping-particle" : "", "family" : "Yu", "given" : "Lei", "non-dropping-particle" : "", "parse-names" : false, "suffix" : "" }, { "dropping-particle" : "", "family" : "Chen", "given" : "Fenglin", "non-dropping-particle" : "", "parse-names" : false, "suffix" : "" }, { "dropping-particle" : "", "family" : "Ji", "given" : "Wenjuan", "non-dropping-particle" : "", "parse-names" : false, "suffix" : "" }, { "dropping-particle" : "", "family" : "Yang", "given" : "Chenggen.", "non-dropping-particle" : "", "parse-names" : false, "suffix" : "" } ], "container-title" : "Faming Zhuanli Shenqing", "id" : "ITEM-2", "issue" : "CN105152829A", "issued" : { "date-parts" : [ [ "2015", "12", "16" ] ] }, "note" : "CAPLUS AN 2015:2027926(Patent)", "page" : "7pp.", "publisher" : "Yangzhou University, Peop. Rep. China .", "title" : "Method for synthesis of ketone by using methyl tertiary alcohol.", "type" : "patent" }, "uris" : [ "http://www.mendeley.com/documents/?uuid=5bffa960-9800-4f9c-879c-4c39b2bb911f" ] } ], "mendeley" : { "formattedCitation" : "&lt;sup&gt;[167,168]&lt;/sup&gt;", "plainTextFormattedCitation" : "[167,168]", "previouslyFormattedCitation" : "&lt;sup&gt;[167,168]&lt;/sup&gt;" }, "properties" : { "noteIndex" : 0 }, "schema" : "https://github.com/citation-style-language/schema/raw/master/csl-citation.json" }</w:instrText>
      </w:r>
      <w:r w:rsidR="00A843FA">
        <w:rPr>
          <w:sz w:val="24"/>
          <w:szCs w:val="24"/>
        </w:rPr>
        <w:fldChar w:fldCharType="separate"/>
      </w:r>
      <w:r w:rsidR="0055300D" w:rsidRPr="0055300D">
        <w:rPr>
          <w:noProof/>
          <w:sz w:val="24"/>
          <w:szCs w:val="24"/>
          <w:vertAlign w:val="superscript"/>
        </w:rPr>
        <w:t>[167,168]</w:t>
      </w:r>
      <w:r w:rsidR="00A843FA">
        <w:rPr>
          <w:sz w:val="24"/>
          <w:szCs w:val="24"/>
        </w:rPr>
        <w:fldChar w:fldCharType="end"/>
      </w:r>
      <w:r w:rsidR="00A843FA">
        <w:rPr>
          <w:sz w:val="24"/>
          <w:szCs w:val="24"/>
        </w:rPr>
        <w:t xml:space="preserve"> and even </w:t>
      </w:r>
      <w:r w:rsidR="00A843FA" w:rsidRPr="00F14850">
        <w:rPr>
          <w:rFonts w:ascii="Symbol" w:hAnsi="Symbol"/>
          <w:sz w:val="24"/>
          <w:szCs w:val="24"/>
        </w:rPr>
        <w:t></w:t>
      </w:r>
      <w:r w:rsidR="00A843FA">
        <w:rPr>
          <w:sz w:val="24"/>
          <w:szCs w:val="24"/>
        </w:rPr>
        <w:t>-hydroxy ketones.</w:t>
      </w:r>
      <w:r w:rsidR="00A843FA">
        <w:rPr>
          <w:sz w:val="24"/>
          <w:szCs w:val="24"/>
        </w:rPr>
        <w:fldChar w:fldCharType="begin" w:fldLock="1"/>
      </w:r>
      <w:r w:rsidR="00F168DA">
        <w:rPr>
          <w:sz w:val="24"/>
          <w:szCs w:val="24"/>
        </w:rPr>
        <w:instrText>ADDIN CSL_CITATION { "citationItems" : [ { "id" : "ITEM-1", "itemData" : { "DOI" : "10.1016/j.tetlet.2014.08.038", "ISSN" : "0040-4039", "abstract" : "Tandem oxidative cleavage of aryloxoethyl and aryloxopropyl Me and 4-methylphenyl sulfones with a combination of ceric ammonium nitrate [Ce(NH4)2(NO3)6, CAN] and O2 in acetonitrile (MeCN) afforded arylcarboxylic and arylacetic acids in moderate to good yields.  Potential mechanisms for the oxidative cleavage were discussed.  Aerobic oxidative cleavage of PhCOCHPhSO2R (R = Me, 4-MeC6H4) with CAN yielded benzil. [on SciFinder(R)]", "author" : [ { "dropping-particle" : "", "family" : "Chang", "given" : "Meng-Yang", "non-dropping-particle" : "", "parse-names" : false, "suffix" : "" }, { "dropping-particle" : "", "family" : "Tsai", "given" : "Chung-Yu.", "non-dropping-particle" : "", "parse-names" : false, "suffix" : "" } ], "container-title" : "Tetrahedron Letters", "id" : "ITEM-1", "issue" : "40", "issued" : { "date-parts" : [ [ "2014" ] ] }, "note" : "CAPLUS AN 2014:1419117(Journal; Online Computer File)", "page" : "5548-5550", "publisher" : "Elsevier Ltd.", "title" : "Oxidative cleavage of \u03b1-sulfonyl ketones to carboxylic acids with Ce(NH4)2(NO3)6.", "type" : "article-journal", "volume" : "55" }, "uris" : [ "http://www.mendeley.com/documents/?uuid=7cb182c1-d9c3-4991-805f-762d0893c95d" ] }, { "id" : "ITEM-2", "itemData" : { "ISSN" : "0975-8585", "abstract" : "A suitable kinetic and mechanistic study is proposed and reaction consts. of different steps involved have been evaluated by a series of observation taken on the oxidn. of Me Pr ketone by Ir (III) chloride in aq. perchloric acid medium and cerium (IV) perchlorate used as a catalyst here at temp. range of 293-308 K under conditions [CH3COCH2CH2CH3] \u00bb [Ce (IV)]T \u00bb [Ir]T.  The reaction rate follows first order kinetics at low concns. tending towards zero-order at higher concns. with respect to ceric perchlorate and Me Pr ketone.  Order of reaction is unity with respect to [Ir (III)] in the concn. range studied.  On increasing the concns. of [H+] the rate decreases slightly.  The effect of ionic strength and the dielec. const. on reaction rate has also been studied.  The active species of oxidant is indicated to be Ce4+ and Ce (OH)3+.  Activation Parameters have also been analyzed and calcd. with respect to the slow step of the mechanism. [on SciFinder(R)]", "author" : [ { "dropping-particle" : "", "family" : "Khan", "given" : "Firoz", "non-dropping-particle" : "", "parse-names" : false, "suffix" : "" }, { "dropping-particle" : "", "family" : "Kushwaha", "given" : "Usha.", "non-dropping-particle" : "", "parse-names" : false, "suffix" : "" } ], "container-title" : "Research Journal of Pharmaceutical, Biological and Chemical Sciences", "id" : "ITEM-2", "issue" : "1", "issued" : { "date-parts" : [ [ "2013" ] ] }, "note" : "CAPLUS AN 2013:322828(Journal; Online Computer File)", "page" : "444-457", "publisher" : "Research Journal of Pharmaceutical, Biological and Chemical Sciences", "title" : "A kinetic and mechanistic study on the oxidation of methyl propyl ketone by cerium (IV) perchlorate catalysed by Ir (III) chloride in aqueous perchloric acid medium.", "type" : "article-journal", "volume" : "4" }, "uris" : [ "http://www.mendeley.com/documents/?uuid=25a35111-e327-4fca-bb34-7e5b61edc698" ] }, { "id" : "ITEM-3", "itemData" : { "ISSN" : "0975-7384", "abstract" : "This mechanistic study on the oxidn. of di-Et ketone by Ir (III) chloride in aq. perchloric acid medium when cerium (IV) perchlorate is used as a catalyst has been done at temp. range of 293 to 308 K under conditions such that, [Ir]T \u00ab [Ce (IV)]T \u00ab [CH3-CH2-CO-CH2-CH3] so that the reaction consts. of different steps involved have been evaluated with great ease and accuracy the rate of reaction tends towards zero-order at higher concn. and first order at lower concn. with respect to ceric perchlorate and di-Et ketone.  Order of reaction is unity with respect to [Ir (III)] in the concn. range studied.  On increasing the concns. of [H+] the rate decreases slightly.  The effect of ionic strength and the dielec. const. on reaction rate has also been studied.  The active species of oxidant is indicated to be Ce4+ and Ce (OH)3+.  An intermediate involving the oxidant, catalyst and substrate has been proposed as being formed in pre-equil. steps.  The calcn. of activation parameters is done with tremendous anal. with respect to slow step of mechanism. [on SciFinder(R)]", "author" : [ { "dropping-particle" : "", "family" : "Khan", "given" : "Firoz", "non-dropping-particle" : "", "parse-names" : false, "suffix" : "" }, { "dropping-particle" : "", "family" : "Kushwaha", "given" : "Usha", "non-dropping-particle" : "", "parse-names" : false, "suffix" : "" }, { "dropping-particle" : "", "family" : "Singh", "given" : "A K", "non-dropping-particle" : "", "parse-names" : false, "suffix" : "" } ], "container-title" : "Journal of Chemical and Pharmaceutical Research", "id" : "ITEM-3", "issue" : "7", "issued" : { "date-parts" : [ [ "2012" ] ] }, "note" : "CAPLUS AN 2012:1376641(Journal; Online Computer File)", "page" : "3715-3726", "publisher" : "Journal of Chemical and Pharmaceutical Research", "title" : "A mechanistic study based on kinetics of the oxidation of diethyl ketone by Ir (III) chloride in aqueous perchloric acid medium when cerium (IV) perchlorate is used as a catalyst.", "type" : "article-journal", "volume" : "4" }, "uris" : [ "http://www.mendeley.com/documents/?uuid=956378b6-ffa7-4306-93f3-cf96767cc6c1" ] } ], "mendeley" : { "formattedCitation" : "&lt;sup&gt;[169\u2013171]&lt;/sup&gt;", "plainTextFormattedCitation" : "[169\u2013171]", "previouslyFormattedCitation" : "&lt;sup&gt;[169\u2013171]&lt;/sup&gt;" }, "properties" : { "noteIndex" : 0 }, "schema" : "https://github.com/citation-style-language/schema/raw/master/csl-citation.json" }</w:instrText>
      </w:r>
      <w:r w:rsidR="00A843FA">
        <w:rPr>
          <w:sz w:val="24"/>
          <w:szCs w:val="24"/>
        </w:rPr>
        <w:fldChar w:fldCharType="separate"/>
      </w:r>
      <w:r w:rsidR="0055300D" w:rsidRPr="0055300D">
        <w:rPr>
          <w:noProof/>
          <w:sz w:val="24"/>
          <w:szCs w:val="24"/>
          <w:vertAlign w:val="superscript"/>
        </w:rPr>
        <w:t>[169–171]</w:t>
      </w:r>
      <w:r w:rsidR="00A843FA">
        <w:rPr>
          <w:sz w:val="24"/>
          <w:szCs w:val="24"/>
        </w:rPr>
        <w:fldChar w:fldCharType="end"/>
      </w:r>
    </w:p>
    <w:p w:rsidR="00645C99" w:rsidRDefault="00F53359" w:rsidP="00645C99">
      <w:pPr>
        <w:spacing w:line="360" w:lineRule="auto"/>
        <w:jc w:val="both"/>
        <w:rPr>
          <w:sz w:val="24"/>
          <w:szCs w:val="24"/>
        </w:rPr>
      </w:pPr>
      <w:r>
        <w:rPr>
          <w:sz w:val="24"/>
          <w:szCs w:val="24"/>
        </w:rPr>
        <w:t>CAN has been used in the total synthesis of (±) Lantalucratin A</w:t>
      </w:r>
      <w:r w:rsidR="0039536F">
        <w:rPr>
          <w:sz w:val="24"/>
          <w:szCs w:val="24"/>
        </w:rPr>
        <w:t xml:space="preserve"> </w:t>
      </w:r>
      <w:r w:rsidR="0039536F" w:rsidRPr="0039536F">
        <w:rPr>
          <w:b/>
          <w:sz w:val="24"/>
          <w:szCs w:val="24"/>
        </w:rPr>
        <w:t>89</w:t>
      </w:r>
      <w:r>
        <w:rPr>
          <w:sz w:val="24"/>
          <w:szCs w:val="24"/>
        </w:rPr>
        <w:t>,</w:t>
      </w:r>
      <w:r>
        <w:rPr>
          <w:sz w:val="24"/>
          <w:szCs w:val="24"/>
        </w:rPr>
        <w:fldChar w:fldCharType="begin" w:fldLock="1"/>
      </w:r>
      <w:r w:rsidR="00F168DA">
        <w:rPr>
          <w:sz w:val="24"/>
          <w:szCs w:val="24"/>
        </w:rPr>
        <w:instrText>ADDIN CSL_CITATION { "citationItems" : [ { "id" : "ITEM-1", "itemData" : { "DOI" : "10.1016/j.tet.2013.09.081", "ISSN" : "0040-4020", "abstract" : "The total synthesis of (\u00b1)-lantalucratins A and B is described.  Introduction of an alkyl side-chain at the 6-position was proceeded by ortho-lithiation and subsequent alkylation to afford 6-alkyl-5,7,8-trimethoxy-1-naphthol as a synthetically important intermediate for (\u00b1)-lantalucratins A and B in excellent yield with complete regioselectivity.  The 1,2-naphthoquinone fused 5-membered cyclic ether framework was constructed directly from 3-(hydroxyalkyl)naphthalenes by oxidative intramol. cyclization with diammonium cerium(IV) nitrate.  (\u00b1)-Lantalucratin A and B were obtained in 69 and 45% overall yields, resp. [on SciFinder(R)]", "author" : [ { "dropping-particle" : "", "family" : "Ogata", "given" : "Tokutaro", "non-dropping-particle" : "", "parse-names" : false, "suffix" : "" }, { "dropping-particle" : "", "family" : "Sugiyama", "given" : "Yoshiko", "non-dropping-particle" : "", "parse-names" : false, "suffix" : "" }, { "dropping-particle" : "", "family" : "Ito", "given" : "Saki", "non-dropping-particle" : "", "parse-names" : false, "suffix" : "" }, { "dropping-particle" : "", "family" : "Nakano", "given" : "Kazuha", "non-dropping-particle" : "", "parse-names" : false, "suffix" : "" }, { "dropping-particle" : "", "family" : "Torii", "given" : "Eri", "non-dropping-particle" : "", "parse-names" : false, "suffix" : "" }, { "dropping-particle" : "", "family" : "Nishiuchi", "given" : "Arisa", "non-dropping-particle" : "", "parse-names" : false, "suffix" : "" }, { "dropping-particle" : "", "family" : "Kimachi", "given" : "Tetsutaro.", "non-dropping-particle" : "", "parse-names" : false, "suffix" : "" } ], "container-title" : "Tetrahedron", "id" : "ITEM-1", "issue" : "48", "issued" : { "date-parts" : [ [ "2013" ] ] }, "note" : "CAPLUS AN 2013:1688534(Journal; Online Computer File)", "page" : "10470-10476", "publisher" : "Elsevier Ltd.", "title" : "Total synthesis of (\u00b1)-lantalucratins A and B by CAN-mediated oxidative cyclization.", "type" : "article-journal", "volume" : "69" }, "uris" : [ "http://www.mendeley.com/documents/?uuid=d876ad4d-958e-4e37-ace8-6de9d7a2078f" ] } ], "mendeley" : { "formattedCitation" : "&lt;sup&gt;[172]&lt;/sup&gt;", "plainTextFormattedCitation" : "[172]", "previouslyFormattedCitation" : "&lt;sup&gt;[172]&lt;/sup&gt;"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[172]</w:t>
      </w:r>
      <w:r>
        <w:rPr>
          <w:sz w:val="24"/>
          <w:szCs w:val="24"/>
        </w:rPr>
        <w:fldChar w:fldCharType="end"/>
      </w:r>
      <w:r>
        <w:rPr>
          <w:sz w:val="24"/>
          <w:szCs w:val="24"/>
        </w:rPr>
        <w:t xml:space="preserve"> a natural product with a naphthoquinone skeleton which has shown cytotoxic activity against various human tumour cell lines.</w:t>
      </w:r>
      <w:r>
        <w:rPr>
          <w:sz w:val="24"/>
          <w:szCs w:val="24"/>
        </w:rPr>
        <w:fldChar w:fldCharType="begin" w:fldLock="1"/>
      </w:r>
      <w:r w:rsidR="00F168DA">
        <w:rPr>
          <w:sz w:val="24"/>
          <w:szCs w:val="24"/>
        </w:rPr>
        <w:instrText>ADDIN CSL_CITATION { "citationItems" : [ { "id" : "ITEM-1", "itemData" : { "DOI" : "10.1021/np030450f", "ISSN" : "0163-3864", "abstract" : "In a continuing study to isolate novel antitumor agents from rainforest plants, three new isopropenylfurano-\u03b2-naphthoquinones, designated lantalucratins A (1), B (2), and C (3), and three new isoprenyl-\u03b1-naphthoquinones, designated lantalucratins D (4), E (5), and F (6), were isolated from Lantana involucrata.  Their structures were detd. on the basis of NMR and X-ray crystallog. analyses.  Compds. 1 and 2 showed cytotoxic activities against various human tumor cell lines, including drug-resistant variants, with IC50 values of 1.0-4.9 \u03bcM. [on SciFinder(R)]", "author" : [ { "dropping-particle" : "", "family" : "Hayashi", "given" : "Ken-Ichiro", "non-dropping-particle" : "", "parse-names" : false, "suffix" : "" }, { "dropping-particle" : "", "family" : "Chang", "given" : "Fang-Rong", "non-dropping-particle" : "", "parse-names" : false, "suffix" : "" }, { "dropping-particle" : "", "family" : "Nakanishi", "given" : "Yuka", "non-dropping-particle" : "", "parse-names" : false, "suffix" : "" }, { "dropping-particle" : "", "family" : "Bastow", "given" : "Kenneth F", "non-dropping-particle" : "", "parse-names" : false, "suffix" : "" }, { "dropping-particle" : "", "family" : "Cragg", "given" : "Gordon", "non-dropping-particle" : "", "parse-names" : false, "suffix" : "" }, { "dropping-particle" : "", "family" : "McPhail", "given" : "Andrew T", "non-dropping-particle" : "", "parse-names" : false, "suffix" : "" }, { "dropping-particle" : "", "family" : "Nozaki", "given" : "Hiroshi", "non-dropping-particle" : "", "parse-names" : false, "suffix" : "" }, { "dropping-particle" : "", "family" : "Lee", "given" : "Kuo-Hsiung.", "non-dropping-particle" : "", "parse-names" : false, "suffix" : "" } ], "container-title" : "Journal of Natural Products", "id" : "ITEM-1", "issue" : "6", "issued" : { "date-parts" : [ [ "2004" ] ] }, "note" : "CAPLUS AN 2004:431950(Journal)", "page" : "990-993", "publisher" : "American Chemical Society", "title" : "Antitumor Agents. 233.Lantalucratins A-F, New Cytotoxic Naphthoquinones from Lantana involucrata.", "type" : "article-journal", "volume" : "67" }, "uris" : [ "http://www.mendeley.com/documents/?uuid=569d1515-0cbe-453b-803d-23fdd11da0e8" ] } ], "mendeley" : { "formattedCitation" : "&lt;sup&gt;[173]&lt;/sup&gt;", "plainTextFormattedCitation" : "[173]", "previouslyFormattedCitation" : "&lt;sup&gt;[173]&lt;/sup&gt;"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[173]</w:t>
      </w:r>
      <w:r>
        <w:rPr>
          <w:sz w:val="24"/>
          <w:szCs w:val="24"/>
        </w:rPr>
        <w:fldChar w:fldCharType="end"/>
      </w:r>
      <w:r>
        <w:rPr>
          <w:sz w:val="24"/>
          <w:szCs w:val="24"/>
        </w:rPr>
        <w:t xml:space="preserve"> CAN was used to mediate an intramolecular oxidative cyclisation under mild conditions in an excellent yield as the key </w:t>
      </w:r>
      <w:r w:rsidR="0039536F">
        <w:rPr>
          <w:sz w:val="24"/>
          <w:szCs w:val="24"/>
        </w:rPr>
        <w:t xml:space="preserve">step in this complete synthesis, as shown in </w:t>
      </w:r>
      <w:r w:rsidR="0039536F" w:rsidRPr="0039536F">
        <w:rPr>
          <w:b/>
          <w:sz w:val="24"/>
          <w:szCs w:val="24"/>
        </w:rPr>
        <w:t>Scheme 1.5</w:t>
      </w:r>
      <w:r w:rsidR="00451339">
        <w:rPr>
          <w:b/>
          <w:sz w:val="24"/>
          <w:szCs w:val="24"/>
        </w:rPr>
        <w:t>0</w:t>
      </w:r>
      <w:r w:rsidR="0039536F">
        <w:rPr>
          <w:sz w:val="24"/>
          <w:szCs w:val="24"/>
        </w:rPr>
        <w:t>.</w:t>
      </w:r>
    </w:p>
    <w:p w:rsidR="00694A9D" w:rsidRDefault="0039536F" w:rsidP="000A1370">
      <w:pPr>
        <w:spacing w:line="360" w:lineRule="auto"/>
        <w:jc w:val="center"/>
      </w:pPr>
      <w:r>
        <w:object w:dxaOrig="7643" w:dyaOrig="5351">
          <v:shape id="_x0000_i1073" type="#_x0000_t75" style="width:382.5pt;height:268.5pt" o:ole="">
            <v:imagedata r:id="rId124" o:title=""/>
          </v:shape>
          <o:OLEObject Type="Embed" ProgID="ChemDraw.Document.6.0" ShapeID="_x0000_i1073" DrawAspect="Content" ObjectID="_1531849621" r:id="rId125"/>
        </w:object>
      </w:r>
    </w:p>
    <w:p w:rsidR="0039536F" w:rsidRPr="0039536F" w:rsidRDefault="0039536F" w:rsidP="000A1370">
      <w:pPr>
        <w:spacing w:line="360" w:lineRule="auto"/>
        <w:jc w:val="center"/>
        <w:rPr>
          <w:b/>
          <w:sz w:val="24"/>
          <w:szCs w:val="24"/>
        </w:rPr>
      </w:pPr>
      <w:r w:rsidRPr="0039536F">
        <w:rPr>
          <w:b/>
          <w:sz w:val="24"/>
          <w:szCs w:val="24"/>
        </w:rPr>
        <w:t>Scheme 1.5</w:t>
      </w:r>
      <w:r w:rsidR="00451339">
        <w:rPr>
          <w:b/>
          <w:sz w:val="24"/>
          <w:szCs w:val="24"/>
        </w:rPr>
        <w:t>0</w:t>
      </w:r>
    </w:p>
    <w:p w:rsidR="005B125E" w:rsidRDefault="005B125E" w:rsidP="008337C4">
      <w:pPr>
        <w:spacing w:line="360" w:lineRule="auto"/>
        <w:jc w:val="both"/>
        <w:rPr>
          <w:sz w:val="24"/>
          <w:szCs w:val="24"/>
        </w:rPr>
      </w:pPr>
    </w:p>
    <w:p w:rsidR="009D501E" w:rsidRPr="00D86DC0" w:rsidRDefault="0074056F" w:rsidP="0074056F">
      <w:pPr>
        <w:pStyle w:val="Heading2"/>
      </w:pPr>
      <w:bookmarkStart w:id="27" w:name="_Toc446773079"/>
      <w:r>
        <w:t>1.</w:t>
      </w:r>
      <w:r w:rsidR="00591EF1">
        <w:t>6</w:t>
      </w:r>
      <w:r>
        <w:t xml:space="preserve">.3 </w:t>
      </w:r>
      <w:r w:rsidR="009D501E" w:rsidRPr="00D86DC0">
        <w:t>Reduction reaction</w:t>
      </w:r>
      <w:r w:rsidR="002935B8" w:rsidRPr="00D86DC0">
        <w:t>s</w:t>
      </w:r>
      <w:bookmarkEnd w:id="27"/>
    </w:p>
    <w:p w:rsidR="009D501E" w:rsidRDefault="009D501E" w:rsidP="008337C4">
      <w:pPr>
        <w:spacing w:line="360" w:lineRule="auto"/>
        <w:jc w:val="both"/>
        <w:rPr>
          <w:sz w:val="24"/>
          <w:szCs w:val="24"/>
        </w:rPr>
      </w:pPr>
      <w:r>
        <w:rPr>
          <w:sz w:val="24"/>
          <w:szCs w:val="24"/>
        </w:rPr>
        <w:t>The first practical use of lanthanide reducing agents was in the use of ytterbium in liquid ammonia for dissolving metal reductions</w:t>
      </w:r>
      <w:r w:rsidR="00512B10">
        <w:rPr>
          <w:sz w:val="24"/>
          <w:szCs w:val="24"/>
        </w:rPr>
        <w:t xml:space="preserve"> (</w:t>
      </w:r>
      <w:r w:rsidR="00512B10" w:rsidRPr="00512B10">
        <w:rPr>
          <w:b/>
          <w:sz w:val="24"/>
          <w:szCs w:val="24"/>
        </w:rPr>
        <w:t>Scheme</w:t>
      </w:r>
      <w:r w:rsidR="0039536F">
        <w:rPr>
          <w:b/>
          <w:sz w:val="24"/>
          <w:szCs w:val="24"/>
        </w:rPr>
        <w:t xml:space="preserve"> 1.5</w:t>
      </w:r>
      <w:r w:rsidR="00451339">
        <w:rPr>
          <w:b/>
          <w:sz w:val="24"/>
          <w:szCs w:val="24"/>
        </w:rPr>
        <w:t>1</w:t>
      </w:r>
      <w:r w:rsidR="00512B10">
        <w:rPr>
          <w:sz w:val="24"/>
          <w:szCs w:val="24"/>
        </w:rPr>
        <w:t>)</w:t>
      </w:r>
      <w:r>
        <w:rPr>
          <w:sz w:val="24"/>
          <w:szCs w:val="24"/>
        </w:rPr>
        <w:t>.</w:t>
      </w:r>
      <w:r w:rsidR="00384F09">
        <w:rPr>
          <w:sz w:val="24"/>
          <w:szCs w:val="24"/>
        </w:rPr>
        <w:fldChar w:fldCharType="begin" w:fldLock="1"/>
      </w:r>
      <w:r w:rsidR="00F168DA">
        <w:rPr>
          <w:sz w:val="24"/>
          <w:szCs w:val="24"/>
        </w:rPr>
        <w:instrText>ADDIN CSL_CITATION { "citationItems" : [ { "id" : "ITEM-1", "itemData" : { "DOI" : "10.1021/jo00417a045", "ISSN" : "0022-3263", "abstract" : "Solns. of ytterbium in NH3 (l) are stable at -33\u00b0C and have powerful reducing properties.  Arom. compds. are reduced cleanly to the 1,4-dihydroarom. systems (except durene); thus, estradiol 3-Me ester gave dihydrotestosterone after hydrolysis.  \u03b1,\u03b2-Unsatd. ketones are reduced to a mixt. of the satd. ketone and corresponding alc. which, after Jones' oxidn., gives ketones in fair-to-good yield; thus, 4-cholesten-3-one gave cholestanone.  Alkynes are usually reduced in this medium to trans-alkenes; further redn. to the alkane was obsd once.  Bicyclo[2.2.1]heptadiene was reduced to bicycloheptene. [on SciFinder(R)]", "author" : [ { "dropping-particle" : "", "family" : "White", "given" : "James D", "non-dropping-particle" : "", "parse-names" : false, "suffix" : "" }, { "dropping-particle" : "", "family" : "Larson", "given" : "Gerald L", "non-dropping-particle" : "", "parse-names" : false, "suffix" : "" } ], "container-title" : "Journal of Organic Chemistry", "id" : "ITEM-1", "issue" : "23", "issued" : { "date-parts" : [ [ "1978" ] ] }, "note" : "CAPLUS AN 1978:614461(Journal)", "page" : "4555-4556", "title" : "Reduction of organic compounds with solutions of ytterbium in liquid ammonia.", "type" : "article-journal", "volume" : "43" }, "uris" : [ "http://www.mendeley.com/documents/?uuid=45567036-b88f-4f90-85fa-264e24dd483b" ] } ], "mendeley" : { "formattedCitation" : "&lt;sup&gt;[174]&lt;/sup&gt;", "plainTextFormattedCitation" : "[174]", "previouslyFormattedCitation" : "&lt;sup&gt;[174]&lt;/sup&gt;" }, "properties" : { "noteIndex" : 0 }, "schema" : "https://github.com/citation-style-language/schema/raw/master/csl-citation.json" }</w:instrText>
      </w:r>
      <w:r w:rsidR="00384F09">
        <w:rPr>
          <w:sz w:val="24"/>
          <w:szCs w:val="24"/>
        </w:rPr>
        <w:fldChar w:fldCharType="separate"/>
      </w:r>
      <w:r w:rsidR="0055300D" w:rsidRPr="0055300D">
        <w:rPr>
          <w:noProof/>
          <w:sz w:val="24"/>
          <w:szCs w:val="24"/>
          <w:vertAlign w:val="superscript"/>
        </w:rPr>
        <w:t>[174]</w:t>
      </w:r>
      <w:r w:rsidR="00384F09">
        <w:rPr>
          <w:sz w:val="24"/>
          <w:szCs w:val="24"/>
        </w:rPr>
        <w:fldChar w:fldCharType="end"/>
      </w:r>
      <w:r>
        <w:rPr>
          <w:sz w:val="24"/>
          <w:szCs w:val="24"/>
        </w:rPr>
        <w:t xml:space="preserve"> This is similar to a Birch reduction with alkali metals but has advantages in ease of handling of the metal, and in avoiding the strongly basic hydroxide work up.</w:t>
      </w:r>
    </w:p>
    <w:p w:rsidR="009D501E" w:rsidRDefault="00CF6097" w:rsidP="00CF6097">
      <w:pPr>
        <w:spacing w:line="360" w:lineRule="auto"/>
        <w:jc w:val="center"/>
      </w:pPr>
      <w:r>
        <w:object w:dxaOrig="5273" w:dyaOrig="3008">
          <v:shape id="_x0000_i1074" type="#_x0000_t75" style="width:264pt;height:150.75pt" o:ole="">
            <v:imagedata r:id="rId126" o:title=""/>
          </v:shape>
          <o:OLEObject Type="Embed" ProgID="ChemDraw.Document.6.0" ShapeID="_x0000_i1074" DrawAspect="Content" ObjectID="_1531849622" r:id="rId127"/>
        </w:object>
      </w:r>
    </w:p>
    <w:p w:rsidR="0039536F" w:rsidRDefault="0039536F" w:rsidP="00CF6097">
      <w:pPr>
        <w:spacing w:line="360" w:lineRule="auto"/>
        <w:jc w:val="center"/>
        <w:rPr>
          <w:b/>
          <w:sz w:val="24"/>
          <w:szCs w:val="24"/>
        </w:rPr>
      </w:pPr>
      <w:r w:rsidRPr="0039536F">
        <w:rPr>
          <w:b/>
          <w:sz w:val="24"/>
          <w:szCs w:val="24"/>
        </w:rPr>
        <w:t>Scheme 1.5</w:t>
      </w:r>
      <w:r w:rsidR="00451339">
        <w:rPr>
          <w:b/>
          <w:sz w:val="24"/>
          <w:szCs w:val="24"/>
        </w:rPr>
        <w:t>1</w:t>
      </w:r>
    </w:p>
    <w:p w:rsidR="0039536F" w:rsidRDefault="0039536F" w:rsidP="00CF6097">
      <w:pPr>
        <w:spacing w:line="360" w:lineRule="auto"/>
        <w:jc w:val="center"/>
        <w:rPr>
          <w:b/>
          <w:sz w:val="24"/>
          <w:szCs w:val="24"/>
        </w:rPr>
      </w:pPr>
    </w:p>
    <w:p w:rsidR="00610612" w:rsidRDefault="00610612" w:rsidP="008337C4">
      <w:pPr>
        <w:spacing w:line="360" w:lineRule="auto"/>
        <w:jc w:val="both"/>
        <w:rPr>
          <w:sz w:val="24"/>
          <w:szCs w:val="24"/>
        </w:rPr>
      </w:pPr>
      <w:r>
        <w:rPr>
          <w:sz w:val="24"/>
          <w:szCs w:val="24"/>
        </w:rPr>
        <w:t>Possibly the most well-known use for lanthanide reagents in organic synthesis is the Luche procedure for the selective reduction of conjugated aldehydes and ketones to allylic alcohols.</w:t>
      </w:r>
      <w:r w:rsidR="00384F09">
        <w:rPr>
          <w:sz w:val="24"/>
          <w:szCs w:val="24"/>
        </w:rPr>
        <w:fldChar w:fldCharType="begin" w:fldLock="1"/>
      </w:r>
      <w:r w:rsidR="00F168DA">
        <w:rPr>
          <w:sz w:val="24"/>
          <w:szCs w:val="24"/>
        </w:rPr>
        <w:instrText>ADDIN CSL_CITATION { "citationItems" : [ { "id" : "ITEM-1", "itemData" : { "DOI" : "10.1021/ja00475a040", "ISSN" : "0002-7863", "abstract" : "Redns. of \u03b1,\u03b2-unsatd. ketones in MeOH soln. in the presence of a stoichiometric quantity of a lanthanide chloride yield the corresponding allylic alcs. in high yield.  The reaction was proven by redn. of 3-penten-2-one and several 2-cycloalken-1-ones. [on SciFinder(R)]", "author" : [ { "dropping-particle" : "", "family" : "Luche", "given" : "Jean Louis.", "non-dropping-particle" : "", "parse-names" : false, "suffix" : "" } ], "container-title" : "Journal of the American Chemical Society", "id" : "ITEM-1", "issue" : "7", "issued" : { "date-parts" : [ [ "1978" ] ] }, "note" : "CAPLUS AN 1978:190173(Journal)", "page" : "2226-2227", "title" : "Lanthanides in organic chemistry.  1.  Selective 1,2 reductions of conjugated ketones.", "type" : "article-journal", "volume" : "100" }, "uris" : [ "http://www.mendeley.com/documents/?uuid=606e06c8-d5df-408e-9ecd-ac39585bb4bc" ] }, { "id" : "ITEM-2", "itemData" : { "DOI" : "10.1039/c39780000601", "ISSN" : "0022-4936", "abstract" : "(-)-Carvone (I) pulegone, piperitone, testosterone, and progesterone were reduced quant., and in most cases stereospecifically, to the corresponding allylic alcs. by NaBH4 in MeOH in the presence of CeCl3 (room temp., 3-5 min).  E.g., redn. of I gave 98% alc. II.  The same redns. of prostanoid \u03b1,\u03b2-unsatd. ketones are regiospecific but not stereospecific.  E.g., redn. of the enone III (RR1 = O) gave a 1:1 mixt. of the diols III (R = H, R1 = OH; R = OH, R1 = H). [on SciFinder(R)]", "author" : [ { "dropping-particle" : "", "family" : "Luche", "given" : "Jean Louis", "non-dropping-particle" : "", "parse-names" : false, "suffix" : "" }, { "dropping-particle" : "", "family" : "Rodriguez-Hahn", "given" : "Lydia", "non-dropping-particle" : "", "parse-names" : false, "suffix" : "" }, { "dropping-particle" : "", "family" : "Crabbe", "given" : "Pierre.", "non-dropping-particle" : "", "parse-names" : false, "suffix" : "" } ], "container-title" : "Journal of the Chemical Society, Chemical Communications", "id" : "ITEM-2", "issue" : "14", "issued" : { "date-parts" : [ [ "1978" ] ] }, "note" : "CAPLUS AN 1979:55113(Journal)", "page" : "601-602", "title" : "Reduction of natural enones in the presence of cerium trichloride.", "type" : "article-journal" }, "uris" : [ "http://www.mendeley.com/documents/?uuid=b87b7eeb-c662-4b8b-a96d-72b14b9f9325" ] }, { "id" : "ITEM-3", "itemData" : { "DOI" : "10.1021/ja00408a029", "ISSN" : "0002-7863", "abstract" : "Lanthanoid chlorides (LnCl3) are efficient catalysts for the regioselective 1,2 redn. of \u03b1-enones by NaBH4 in MeOH.  Optimal conditions of this reaction were detd.  The major effect of Ln3+ is the catalysis of BH4- decompn. by the hydroxylic solvent to afford alkoxyborohydrides, which may be responsible for the obsd. regioselectivity.  The stereoselectivity of the process is also modified by the presence of the Ln3+ ions, in that axial attack of cyclohexanone systems is enhanced. [on SciFinder(R)]", "author" : [ { "dropping-particle" : "", "family" : "Gemal", "given" : "Andre L", "non-dropping-particle" : "", "parse-names" : false, "suffix" : "" }, { "dropping-particle" : "", "family" : "Luche", "given" : "Jean Louis.", "non-dropping-particle" : "", "parse-names" : false, "suffix" : "" } ], "container-title" : "Journal of the American Chemical Society", "id" : "ITEM-3", "issue" : "18", "issued" : { "date-parts" : [ [ "1981" ] ] }, "note" : "CAPLUS AN 1981:531731(Journal)", "page" : "5454-5459", "title" : "Lanthanoids in organic synthesis.  6.  Reduction of \u03b1-enones by sodium borohydride in the presence of lanthanoid chlorides:  synthetic and mechanistic aspects.", "type" : "article-journal", "volume" : "103" }, "uris" : [ "http://www.mendeley.com/documents/?uuid=324a55a1-ba2e-4a9f-b461-421aa734686e" ] } ], "mendeley" : { "formattedCitation" : "&lt;sup&gt;[175\u2013177]&lt;/sup&gt;", "plainTextFormattedCitation" : "[175\u2013177]", "previouslyFormattedCitation" : "&lt;sup&gt;[175\u2013177]&lt;/sup&gt;" }, "properties" : { "noteIndex" : 0 }, "schema" : "https://github.com/citation-style-language/schema/raw/master/csl-citation.json" }</w:instrText>
      </w:r>
      <w:r w:rsidR="00384F09">
        <w:rPr>
          <w:sz w:val="24"/>
          <w:szCs w:val="24"/>
        </w:rPr>
        <w:fldChar w:fldCharType="separate"/>
      </w:r>
      <w:r w:rsidR="0055300D" w:rsidRPr="0055300D">
        <w:rPr>
          <w:noProof/>
          <w:sz w:val="24"/>
          <w:szCs w:val="24"/>
          <w:vertAlign w:val="superscript"/>
        </w:rPr>
        <w:t>[175–177]</w:t>
      </w:r>
      <w:r w:rsidR="00384F09">
        <w:rPr>
          <w:sz w:val="24"/>
          <w:szCs w:val="24"/>
        </w:rPr>
        <w:fldChar w:fldCharType="end"/>
      </w:r>
      <w:r w:rsidR="00A06CE4">
        <w:rPr>
          <w:sz w:val="24"/>
          <w:szCs w:val="24"/>
        </w:rPr>
        <w:t xml:space="preserve"> The selective 1,2 reduction of enones was first detailed by Luche in 1978, and used sodium borohydride in conjunction with CeCl</w:t>
      </w:r>
      <w:r w:rsidR="00A06CE4" w:rsidRPr="00A06CE4">
        <w:rPr>
          <w:sz w:val="24"/>
          <w:szCs w:val="24"/>
          <w:vertAlign w:val="subscript"/>
        </w:rPr>
        <w:t>3</w:t>
      </w:r>
      <w:r w:rsidR="00512B10">
        <w:rPr>
          <w:sz w:val="24"/>
          <w:szCs w:val="24"/>
        </w:rPr>
        <w:t xml:space="preserve">, as seen in </w:t>
      </w:r>
      <w:r w:rsidR="0039536F">
        <w:rPr>
          <w:b/>
          <w:sz w:val="24"/>
          <w:szCs w:val="24"/>
        </w:rPr>
        <w:t>Scheme 1.5</w:t>
      </w:r>
      <w:r w:rsidR="00451339">
        <w:rPr>
          <w:b/>
          <w:sz w:val="24"/>
          <w:szCs w:val="24"/>
        </w:rPr>
        <w:t>2</w:t>
      </w:r>
      <w:r w:rsidR="00A06CE4">
        <w:rPr>
          <w:sz w:val="24"/>
          <w:szCs w:val="24"/>
        </w:rPr>
        <w:t>. This transformation was not achi</w:t>
      </w:r>
      <w:r w:rsidR="00FF4C16">
        <w:rPr>
          <w:sz w:val="24"/>
          <w:szCs w:val="24"/>
        </w:rPr>
        <w:t>evable, or proceeded much less efficiently when traditional reducing reagents such as DIBAL, LAH or NaBH</w:t>
      </w:r>
      <w:r w:rsidR="00FF4C16" w:rsidRPr="00FF4C16">
        <w:rPr>
          <w:sz w:val="24"/>
          <w:szCs w:val="24"/>
          <w:vertAlign w:val="subscript"/>
        </w:rPr>
        <w:t>4</w:t>
      </w:r>
      <w:r w:rsidR="00FF4C16">
        <w:rPr>
          <w:sz w:val="24"/>
          <w:szCs w:val="24"/>
        </w:rPr>
        <w:t xml:space="preserve"> alone were used.</w:t>
      </w:r>
    </w:p>
    <w:p w:rsidR="00FF4C16" w:rsidRDefault="005802FE" w:rsidP="005802FE">
      <w:pPr>
        <w:spacing w:line="360" w:lineRule="auto"/>
        <w:jc w:val="center"/>
        <w:rPr>
          <w:sz w:val="24"/>
          <w:szCs w:val="24"/>
        </w:rPr>
      </w:pPr>
      <w:r>
        <w:object w:dxaOrig="4253" w:dyaOrig="1229">
          <v:shape id="_x0000_i1075" type="#_x0000_t75" style="width:213pt;height:60.75pt" o:ole="">
            <v:imagedata r:id="rId128" o:title=""/>
          </v:shape>
          <o:OLEObject Type="Embed" ProgID="ChemDraw.Document.6.0" ShapeID="_x0000_i1075" DrawAspect="Content" ObjectID="_1531849623" r:id="rId129"/>
        </w:obje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631"/>
        <w:gridCol w:w="753"/>
      </w:tblGrid>
      <w:tr w:rsidR="00FF4C16" w:rsidTr="00B86876">
        <w:trPr>
          <w:jc w:val="center"/>
        </w:trPr>
        <w:tc>
          <w:tcPr>
            <w:tcW w:w="0" w:type="auto"/>
            <w:tcBorders>
              <w:top w:val="single" w:sz="4" w:space="0" w:color="auto"/>
              <w:bottom w:val="single" w:sz="4" w:space="0" w:color="auto"/>
            </w:tcBorders>
          </w:tcPr>
          <w:p w:rsidR="00FF4C16" w:rsidRDefault="00FF4C16" w:rsidP="00FF4C16">
            <w:pPr>
              <w:spacing w:line="360" w:lineRule="auto"/>
              <w:jc w:val="center"/>
              <w:rPr>
                <w:sz w:val="24"/>
                <w:szCs w:val="24"/>
              </w:rPr>
            </w:pPr>
          </w:p>
        </w:tc>
        <w:tc>
          <w:tcPr>
            <w:tcW w:w="0" w:type="auto"/>
            <w:tcBorders>
              <w:top w:val="single" w:sz="4" w:space="0" w:color="auto"/>
              <w:bottom w:val="single" w:sz="4" w:space="0" w:color="auto"/>
            </w:tcBorders>
          </w:tcPr>
          <w:p w:rsidR="00FF4C16" w:rsidRDefault="00FF4C16" w:rsidP="00FF4C16">
            <w:pPr>
              <w:spacing w:line="360" w:lineRule="auto"/>
              <w:jc w:val="center"/>
              <w:rPr>
                <w:sz w:val="24"/>
                <w:szCs w:val="24"/>
              </w:rPr>
            </w:pPr>
            <w:r>
              <w:rPr>
                <w:sz w:val="24"/>
                <w:szCs w:val="24"/>
              </w:rPr>
              <w:t>A</w:t>
            </w:r>
          </w:p>
        </w:tc>
        <w:tc>
          <w:tcPr>
            <w:tcW w:w="0" w:type="auto"/>
            <w:tcBorders>
              <w:top w:val="single" w:sz="4" w:space="0" w:color="auto"/>
              <w:bottom w:val="single" w:sz="4" w:space="0" w:color="auto"/>
            </w:tcBorders>
          </w:tcPr>
          <w:p w:rsidR="00FF4C16" w:rsidRDefault="00FF4C16" w:rsidP="00FF4C16">
            <w:pPr>
              <w:spacing w:line="360" w:lineRule="auto"/>
              <w:jc w:val="center"/>
              <w:rPr>
                <w:sz w:val="24"/>
                <w:szCs w:val="24"/>
              </w:rPr>
            </w:pPr>
            <w:r>
              <w:rPr>
                <w:sz w:val="24"/>
                <w:szCs w:val="24"/>
              </w:rPr>
              <w:t>B</w:t>
            </w:r>
          </w:p>
        </w:tc>
      </w:tr>
      <w:tr w:rsidR="00FF4C16" w:rsidTr="00B86876">
        <w:trPr>
          <w:jc w:val="center"/>
        </w:trPr>
        <w:tc>
          <w:tcPr>
            <w:tcW w:w="0" w:type="auto"/>
            <w:tcBorders>
              <w:top w:val="single" w:sz="4" w:space="0" w:color="auto"/>
            </w:tcBorders>
          </w:tcPr>
          <w:p w:rsidR="00FF4C16" w:rsidRDefault="00FF4C16" w:rsidP="00FF4C16">
            <w:pPr>
              <w:spacing w:line="360" w:lineRule="auto"/>
              <w:jc w:val="center"/>
              <w:rPr>
                <w:sz w:val="24"/>
                <w:szCs w:val="24"/>
              </w:rPr>
            </w:pPr>
            <w:r>
              <w:rPr>
                <w:sz w:val="24"/>
                <w:szCs w:val="24"/>
              </w:rPr>
              <w:t>With CeCl</w:t>
            </w:r>
            <w:r w:rsidRPr="00FF4C16">
              <w:rPr>
                <w:sz w:val="24"/>
                <w:szCs w:val="24"/>
                <w:vertAlign w:val="subscript"/>
              </w:rPr>
              <w:t>3</w:t>
            </w:r>
          </w:p>
        </w:tc>
        <w:tc>
          <w:tcPr>
            <w:tcW w:w="0" w:type="auto"/>
            <w:tcBorders>
              <w:top w:val="single" w:sz="4" w:space="0" w:color="auto"/>
            </w:tcBorders>
          </w:tcPr>
          <w:p w:rsidR="00FF4C16" w:rsidRDefault="00FF4C16" w:rsidP="00FF4C16">
            <w:pPr>
              <w:spacing w:line="360" w:lineRule="auto"/>
              <w:jc w:val="center"/>
              <w:rPr>
                <w:sz w:val="24"/>
                <w:szCs w:val="24"/>
              </w:rPr>
            </w:pPr>
            <w:r>
              <w:rPr>
                <w:sz w:val="24"/>
                <w:szCs w:val="24"/>
              </w:rPr>
              <w:t>97%</w:t>
            </w:r>
          </w:p>
        </w:tc>
        <w:tc>
          <w:tcPr>
            <w:tcW w:w="0" w:type="auto"/>
            <w:tcBorders>
              <w:top w:val="single" w:sz="4" w:space="0" w:color="auto"/>
            </w:tcBorders>
          </w:tcPr>
          <w:p w:rsidR="00FF4C16" w:rsidRDefault="00FF4C16" w:rsidP="00FF4C16">
            <w:pPr>
              <w:spacing w:line="360" w:lineRule="auto"/>
              <w:jc w:val="center"/>
              <w:rPr>
                <w:sz w:val="24"/>
                <w:szCs w:val="24"/>
              </w:rPr>
            </w:pPr>
            <w:r>
              <w:rPr>
                <w:sz w:val="24"/>
                <w:szCs w:val="24"/>
              </w:rPr>
              <w:t>3%</w:t>
            </w:r>
          </w:p>
        </w:tc>
      </w:tr>
      <w:tr w:rsidR="00FF4C16" w:rsidTr="00B86876">
        <w:trPr>
          <w:jc w:val="center"/>
        </w:trPr>
        <w:tc>
          <w:tcPr>
            <w:tcW w:w="0" w:type="auto"/>
            <w:tcBorders>
              <w:bottom w:val="single" w:sz="4" w:space="0" w:color="auto"/>
            </w:tcBorders>
          </w:tcPr>
          <w:p w:rsidR="00FF4C16" w:rsidRDefault="00FF4C16" w:rsidP="00FF4C16">
            <w:pPr>
              <w:spacing w:line="360" w:lineRule="auto"/>
              <w:jc w:val="center"/>
              <w:rPr>
                <w:sz w:val="24"/>
                <w:szCs w:val="24"/>
              </w:rPr>
            </w:pPr>
            <w:r>
              <w:rPr>
                <w:sz w:val="24"/>
                <w:szCs w:val="24"/>
              </w:rPr>
              <w:t>Without CeCl</w:t>
            </w:r>
            <w:r w:rsidRPr="00FF4C16">
              <w:rPr>
                <w:sz w:val="24"/>
                <w:szCs w:val="24"/>
                <w:vertAlign w:val="subscript"/>
              </w:rPr>
              <w:t>3</w:t>
            </w:r>
          </w:p>
        </w:tc>
        <w:tc>
          <w:tcPr>
            <w:tcW w:w="0" w:type="auto"/>
            <w:tcBorders>
              <w:bottom w:val="single" w:sz="4" w:space="0" w:color="auto"/>
            </w:tcBorders>
          </w:tcPr>
          <w:p w:rsidR="00FF4C16" w:rsidRDefault="00FF4C16" w:rsidP="00FF4C16">
            <w:pPr>
              <w:spacing w:line="360" w:lineRule="auto"/>
              <w:jc w:val="center"/>
              <w:rPr>
                <w:sz w:val="24"/>
                <w:szCs w:val="24"/>
              </w:rPr>
            </w:pPr>
            <w:r>
              <w:rPr>
                <w:sz w:val="24"/>
                <w:szCs w:val="24"/>
              </w:rPr>
              <w:t>0%</w:t>
            </w:r>
          </w:p>
        </w:tc>
        <w:tc>
          <w:tcPr>
            <w:tcW w:w="0" w:type="auto"/>
            <w:tcBorders>
              <w:bottom w:val="single" w:sz="4" w:space="0" w:color="auto"/>
            </w:tcBorders>
          </w:tcPr>
          <w:p w:rsidR="00FF4C16" w:rsidRDefault="00FF4C16" w:rsidP="00FF4C16">
            <w:pPr>
              <w:spacing w:line="360" w:lineRule="auto"/>
              <w:jc w:val="center"/>
              <w:rPr>
                <w:sz w:val="24"/>
                <w:szCs w:val="24"/>
              </w:rPr>
            </w:pPr>
            <w:r>
              <w:rPr>
                <w:sz w:val="24"/>
                <w:szCs w:val="24"/>
              </w:rPr>
              <w:t>100%</w:t>
            </w:r>
          </w:p>
        </w:tc>
      </w:tr>
    </w:tbl>
    <w:p w:rsidR="0039536F" w:rsidRDefault="0039536F" w:rsidP="0039536F">
      <w:pPr>
        <w:spacing w:line="360" w:lineRule="auto"/>
        <w:jc w:val="center"/>
        <w:rPr>
          <w:b/>
          <w:sz w:val="24"/>
          <w:szCs w:val="24"/>
        </w:rPr>
      </w:pPr>
    </w:p>
    <w:p w:rsidR="00FF4C16" w:rsidRPr="0039536F" w:rsidRDefault="0039536F" w:rsidP="0039536F">
      <w:pPr>
        <w:spacing w:line="360" w:lineRule="auto"/>
        <w:jc w:val="center"/>
        <w:rPr>
          <w:b/>
          <w:sz w:val="24"/>
          <w:szCs w:val="24"/>
        </w:rPr>
      </w:pPr>
      <w:r w:rsidRPr="0039536F">
        <w:rPr>
          <w:b/>
          <w:sz w:val="24"/>
          <w:szCs w:val="24"/>
        </w:rPr>
        <w:t>Scheme 1.5</w:t>
      </w:r>
      <w:r w:rsidR="00451339">
        <w:rPr>
          <w:b/>
          <w:sz w:val="24"/>
          <w:szCs w:val="24"/>
        </w:rPr>
        <w:t>2</w:t>
      </w:r>
    </w:p>
    <w:p w:rsidR="002935B8" w:rsidRDefault="002935B8" w:rsidP="008337C4">
      <w:pPr>
        <w:spacing w:line="360" w:lineRule="auto"/>
        <w:jc w:val="both"/>
        <w:rPr>
          <w:sz w:val="24"/>
          <w:szCs w:val="24"/>
        </w:rPr>
      </w:pPr>
    </w:p>
    <w:p w:rsidR="002935B8" w:rsidRDefault="002935B8" w:rsidP="008337C4">
      <w:pPr>
        <w:spacing w:line="360" w:lineRule="auto"/>
        <w:jc w:val="both"/>
        <w:rPr>
          <w:sz w:val="24"/>
          <w:szCs w:val="24"/>
        </w:rPr>
      </w:pPr>
      <w:r>
        <w:rPr>
          <w:sz w:val="24"/>
          <w:szCs w:val="24"/>
        </w:rPr>
        <w:t>The Luche procedure</w:t>
      </w:r>
      <w:r w:rsidR="00DC7FEA">
        <w:rPr>
          <w:sz w:val="24"/>
          <w:szCs w:val="24"/>
        </w:rPr>
        <w:t xml:space="preserve"> has been</w:t>
      </w:r>
      <w:r>
        <w:rPr>
          <w:sz w:val="24"/>
          <w:szCs w:val="24"/>
        </w:rPr>
        <w:t xml:space="preserve"> </w:t>
      </w:r>
      <w:r w:rsidR="00384F09">
        <w:rPr>
          <w:sz w:val="24"/>
          <w:szCs w:val="24"/>
        </w:rPr>
        <w:t xml:space="preserve">exploited in the </w:t>
      </w:r>
      <w:r w:rsidR="001C6BD0">
        <w:rPr>
          <w:sz w:val="24"/>
          <w:szCs w:val="24"/>
        </w:rPr>
        <w:t xml:space="preserve">total </w:t>
      </w:r>
      <w:r w:rsidR="00384F09">
        <w:rPr>
          <w:sz w:val="24"/>
          <w:szCs w:val="24"/>
        </w:rPr>
        <w:t xml:space="preserve">synthesis </w:t>
      </w:r>
      <w:r w:rsidR="001C6BD0">
        <w:rPr>
          <w:sz w:val="24"/>
          <w:szCs w:val="24"/>
        </w:rPr>
        <w:t xml:space="preserve">of </w:t>
      </w:r>
      <w:r w:rsidR="000A1370">
        <w:rPr>
          <w:sz w:val="24"/>
          <w:szCs w:val="24"/>
        </w:rPr>
        <w:t>isocladosporin</w:t>
      </w:r>
      <w:r w:rsidR="0039536F">
        <w:rPr>
          <w:sz w:val="24"/>
          <w:szCs w:val="24"/>
        </w:rPr>
        <w:t xml:space="preserve"> </w:t>
      </w:r>
      <w:r w:rsidR="0039536F" w:rsidRPr="005401EE">
        <w:rPr>
          <w:b/>
          <w:sz w:val="24"/>
          <w:szCs w:val="24"/>
        </w:rPr>
        <w:t>9</w:t>
      </w:r>
      <w:r w:rsidR="005401EE" w:rsidRPr="005401EE">
        <w:rPr>
          <w:b/>
          <w:sz w:val="24"/>
          <w:szCs w:val="24"/>
        </w:rPr>
        <w:t>1</w:t>
      </w:r>
      <w:r w:rsidR="000A1370">
        <w:rPr>
          <w:sz w:val="24"/>
          <w:szCs w:val="24"/>
        </w:rPr>
        <w:t xml:space="preserve"> and 3-</w:t>
      </w:r>
      <w:r w:rsidR="000A1370" w:rsidRPr="00DC7FEA">
        <w:rPr>
          <w:i/>
          <w:sz w:val="24"/>
          <w:szCs w:val="24"/>
        </w:rPr>
        <w:t>epi</w:t>
      </w:r>
      <w:r w:rsidR="000A1370">
        <w:rPr>
          <w:sz w:val="24"/>
          <w:szCs w:val="24"/>
        </w:rPr>
        <w:t>-isocladosporin</w:t>
      </w:r>
      <w:r w:rsidR="005401EE">
        <w:rPr>
          <w:sz w:val="24"/>
          <w:szCs w:val="24"/>
        </w:rPr>
        <w:t xml:space="preserve"> </w:t>
      </w:r>
      <w:r w:rsidR="005401EE" w:rsidRPr="005401EE">
        <w:rPr>
          <w:b/>
          <w:sz w:val="24"/>
          <w:szCs w:val="24"/>
        </w:rPr>
        <w:t>92</w:t>
      </w:r>
      <w:r w:rsidR="00086003">
        <w:rPr>
          <w:sz w:val="24"/>
          <w:szCs w:val="24"/>
        </w:rPr>
        <w:t xml:space="preserve">, as seen below in </w:t>
      </w:r>
      <w:r w:rsidR="00086003" w:rsidRPr="00512B10">
        <w:rPr>
          <w:b/>
          <w:sz w:val="24"/>
          <w:szCs w:val="24"/>
        </w:rPr>
        <w:t>Scheme</w:t>
      </w:r>
      <w:r w:rsidR="005401EE">
        <w:rPr>
          <w:b/>
          <w:sz w:val="24"/>
          <w:szCs w:val="24"/>
        </w:rPr>
        <w:t xml:space="preserve"> 1.5</w:t>
      </w:r>
      <w:r w:rsidR="00451339">
        <w:rPr>
          <w:b/>
          <w:sz w:val="24"/>
          <w:szCs w:val="24"/>
        </w:rPr>
        <w:t>3</w:t>
      </w:r>
      <w:r w:rsidR="000A1370">
        <w:rPr>
          <w:sz w:val="24"/>
          <w:szCs w:val="24"/>
        </w:rPr>
        <w:t>.</w:t>
      </w:r>
      <w:r w:rsidR="000A1370">
        <w:rPr>
          <w:sz w:val="24"/>
          <w:szCs w:val="24"/>
        </w:rPr>
        <w:fldChar w:fldCharType="begin" w:fldLock="1"/>
      </w:r>
      <w:r w:rsidR="00F168DA">
        <w:rPr>
          <w:sz w:val="24"/>
          <w:szCs w:val="24"/>
        </w:rPr>
        <w:instrText>ADDIN CSL_CITATION { "citationItems" : [ { "id" : "ITEM-1", "itemData" : { "DOI" : "10.1016/j.tetlet.2015.11.060", "ISSN" : "0040-4039", "abstract" : "A convergent total synthesis of isocladosporin (I) and 3-epi-isocladosporin (II) is reported starting from com. available homoallyl alc. in 10 longest linear steps with 28% overall yield.  The key steps involved in the synthesis are cross-metathesis, tandem isomerization followed by C-O and C-C bond formation reactions for the synthesis of trans-2,6-disubstituted dihydropyrans developed by us, acylation reaction and Luche reaction. [on SciFinder(R)]", "author" : [ { "dropping-particle" : "", "family" : "Mohapatra", "given" : "Debendra K", "non-dropping-particle" : "", "parse-names" : false, "suffix" : "" }, { "dropping-particle" : "", "family" : "Maity", "given" : "Saurabh", "non-dropping-particle" : "", "parse-names" : false, "suffix" : "" }, { "dropping-particle" : "", "family" : "Banoth", "given" : "Shivalal", "non-dropping-particle" : "", "parse-names" : false, "suffix" : "" }, { "dropping-particle" : "", "family" : "Gonnade", "given" : "Rajesh G", "non-dropping-particle" : "", "parse-names" : false, "suffix" : "" }, { "dropping-particle" : "", "family" : "Yadav", "given" : "J S", "non-dropping-particle" : "", "parse-names" : false, "suffix" : "" } ], "container-title" : "Tetrahedron Letters", "id" : "ITEM-1", "issue" : "1", "issued" : { "date-parts" : [ [ "2016" ] ] }, "note" : "CAPLUS AN 2015:1924573(Journal; Online Computer File)", "page" : "53-55", "publisher" : "Elsevier Ltd.", "title" : "Total synthesis of isocladosporin and 3-epi-isocladosporin.", "type" : "article-journal", "volume" : "57" }, "uris" : [ "http://www.mendeley.com/documents/?uuid=ff9b92b1-c710-410f-ba97-06de4c180411" ] } ], "mendeley" : { "formattedCitation" : "&lt;sup&gt;[178]&lt;/sup&gt;", "plainTextFormattedCitation" : "[178]", "previouslyFormattedCitation" : "&lt;sup&gt;[178]&lt;/sup&gt;" }, "properties" : { "noteIndex" : 0 }, "schema" : "https://github.com/citation-style-language/schema/raw/master/csl-citation.json" }</w:instrText>
      </w:r>
      <w:r w:rsidR="000A1370">
        <w:rPr>
          <w:sz w:val="24"/>
          <w:szCs w:val="24"/>
        </w:rPr>
        <w:fldChar w:fldCharType="separate"/>
      </w:r>
      <w:r w:rsidR="0055300D" w:rsidRPr="0055300D">
        <w:rPr>
          <w:noProof/>
          <w:sz w:val="24"/>
          <w:szCs w:val="24"/>
          <w:vertAlign w:val="superscript"/>
        </w:rPr>
        <w:t>[178]</w:t>
      </w:r>
      <w:r w:rsidR="000A1370">
        <w:rPr>
          <w:sz w:val="24"/>
          <w:szCs w:val="24"/>
        </w:rPr>
        <w:fldChar w:fldCharType="end"/>
      </w:r>
      <w:r w:rsidR="001C6BD0">
        <w:rPr>
          <w:sz w:val="24"/>
          <w:szCs w:val="24"/>
        </w:rPr>
        <w:t xml:space="preserve"> </w:t>
      </w:r>
      <w:r w:rsidR="000A1370">
        <w:rPr>
          <w:sz w:val="24"/>
          <w:szCs w:val="24"/>
        </w:rPr>
        <w:t xml:space="preserve">In this synthesis the authors used </w:t>
      </w:r>
      <w:r w:rsidR="00DC7FEA">
        <w:rPr>
          <w:sz w:val="24"/>
          <w:szCs w:val="24"/>
        </w:rPr>
        <w:t xml:space="preserve">sodium borohydride and cerium trichloride at -78 °C to diastereoselectively reduce the ketone in </w:t>
      </w:r>
      <w:r w:rsidR="005401EE">
        <w:rPr>
          <w:b/>
          <w:sz w:val="24"/>
          <w:szCs w:val="24"/>
        </w:rPr>
        <w:t>90</w:t>
      </w:r>
      <w:r w:rsidR="00DC7FEA">
        <w:rPr>
          <w:sz w:val="24"/>
          <w:szCs w:val="24"/>
        </w:rPr>
        <w:t xml:space="preserve"> to afford the </w:t>
      </w:r>
      <w:r w:rsidR="00DC7FEA" w:rsidRPr="00DC7FEA">
        <w:rPr>
          <w:i/>
          <w:sz w:val="24"/>
          <w:szCs w:val="24"/>
        </w:rPr>
        <w:t>in situ</w:t>
      </w:r>
      <w:r w:rsidR="00DC7FEA">
        <w:rPr>
          <w:sz w:val="24"/>
          <w:szCs w:val="24"/>
        </w:rPr>
        <w:t xml:space="preserve"> lactone, and isocladosporin</w:t>
      </w:r>
      <w:r w:rsidR="005401EE">
        <w:rPr>
          <w:sz w:val="24"/>
          <w:szCs w:val="24"/>
        </w:rPr>
        <w:t xml:space="preserve"> </w:t>
      </w:r>
      <w:r w:rsidR="005401EE" w:rsidRPr="005401EE">
        <w:rPr>
          <w:b/>
          <w:sz w:val="24"/>
          <w:szCs w:val="24"/>
        </w:rPr>
        <w:t>91</w:t>
      </w:r>
      <w:r w:rsidR="00DC7FEA">
        <w:rPr>
          <w:sz w:val="24"/>
          <w:szCs w:val="24"/>
        </w:rPr>
        <w:t xml:space="preserve"> and 3-</w:t>
      </w:r>
      <w:r w:rsidR="00DC7FEA" w:rsidRPr="00DC7FEA">
        <w:rPr>
          <w:i/>
          <w:sz w:val="24"/>
          <w:szCs w:val="24"/>
        </w:rPr>
        <w:t>epi</w:t>
      </w:r>
      <w:r w:rsidR="00DC7FEA">
        <w:rPr>
          <w:sz w:val="24"/>
          <w:szCs w:val="24"/>
        </w:rPr>
        <w:t>-isocladosporin</w:t>
      </w:r>
      <w:r w:rsidR="005401EE">
        <w:rPr>
          <w:sz w:val="24"/>
          <w:szCs w:val="24"/>
        </w:rPr>
        <w:t xml:space="preserve"> </w:t>
      </w:r>
      <w:r w:rsidR="005401EE" w:rsidRPr="005401EE">
        <w:rPr>
          <w:b/>
          <w:sz w:val="24"/>
          <w:szCs w:val="24"/>
        </w:rPr>
        <w:t>92</w:t>
      </w:r>
      <w:r w:rsidR="00DC7FEA">
        <w:rPr>
          <w:sz w:val="24"/>
          <w:szCs w:val="24"/>
        </w:rPr>
        <w:t xml:space="preserve">. All other </w:t>
      </w:r>
      <w:r w:rsidR="00DC7FEA">
        <w:rPr>
          <w:sz w:val="24"/>
          <w:szCs w:val="24"/>
        </w:rPr>
        <w:lastRenderedPageBreak/>
        <w:t>reduction conditions resulted in los</w:t>
      </w:r>
      <w:r w:rsidR="005401EE">
        <w:rPr>
          <w:sz w:val="24"/>
          <w:szCs w:val="24"/>
        </w:rPr>
        <w:t>s of diastereoselectivity and/</w:t>
      </w:r>
      <w:r w:rsidR="00DC7FEA">
        <w:rPr>
          <w:sz w:val="24"/>
          <w:szCs w:val="24"/>
        </w:rPr>
        <w:t>or deprotection of the methoxymethyl acetal (MOM) protecting groups.</w:t>
      </w:r>
    </w:p>
    <w:p w:rsidR="00DC7FEA" w:rsidRDefault="00DC7FEA" w:rsidP="008337C4">
      <w:pPr>
        <w:spacing w:line="360" w:lineRule="auto"/>
        <w:jc w:val="both"/>
        <w:rPr>
          <w:sz w:val="24"/>
          <w:szCs w:val="24"/>
        </w:rPr>
      </w:pPr>
    </w:p>
    <w:p w:rsidR="00FF4C16" w:rsidRDefault="0027214A" w:rsidP="000A1370">
      <w:pPr>
        <w:spacing w:line="360" w:lineRule="auto"/>
        <w:jc w:val="center"/>
      </w:pPr>
      <w:r>
        <w:object w:dxaOrig="8603" w:dyaOrig="4082">
          <v:shape id="_x0000_i1100" type="#_x0000_t75" style="width:430.5pt;height:203.25pt" o:ole="">
            <v:imagedata r:id="rId130" o:title=""/>
          </v:shape>
          <o:OLEObject Type="Embed" ProgID="ChemDraw.Document.6.0" ShapeID="_x0000_i1100" DrawAspect="Content" ObjectID="_1531849624" r:id="rId131"/>
        </w:object>
      </w:r>
    </w:p>
    <w:p w:rsidR="005401EE" w:rsidRPr="005401EE" w:rsidRDefault="005401EE" w:rsidP="000A1370">
      <w:pPr>
        <w:spacing w:line="360" w:lineRule="auto"/>
        <w:jc w:val="center"/>
        <w:rPr>
          <w:b/>
          <w:sz w:val="24"/>
          <w:szCs w:val="24"/>
        </w:rPr>
      </w:pPr>
      <w:r w:rsidRPr="005401EE">
        <w:rPr>
          <w:b/>
          <w:sz w:val="24"/>
          <w:szCs w:val="24"/>
        </w:rPr>
        <w:t>Scheme 1.5</w:t>
      </w:r>
      <w:r w:rsidR="00451339">
        <w:rPr>
          <w:b/>
          <w:sz w:val="24"/>
          <w:szCs w:val="24"/>
        </w:rPr>
        <w:t>3</w:t>
      </w:r>
    </w:p>
    <w:p w:rsidR="00E44496" w:rsidRDefault="00272E45" w:rsidP="00E44496">
      <w:pPr>
        <w:shd w:val="clear" w:color="auto" w:fill="FFFFFF"/>
        <w:spacing w:before="100" w:beforeAutospacing="1" w:after="24" w:line="360" w:lineRule="auto"/>
        <w:ind w:left="24"/>
        <w:jc w:val="both"/>
        <w:rPr>
          <w:rFonts w:eastAsia="Times New Roman" w:cs="Arial"/>
          <w:color w:val="252525"/>
          <w:sz w:val="24"/>
          <w:szCs w:val="24"/>
          <w:lang w:eastAsia="en-IE"/>
        </w:rPr>
      </w:pPr>
      <w:r>
        <w:rPr>
          <w:sz w:val="24"/>
          <w:szCs w:val="24"/>
        </w:rPr>
        <w:t>Samarium(II)</w:t>
      </w:r>
      <w:r w:rsidR="002935B8" w:rsidRPr="00E44496">
        <w:rPr>
          <w:sz w:val="24"/>
          <w:szCs w:val="24"/>
        </w:rPr>
        <w:t xml:space="preserve"> iodide</w:t>
      </w:r>
      <w:r>
        <w:rPr>
          <w:sz w:val="24"/>
          <w:szCs w:val="24"/>
        </w:rPr>
        <w:t>’</w:t>
      </w:r>
      <w:r w:rsidR="00F95363">
        <w:rPr>
          <w:sz w:val="24"/>
          <w:szCs w:val="24"/>
        </w:rPr>
        <w:t>s</w:t>
      </w:r>
      <w:r w:rsidR="00847829">
        <w:rPr>
          <w:sz w:val="24"/>
          <w:szCs w:val="24"/>
        </w:rPr>
        <w:t xml:space="preserve"> role as </w:t>
      </w:r>
      <w:r w:rsidR="00E44496" w:rsidRPr="00E44496">
        <w:rPr>
          <w:sz w:val="24"/>
          <w:szCs w:val="24"/>
        </w:rPr>
        <w:t>a one-electron reducing agent</w:t>
      </w:r>
      <w:r w:rsidR="00847829">
        <w:rPr>
          <w:sz w:val="24"/>
          <w:szCs w:val="24"/>
        </w:rPr>
        <w:t xml:space="preserve"> has been recently reviewed.</w:t>
      </w:r>
      <w:r w:rsidR="00847829">
        <w:rPr>
          <w:sz w:val="24"/>
          <w:szCs w:val="24"/>
        </w:rPr>
        <w:fldChar w:fldCharType="begin" w:fldLock="1"/>
      </w:r>
      <w:r w:rsidR="00F168DA">
        <w:rPr>
          <w:sz w:val="24"/>
          <w:szCs w:val="24"/>
        </w:rPr>
        <w:instrText>ADDIN CSL_CITATION { "citationItems" : [ { "id" : "ITEM-1", "itemData" : { "DOI" : "10.1039/c3cs60223k", "ISSN" : "0306-0012", "abstract" : "A review.  Recently, samarium(II) iodide reductants were emerged as powerful single electron donors for the highly chemoselective redn. of common functional groups.  Complete control of the product formation was achieved on the basis of a judicious choice of a Sm(II) complex/proton donor couple, even in the presence of extremely sensitive functionalities (iodides, aldehydes).  In most cases, the redns. were governed by thermodn. control of the first electron transfer, which opens up new prospects for unprecedented transformations via radical intermediates under mild regio-, chemo- and diastereoselective conditions that were fully orthogonal to hydrogenation or metal-hydride mediated processes. [on SciFinder(R)]", "author" : [ { "dropping-particle" : "", "family" : "Szostak", "given" : "Michal", "non-dropping-particle" : "", "parse-names" : false, "suffix" : "" }, { "dropping-particle" : "", "family" : "Spain", "given" : "Malcolm", "non-dropping-particle" : "", "parse-names" : false, "suffix" : "" }, { "dropping-particle" : "", "family" : "Procter", "given" : "David J", "non-dropping-particle" : "", "parse-names" : false, "suffix" : "" } ], "container-title" : "Chemical Society Reviews", "id" : "ITEM-1", "issue" : "23", "issued" : { "date-parts" : [ [ "2013" ] ] }, "note" : "CAPLUS AN 2013:1719102(Journal; General Review; Online Computer File)", "page" : "9155-9183", "publisher" : "Royal Society of Chemistry", "title" : "Recent advances in the chemoselective reduction of functional groups mediated by samarium(II) iodide: a single electron transfer approach.", "type" : "article-journal", "volume" : "42" }, "uris" : [ "http://www.mendeley.com/documents/?uuid=4c290f63-f3a6-413c-a3f4-7d4a15002b13" ] } ], "mendeley" : { "formattedCitation" : "&lt;sup&gt;[179]&lt;/sup&gt;", "plainTextFormattedCitation" : "[179]", "previouslyFormattedCitation" : "&lt;sup&gt;[179]&lt;/sup&gt;" }, "properties" : { "noteIndex" : 0 }, "schema" : "https://github.com/citation-style-language/schema/raw/master/csl-citation.json" }</w:instrText>
      </w:r>
      <w:r w:rsidR="00847829">
        <w:rPr>
          <w:sz w:val="24"/>
          <w:szCs w:val="24"/>
        </w:rPr>
        <w:fldChar w:fldCharType="separate"/>
      </w:r>
      <w:r w:rsidR="0055300D" w:rsidRPr="0055300D">
        <w:rPr>
          <w:noProof/>
          <w:sz w:val="24"/>
          <w:szCs w:val="24"/>
          <w:vertAlign w:val="superscript"/>
        </w:rPr>
        <w:t>[179]</w:t>
      </w:r>
      <w:r w:rsidR="00847829">
        <w:rPr>
          <w:sz w:val="24"/>
          <w:szCs w:val="24"/>
        </w:rPr>
        <w:fldChar w:fldCharType="end"/>
      </w:r>
      <w:r w:rsidR="00E44496" w:rsidRPr="00E44496">
        <w:rPr>
          <w:sz w:val="24"/>
          <w:szCs w:val="24"/>
        </w:rPr>
        <w:t xml:space="preserve"> </w:t>
      </w:r>
      <w:r>
        <w:rPr>
          <w:sz w:val="24"/>
          <w:szCs w:val="24"/>
        </w:rPr>
        <w:t>Samarium(II)</w:t>
      </w:r>
      <w:r w:rsidR="00847829">
        <w:rPr>
          <w:sz w:val="24"/>
          <w:szCs w:val="24"/>
        </w:rPr>
        <w:t xml:space="preserve"> iodide </w:t>
      </w:r>
      <w:r w:rsidR="00E44496" w:rsidRPr="00E44496">
        <w:rPr>
          <w:sz w:val="24"/>
          <w:szCs w:val="24"/>
        </w:rPr>
        <w:t xml:space="preserve">may be used </w:t>
      </w:r>
      <w:r w:rsidR="00E44496">
        <w:rPr>
          <w:sz w:val="24"/>
          <w:szCs w:val="24"/>
        </w:rPr>
        <w:t xml:space="preserve">to reduce </w:t>
      </w:r>
      <w:r w:rsidR="00E44496" w:rsidRPr="00E44496">
        <w:rPr>
          <w:rFonts w:eastAsia="Times New Roman" w:cs="Arial"/>
          <w:color w:val="252525"/>
          <w:sz w:val="24"/>
          <w:szCs w:val="24"/>
          <w:lang w:eastAsia="en-IE"/>
        </w:rPr>
        <w:t>α-</w:t>
      </w:r>
      <w:r w:rsidR="00E44496">
        <w:rPr>
          <w:rFonts w:eastAsia="Times New Roman" w:cs="Arial"/>
          <w:color w:val="252525"/>
          <w:sz w:val="24"/>
          <w:szCs w:val="24"/>
          <w:lang w:eastAsia="en-IE"/>
        </w:rPr>
        <w:t>f</w:t>
      </w:r>
      <w:r w:rsidR="00E44496" w:rsidRPr="00E44496">
        <w:rPr>
          <w:rFonts w:eastAsia="Times New Roman" w:cs="Arial"/>
          <w:color w:val="252525"/>
          <w:sz w:val="24"/>
          <w:szCs w:val="24"/>
          <w:lang w:eastAsia="en-IE"/>
        </w:rPr>
        <w:t>unc</w:t>
      </w:r>
      <w:r w:rsidR="00E44496">
        <w:rPr>
          <w:rFonts w:eastAsia="Times New Roman" w:cs="Arial"/>
          <w:color w:val="252525"/>
          <w:sz w:val="24"/>
          <w:szCs w:val="24"/>
          <w:lang w:eastAsia="en-IE"/>
        </w:rPr>
        <w:t>tionalized carbonyl compounds,</w:t>
      </w:r>
      <w:r w:rsidR="0013654F">
        <w:rPr>
          <w:rFonts w:eastAsia="Times New Roman" w:cs="Arial"/>
          <w:color w:val="252525"/>
          <w:sz w:val="24"/>
          <w:szCs w:val="24"/>
          <w:lang w:eastAsia="en-IE"/>
        </w:rPr>
        <w:fldChar w:fldCharType="begin" w:fldLock="1"/>
      </w:r>
      <w:r w:rsidR="00F168DA">
        <w:rPr>
          <w:rFonts w:eastAsia="Times New Roman" w:cs="Arial"/>
          <w:color w:val="252525"/>
          <w:sz w:val="24"/>
          <w:szCs w:val="24"/>
          <w:lang w:eastAsia="en-IE"/>
        </w:rPr>
        <w:instrText>ADDIN CSL_CITATION { "citationItems" : [ { "id" : "ITEM-1", "itemData" : { "DOI" : "10.1002/chem.201400295", "ISSN" : "0947-6539", "abstract" : "The mechanism of the SmI2-mediated redn. of unactivated esters has been studied using a combination of kinetic, radical clocks and reactivity expts.  The kinetic data indicate that all reaction components (SmI2, amine, H2O) are involved in the rate equation and that electron transfer is facilitated by Bronsted base assisted deprotonation of water in the transition state.  The use of validated cyclopropyl-contg. radical clocks demonstrates that the reaction occurs via fast, reversible first electron transfer, and that the electron transfer from simple Sm(II) complexes to aliph. esters is rapid.  Notably, the mechanistic details presented herein indicate that complexation between SmI2, H2O and amines affords a new class of structurally diverse, thermodynamically powerful reductants for efficient electron transfer to carboxylic acid derivs. as an attractive alternative to the classical hydride-mediated redns. and as a source of acyl-radical equiv. for C-C bond forming processes. [on SciFinder(R)]", "author" : [ { "dropping-particle" : "", "family" : "Szostak", "given" : "Michal", "non-dropping-particle" : "", "parse-names" : false, "suffix" : "" }, { "dropping-particle" : "", "family" : "Spain", "given" : "Malcolm", "non-dropping-particle" : "", "parse-names" : false, "suffix" : "" }, { "dropping-particle" : "", "family" : "Procter", "given" : "David J", "non-dropping-particle" : "", "parse-names" : false, "suffix" : "" } ], "container-title" : "Chemistry - A European Journal", "id" : "ITEM-1", "issue" : "15", "issued" : { "date-parts" : [ [ "2014" ] ] }, "note" : "CAPLUS AN 2014:420568(Journal)", "page" : "4222-4226", "publisher" : "Wiley-VCH Verlag GmbH &amp; Co. KGaA", "title" : "On the Role of Pre- and Post-Electron-Transfer Steps in the SmI2/amine/H2O-Mediated Reduction of Esters: New Mechanistic Insights and Kinetic Studies.", "type" : "article-journal", "volume" : "20" }, "uris" : [ "http://www.mendeley.com/documents/?uuid=46bc682b-d1f8-482d-bfcc-8433bd0577da" ] } ], "mendeley" : { "formattedCitation" : "&lt;sup&gt;[180]&lt;/sup&gt;", "plainTextFormattedCitation" : "[180]", "previouslyFormattedCitation" : "&lt;sup&gt;[180]&lt;/sup&gt;" }, "properties" : { "noteIndex" : 0 }, "schema" : "https://github.com/citation-style-language/schema/raw/master/csl-citation.json" }</w:instrText>
      </w:r>
      <w:r w:rsidR="0013654F">
        <w:rPr>
          <w:rFonts w:eastAsia="Times New Roman" w:cs="Arial"/>
          <w:color w:val="252525"/>
          <w:sz w:val="24"/>
          <w:szCs w:val="24"/>
          <w:lang w:eastAsia="en-IE"/>
        </w:rPr>
        <w:fldChar w:fldCharType="separate"/>
      </w:r>
      <w:r w:rsidR="0055300D" w:rsidRPr="0055300D">
        <w:rPr>
          <w:rFonts w:eastAsia="Times New Roman" w:cs="Arial"/>
          <w:noProof/>
          <w:color w:val="252525"/>
          <w:sz w:val="24"/>
          <w:szCs w:val="24"/>
          <w:vertAlign w:val="superscript"/>
          <w:lang w:eastAsia="en-IE"/>
        </w:rPr>
        <w:t>[180]</w:t>
      </w:r>
      <w:r w:rsidR="0013654F">
        <w:rPr>
          <w:rFonts w:eastAsia="Times New Roman" w:cs="Arial"/>
          <w:color w:val="252525"/>
          <w:sz w:val="24"/>
          <w:szCs w:val="24"/>
          <w:lang w:eastAsia="en-IE"/>
        </w:rPr>
        <w:fldChar w:fldCharType="end"/>
      </w:r>
      <w:r w:rsidR="0013654F">
        <w:rPr>
          <w:rFonts w:eastAsia="Times New Roman" w:cs="Arial"/>
          <w:color w:val="252525"/>
          <w:sz w:val="24"/>
          <w:szCs w:val="24"/>
          <w:lang w:eastAsia="en-IE"/>
        </w:rPr>
        <w:t xml:space="preserve"> arenes,</w:t>
      </w:r>
      <w:r w:rsidR="0013654F">
        <w:rPr>
          <w:rFonts w:eastAsia="Times New Roman" w:cs="Arial"/>
          <w:color w:val="252525"/>
          <w:sz w:val="24"/>
          <w:szCs w:val="24"/>
          <w:lang w:eastAsia="en-IE"/>
        </w:rPr>
        <w:fldChar w:fldCharType="begin" w:fldLock="1"/>
      </w:r>
      <w:r w:rsidR="00F168DA">
        <w:rPr>
          <w:rFonts w:eastAsia="Times New Roman" w:cs="Arial"/>
          <w:color w:val="252525"/>
          <w:sz w:val="24"/>
          <w:szCs w:val="24"/>
          <w:lang w:eastAsia="en-IE"/>
        </w:rPr>
        <w:instrText>ADDIN CSL_CITATION { "citationItems" : [ { "id" : "ITEM-1", "itemData" : { "DOI" : "10.1021/jacs.5b07518", "ISSN" : "0002-7863", "abstract" : "The presence of water has a significant impact on the redn. of substrates by SmI2.  The reactivity of the Sm(II)-water reducing system and the relationship between sequential or concerted electron-transfer, proton-transfer is not well understood.  In this work, we demonstrate that the redn. of an arene by SmI2-water proceeds through an initial proton-coupled electron transfer.  The use of thermochem. data available in the literature shows that upon coordination of water to Sm(II) in THF, significant weakening of the O-H bond occurs.  The derived value of nearly 73 kcal/mol for the decrease in the bond dissocn. energy of the O-H bond in the Sm(II)-water complex is the largest reported to date for low-valent reductants contg. bound water. [on SciFinder(R)]", "author" : [ { "dropping-particle" : "V", "family" : "Chciuk", "given" : "Tesia", "non-dropping-particle" : "", "parse-names" : false, "suffix" : "" }, { "dropping-particle" : "", "family" : "Flowers", "given" : "Robert A", "non-dropping-particle" : "", "parse-names" : false, "suffix" : "" } ], "container-title" : "Journal of the American Chemical Society", "id" : "ITEM-1", "issue" : "35", "issued" : { "date-parts" : [ [ "2015" ] ] }, "note" : "CAPLUS AN 2015:1340031(Journal; Online Computer File)", "page" : "11526-11531", "publisher" : "American Chemical Society", "title" : "Proton-Coupled Electron Transfer in the Reduction of Arenes by SmI2-Water Complexes.", "type" : "article-journal", "volume" : "137" }, "uris" : [ "http://www.mendeley.com/documents/?uuid=e1c39afc-43f4-492f-8c99-c240cd4a25cf" ] } ], "mendeley" : { "formattedCitation" : "&lt;sup&gt;[181]&lt;/sup&gt;", "plainTextFormattedCitation" : "[181]", "previouslyFormattedCitation" : "&lt;sup&gt;[181]&lt;/sup&gt;" }, "properties" : { "noteIndex" : 0 }, "schema" : "https://github.com/citation-style-language/schema/raw/master/csl-citation.json" }</w:instrText>
      </w:r>
      <w:r w:rsidR="0013654F">
        <w:rPr>
          <w:rFonts w:eastAsia="Times New Roman" w:cs="Arial"/>
          <w:color w:val="252525"/>
          <w:sz w:val="24"/>
          <w:szCs w:val="24"/>
          <w:lang w:eastAsia="en-IE"/>
        </w:rPr>
        <w:fldChar w:fldCharType="separate"/>
      </w:r>
      <w:r w:rsidR="0055300D" w:rsidRPr="0055300D">
        <w:rPr>
          <w:rFonts w:eastAsia="Times New Roman" w:cs="Arial"/>
          <w:noProof/>
          <w:color w:val="252525"/>
          <w:sz w:val="24"/>
          <w:szCs w:val="24"/>
          <w:vertAlign w:val="superscript"/>
          <w:lang w:eastAsia="en-IE"/>
        </w:rPr>
        <w:t>[181]</w:t>
      </w:r>
      <w:r w:rsidR="0013654F">
        <w:rPr>
          <w:rFonts w:eastAsia="Times New Roman" w:cs="Arial"/>
          <w:color w:val="252525"/>
          <w:sz w:val="24"/>
          <w:szCs w:val="24"/>
          <w:lang w:eastAsia="en-IE"/>
        </w:rPr>
        <w:fldChar w:fldCharType="end"/>
      </w:r>
      <w:r w:rsidR="00E44496">
        <w:rPr>
          <w:rFonts w:eastAsia="Times New Roman" w:cs="Arial"/>
          <w:color w:val="252525"/>
          <w:sz w:val="24"/>
          <w:szCs w:val="24"/>
          <w:lang w:eastAsia="en-IE"/>
        </w:rPr>
        <w:t xml:space="preserve"> k</w:t>
      </w:r>
      <w:r w:rsidR="00E44496" w:rsidRPr="00E44496">
        <w:rPr>
          <w:rFonts w:eastAsia="Times New Roman" w:cs="Arial"/>
          <w:color w:val="252525"/>
          <w:sz w:val="24"/>
          <w:szCs w:val="24"/>
          <w:lang w:eastAsia="en-IE"/>
        </w:rPr>
        <w:t>etones and aldehydes</w:t>
      </w:r>
      <w:r w:rsidR="00E44496">
        <w:rPr>
          <w:rFonts w:eastAsia="Times New Roman" w:cs="Arial"/>
          <w:color w:val="252525"/>
          <w:sz w:val="24"/>
          <w:szCs w:val="24"/>
          <w:lang w:eastAsia="en-IE"/>
        </w:rPr>
        <w:t>,</w:t>
      </w:r>
      <w:r w:rsidR="0013654F">
        <w:rPr>
          <w:rFonts w:eastAsia="Times New Roman" w:cs="Arial"/>
          <w:color w:val="252525"/>
          <w:sz w:val="24"/>
          <w:szCs w:val="24"/>
          <w:lang w:eastAsia="en-IE"/>
        </w:rPr>
        <w:fldChar w:fldCharType="begin" w:fldLock="1"/>
      </w:r>
      <w:r w:rsidR="00F168DA">
        <w:rPr>
          <w:rFonts w:eastAsia="Times New Roman" w:cs="Arial"/>
          <w:color w:val="252525"/>
          <w:sz w:val="24"/>
          <w:szCs w:val="24"/>
          <w:lang w:eastAsia="en-IE"/>
        </w:rPr>
        <w:instrText>ADDIN CSL_CITATION { "citationItems" : [ { "id" : "ITEM-1", "itemData" : { "DOI" : "10.1002/chem.201503104", "ISSN" : "0947-6539", "abstract" : "The reaction of SmI2 with the substrates 3-methyl-2-butanone, benzyl chloride, p-cyanobenzyl chloride, and anthracene were studied in the presence of water and an amine.  In all cases, the water content vs. rate profile shows a max. at \u223c0.2\u039c H2O.  The rate vs. amine content profile shows in all cases, except for benzyl chloride, satn. behavior, which is typical of a change in the identity of the rate-detg. step.  The mechanism that is in agreement with the obsd. data is that electron transfer occurs in the first step.  With substrates that are not very electrophilic, the intermediate radical anions lose the added electron back to samarium(III) relatively quickly and the reaction cannot progress efficiently.  However, in a mixt. of water/amine, the amine deprotonates a mol. of water coordinated to samarium(III).  The neg. charged hydroxide, which is coordinated to samarium(III), reduces its electrophilicity, and therefore, lowers the rate of back electron transfer, which allows the reaction to progress.  In the case of benzyl chloride, in which electron transfer is rate detg., deprotonation by the amine is coupled to the electron-transfer step. [on SciFinder(R)]", "author" : [ { "dropping-particle" : "", "family" : "Maity", "given" : "Sandeepan", "non-dropping-particle" : "", "parse-names" : false, "suffix" : "" }, { "dropping-particle" : "", "family" : "Hoz", "given" : "Shmaryahu.", "non-dropping-particle" : "", "parse-names" : false, "suffix" : "" } ], "container-title" : "Chemistry - A European Journal", "id" : "ITEM-1", "issue" : "50", "issued" : { "date-parts" : [ [ "2015" ] ] }, "note" : "CAPLUS AN 2015:1773981(Journal; Online Computer File)", "page" : "18394-18400", "publisher" : "Wiley-VCH Verlag GmbH &amp; Co. KGaA", "title" : "Deciphering a 20-Year-Old Conundrum: The Mechanisms of Reduction by the Water/Amine/SmI2 Mixture.", "type" : "article-journal", "volume" : "21" }, "uris" : [ "http://www.mendeley.com/documents/?uuid=3211b422-e6e7-44d5-8dd4-3d169f30a1e1" ] } ], "mendeley" : { "formattedCitation" : "&lt;sup&gt;[182]&lt;/sup&gt;", "plainTextFormattedCitation" : "[182]", "previouslyFormattedCitation" : "&lt;sup&gt;[182]&lt;/sup&gt;" }, "properties" : { "noteIndex" : 0 }, "schema" : "https://github.com/citation-style-language/schema/raw/master/csl-citation.json" }</w:instrText>
      </w:r>
      <w:r w:rsidR="0013654F">
        <w:rPr>
          <w:rFonts w:eastAsia="Times New Roman" w:cs="Arial"/>
          <w:color w:val="252525"/>
          <w:sz w:val="24"/>
          <w:szCs w:val="24"/>
          <w:lang w:eastAsia="en-IE"/>
        </w:rPr>
        <w:fldChar w:fldCharType="separate"/>
      </w:r>
      <w:r w:rsidR="0055300D" w:rsidRPr="0055300D">
        <w:rPr>
          <w:rFonts w:eastAsia="Times New Roman" w:cs="Arial"/>
          <w:noProof/>
          <w:color w:val="252525"/>
          <w:sz w:val="24"/>
          <w:szCs w:val="24"/>
          <w:vertAlign w:val="superscript"/>
          <w:lang w:eastAsia="en-IE"/>
        </w:rPr>
        <w:t>[182]</w:t>
      </w:r>
      <w:r w:rsidR="0013654F">
        <w:rPr>
          <w:rFonts w:eastAsia="Times New Roman" w:cs="Arial"/>
          <w:color w:val="252525"/>
          <w:sz w:val="24"/>
          <w:szCs w:val="24"/>
          <w:lang w:eastAsia="en-IE"/>
        </w:rPr>
        <w:fldChar w:fldCharType="end"/>
      </w:r>
      <w:r w:rsidR="00E44496">
        <w:rPr>
          <w:rFonts w:eastAsia="Times New Roman" w:cs="Arial"/>
          <w:color w:val="252525"/>
          <w:sz w:val="24"/>
          <w:szCs w:val="24"/>
          <w:lang w:eastAsia="en-IE"/>
        </w:rPr>
        <w:t xml:space="preserve"> c</w:t>
      </w:r>
      <w:r w:rsidR="00E44496" w:rsidRPr="00E44496">
        <w:rPr>
          <w:rFonts w:eastAsia="Times New Roman" w:cs="Arial"/>
          <w:color w:val="252525"/>
          <w:sz w:val="24"/>
          <w:szCs w:val="24"/>
          <w:lang w:eastAsia="en-IE"/>
        </w:rPr>
        <w:t>arboxylic acids</w:t>
      </w:r>
      <w:r w:rsidR="00E44496">
        <w:rPr>
          <w:rFonts w:eastAsia="Times New Roman" w:cs="Arial"/>
          <w:color w:val="252525"/>
          <w:sz w:val="24"/>
          <w:szCs w:val="24"/>
          <w:lang w:eastAsia="en-IE"/>
        </w:rPr>
        <w:t>,</w:t>
      </w:r>
      <w:r w:rsidR="0013654F">
        <w:rPr>
          <w:rFonts w:eastAsia="Times New Roman" w:cs="Arial"/>
          <w:color w:val="252525"/>
          <w:sz w:val="24"/>
          <w:szCs w:val="24"/>
          <w:lang w:eastAsia="en-IE"/>
        </w:rPr>
        <w:fldChar w:fldCharType="begin" w:fldLock="1"/>
      </w:r>
      <w:r w:rsidR="00F168DA">
        <w:rPr>
          <w:rFonts w:eastAsia="Times New Roman" w:cs="Arial"/>
          <w:color w:val="252525"/>
          <w:sz w:val="24"/>
          <w:szCs w:val="24"/>
          <w:lang w:eastAsia="en-IE"/>
        </w:rPr>
        <w:instrText>ADDIN CSL_CITATION { "citationItems" : [ { "id" : "ITEM-1", "itemData" : { "DOI" : "10.1021/ol502404e", "ISSN" : "1523-7052", "abstract" : "Primary \u03b1,\u03b1-dideuterio alcs. such as PhCH2CH2CD2OH were prepd. chemoselectively from carboxylic acids such as PhCH2CH2CO2H using SmI2 as a reductant with Et3N and D2O in 53-95% yields and 85-94% formation of the dideuterated alcs.  The functional group tolerance of the method is delineated; aldehydes and ketones PhCH2CH2COR (R = H, Me) were reduced to monodeuterio alcs. PhCH2CH2CDR(OH) (R = H, Me), while PhCH2CH2COR (R = Cl, MeO, Et2N) were reduced to the dideuterio alc. PhCH2CH2CD2OH.  The ratio of PhCH2CH2CDMe(OH) to PhCH2CH2CH(OH)Me prepd. from PhCH2CH2COMe by SmI2/Et3N-mediated redn. was varied by varying the ratio of deuterium oxide to water used in the redn. [on SciFinder(R)]", "author" : [ { "dropping-particle" : "", "family" : "Szostak", "given" : "Michal", "non-dropping-particle" : "", "parse-names" : false, "suffix" : "" }, { "dropping-particle" : "", "family" : "Spain", "given" : "Malcolm", "non-dropping-particle" : "", "parse-names" : false, "suffix" : "" }, { "dropping-particle" : "", "family" : "Procter", "given" : "David J", "non-dropping-particle" : "", "parse-names" : false, "suffix" : "" } ], "container-title" : "Organic Letters", "id" : "ITEM-1", "issue" : "19", "issued" : { "date-parts" : [ [ "2014" ] ] }, "note" : "CAPLUS AN 2014:1588261(Journal; Online Computer File)", "page" : "5052-5055", "publisher" : "American Chemical Society", "title" : "Selective Synthesis of \u03b1,\u03b1-Dideuterio Alcohols by the Reduction of Carboxylic Acids Using SmI2 and D2O as Deuterium Source under SET Conditions.", "type" : "article-journal", "volume" : "16" }, "uris" : [ "http://www.mendeley.com/documents/?uuid=20d6bf20-bcad-4724-9394-949be6832d5e" ] } ], "mendeley" : { "formattedCitation" : "&lt;sup&gt;[183]&lt;/sup&gt;", "plainTextFormattedCitation" : "[183]", "previouslyFormattedCitation" : "&lt;sup&gt;[183]&lt;/sup&gt;" }, "properties" : { "noteIndex" : 0 }, "schema" : "https://github.com/citation-style-language/schema/raw/master/csl-citation.json" }</w:instrText>
      </w:r>
      <w:r w:rsidR="0013654F">
        <w:rPr>
          <w:rFonts w:eastAsia="Times New Roman" w:cs="Arial"/>
          <w:color w:val="252525"/>
          <w:sz w:val="24"/>
          <w:szCs w:val="24"/>
          <w:lang w:eastAsia="en-IE"/>
        </w:rPr>
        <w:fldChar w:fldCharType="separate"/>
      </w:r>
      <w:r w:rsidR="0055300D" w:rsidRPr="0055300D">
        <w:rPr>
          <w:rFonts w:eastAsia="Times New Roman" w:cs="Arial"/>
          <w:noProof/>
          <w:color w:val="252525"/>
          <w:sz w:val="24"/>
          <w:szCs w:val="24"/>
          <w:vertAlign w:val="superscript"/>
          <w:lang w:eastAsia="en-IE"/>
        </w:rPr>
        <w:t>[183]</w:t>
      </w:r>
      <w:r w:rsidR="0013654F">
        <w:rPr>
          <w:rFonts w:eastAsia="Times New Roman" w:cs="Arial"/>
          <w:color w:val="252525"/>
          <w:sz w:val="24"/>
          <w:szCs w:val="24"/>
          <w:lang w:eastAsia="en-IE"/>
        </w:rPr>
        <w:fldChar w:fldCharType="end"/>
      </w:r>
      <w:r w:rsidR="00E44496">
        <w:rPr>
          <w:rFonts w:eastAsia="Times New Roman" w:cs="Arial"/>
          <w:color w:val="252525"/>
          <w:sz w:val="24"/>
          <w:szCs w:val="24"/>
          <w:lang w:eastAsia="en-IE"/>
        </w:rPr>
        <w:t xml:space="preserve"> o</w:t>
      </w:r>
      <w:r w:rsidR="00E44496" w:rsidRPr="00E44496">
        <w:rPr>
          <w:rFonts w:eastAsia="Times New Roman" w:cs="Arial"/>
          <w:color w:val="252525"/>
          <w:sz w:val="24"/>
          <w:szCs w:val="24"/>
          <w:lang w:eastAsia="en-IE"/>
        </w:rPr>
        <w:t>rganic halides</w:t>
      </w:r>
      <w:r w:rsidR="0013654F">
        <w:rPr>
          <w:rFonts w:eastAsia="Times New Roman" w:cs="Arial"/>
          <w:color w:val="252525"/>
          <w:sz w:val="24"/>
          <w:szCs w:val="24"/>
          <w:lang w:eastAsia="en-IE"/>
        </w:rPr>
        <w:fldChar w:fldCharType="begin" w:fldLock="1"/>
      </w:r>
      <w:r w:rsidR="00F168DA">
        <w:rPr>
          <w:rFonts w:eastAsia="Times New Roman" w:cs="Arial"/>
          <w:color w:val="252525"/>
          <w:sz w:val="24"/>
          <w:szCs w:val="24"/>
          <w:lang w:eastAsia="en-IE"/>
        </w:rPr>
        <w:instrText>ADDIN CSL_CITATION { "citationItems" : [ { "id" : "ITEM-1", "itemData" : { "DOI" : "10.1002/chem.201503104", "ISSN" : "0947-6539", "abstract" : "The reaction of SmI2 with the substrates 3-methyl-2-butanone, benzyl chloride, p-cyanobenzyl chloride, and anthracene were studied in the presence of water and an amine.  In all cases, the water content vs. rate profile shows a max. at \u223c0.2\u039c H2O.  The rate vs. amine content profile shows in all cases, except for benzyl chloride, satn. behavior, which is typical of a change in the identity of the rate-detg. step.  The mechanism that is in agreement with the obsd. data is that electron transfer occurs in the first step.  With substrates that are not very electrophilic, the intermediate radical anions lose the added electron back to samarium(III) relatively quickly and the reaction cannot progress efficiently.  However, in a mixt. of water/amine, the amine deprotonates a mol. of water coordinated to samarium(III).  The neg. charged hydroxide, which is coordinated to samarium(III), reduces its electrophilicity, and therefore, lowers the rate of back electron transfer, which allows the reaction to progress.  In the case of benzyl chloride, in which electron transfer is rate detg., deprotonation by the amine is coupled to the electron-transfer step. [on SciFinder(R)]", "author" : [ { "dropping-particle" : "", "family" : "Maity", "given" : "Sandeepan", "non-dropping-particle" : "", "parse-names" : false, "suffix" : "" }, { "dropping-particle" : "", "family" : "Hoz", "given" : "Shmaryahu.", "non-dropping-particle" : "", "parse-names" : false, "suffix" : "" } ], "container-title" : "Chemistry - A European Journal", "id" : "ITEM-1", "issue" : "50", "issued" : { "date-parts" : [ [ "2015" ] ] }, "note" : "CAPLUS AN 2015:1773981(Journal; Online Computer File)", "page" : "18394-18400", "publisher" : "Wiley-VCH Verlag GmbH &amp; Co. KGaA", "title" : "Deciphering a 20-Year-Old Conundrum: The Mechanisms of Reduction by the Water/Amine/SmI2 Mixture.", "type" : "article-journal", "volume" : "21" }, "uris" : [ "http://www.mendeley.com/documents/?uuid=3211b422-e6e7-44d5-8dd4-3d169f30a1e1" ] } ], "mendeley" : { "formattedCitation" : "&lt;sup&gt;[182]&lt;/sup&gt;", "plainTextFormattedCitation" : "[182]", "previouslyFormattedCitation" : "&lt;sup&gt;[182]&lt;/sup&gt;" }, "properties" : { "noteIndex" : 0 }, "schema" : "https://github.com/citation-style-language/schema/raw/master/csl-citation.json" }</w:instrText>
      </w:r>
      <w:r w:rsidR="0013654F">
        <w:rPr>
          <w:rFonts w:eastAsia="Times New Roman" w:cs="Arial"/>
          <w:color w:val="252525"/>
          <w:sz w:val="24"/>
          <w:szCs w:val="24"/>
          <w:lang w:eastAsia="en-IE"/>
        </w:rPr>
        <w:fldChar w:fldCharType="separate"/>
      </w:r>
      <w:r w:rsidR="0055300D" w:rsidRPr="0055300D">
        <w:rPr>
          <w:rFonts w:eastAsia="Times New Roman" w:cs="Arial"/>
          <w:noProof/>
          <w:color w:val="252525"/>
          <w:sz w:val="24"/>
          <w:szCs w:val="24"/>
          <w:vertAlign w:val="superscript"/>
          <w:lang w:eastAsia="en-IE"/>
        </w:rPr>
        <w:t>[182]</w:t>
      </w:r>
      <w:r w:rsidR="0013654F">
        <w:rPr>
          <w:rFonts w:eastAsia="Times New Roman" w:cs="Arial"/>
          <w:color w:val="252525"/>
          <w:sz w:val="24"/>
          <w:szCs w:val="24"/>
          <w:lang w:eastAsia="en-IE"/>
        </w:rPr>
        <w:fldChar w:fldCharType="end"/>
      </w:r>
      <w:r w:rsidR="00E44496">
        <w:rPr>
          <w:rFonts w:eastAsia="Times New Roman" w:cs="Arial"/>
          <w:color w:val="252525"/>
          <w:sz w:val="24"/>
          <w:szCs w:val="24"/>
          <w:lang w:eastAsia="en-IE"/>
        </w:rPr>
        <w:t xml:space="preserve"> and n</w:t>
      </w:r>
      <w:r w:rsidR="00E44496" w:rsidRPr="00E44496">
        <w:rPr>
          <w:rFonts w:eastAsia="Times New Roman" w:cs="Arial"/>
          <w:color w:val="252525"/>
          <w:sz w:val="24"/>
          <w:szCs w:val="24"/>
          <w:lang w:eastAsia="en-IE"/>
        </w:rPr>
        <w:t>itro compounds</w:t>
      </w:r>
      <w:r w:rsidR="00E44496">
        <w:rPr>
          <w:rFonts w:eastAsia="Times New Roman" w:cs="Arial"/>
          <w:color w:val="252525"/>
          <w:sz w:val="24"/>
          <w:szCs w:val="24"/>
          <w:lang w:eastAsia="en-IE"/>
        </w:rPr>
        <w:t>.</w:t>
      </w:r>
      <w:r w:rsidR="00DB3544">
        <w:rPr>
          <w:rFonts w:eastAsia="Times New Roman" w:cs="Arial"/>
          <w:color w:val="252525"/>
          <w:sz w:val="24"/>
          <w:szCs w:val="24"/>
          <w:lang w:eastAsia="en-IE"/>
        </w:rPr>
        <w:fldChar w:fldCharType="begin" w:fldLock="1"/>
      </w:r>
      <w:r w:rsidR="00F168DA">
        <w:rPr>
          <w:rFonts w:eastAsia="Times New Roman" w:cs="Arial"/>
          <w:color w:val="252525"/>
          <w:sz w:val="24"/>
          <w:szCs w:val="24"/>
          <w:lang w:eastAsia="en-IE"/>
        </w:rPr>
        <w:instrText>ADDIN CSL_CITATION { "citationItems" : [ { "id" : "ITEM-1", "itemData" : { "DOI" : "10.1002/jhet.1982", "ISSN" : "1943-5193", "abstract" : "A simple and straight forward synthesis of substituted indolines I [R = H, 4-Cl, 6-Br, etc.] based on domino nitro-redn. and intramol. aza-Michael reaction was described.  The reaction employed SmI2 catalyst under mild conditions for addn. of dibromoacetic acid to substituted 2-(2-nitrophenyl)acetaldehyde derivs. in presence of methanol and their subsequent cyclization after redn. of nitro group to provide corresponding indolines I in good yields.  This one pot strategy also permitted the expeditious synthesis of 1,2,3,4-tetrahydroquinoline, whereas the seven-membered 2,3,4,5-tetrahydrobenzoazepine compd. was not formed under these reaction conditions. [on SciFinder(R)]", "author" : [ { "dropping-particle" : "", "family" : "Ferreira Ramos", "given" : "Josierika A", "non-dropping-particle" : "", "parse-names" : false, "suffix" : "" }, { "dropping-particle" : "", "family" : "Araujo", "given" : "Carolina S", "non-dropping-particle" : "", "parse-names" : false, "suffix" : "" }, { "dropping-particle" : "", "family" : "Nagem", "given" : "Tanus J", "non-dropping-particle" : "", "parse-names" : false, "suffix" : "" }, { "dropping-particle" : "", "family" : "Taylor", "given" : "Jason G", "non-dropping-particle" : "", "parse-names" : false, "suffix" : "" } ], "container-title" : "Journal of Heterocyclic Chemistry", "id" : "ITEM-1", "issue" : "1", "issued" : { "date-parts" : [ [ "2015" ] ] }, "note" : "CAPLUS AN 2015:151595(Journal; Online Computer File)", "page" : "54-58", "publisher" : "Wiley-Blackwell", "title" : "Synthesis of indolines via a SmI2 promoted domino nitro reduction-intramolecular aza-Michael reaction.", "type" : "article-journal", "volume" : "52" }, "uris" : [ "http://www.mendeley.com/documents/?uuid=86336fe1-9166-4dc6-9ef7-a6ad48fd77f1" ] } ], "mendeley" : { "formattedCitation" : "&lt;sup&gt;[184]&lt;/sup&gt;", "plainTextFormattedCitation" : "[184]", "previouslyFormattedCitation" : "&lt;sup&gt;[184]&lt;/sup&gt;" }, "properties" : { "noteIndex" : 0 }, "schema" : "https://github.com/citation-style-language/schema/raw/master/csl-citation.json" }</w:instrText>
      </w:r>
      <w:r w:rsidR="00DB3544">
        <w:rPr>
          <w:rFonts w:eastAsia="Times New Roman" w:cs="Arial"/>
          <w:color w:val="252525"/>
          <w:sz w:val="24"/>
          <w:szCs w:val="24"/>
          <w:lang w:eastAsia="en-IE"/>
        </w:rPr>
        <w:fldChar w:fldCharType="separate"/>
      </w:r>
      <w:r w:rsidR="0055300D" w:rsidRPr="0055300D">
        <w:rPr>
          <w:rFonts w:eastAsia="Times New Roman" w:cs="Arial"/>
          <w:noProof/>
          <w:color w:val="252525"/>
          <w:sz w:val="24"/>
          <w:szCs w:val="24"/>
          <w:vertAlign w:val="superscript"/>
          <w:lang w:eastAsia="en-IE"/>
        </w:rPr>
        <w:t>[184]</w:t>
      </w:r>
      <w:r w:rsidR="00DB3544">
        <w:rPr>
          <w:rFonts w:eastAsia="Times New Roman" w:cs="Arial"/>
          <w:color w:val="252525"/>
          <w:sz w:val="24"/>
          <w:szCs w:val="24"/>
          <w:lang w:eastAsia="en-IE"/>
        </w:rPr>
        <w:fldChar w:fldCharType="end"/>
      </w:r>
      <w:r w:rsidR="00E44496">
        <w:rPr>
          <w:rFonts w:eastAsia="Times New Roman" w:cs="Arial"/>
          <w:color w:val="252525"/>
          <w:sz w:val="24"/>
          <w:szCs w:val="24"/>
          <w:lang w:eastAsia="en-IE"/>
        </w:rPr>
        <w:t xml:space="preserve"> The reactivity of SmI</w:t>
      </w:r>
      <w:r w:rsidR="00E44496" w:rsidRPr="00E44496">
        <w:rPr>
          <w:rFonts w:eastAsia="Times New Roman" w:cs="Arial"/>
          <w:color w:val="252525"/>
          <w:sz w:val="24"/>
          <w:szCs w:val="24"/>
          <w:vertAlign w:val="subscript"/>
          <w:lang w:eastAsia="en-IE"/>
        </w:rPr>
        <w:t>2</w:t>
      </w:r>
      <w:r w:rsidR="00E44496">
        <w:rPr>
          <w:rFonts w:eastAsia="Times New Roman" w:cs="Arial"/>
          <w:color w:val="252525"/>
          <w:sz w:val="24"/>
          <w:szCs w:val="24"/>
          <w:vertAlign w:val="subscript"/>
          <w:lang w:eastAsia="en-IE"/>
        </w:rPr>
        <w:t xml:space="preserve"> </w:t>
      </w:r>
      <w:r w:rsidR="00E44496">
        <w:rPr>
          <w:rFonts w:eastAsia="Times New Roman" w:cs="Arial"/>
          <w:color w:val="252525"/>
          <w:sz w:val="24"/>
          <w:szCs w:val="24"/>
          <w:lang w:eastAsia="en-IE"/>
        </w:rPr>
        <w:t xml:space="preserve">is strongly dependent on the choice of reaction solvent. The </w:t>
      </w:r>
      <w:r w:rsidR="00E44496" w:rsidRPr="00E44496">
        <w:rPr>
          <w:rFonts w:eastAsia="Times New Roman" w:cs="Arial"/>
          <w:color w:val="252525"/>
          <w:sz w:val="24"/>
          <w:szCs w:val="24"/>
          <w:lang w:eastAsia="en-IE"/>
        </w:rPr>
        <w:t>use of hexamethylphosphoramide</w:t>
      </w:r>
      <w:r w:rsidR="005401EE">
        <w:rPr>
          <w:rFonts w:eastAsia="Times New Roman" w:cs="Arial"/>
          <w:color w:val="252525"/>
          <w:sz w:val="24"/>
          <w:szCs w:val="24"/>
          <w:lang w:eastAsia="en-IE"/>
        </w:rPr>
        <w:t xml:space="preserve"> </w:t>
      </w:r>
      <w:r w:rsidR="005401EE" w:rsidRPr="005401EE">
        <w:rPr>
          <w:rFonts w:eastAsia="Times New Roman" w:cs="Arial"/>
          <w:b/>
          <w:color w:val="252525"/>
          <w:sz w:val="24"/>
          <w:szCs w:val="24"/>
          <w:lang w:eastAsia="en-IE"/>
        </w:rPr>
        <w:t>93</w:t>
      </w:r>
      <w:r w:rsidR="00E44496" w:rsidRPr="00E44496">
        <w:rPr>
          <w:rFonts w:eastAsia="Times New Roman" w:cs="Arial"/>
          <w:color w:val="252525"/>
          <w:sz w:val="24"/>
          <w:szCs w:val="24"/>
          <w:lang w:eastAsia="en-IE"/>
        </w:rPr>
        <w:t xml:space="preserve"> (HMPA) as a co-solvent in samarium iodide reductions</w:t>
      </w:r>
      <w:r w:rsidR="00E44496">
        <w:rPr>
          <w:rFonts w:eastAsia="Times New Roman" w:cs="Arial"/>
          <w:color w:val="252525"/>
          <w:sz w:val="24"/>
          <w:szCs w:val="24"/>
          <w:lang w:eastAsia="en-IE"/>
        </w:rPr>
        <w:t xml:space="preserve"> has been shown to allow the reductions to proceed under much milder conditions than in </w:t>
      </w:r>
      <w:r w:rsidR="00706975">
        <w:rPr>
          <w:rFonts w:eastAsia="Times New Roman" w:cs="Arial"/>
          <w:color w:val="252525"/>
          <w:sz w:val="24"/>
          <w:szCs w:val="24"/>
          <w:lang w:eastAsia="en-IE"/>
        </w:rPr>
        <w:t>its</w:t>
      </w:r>
      <w:r w:rsidR="00D86DC0">
        <w:rPr>
          <w:rFonts w:eastAsia="Times New Roman" w:cs="Arial"/>
          <w:color w:val="252525"/>
          <w:sz w:val="24"/>
          <w:szCs w:val="24"/>
          <w:lang w:eastAsia="en-IE"/>
        </w:rPr>
        <w:t xml:space="preserve"> absence.</w:t>
      </w:r>
      <w:r w:rsidR="00D86DC0">
        <w:rPr>
          <w:rFonts w:eastAsia="Times New Roman" w:cs="Arial"/>
          <w:color w:val="252525"/>
          <w:sz w:val="24"/>
          <w:szCs w:val="24"/>
          <w:lang w:eastAsia="en-IE"/>
        </w:rPr>
        <w:fldChar w:fldCharType="begin" w:fldLock="1"/>
      </w:r>
      <w:r w:rsidR="00F168DA">
        <w:rPr>
          <w:rFonts w:eastAsia="Times New Roman" w:cs="Arial"/>
          <w:color w:val="252525"/>
          <w:sz w:val="24"/>
          <w:szCs w:val="24"/>
          <w:lang w:eastAsia="en-IE"/>
        </w:rPr>
        <w:instrText>ADDIN CSL_CITATION { "citationItems" : [ { "id" : "ITEM-1", "itemData" : { "DOI" : "10.1246/cl.1987.1485", "ISSN" : "0366-7022", "abstract" : "Redn. of org. halides with SmI2 in THF is strongly promoted by HMPA.  Sixteen RX (e.g., R = n-C10H21, 1-naphthyl, X = Cl, Br, iodo; R = 1-adamantyl, X = Br; R = cyclododecyl; X = Br, iodo) were reduced rapidly to the corresponding RH in 82-98% yields under mild conditions. [on SciFinder(R)]", "author" : [ { "dropping-particle" : "", "family" : "Inanaga", "given" : "Junji", "non-dropping-particle" : "", "parse-names" : false, "suffix" : "" }, { "dropping-particle" : "", "family" : "Ishikawa", "given" : "Mitsuhiro", "non-dropping-particle" : "", "parse-names" : false, "suffix" : "" }, { "dropping-particle" : "", "family" : "Yamaguchi", "given" : "Masaru.", "non-dropping-particle" : "", "parse-names" : false, "suffix" : "" } ], "container-title" : "Chemistry Letters", "id" : "ITEM-1", "issue" : "7", "issued" : { "date-parts" : [ [ "1987" ] ] }, "note" : "CAPLUS AN 1988:74883(Journal)", "page" : "1485-1486", "title" : "A mild and convenient method for the reduction of organic halides by using a samarium diiodide-THF solution in the presence of hexamethylphosphoric triamide (HMPA).", "type" : "article-journal" }, "uris" : [ "http://www.mendeley.com/documents/?uuid=7b6fcc42-ac6e-4e7f-aeaa-173d7ab0f91b" ] } ], "mendeley" : { "formattedCitation" : "&lt;sup&gt;[185]&lt;/sup&gt;", "plainTextFormattedCitation" : "[185]", "previouslyFormattedCitation" : "&lt;sup&gt;[185]&lt;/sup&gt;" }, "properties" : { "noteIndex" : 0 }, "schema" : "https://github.com/citation-style-language/schema/raw/master/csl-citation.json" }</w:instrText>
      </w:r>
      <w:r w:rsidR="00D86DC0">
        <w:rPr>
          <w:rFonts w:eastAsia="Times New Roman" w:cs="Arial"/>
          <w:color w:val="252525"/>
          <w:sz w:val="24"/>
          <w:szCs w:val="24"/>
          <w:lang w:eastAsia="en-IE"/>
        </w:rPr>
        <w:fldChar w:fldCharType="separate"/>
      </w:r>
      <w:r w:rsidR="0055300D" w:rsidRPr="0055300D">
        <w:rPr>
          <w:rFonts w:eastAsia="Times New Roman" w:cs="Arial"/>
          <w:noProof/>
          <w:color w:val="252525"/>
          <w:sz w:val="24"/>
          <w:szCs w:val="24"/>
          <w:vertAlign w:val="superscript"/>
          <w:lang w:eastAsia="en-IE"/>
        </w:rPr>
        <w:t>[185]</w:t>
      </w:r>
      <w:r w:rsidR="00D86DC0">
        <w:rPr>
          <w:rFonts w:eastAsia="Times New Roman" w:cs="Arial"/>
          <w:color w:val="252525"/>
          <w:sz w:val="24"/>
          <w:szCs w:val="24"/>
          <w:lang w:eastAsia="en-IE"/>
        </w:rPr>
        <w:fldChar w:fldCharType="end"/>
      </w:r>
      <w:r w:rsidR="00847829">
        <w:rPr>
          <w:rFonts w:eastAsia="Times New Roman" w:cs="Arial"/>
          <w:color w:val="252525"/>
          <w:sz w:val="24"/>
          <w:szCs w:val="24"/>
          <w:lang w:eastAsia="en-IE"/>
        </w:rPr>
        <w:t xml:space="preserve"> More recently, hydroxylated HMPA</w:t>
      </w:r>
      <w:r w:rsidR="00847829">
        <w:rPr>
          <w:rFonts w:eastAsia="Times New Roman" w:cs="Arial"/>
          <w:color w:val="252525"/>
          <w:sz w:val="24"/>
          <w:szCs w:val="24"/>
          <w:lang w:eastAsia="en-IE"/>
        </w:rPr>
        <w:fldChar w:fldCharType="begin" w:fldLock="1"/>
      </w:r>
      <w:r w:rsidR="00F168DA">
        <w:rPr>
          <w:rFonts w:eastAsia="Times New Roman" w:cs="Arial"/>
          <w:color w:val="252525"/>
          <w:sz w:val="24"/>
          <w:szCs w:val="24"/>
          <w:lang w:eastAsia="en-IE"/>
        </w:rPr>
        <w:instrText>ADDIN CSL_CITATION { "citationItems" : [ { "id" : "ITEM-1", "itemData" : { "DOI" : "10.1021/jo500161s", "ISSN" : "0022-3263", "abstract" : "HMPA is known to increase the redn. potential of SmI2.  However, in many cases, the transferred electron returns from the radical anion of the substrate back to the Sm3+.  This could be avoided by an efficient trapping of the radical anion: e.g., by protonation.  However, bimol. protonation by a proton donor from the bulk may be too slow to compete with the back electron transfer process.  An efficient unimol. protonation could be achieved by using a proton donor which complexes to SmI2, in which case the proton is unimolecularly transferred within the ion pair.  A deriv. of HMPA in which one of the Me groups was substituted by a CH2CH2OH unit was synthesized.  Cyclic voltammetry studies have shown that it resembles HMPA in its ability to enhance the redn. potential of SmI2, and reactivity studies show that it has also efficient proton shift capabilities.  The various aspects of this additive were examd. in the reactions of SmI2 with three substrates: benzyl chloride, Me cinnamate, and anthracene. [on SciFinder(R)]", "author" : [ { "dropping-particle" : "", "family" : "Halder", "given" : "Sandipan", "non-dropping-particle" : "", "parse-names" : false, "suffix" : "" }, { "dropping-particle" : "", "family" : "Hoz", "given" : "Shmaryahu.", "non-dropping-particle" : "", "parse-names" : false, "suffix" : "" } ], "container-title" : "Journal of Organic Chemistry", "id" : "ITEM-1", "issue" : "6", "issued" : { "date-parts" : [ [ "2014" ] ] }, "note" : "CAPLUS AN 2014:297310(Journal; Online Computer File)", "page" : "2682-2687", "publisher" : "American Chemical Society", "title" : "Hydroxylated HMPA Enhances both Reduction Potential and Proton Donation in SmI2 Reactions.", "type" : "article-journal", "volume" : "79" }, "uris" : [ "http://www.mendeley.com/documents/?uuid=0e20bc7c-f555-4a42-8fdb-8bceb418d21e" ] } ], "mendeley" : { "formattedCitation" : "&lt;sup&gt;[186]&lt;/sup&gt;", "plainTextFormattedCitation" : "[186]", "previouslyFormattedCitation" : "&lt;sup&gt;[186]&lt;/sup&gt;" }, "properties" : { "noteIndex" : 0 }, "schema" : "https://github.com/citation-style-language/schema/raw/master/csl-citation.json" }</w:instrText>
      </w:r>
      <w:r w:rsidR="00847829">
        <w:rPr>
          <w:rFonts w:eastAsia="Times New Roman" w:cs="Arial"/>
          <w:color w:val="252525"/>
          <w:sz w:val="24"/>
          <w:szCs w:val="24"/>
          <w:lang w:eastAsia="en-IE"/>
        </w:rPr>
        <w:fldChar w:fldCharType="separate"/>
      </w:r>
      <w:r w:rsidR="0055300D" w:rsidRPr="0055300D">
        <w:rPr>
          <w:rFonts w:eastAsia="Times New Roman" w:cs="Arial"/>
          <w:noProof/>
          <w:color w:val="252525"/>
          <w:sz w:val="24"/>
          <w:szCs w:val="24"/>
          <w:vertAlign w:val="superscript"/>
          <w:lang w:eastAsia="en-IE"/>
        </w:rPr>
        <w:t>[186]</w:t>
      </w:r>
      <w:r w:rsidR="00847829">
        <w:rPr>
          <w:rFonts w:eastAsia="Times New Roman" w:cs="Arial"/>
          <w:color w:val="252525"/>
          <w:sz w:val="24"/>
          <w:szCs w:val="24"/>
          <w:lang w:eastAsia="en-IE"/>
        </w:rPr>
        <w:fldChar w:fldCharType="end"/>
      </w:r>
      <w:r w:rsidR="005401EE">
        <w:rPr>
          <w:rFonts w:eastAsia="Times New Roman" w:cs="Arial"/>
          <w:color w:val="252525"/>
          <w:sz w:val="24"/>
          <w:szCs w:val="24"/>
          <w:lang w:eastAsia="en-IE"/>
        </w:rPr>
        <w:t xml:space="preserve"> </w:t>
      </w:r>
      <w:r w:rsidR="005401EE" w:rsidRPr="005401EE">
        <w:rPr>
          <w:rFonts w:eastAsia="Times New Roman" w:cs="Arial"/>
          <w:b/>
          <w:color w:val="252525"/>
          <w:sz w:val="24"/>
          <w:szCs w:val="24"/>
          <w:lang w:eastAsia="en-IE"/>
        </w:rPr>
        <w:t>94</w:t>
      </w:r>
      <w:r w:rsidR="00847829">
        <w:rPr>
          <w:rFonts w:eastAsia="Times New Roman" w:cs="Arial"/>
          <w:color w:val="252525"/>
          <w:sz w:val="24"/>
          <w:szCs w:val="24"/>
          <w:lang w:eastAsia="en-IE"/>
        </w:rPr>
        <w:t xml:space="preserve"> and dipyrrolidinomethylaminophosphoric acid triamide (DPMPA)</w:t>
      </w:r>
      <w:r w:rsidR="00847829">
        <w:rPr>
          <w:rFonts w:eastAsia="Times New Roman" w:cs="Arial"/>
          <w:color w:val="252525"/>
          <w:sz w:val="24"/>
          <w:szCs w:val="24"/>
          <w:lang w:eastAsia="en-IE"/>
        </w:rPr>
        <w:fldChar w:fldCharType="begin" w:fldLock="1"/>
      </w:r>
      <w:r w:rsidR="00F168DA">
        <w:rPr>
          <w:rFonts w:eastAsia="Times New Roman" w:cs="Arial"/>
          <w:color w:val="252525"/>
          <w:sz w:val="24"/>
          <w:szCs w:val="24"/>
          <w:lang w:eastAsia="en-IE"/>
        </w:rPr>
        <w:instrText>ADDIN CSL_CITATION { "citationItems" : [ { "id" : "ITEM-1", "itemData" : { "DOI" : "10.1016/j.tet.2013.02.025", "ISSN" : "0040-4020", "abstract" : "The use of the conjugate base of dipyrrolidinomethylaminophosphoric triamide (DPMPA-) as an activator of samarium diiodide is reported.  This phosphoramidate has been shown to be a very potent ligand, allowing for the efficient, low-temp. redn. of alkyl and aryl chlorides.  Reductive cyclizations of haloalkenylnaphthalenes are also reported. [on SciFinder(R)]", "author" : [ { "dropping-particle" : "", "family" : "McDonald", "given" : "Chriss E", "non-dropping-particle" : "", "parse-names" : false, "suffix" : "" }, { "dropping-particle" : "", "family" : "Ramsey", "given" : "Jeremy R", "non-dropping-particle" : "", "parse-names" : false, "suffix" : "" }, { "dropping-particle" : "", "family" : "Sampsell", "given" : "David G", "non-dropping-particle" : "", "parse-names" : false, "suffix" : "" }, { "dropping-particle" : "", "family" : "Anderson", "given" : "Laura A", "non-dropping-particle" : "", "parse-names" : false, "suffix" : "" }, { "dropping-particle" : "", "family" : "Krebs", "given" : "Jordan E", "non-dropping-particle" : "", "parse-names" : false, "suffix" : "" }, { "dropping-particle" : "", "family" : "Smith", "given" : "Samantha N", "non-dropping-particle" : "", "parse-names" : false, "suffix" : "" } ], "container-title" : "Tetrahedron", "id" : "ITEM-1", "issue" : "14", "issued" : { "date-parts" : [ [ "2013" ] ] }, "note" : "CAPLUS AN 2013:336782(Journal; Online Computer File)", "page" : "2947-2953", "publisher" : "Elsevier Ltd.", "title" : "Dipyrrolidinomethylaminophosphoric acid triamide (DPMPA) as an activator for the samarium diiodide-mediated reduction of alkyl and aryl halides.", "type" : "article-journal", "volume" : "69" }, "uris" : [ "http://www.mendeley.com/documents/?uuid=07244313-4a2f-4ec4-b443-7df2f21ef6be" ] } ], "mendeley" : { "formattedCitation" : "&lt;sup&gt;[187]&lt;/sup&gt;", "plainTextFormattedCitation" : "[187]", "previouslyFormattedCitation" : "&lt;sup&gt;[187]&lt;/sup&gt;" }, "properties" : { "noteIndex" : 0 }, "schema" : "https://github.com/citation-style-language/schema/raw/master/csl-citation.json" }</w:instrText>
      </w:r>
      <w:r w:rsidR="00847829">
        <w:rPr>
          <w:rFonts w:eastAsia="Times New Roman" w:cs="Arial"/>
          <w:color w:val="252525"/>
          <w:sz w:val="24"/>
          <w:szCs w:val="24"/>
          <w:lang w:eastAsia="en-IE"/>
        </w:rPr>
        <w:fldChar w:fldCharType="separate"/>
      </w:r>
      <w:r w:rsidR="0055300D" w:rsidRPr="0055300D">
        <w:rPr>
          <w:rFonts w:eastAsia="Times New Roman" w:cs="Arial"/>
          <w:noProof/>
          <w:color w:val="252525"/>
          <w:sz w:val="24"/>
          <w:szCs w:val="24"/>
          <w:vertAlign w:val="superscript"/>
          <w:lang w:eastAsia="en-IE"/>
        </w:rPr>
        <w:t>[187]</w:t>
      </w:r>
      <w:r w:rsidR="00847829">
        <w:rPr>
          <w:rFonts w:eastAsia="Times New Roman" w:cs="Arial"/>
          <w:color w:val="252525"/>
          <w:sz w:val="24"/>
          <w:szCs w:val="24"/>
          <w:lang w:eastAsia="en-IE"/>
        </w:rPr>
        <w:fldChar w:fldCharType="end"/>
      </w:r>
      <w:r w:rsidR="005401EE">
        <w:rPr>
          <w:rFonts w:eastAsia="Times New Roman" w:cs="Arial"/>
          <w:color w:val="252525"/>
          <w:sz w:val="24"/>
          <w:szCs w:val="24"/>
          <w:lang w:eastAsia="en-IE"/>
        </w:rPr>
        <w:t xml:space="preserve"> </w:t>
      </w:r>
      <w:r w:rsidR="005401EE" w:rsidRPr="005401EE">
        <w:rPr>
          <w:rFonts w:eastAsia="Times New Roman" w:cs="Arial"/>
          <w:b/>
          <w:color w:val="252525"/>
          <w:sz w:val="24"/>
          <w:szCs w:val="24"/>
          <w:lang w:eastAsia="en-IE"/>
        </w:rPr>
        <w:t>95</w:t>
      </w:r>
      <w:r w:rsidR="00847829">
        <w:rPr>
          <w:rFonts w:eastAsia="Times New Roman" w:cs="Arial"/>
          <w:color w:val="252525"/>
          <w:sz w:val="24"/>
          <w:szCs w:val="24"/>
          <w:lang w:eastAsia="en-IE"/>
        </w:rPr>
        <w:t xml:space="preserve"> have also been reported as activators of </w:t>
      </w:r>
      <w:r>
        <w:rPr>
          <w:rFonts w:eastAsia="Times New Roman" w:cs="Arial"/>
          <w:color w:val="252525"/>
          <w:sz w:val="24"/>
          <w:szCs w:val="24"/>
          <w:lang w:eastAsia="en-IE"/>
        </w:rPr>
        <w:t>samarium(II)</w:t>
      </w:r>
      <w:r w:rsidR="00847829">
        <w:rPr>
          <w:rFonts w:eastAsia="Times New Roman" w:cs="Arial"/>
          <w:color w:val="252525"/>
          <w:sz w:val="24"/>
          <w:szCs w:val="24"/>
          <w:lang w:eastAsia="en-IE"/>
        </w:rPr>
        <w:t xml:space="preserve"> iodide reductions</w:t>
      </w:r>
      <w:r w:rsidR="005401EE">
        <w:rPr>
          <w:rFonts w:eastAsia="Times New Roman" w:cs="Arial"/>
          <w:color w:val="252525"/>
          <w:sz w:val="24"/>
          <w:szCs w:val="24"/>
          <w:lang w:eastAsia="en-IE"/>
        </w:rPr>
        <w:t xml:space="preserve"> (</w:t>
      </w:r>
      <w:r w:rsidR="005401EE" w:rsidRPr="005401EE">
        <w:rPr>
          <w:rFonts w:eastAsia="Times New Roman" w:cs="Arial"/>
          <w:b/>
          <w:color w:val="252525"/>
          <w:sz w:val="24"/>
          <w:szCs w:val="24"/>
          <w:lang w:eastAsia="en-IE"/>
        </w:rPr>
        <w:t>Figure 1.9</w:t>
      </w:r>
      <w:r w:rsidR="005401EE">
        <w:rPr>
          <w:rFonts w:eastAsia="Times New Roman" w:cs="Arial"/>
          <w:color w:val="252525"/>
          <w:sz w:val="24"/>
          <w:szCs w:val="24"/>
          <w:lang w:eastAsia="en-IE"/>
        </w:rPr>
        <w:t>)</w:t>
      </w:r>
      <w:r w:rsidR="00847829">
        <w:rPr>
          <w:rFonts w:eastAsia="Times New Roman" w:cs="Arial"/>
          <w:color w:val="252525"/>
          <w:sz w:val="24"/>
          <w:szCs w:val="24"/>
          <w:lang w:eastAsia="en-IE"/>
        </w:rPr>
        <w:t>.</w:t>
      </w:r>
    </w:p>
    <w:p w:rsidR="00847829" w:rsidRDefault="005401EE" w:rsidP="00847829">
      <w:pPr>
        <w:shd w:val="clear" w:color="auto" w:fill="FFFFFF"/>
        <w:spacing w:before="100" w:beforeAutospacing="1" w:after="24" w:line="360" w:lineRule="auto"/>
        <w:ind w:left="24"/>
        <w:jc w:val="center"/>
      </w:pPr>
      <w:r>
        <w:object w:dxaOrig="4478" w:dyaOrig="2188">
          <v:shape id="_x0000_i1076" type="#_x0000_t75" style="width:224.25pt;height:108.75pt" o:ole="">
            <v:imagedata r:id="rId132" o:title=""/>
          </v:shape>
          <o:OLEObject Type="Embed" ProgID="ChemDraw.Document.6.0" ShapeID="_x0000_i1076" DrawAspect="Content" ObjectID="_1531849625" r:id="rId133"/>
        </w:object>
      </w:r>
    </w:p>
    <w:p w:rsidR="005401EE" w:rsidRPr="005401EE" w:rsidRDefault="005401EE" w:rsidP="00847829">
      <w:pPr>
        <w:shd w:val="clear" w:color="auto" w:fill="FFFFFF"/>
        <w:spacing w:before="100" w:beforeAutospacing="1" w:after="24" w:line="360" w:lineRule="auto"/>
        <w:ind w:left="24"/>
        <w:jc w:val="center"/>
        <w:rPr>
          <w:b/>
          <w:sz w:val="24"/>
          <w:szCs w:val="24"/>
        </w:rPr>
      </w:pPr>
      <w:r>
        <w:rPr>
          <w:b/>
          <w:sz w:val="24"/>
          <w:szCs w:val="24"/>
        </w:rPr>
        <w:t>F</w:t>
      </w:r>
      <w:r w:rsidRPr="005401EE">
        <w:rPr>
          <w:b/>
          <w:sz w:val="24"/>
          <w:szCs w:val="24"/>
        </w:rPr>
        <w:t>igure 1.9</w:t>
      </w:r>
    </w:p>
    <w:p w:rsidR="00706975" w:rsidRPr="00DB3544" w:rsidRDefault="0074056F" w:rsidP="0074056F">
      <w:pPr>
        <w:pStyle w:val="Heading2"/>
      </w:pPr>
      <w:bookmarkStart w:id="28" w:name="_Toc446773080"/>
      <w:r>
        <w:lastRenderedPageBreak/>
        <w:t>1.</w:t>
      </w:r>
      <w:r w:rsidR="00591EF1">
        <w:t>6</w:t>
      </w:r>
      <w:r>
        <w:t xml:space="preserve">.4 </w:t>
      </w:r>
      <w:r w:rsidR="00272E45">
        <w:t>Carbon-carbon bond forming r</w:t>
      </w:r>
      <w:r w:rsidR="008B613C" w:rsidRPr="00DB3544">
        <w:t>eactions</w:t>
      </w:r>
      <w:r w:rsidR="00272E45">
        <w:t xml:space="preserve"> using lanthanide catalysis</w:t>
      </w:r>
      <w:bookmarkEnd w:id="28"/>
    </w:p>
    <w:p w:rsidR="00B2023B" w:rsidRDefault="00117A33" w:rsidP="008337C4">
      <w:pPr>
        <w:spacing w:line="360" w:lineRule="auto"/>
        <w:jc w:val="both"/>
        <w:rPr>
          <w:sz w:val="24"/>
          <w:szCs w:val="24"/>
        </w:rPr>
      </w:pPr>
      <w:r>
        <w:rPr>
          <w:sz w:val="24"/>
          <w:szCs w:val="24"/>
        </w:rPr>
        <w:t xml:space="preserve">Lanthanide reagents have found many uses in carbon-carbon bond forming reactions. </w:t>
      </w:r>
      <w:r w:rsidR="00B2023B">
        <w:rPr>
          <w:sz w:val="24"/>
          <w:szCs w:val="24"/>
        </w:rPr>
        <w:t>Organocerium reagents have proved to be very efficient alternatives to Grignard and organolithium reagents</w:t>
      </w:r>
      <w:r w:rsidR="00315017">
        <w:rPr>
          <w:sz w:val="24"/>
          <w:szCs w:val="24"/>
        </w:rPr>
        <w:t xml:space="preserve">, and have been recently </w:t>
      </w:r>
      <w:r w:rsidR="009A4531">
        <w:rPr>
          <w:sz w:val="24"/>
          <w:szCs w:val="24"/>
        </w:rPr>
        <w:t>reviewed</w:t>
      </w:r>
      <w:r w:rsidR="00315017">
        <w:rPr>
          <w:sz w:val="24"/>
          <w:szCs w:val="24"/>
        </w:rPr>
        <w:t xml:space="preserve"> by Sambri</w:t>
      </w:r>
      <w:r w:rsidR="00B2023B">
        <w:rPr>
          <w:sz w:val="24"/>
          <w:szCs w:val="24"/>
        </w:rPr>
        <w:t>.</w:t>
      </w:r>
      <w:r w:rsidR="003732A8">
        <w:rPr>
          <w:sz w:val="24"/>
          <w:szCs w:val="24"/>
        </w:rPr>
        <w:fldChar w:fldCharType="begin" w:fldLock="1"/>
      </w:r>
      <w:r w:rsidR="00F168DA">
        <w:rPr>
          <w:sz w:val="24"/>
          <w:szCs w:val="24"/>
        </w:rPr>
        <w:instrText>ADDIN CSL_CITATION { "citationItems" : [ { "id" : "ITEM-1", "itemData" : { "DOI" : "10.1016/B978-0-08-097742-3.00110-5", "abstract" : "A review.  This review focuses on the utility of organocerium reagents in org. synthesis.  The term organocerium reagents includes any species made up of org. fragment and cerium metals, hence not only compds. contg. carbon-cerium bonds, but also, for example, oxygen-cerium such as cerium enolates can also be included. [on SciFinder(R)]", "author" : [ { "dropping-particle" : "", "family" : "Marcantoni", "given" : "E", "non-dropping-particle" : "", "parse-names" : false, "suffix" : "" }, { "dropping-particle" : "", "family" : "Sambri", "given" : "L", "non-dropping-particle" : "", "parse-names" : false, "suffix" : "" } ], "container-title" : "Compr. Org. Synth. (2nd Ed.)", "id" : "ITEM-1", "issued" : { "date-parts" : [ [ "2014" ] ] }, "note" : "CAPLUS AN 2015:159963(Conference; General Review)", "page" : "267-277", "publisher" : "Elsevier B.V.", "title" : "Organocerium reagents.", "type" : "paper-conference", "volume" : "1" }, "uris" : [ "http://www.mendeley.com/documents/?uuid=23bae42d-e121-4050-8820-7f93a9e78e37" ] } ], "mendeley" : { "formattedCitation" : "&lt;sup&gt;[188]&lt;/sup&gt;", "plainTextFormattedCitation" : "[188]", "previouslyFormattedCitation" : "&lt;sup&gt;[188]&lt;/sup&gt;" }, "properties" : { "noteIndex" : 0 }, "schema" : "https://github.com/citation-style-language/schema/raw/master/csl-citation.json" }</w:instrText>
      </w:r>
      <w:r w:rsidR="003732A8">
        <w:rPr>
          <w:sz w:val="24"/>
          <w:szCs w:val="24"/>
        </w:rPr>
        <w:fldChar w:fldCharType="separate"/>
      </w:r>
      <w:r w:rsidR="0055300D" w:rsidRPr="0055300D">
        <w:rPr>
          <w:noProof/>
          <w:sz w:val="24"/>
          <w:szCs w:val="24"/>
          <w:vertAlign w:val="superscript"/>
        </w:rPr>
        <w:t>[188]</w:t>
      </w:r>
      <w:r w:rsidR="003732A8">
        <w:rPr>
          <w:sz w:val="24"/>
          <w:szCs w:val="24"/>
        </w:rPr>
        <w:fldChar w:fldCharType="end"/>
      </w:r>
      <w:r w:rsidR="00B2023B">
        <w:rPr>
          <w:sz w:val="24"/>
          <w:szCs w:val="24"/>
        </w:rPr>
        <w:t xml:space="preserve"> Other organolanthanides have also been shown to be effective alternatives, but the low cost and proven success of organoceriums has led to their preferential use.</w:t>
      </w:r>
    </w:p>
    <w:p w:rsidR="00C72B50" w:rsidRDefault="00B2023B" w:rsidP="008337C4">
      <w:pPr>
        <w:spacing w:line="360" w:lineRule="auto"/>
        <w:jc w:val="both"/>
        <w:rPr>
          <w:sz w:val="24"/>
          <w:szCs w:val="24"/>
        </w:rPr>
      </w:pPr>
      <w:r>
        <w:rPr>
          <w:sz w:val="24"/>
          <w:szCs w:val="24"/>
        </w:rPr>
        <w:t xml:space="preserve">Organoceriums are prepared </w:t>
      </w:r>
      <w:r w:rsidRPr="00272E45">
        <w:rPr>
          <w:i/>
          <w:sz w:val="24"/>
          <w:szCs w:val="24"/>
        </w:rPr>
        <w:t>in situ</w:t>
      </w:r>
      <w:r>
        <w:rPr>
          <w:sz w:val="24"/>
          <w:szCs w:val="24"/>
        </w:rPr>
        <w:t xml:space="preserve"> by transmetalation reactions from organolit</w:t>
      </w:r>
      <w:r w:rsidR="00272E45">
        <w:rPr>
          <w:sz w:val="24"/>
          <w:szCs w:val="24"/>
        </w:rPr>
        <w:t>h</w:t>
      </w:r>
      <w:r>
        <w:rPr>
          <w:sz w:val="24"/>
          <w:szCs w:val="24"/>
        </w:rPr>
        <w:t>ium or organomagnesium reagents.</w:t>
      </w:r>
      <w:r w:rsidR="00DB3544">
        <w:rPr>
          <w:sz w:val="24"/>
          <w:szCs w:val="24"/>
        </w:rPr>
        <w:fldChar w:fldCharType="begin" w:fldLock="1"/>
      </w:r>
      <w:r w:rsidR="00F168DA">
        <w:rPr>
          <w:sz w:val="24"/>
          <w:szCs w:val="24"/>
        </w:rPr>
        <w:instrText>ADDIN CSL_CITATION { "citationItems" : [ { "id" : "ITEM-1", "itemData" : { "DOI" : "10.1039/c39820001042", "ISSN" : "0022-4936", "abstract" : "Organocerium reagents, prepd. in situ by treatment of organolithium compds. with CeI3, reacted with ketones at -65\u00b0 to give high yields of tertiary alcs. by nucleophilic addn. whereas at 0\u00b0 to room temp. reductive coupling and/or redn. of the ketones occurred.  E.g., reaction of BuLi with CeI3 in hexane at -65\u00b0 for 1 h followed by addn. of PhCOMe and stirring for 3 h at -65\u00b0 gave 98% Me(CH2)3CPh(OH)Me; similar reaction with stirring at 0\u00b0 for 5 h gave 92% PhCMe(OH)CMe(OH)Ph. [on SciFinder(R)]", "author" : [ { "dropping-particle" : "", "family" : "Imamoto", "given" : "Tsuneo", "non-dropping-particle" : "", "parse-names" : false, "suffix" : "" }, { "dropping-particle" : "", "family" : "Kusumoto", "given" : "Tetsuo", "non-dropping-particle" : "", "parse-names" : false, "suffix" : "" }, { "dropping-particle" : "", "family" : "Yokoyama", "given" : "Masataka.", "non-dropping-particle" : "", "parse-names" : false, "suffix" : "" } ], "container-title" : "Journal of the Chemical Society, Chemical Communications", "id" : "ITEM-1", "issue" : "18", "issued" : { "date-parts" : [ [ "1982" ] ] }, "note" : "CAPLUS AN 1983:88770(Journal)", "page" : "1042-1044", "title" : "Generation and reactivities of organocerium reagents.", "type" : "article-journal" }, "uris" : [ "http://www.mendeley.com/documents/?uuid=a10409ae-4077-4302-80cd-42499dc2c147" ] }, { "id" : "ITEM-2", "itemData" : { "DOI" : "10.1021/jo00195a006", "ISSN" : "0022-3263", "abstract" : "Cerium amalgam is an effective reagent for the chemoselective prepn. of homoallylic alcs. from allyl halides and carbonyl compds. and for the Reformatskii-type reaction of \u03b1-halo esters with carbonyl compds.  Organocerium(III) reagents were conveniently generated by the reaction of organolithiums with CeI3 or CeCl3 and they react cleanly at -78 to -65\u00b0 with various carbonyl compds. to afford the addn. products in high yields.  The substrates are susceptible to enolization or metal-halogen exchange with simple organolithiums.  The same reagents also react with \u03b1,\u03b2-unsatd. carbonyl compds. to yield 1,2-addn. products in high selectivity. [on SciFinder(R)]", "author" : [ { "dropping-particle" : "", "family" : "Imamoto", "given" : "Tsuneo", "non-dropping-particle" : "", "parse-names" : false, "suffix" : "" }, { "dropping-particle" : "", "family" : "Kusumoto", "given" : "Tetsuo", "non-dropping-particle" : "", "parse-names" : false, "suffix" : "" }, { "dropping-particle" : "", "family" : "Tawarayama", "given" : "Yoshinori", "non-dropping-particle" : "", "parse-names" : false, "suffix" : "" }, { "dropping-particle" : "", "family" : "Sugiura", "given" : "Yasushi", "non-dropping-particle" : "", "parse-names" : false, "suffix" : "" }, { "dropping-particle" : "", "family" : "Mita", "given" : "Takeshi", "non-dropping-particle" : "", "parse-names" : false, "suffix" : "" }, { "dropping-particle" : "", "family" : "Hatanaka", "given" : "Yasuo", "non-dropping-particle" : "", "parse-names" : false, "suffix" : "" }, { "dropping-particle" : "", "family" : "Yokoyama", "given" : "Masataka.", "non-dropping-particle" : "", "parse-names" : false, "suffix" : "" } ], "container-title" : "Journal of Organic Chemistry", "id" : "ITEM-2", "issue" : "21", "issued" : { "date-parts" : [ [ "1984" ] ] }, "note" : "CAPLUS AN 1984:570210(Journal)", "page" : "3904-3912", "title" : "Carbon-carbon bond-forming reactions using cerium metal or organocerium(III) reagents.", "type" : "article-journal", "volume" : "49" }, "uris" : [ "http://www.mendeley.com/documents/?uuid=cf698971-cbb4-4006-8095-81a0d1f09980" ] }, { "id" : "ITEM-3", "itemData" : { "DOI" : "10.1016/S0040-4039(01)81404-0", "ISSN" : "0040-4039", "abstract" : "Organocerium reagents, prepd. from organolithiums and anhyd. CeCl3, react cleanly with easily enolizable ketones to afford the addn. products in good to excellent yields.  Thus, reaction of (PhCH2)2CO with BuCeCl2 for 3 h at -78\u00b0 gave 96% (PhCH2)2CBuOH; the yield with BuMgBr was 20%. [on SciFinder(R)]", "author" : [ { "dropping-particle" : "", "family" : "Imamoto", "given" : "Tsuneo", "non-dropping-particle" : "", "parse-names" : false, "suffix" : "" }, { "dropping-particle" : "", "family" : "Sugiura", "given" : "Yasushi", "non-dropping-particle" : "", "parse-names" : false, "suffix" : "" }, { "dropping-particle" : "", "family" : "Takiyama", "given" : "Nobuyuki.", "non-dropping-particle" : "", "parse-names" : false, "suffix" : "" } ], "container-title" : "Tetrahedron Letters", "id" : "ITEM-3", "issue" : "38", "issued" : { "date-parts" : [ [ "1984" ] ] }, "note" : "CAPLUS AN 1985:77963(Journal)", "page" : "4233-4236", "title" : "Organocerium reagents.  Nucleophilic addition to easily enolizable ketones.", "type" : "article-journal", "volume" : "25" }, "uris" : [ "http://www.mendeley.com/documents/?uuid=2e4ab75a-8ecc-4746-8b8f-426b228a3709" ] }, { "id" : "ITEM-4", "itemData" : { "DOI" : "10.1016/0022-328X(85)87395-2", "ISSN" : "0022-328X", "abstract" : "RCeCl2 (R = Me, Bu, Ph) react with E- and Z-PhCH:CHCOC6H4OMe-4 to afford 1,2-addn. products E- and Z-PhCH:CHCR(OH)C6H4OMe-4 with higher regioselectivity than RLi and RMgBr.  This selective 1,2-addn. of organo-cerium reagents is considered to proceed through a polar pathway. [on SciFinder(R)]", "author" : [ { "dropping-particle" : "", "family" : "Imamoto", "given" : "Tsuneo", "non-dropping-particle" : "", "parse-names" : false, "suffix" : "" }, { "dropping-particle" : "", "family" : "Sugiura", "given" : "Yasushi.", "non-dropping-particle" : "", "parse-names" : false, "suffix" : "" } ], "container-title" : "Journal of Organometallic Chemistry", "id" : "ITEM-4", "issue" : "1-3", "issued" : { "date-parts" : [ [ "1985" ] ] }, "note" : "CAPLUS AN 1986:5609(Journal)", "page" : "C21-C23", "title" : "Selective 1,2-addition of organocerium(III) reagents to \u03b1,\u03b2-unsaturated carbonyl compounds.", "type" : "article-journal", "volume" : "285" }, "uris" : [ "http://www.mendeley.com/documents/?uuid=25d9779c-21ca-45d4-8af5-c6797e5463c3" ] }, { "id" : "ITEM-5", "itemData" : { "DOI" : "10.1016/S0040-4039(00)94945-1", "ISSN" : "0040-4039", "abstract" : "In the presence of anhyd. CeCl3, RMgR1 (R = Bu, CH2:CH, Ph, R1 = Br; R = Me2CH, Et, R1 = Cl) react with cyclopentanone, 3-cyclopentenone, 1,2,3,4-tetrahydronaphthalen-2-one, 2-cyclohexen-1-one, R2R3CO (R2 = R3 = PhCH2, Me2CH; R2 = PhCH:CH, R3 = Me, Ph) to give RR2R3COH, 1-phenyl- and 1-vinylcyclopent-3-ene, 1-ethyl- and 1-vinyl-1,2,3,4-tetrahydro-2-naphthalenol, and 1-isopropyl-2-cyclohexen-1-ol in high yields, even though the substrates are susceptible to abnormal reactions with Grignard reagents alone. [on SciFinder(R)]", "author" : [ { "dropping-particle" : "", "family" : "Imamoto", "given" : "Tsuneo", "non-dropping-particle" : "", "parse-names" : false, "suffix" : "" }, { "dropping-particle" : "", "family" : "Takiyama", "given" : "Nobuyuki", "non-dropping-particle" : "", "parse-names" : false, "suffix" : "" }, { "dropping-particle" : "", "family" : "Nakamura", "given" : "Kimikazu.", "non-dropping-particle" : "", "parse-names" : false, "suffix" : "" } ], "container-title" : "Tetrahedron Letters", "id" : "ITEM-5", "issue" : "39", "issued" : { "date-parts" : [ [ "1985" ] ] }, "note" : "CAPLUS AN 1986:424010(Journal)", "page" : "4763-4766", "title" : "Cerium chloride-promoted nucleophilic addition of Grignard reagents to ketones. An efficient method for the synthesis of tertiary alcohols.", "type" : "article-journal", "volume" : "26" }, "uris" : [ "http://www.mendeley.com/documents/?uuid=b06c7eab-bdd8-47dd-9e1a-f2bbe005b70d" ] } ], "mendeley" : { "formattedCitation" : "&lt;sup&gt;[189\u2013193]&lt;/sup&gt;", "plainTextFormattedCitation" : "[189\u2013193]", "previouslyFormattedCitation" : "&lt;sup&gt;[189\u2013193]&lt;/sup&gt;" }, "properties" : { "noteIndex" : 0 }, "schema" : "https://github.com/citation-style-language/schema/raw/master/csl-citation.json" }</w:instrText>
      </w:r>
      <w:r w:rsidR="00DB3544">
        <w:rPr>
          <w:sz w:val="24"/>
          <w:szCs w:val="24"/>
        </w:rPr>
        <w:fldChar w:fldCharType="separate"/>
      </w:r>
      <w:r w:rsidR="0055300D" w:rsidRPr="0055300D">
        <w:rPr>
          <w:noProof/>
          <w:sz w:val="24"/>
          <w:szCs w:val="24"/>
          <w:vertAlign w:val="superscript"/>
        </w:rPr>
        <w:t>[189–193]</w:t>
      </w:r>
      <w:r w:rsidR="00DB3544">
        <w:rPr>
          <w:sz w:val="24"/>
          <w:szCs w:val="24"/>
        </w:rPr>
        <w:fldChar w:fldCharType="end"/>
      </w:r>
      <w:r>
        <w:rPr>
          <w:sz w:val="24"/>
          <w:szCs w:val="24"/>
        </w:rPr>
        <w:t xml:space="preserve"> The structure of the active species remains unde</w:t>
      </w:r>
      <w:r w:rsidR="00927B3F">
        <w:rPr>
          <w:sz w:val="24"/>
          <w:szCs w:val="24"/>
        </w:rPr>
        <w:t>termined. These reagents have been used to react with aldehydes and ketones to give the corresponding alcohol, often in higher yields than those reported when using traditional reagents</w:t>
      </w:r>
      <w:r w:rsidR="00C72B50">
        <w:rPr>
          <w:sz w:val="24"/>
          <w:szCs w:val="24"/>
        </w:rPr>
        <w:t>. This was exploited in a key step in the total synthesis of (+)-dihydro-epi-deoxyarteannuin B</w:t>
      </w:r>
      <w:r w:rsidR="009A4531">
        <w:rPr>
          <w:sz w:val="24"/>
          <w:szCs w:val="24"/>
        </w:rPr>
        <w:t xml:space="preserve"> </w:t>
      </w:r>
      <w:r w:rsidR="009A4531" w:rsidRPr="009A4531">
        <w:rPr>
          <w:b/>
          <w:sz w:val="24"/>
          <w:szCs w:val="24"/>
        </w:rPr>
        <w:t>96</w:t>
      </w:r>
      <w:r w:rsidR="00C72B50">
        <w:rPr>
          <w:sz w:val="24"/>
          <w:szCs w:val="24"/>
        </w:rPr>
        <w:t>, a key in</w:t>
      </w:r>
      <w:r w:rsidR="00110C9D">
        <w:rPr>
          <w:sz w:val="24"/>
          <w:szCs w:val="24"/>
        </w:rPr>
        <w:t>termediate in the synthesis of (-)-A</w:t>
      </w:r>
      <w:r w:rsidR="00C72B50">
        <w:rPr>
          <w:sz w:val="24"/>
          <w:szCs w:val="24"/>
        </w:rPr>
        <w:t>rtemisin</w:t>
      </w:r>
      <w:r w:rsidR="009A4531">
        <w:rPr>
          <w:sz w:val="24"/>
          <w:szCs w:val="24"/>
        </w:rPr>
        <w:t xml:space="preserve"> </w:t>
      </w:r>
      <w:r w:rsidR="009A4531" w:rsidRPr="009A4531">
        <w:rPr>
          <w:b/>
          <w:sz w:val="24"/>
          <w:szCs w:val="24"/>
        </w:rPr>
        <w:t>97</w:t>
      </w:r>
      <w:r w:rsidR="00C72B50">
        <w:rPr>
          <w:sz w:val="24"/>
          <w:szCs w:val="24"/>
        </w:rPr>
        <w:t>,</w:t>
      </w:r>
      <w:r w:rsidR="00512B10">
        <w:rPr>
          <w:sz w:val="24"/>
          <w:szCs w:val="24"/>
        </w:rPr>
        <w:t xml:space="preserve"> as shown in </w:t>
      </w:r>
      <w:r w:rsidR="00512B10" w:rsidRPr="00512B10">
        <w:rPr>
          <w:b/>
          <w:sz w:val="24"/>
          <w:szCs w:val="24"/>
        </w:rPr>
        <w:t>Scheme</w:t>
      </w:r>
      <w:r w:rsidR="009A4531">
        <w:rPr>
          <w:b/>
          <w:sz w:val="24"/>
          <w:szCs w:val="24"/>
        </w:rPr>
        <w:t xml:space="preserve"> 1.5</w:t>
      </w:r>
      <w:r w:rsidR="00451339">
        <w:rPr>
          <w:b/>
          <w:sz w:val="24"/>
          <w:szCs w:val="24"/>
        </w:rPr>
        <w:t>4</w:t>
      </w:r>
      <w:r w:rsidR="00927B3F">
        <w:rPr>
          <w:sz w:val="24"/>
          <w:szCs w:val="24"/>
        </w:rPr>
        <w:t>.</w:t>
      </w:r>
      <w:r w:rsidR="00DB3544">
        <w:rPr>
          <w:sz w:val="24"/>
          <w:szCs w:val="24"/>
        </w:rPr>
        <w:fldChar w:fldCharType="begin" w:fldLock="1"/>
      </w:r>
      <w:r w:rsidR="00F168DA">
        <w:rPr>
          <w:sz w:val="24"/>
          <w:szCs w:val="24"/>
        </w:rPr>
        <w:instrText>ADDIN CSL_CITATION { "citationItems" : [ { "id" : "ITEM-1", "itemData" : { "DOI" : "10.1021/ol070992e", "ISSN" : "1523-7060", "abstract" : "The synthesis of (+)-dihydro-epi-deoxyarteannuin B (I) from (-)-isopulegol is described.  Difficulties in the alkylation of menthone derivs. were overcome by using Noyori's zincate enolate method.  Related problems with nucleophilic addn. to the hindered menthone core of II were resolved by using either organocerium or acetylide nucleophiles.  Finally, two alternative olefin metathesis approaches are reported for the final cyclization.  This study provides insight into the reactivity and synthetic processing of the artemisinin sesquiterpenes. [on SciFinder(R)]", "author" : [ { "dropping-particle" : "", "family" : "Dudley", "given" : "Gregory B", "non-dropping-particle" : "", "parse-names" : false, "suffix" : "" }, { "dropping-particle" : "", "family" : "Engel", "given" : "Douglas A", "non-dropping-particle" : "", "parse-names" : false, "suffix" : "" }, { "dropping-particle" : "", "family" : "Ghiviriga", "given" : "Ion", "non-dropping-particle" : "", "parse-names" : false, "suffix" : "" }, { "dropping-particle" : "", "family" : "Lam", "given" : "Hubert", "non-dropping-particle" : "", "parse-names" : false, "suffix" : "" }, { "dropping-particle" : "", "family" : "Poon", "given" : "Kevin W C", "non-dropping-particle" : "", "parse-names" : false, "suffix" : "" }, { "dropping-particle" : "", "family" : "Singletary", "given" : "Jeananne A", "non-dropping-particle" : "", "parse-names" : false, "suffix" : "" } ], "container-title" : "Organic Letters", "id" : "ITEM-1", "issue" : "15", "issued" : { "date-parts" : [ [ "2007" ] ] }, "note" : "CAPLUS AN 2007:664158(Journal)", "page" : "2839-2842", "publisher" : "American Chemical Society", "title" : "Synthesis of (+)-Dihydro-epi-deoxyarteannuin B.", "type" : "article-journal", "volume" : "9" }, "uris" : [ "http://www.mendeley.com/documents/?uuid=fb9871cf-ca4c-453d-b89a-78a1bef5699e" ] } ], "mendeley" : { "formattedCitation" : "&lt;sup&gt;[194]&lt;/sup&gt;", "plainTextFormattedCitation" : "[194]", "previouslyFormattedCitation" : "&lt;sup&gt;[194]&lt;/sup&gt;" }, "properties" : { "noteIndex" : 0 }, "schema" : "https://github.com/citation-style-language/schema/raw/master/csl-citation.json" }</w:instrText>
      </w:r>
      <w:r w:rsidR="00DB3544">
        <w:rPr>
          <w:sz w:val="24"/>
          <w:szCs w:val="24"/>
        </w:rPr>
        <w:fldChar w:fldCharType="separate"/>
      </w:r>
      <w:r w:rsidR="0055300D" w:rsidRPr="0055300D">
        <w:rPr>
          <w:noProof/>
          <w:sz w:val="24"/>
          <w:szCs w:val="24"/>
          <w:vertAlign w:val="superscript"/>
        </w:rPr>
        <w:t>[194]</w:t>
      </w:r>
      <w:r w:rsidR="00DB3544">
        <w:rPr>
          <w:sz w:val="24"/>
          <w:szCs w:val="24"/>
        </w:rPr>
        <w:fldChar w:fldCharType="end"/>
      </w:r>
      <w:r w:rsidR="00C72B50">
        <w:rPr>
          <w:sz w:val="24"/>
          <w:szCs w:val="24"/>
        </w:rPr>
        <w:t xml:space="preserve"> </w:t>
      </w:r>
    </w:p>
    <w:p w:rsidR="00927B3F" w:rsidRDefault="00110C9D" w:rsidP="00C72B50">
      <w:pPr>
        <w:spacing w:line="360" w:lineRule="auto"/>
        <w:jc w:val="center"/>
      </w:pPr>
      <w:r>
        <w:object w:dxaOrig="7266" w:dyaOrig="4691">
          <v:shape id="_x0000_i1077" type="#_x0000_t75" style="width:363pt;height:234pt" o:ole="">
            <v:imagedata r:id="rId134" o:title=""/>
          </v:shape>
          <o:OLEObject Type="Embed" ProgID="ChemDraw.Document.6.0" ShapeID="_x0000_i1077" DrawAspect="Content" ObjectID="_1531849626" r:id="rId135"/>
        </w:object>
      </w:r>
    </w:p>
    <w:p w:rsidR="009A4531" w:rsidRPr="009A4531" w:rsidRDefault="009A4531" w:rsidP="00C72B50">
      <w:pPr>
        <w:spacing w:line="360" w:lineRule="auto"/>
        <w:jc w:val="center"/>
        <w:rPr>
          <w:b/>
          <w:sz w:val="24"/>
          <w:szCs w:val="24"/>
        </w:rPr>
      </w:pPr>
      <w:r w:rsidRPr="009A4531">
        <w:rPr>
          <w:b/>
          <w:sz w:val="24"/>
          <w:szCs w:val="24"/>
        </w:rPr>
        <w:t>Scheme 1.5</w:t>
      </w:r>
      <w:r w:rsidR="00451339">
        <w:rPr>
          <w:b/>
          <w:sz w:val="24"/>
          <w:szCs w:val="24"/>
        </w:rPr>
        <w:t>4</w:t>
      </w:r>
    </w:p>
    <w:p w:rsidR="00B50B57" w:rsidRDefault="00B50B57" w:rsidP="00B50B57">
      <w:pPr>
        <w:spacing w:after="0" w:line="360" w:lineRule="auto"/>
        <w:jc w:val="both"/>
        <w:rPr>
          <w:rFonts w:cs="Times New Roman"/>
          <w:b/>
          <w:sz w:val="24"/>
          <w:szCs w:val="24"/>
        </w:rPr>
      </w:pPr>
    </w:p>
    <w:p w:rsidR="00B50B57" w:rsidRPr="00C10283" w:rsidRDefault="00C10283" w:rsidP="00B50B57">
      <w:pPr>
        <w:spacing w:after="0" w:line="360" w:lineRule="auto"/>
        <w:jc w:val="both"/>
        <w:rPr>
          <w:rFonts w:cs="Times New Roman"/>
          <w:sz w:val="24"/>
          <w:szCs w:val="24"/>
        </w:rPr>
      </w:pPr>
      <w:r>
        <w:rPr>
          <w:rFonts w:cs="Times New Roman"/>
          <w:sz w:val="24"/>
          <w:szCs w:val="24"/>
        </w:rPr>
        <w:t>Scandium (III) triflate was found to be an effective catalyst for the aldol reaction of silyl enol ethers with aldehydes.</w:t>
      </w:r>
      <w:r w:rsidR="00362B87">
        <w:rPr>
          <w:rFonts w:cs="Times New Roman"/>
          <w:sz w:val="24"/>
          <w:szCs w:val="24"/>
        </w:rPr>
        <w:fldChar w:fldCharType="begin" w:fldLock="1"/>
      </w:r>
      <w:r w:rsidR="00F168DA">
        <w:rPr>
          <w:rFonts w:cs="Times New Roman"/>
          <w:sz w:val="24"/>
          <w:szCs w:val="24"/>
        </w:rPr>
        <w:instrText>ADDIN CSL_CITATION { "citationItems" : [ { "id" : "ITEM-1", "itemData" : { "DOI" : "10.1055/s-1993-22495", "ISSN" : "0936-5214", "abstract" : "In the presence of a catalytic amt. of scandium trifluoromethanesulfonate (Sc(OTf)3), aldol and Michael reactions of silyl enolates with aldehydes, acetals, and \u03b1,\u03b2-unsatd. ketones proceed smoothly to give the corresponding adducts in high yields.  Thus, PhCHO was treated with Me2C:C(OMe)OSiMe3 in the presence of Sc(OTf)3 in CH2Cl2 to give 88% PhCH(OH)CMe2CO2Me.  Similarly, PhCOCH:CHPh was treated with CH2:CPhOSiMe3 in the presence of Sc(OTf)3 to give 83% PhCOCH2CHPhCH2COPh.  The catalyst can be recovered and reused, and is available in both org. and aq. solvents.  Aq. formaldehyde and chloroacetaldehyde soln. react directly with a silyl enolate to afford the corresponding aldol adducts in good yields, resp. [on SciFinder(R)]", "author" : [ { "dropping-particle" : "", "family" : "Kobayashi", "given" : "Shu", "non-dropping-particle" : "", "parse-names" : false, "suffix" : "" }, { "dropping-particle" : "", "family" : "Hachiya", "given" : "Iwao", "non-dropping-particle" : "", "parse-names" : false, "suffix" : "" }, { "dropping-particle" : "", "family" : "Ishitani", "given" : "Haruro", "non-dropping-particle" : "", "parse-names" : false, "suffix" : "" }, { "dropping-particle" : "", "family" : "Araki", "given" : "Mitsuharu.", "non-dropping-particle" : "", "parse-names" : false, "suffix" : "" } ], "container-title" : "Synlett", "id" : "ITEM-1", "issue" : "7", "issued" : { "date-parts" : [ [ "1993" ] ] }, "note" : "CAPLUS AN 1994:76977(Journal)", "page" : "472-474", "title" : "Scandium trifluoromethanesulfonate (Sc(OTf)3) as a novel reusable Lewis acid catalyst in aldol and Michael reactions.", "type" : "article-journal" }, "uris" : [ "http://www.mendeley.com/documents/?uuid=56b749b9-2dc0-48f8-9cc2-698983aed8bd" ] }, { "id" : "ITEM-2", "itemData" : { "DOI" : "10.1002/(SICI)1099-0690(199901)1999:1&lt;15::AID-EJOC15&gt;3.0.CO;2-B", "ISSN" : "1434-193X", "abstract" : "A review with &gt;75 refs.  Sc(OTf)3 (Tf = CF3SO2) a new type of a Lewis acid that is different from typical Lewis acids such as AlCl3,, BF3, SnCl4, etc.  While most Lewis acids are decompd. or deactivated in the presence of water, Sc(OTf)3 is stable and works as a Lewis acid in water solns.  Many N-contg. compds. such as imines and hydrazones are also successfully activated by using a small amt. of Sc(OTf)3 in both org. and aq. solvents.  In addn., Sc(OTf)3 can be recovered after reactions are completed and can be reused.  While lanthanide triflates [Ln(OTf)3] have similar properties, the catalytic activity of Sc(OTf)3 is higher than that of Ln(OTf)3 in several cases. [on SciFinder(R)]", "author" : [ { "dropping-particle" : "", "family" : "Kobayashi", "given" : "Shu.", "non-dropping-particle" : "", "parse-names" : false, "suffix" : "" } ], "container-title" : "European Journal of Organic Chemistry", "id" : "ITEM-2", "issue" : "1", "issued" : { "date-parts" : [ [ "1999" ] ] }, "page" : "15-27", "publisher" : "Wiley-VCH Verlag GmbH", "title" : "Scandium triflate in organic synthesis.", "type" : "article-journal" }, "uris" : [ "http://www.mendeley.com/documents/?uuid=5c236a1c-060d-47c5-b8a8-e0dd2d0e4463" ] } ], "mendeley" : { "formattedCitation" : "&lt;sup&gt;[157,195]&lt;/sup&gt;", "plainTextFormattedCitation" : "[157,195]", "previouslyFormattedCitation" : "&lt;sup&gt;[157,195]&lt;/sup&gt;" }, "properties" : { "noteIndex" : 0 }, "schema" : "https://github.com/citation-style-language/schema/raw/master/csl-citation.json" }</w:instrText>
      </w:r>
      <w:r w:rsidR="00362B87">
        <w:rPr>
          <w:rFonts w:cs="Times New Roman"/>
          <w:sz w:val="24"/>
          <w:szCs w:val="24"/>
        </w:rPr>
        <w:fldChar w:fldCharType="separate"/>
      </w:r>
      <w:r w:rsidR="0055300D" w:rsidRPr="0055300D">
        <w:rPr>
          <w:rFonts w:cs="Times New Roman"/>
          <w:noProof/>
          <w:sz w:val="24"/>
          <w:szCs w:val="24"/>
          <w:vertAlign w:val="superscript"/>
        </w:rPr>
        <w:t>[157,195]</w:t>
      </w:r>
      <w:r w:rsidR="00362B87">
        <w:rPr>
          <w:rFonts w:cs="Times New Roman"/>
          <w:sz w:val="24"/>
          <w:szCs w:val="24"/>
        </w:rPr>
        <w:fldChar w:fldCharType="end"/>
      </w:r>
      <w:r>
        <w:rPr>
          <w:rFonts w:cs="Times New Roman"/>
          <w:sz w:val="24"/>
          <w:szCs w:val="24"/>
        </w:rPr>
        <w:t xml:space="preserve"> Kobayashi and co-workers examined the effect of typical lanthanide triflates in this reaction, and found Sc(OTf)</w:t>
      </w:r>
      <w:r w:rsidRPr="009161DC">
        <w:rPr>
          <w:rFonts w:cs="Times New Roman"/>
          <w:sz w:val="24"/>
          <w:szCs w:val="24"/>
          <w:vertAlign w:val="subscript"/>
        </w:rPr>
        <w:t>3</w:t>
      </w:r>
      <w:r w:rsidR="009A4531">
        <w:rPr>
          <w:rFonts w:cs="Times New Roman"/>
          <w:sz w:val="24"/>
          <w:szCs w:val="24"/>
        </w:rPr>
        <w:t xml:space="preserve"> </w:t>
      </w:r>
      <w:r w:rsidR="009A4531" w:rsidRPr="009A4531">
        <w:rPr>
          <w:rFonts w:cs="Times New Roman"/>
          <w:b/>
          <w:sz w:val="24"/>
          <w:szCs w:val="24"/>
        </w:rPr>
        <w:t>98</w:t>
      </w:r>
      <w:r w:rsidR="009A4531">
        <w:rPr>
          <w:rFonts w:cs="Times New Roman"/>
          <w:sz w:val="24"/>
          <w:szCs w:val="24"/>
        </w:rPr>
        <w:t xml:space="preserve"> </w:t>
      </w:r>
      <w:r>
        <w:rPr>
          <w:rFonts w:cs="Times New Roman"/>
          <w:sz w:val="24"/>
          <w:szCs w:val="24"/>
        </w:rPr>
        <w:t>to be more effective than either the ytterium or ytterbium triflates</w:t>
      </w:r>
      <w:r w:rsidR="00110C9D">
        <w:rPr>
          <w:rFonts w:cs="Times New Roman"/>
          <w:sz w:val="24"/>
          <w:szCs w:val="24"/>
        </w:rPr>
        <w:t xml:space="preserve"> (</w:t>
      </w:r>
      <w:r w:rsidR="009A4531">
        <w:rPr>
          <w:rFonts w:cs="Times New Roman"/>
          <w:b/>
          <w:sz w:val="24"/>
          <w:szCs w:val="24"/>
        </w:rPr>
        <w:t>Scheme 1.5</w:t>
      </w:r>
      <w:r w:rsidR="00451339">
        <w:rPr>
          <w:rFonts w:cs="Times New Roman"/>
          <w:b/>
          <w:sz w:val="24"/>
          <w:szCs w:val="24"/>
        </w:rPr>
        <w:t>5</w:t>
      </w:r>
      <w:r w:rsidR="00110C9D">
        <w:rPr>
          <w:rFonts w:cs="Times New Roman"/>
          <w:b/>
          <w:sz w:val="24"/>
          <w:szCs w:val="24"/>
        </w:rPr>
        <w:t>)</w:t>
      </w:r>
      <w:r>
        <w:rPr>
          <w:rFonts w:cs="Times New Roman"/>
          <w:sz w:val="24"/>
          <w:szCs w:val="24"/>
        </w:rPr>
        <w:t>.</w:t>
      </w:r>
      <w:r w:rsidR="00362B87">
        <w:rPr>
          <w:rFonts w:cs="Times New Roman"/>
          <w:sz w:val="24"/>
          <w:szCs w:val="24"/>
        </w:rPr>
        <w:fldChar w:fldCharType="begin" w:fldLock="1"/>
      </w:r>
      <w:r w:rsidR="00F168DA">
        <w:rPr>
          <w:rFonts w:cs="Times New Roman"/>
          <w:sz w:val="24"/>
          <w:szCs w:val="24"/>
        </w:rPr>
        <w:instrText>ADDIN CSL_CITATION { "citationItems" : [ { "id" : "ITEM-1", "itemData" : { "DOI" : "10.1055/s-1994-22976", "ISSN" : "0936-5214", "abstract" : "A review with over 73 refs. on the author's work on the title subject.  Rare earth metal trifluoromethanesulfonates (lanthanide and scandium triflates) are stable in aq. media and can act as Lewis acid catalysts in several carbon-carbon bond forming reactions.  The reactions proceeded smoothly in the presence of a catalytic amt. of the triflate under mild conditions in both aq. and org. solvents.  Moreover, the catalysts could be recovered after the reactions were completed and could be reused.  Chiral rare earth metal triflates have also been developed.  Unique reactivities and selectivities, which depend on the specific characteristics of the rare earth elements, were obsd. in the chiral rare earth triflate-catalyzed reactions. [on SciFinder(R)]", "author" : [ { "dropping-particle" : "", "family" : "Kobayashi", "given" : "Shu.", "non-dropping-particle" : "", "parse-names" : false, "suffix" : "" } ], "container-title" : "Synlett", "id" : "ITEM-1", "issue" : "9", "issued" : { "date-parts" : [ [ "1994" ] ] }, "note" : "CAPLUS AN 1994:629960(Journal; General Review)", "page" : "689-701", "title" : "Rare earth metal trifluoromethanesulfonates as water-tolerant Lewis acid catalysts in organic synthesis.", "type" : "article-journal" }, "uris" : [ "http://www.mendeley.com/documents/?uuid=0247ad36-f7eb-4a4a-9c67-6bd20b8b8748" ] } ], "mendeley" : { "formattedCitation" : "&lt;sup&gt;[196]&lt;/sup&gt;", "plainTextFormattedCitation" : "[196]", "previouslyFormattedCitation" : "&lt;sup&gt;[196]&lt;/sup&gt;" }, "properties" : { "noteIndex" : 0 }, "schema" : "https://github.com/citation-style-language/schema/raw/master/csl-citation.json" }</w:instrText>
      </w:r>
      <w:r w:rsidR="00362B87">
        <w:rPr>
          <w:rFonts w:cs="Times New Roman"/>
          <w:sz w:val="24"/>
          <w:szCs w:val="24"/>
        </w:rPr>
        <w:fldChar w:fldCharType="separate"/>
      </w:r>
      <w:r w:rsidR="0055300D" w:rsidRPr="0055300D">
        <w:rPr>
          <w:rFonts w:cs="Times New Roman"/>
          <w:noProof/>
          <w:sz w:val="24"/>
          <w:szCs w:val="24"/>
          <w:vertAlign w:val="superscript"/>
        </w:rPr>
        <w:t>[196]</w:t>
      </w:r>
      <w:r w:rsidR="00362B87">
        <w:rPr>
          <w:rFonts w:cs="Times New Roman"/>
          <w:sz w:val="24"/>
          <w:szCs w:val="24"/>
        </w:rPr>
        <w:fldChar w:fldCharType="end"/>
      </w:r>
    </w:p>
    <w:p w:rsidR="00B50B57" w:rsidRPr="000C022E" w:rsidRDefault="005802FE" w:rsidP="005802FE">
      <w:pPr>
        <w:spacing w:after="0" w:line="360" w:lineRule="auto"/>
        <w:jc w:val="center"/>
        <w:rPr>
          <w:rFonts w:ascii="Times New Roman" w:hAnsi="Times New Roman" w:cs="Times New Roman"/>
          <w:sz w:val="24"/>
          <w:szCs w:val="24"/>
        </w:rPr>
      </w:pPr>
      <w:r>
        <w:object w:dxaOrig="5841" w:dyaOrig="1044">
          <v:shape id="_x0000_i1078" type="#_x0000_t75" style="width:292.5pt;height:52.5pt" o:ole="">
            <v:imagedata r:id="rId136" o:title=""/>
          </v:shape>
          <o:OLEObject Type="Embed" ProgID="ChemDraw.Document.6.0" ShapeID="_x0000_i1078" DrawAspect="Content" ObjectID="_1531849627" r:id="rId137"/>
        </w:object>
      </w:r>
    </w:p>
    <w:p w:rsidR="00B50B57" w:rsidRPr="000C022E" w:rsidRDefault="00B50B57" w:rsidP="00B50B57">
      <w:pPr>
        <w:spacing w:line="360" w:lineRule="auto"/>
        <w:jc w:val="both"/>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45"/>
        <w:gridCol w:w="1035"/>
        <w:gridCol w:w="581"/>
        <w:gridCol w:w="1087"/>
      </w:tblGrid>
      <w:tr w:rsidR="009A4531" w:rsidRPr="00B50B57" w:rsidTr="000474C8">
        <w:trPr>
          <w:jc w:val="center"/>
        </w:trPr>
        <w:tc>
          <w:tcPr>
            <w:tcW w:w="0" w:type="auto"/>
            <w:tcBorders>
              <w:bottom w:val="single" w:sz="4" w:space="0" w:color="auto"/>
            </w:tcBorders>
          </w:tcPr>
          <w:p w:rsidR="009A4531" w:rsidRPr="00B50B57" w:rsidRDefault="009A4531" w:rsidP="009B24BE">
            <w:pPr>
              <w:spacing w:line="360" w:lineRule="auto"/>
              <w:jc w:val="center"/>
              <w:rPr>
                <w:rFonts w:cs="Times New Roman"/>
                <w:b/>
                <w:sz w:val="24"/>
                <w:szCs w:val="24"/>
              </w:rPr>
            </w:pPr>
            <w:r w:rsidRPr="00B50B57">
              <w:rPr>
                <w:rFonts w:cs="Times New Roman"/>
                <w:b/>
                <w:sz w:val="24"/>
                <w:szCs w:val="24"/>
              </w:rPr>
              <w:t>Entry</w:t>
            </w:r>
          </w:p>
        </w:tc>
        <w:tc>
          <w:tcPr>
            <w:tcW w:w="0" w:type="auto"/>
            <w:tcBorders>
              <w:bottom w:val="single" w:sz="4" w:space="0" w:color="auto"/>
            </w:tcBorders>
          </w:tcPr>
          <w:p w:rsidR="009A4531" w:rsidRPr="00B50B57" w:rsidRDefault="009A4531" w:rsidP="009B24BE">
            <w:pPr>
              <w:spacing w:line="360" w:lineRule="auto"/>
              <w:jc w:val="center"/>
              <w:rPr>
                <w:rFonts w:cs="Times New Roman"/>
                <w:b/>
                <w:sz w:val="24"/>
                <w:szCs w:val="24"/>
              </w:rPr>
            </w:pPr>
            <w:r w:rsidRPr="00B50B57">
              <w:rPr>
                <w:rFonts w:cs="Times New Roman"/>
                <w:b/>
                <w:sz w:val="24"/>
                <w:szCs w:val="24"/>
              </w:rPr>
              <w:t>Catalyst</w:t>
            </w:r>
          </w:p>
        </w:tc>
        <w:tc>
          <w:tcPr>
            <w:tcW w:w="0" w:type="auto"/>
            <w:tcBorders>
              <w:bottom w:val="single" w:sz="4" w:space="0" w:color="auto"/>
            </w:tcBorders>
          </w:tcPr>
          <w:p w:rsidR="009A4531" w:rsidRPr="00B50B57" w:rsidRDefault="009A4531" w:rsidP="009B24BE">
            <w:pPr>
              <w:spacing w:line="360" w:lineRule="auto"/>
              <w:jc w:val="center"/>
              <w:rPr>
                <w:rFonts w:cs="Times New Roman"/>
                <w:b/>
                <w:sz w:val="24"/>
                <w:szCs w:val="24"/>
              </w:rPr>
            </w:pPr>
          </w:p>
        </w:tc>
        <w:tc>
          <w:tcPr>
            <w:tcW w:w="0" w:type="auto"/>
            <w:tcBorders>
              <w:bottom w:val="single" w:sz="4" w:space="0" w:color="auto"/>
            </w:tcBorders>
          </w:tcPr>
          <w:p w:rsidR="009A4531" w:rsidRPr="00B50B57" w:rsidRDefault="009A4531" w:rsidP="009B24BE">
            <w:pPr>
              <w:spacing w:line="360" w:lineRule="auto"/>
              <w:jc w:val="center"/>
              <w:rPr>
                <w:rFonts w:cs="Times New Roman"/>
                <w:b/>
                <w:sz w:val="24"/>
                <w:szCs w:val="24"/>
              </w:rPr>
            </w:pPr>
            <w:r w:rsidRPr="00B50B57">
              <w:rPr>
                <w:rFonts w:cs="Times New Roman"/>
                <w:b/>
                <w:sz w:val="24"/>
                <w:szCs w:val="24"/>
              </w:rPr>
              <w:t>Yield (%)</w:t>
            </w:r>
          </w:p>
        </w:tc>
      </w:tr>
      <w:tr w:rsidR="009A4531" w:rsidRPr="00B50B57" w:rsidTr="000474C8">
        <w:trPr>
          <w:jc w:val="center"/>
        </w:trPr>
        <w:tc>
          <w:tcPr>
            <w:tcW w:w="0" w:type="auto"/>
            <w:tcBorders>
              <w:bottom w:val="nil"/>
            </w:tcBorders>
          </w:tcPr>
          <w:p w:rsidR="009A4531" w:rsidRPr="00B50B57" w:rsidRDefault="009A4531" w:rsidP="009B24BE">
            <w:pPr>
              <w:spacing w:line="360" w:lineRule="auto"/>
              <w:jc w:val="center"/>
              <w:rPr>
                <w:rFonts w:cs="Times New Roman"/>
                <w:b/>
                <w:sz w:val="24"/>
                <w:szCs w:val="24"/>
              </w:rPr>
            </w:pPr>
            <w:r w:rsidRPr="00B50B57">
              <w:rPr>
                <w:rFonts w:cs="Times New Roman"/>
                <w:b/>
                <w:sz w:val="24"/>
                <w:szCs w:val="24"/>
              </w:rPr>
              <w:t>1</w:t>
            </w:r>
          </w:p>
        </w:tc>
        <w:tc>
          <w:tcPr>
            <w:tcW w:w="0" w:type="auto"/>
            <w:tcBorders>
              <w:bottom w:val="nil"/>
            </w:tcBorders>
          </w:tcPr>
          <w:p w:rsidR="009A4531" w:rsidRPr="00B50B57" w:rsidRDefault="009A4531" w:rsidP="009B24BE">
            <w:pPr>
              <w:spacing w:line="360" w:lineRule="auto"/>
              <w:jc w:val="center"/>
              <w:rPr>
                <w:rFonts w:cs="Times New Roman"/>
                <w:sz w:val="24"/>
                <w:szCs w:val="24"/>
                <w:vertAlign w:val="subscript"/>
              </w:rPr>
            </w:pPr>
            <w:r w:rsidRPr="00B50B57">
              <w:rPr>
                <w:rFonts w:cs="Times New Roman"/>
                <w:sz w:val="24"/>
                <w:szCs w:val="24"/>
              </w:rPr>
              <w:t>Sc(OTf)</w:t>
            </w:r>
            <w:r w:rsidRPr="00B50B57">
              <w:rPr>
                <w:rFonts w:cs="Times New Roman"/>
                <w:sz w:val="24"/>
                <w:szCs w:val="24"/>
                <w:vertAlign w:val="subscript"/>
              </w:rPr>
              <w:t>3</w:t>
            </w:r>
          </w:p>
        </w:tc>
        <w:tc>
          <w:tcPr>
            <w:tcW w:w="0" w:type="auto"/>
            <w:tcBorders>
              <w:bottom w:val="nil"/>
            </w:tcBorders>
          </w:tcPr>
          <w:p w:rsidR="009A4531" w:rsidRPr="009A4531" w:rsidRDefault="009A4531" w:rsidP="009B24BE">
            <w:pPr>
              <w:spacing w:line="360" w:lineRule="auto"/>
              <w:jc w:val="center"/>
              <w:rPr>
                <w:rFonts w:cs="Times New Roman"/>
                <w:b/>
                <w:sz w:val="24"/>
                <w:szCs w:val="24"/>
              </w:rPr>
            </w:pPr>
            <w:r w:rsidRPr="009A4531">
              <w:rPr>
                <w:rFonts w:cs="Times New Roman"/>
                <w:b/>
                <w:sz w:val="24"/>
                <w:szCs w:val="24"/>
              </w:rPr>
              <w:t>98</w:t>
            </w:r>
          </w:p>
        </w:tc>
        <w:tc>
          <w:tcPr>
            <w:tcW w:w="0" w:type="auto"/>
            <w:tcBorders>
              <w:bottom w:val="nil"/>
            </w:tcBorders>
          </w:tcPr>
          <w:p w:rsidR="009A4531" w:rsidRPr="00B50B57" w:rsidRDefault="009A4531" w:rsidP="009B24BE">
            <w:pPr>
              <w:spacing w:line="360" w:lineRule="auto"/>
              <w:jc w:val="center"/>
              <w:rPr>
                <w:rFonts w:cs="Times New Roman"/>
                <w:sz w:val="24"/>
                <w:szCs w:val="24"/>
              </w:rPr>
            </w:pPr>
            <w:r w:rsidRPr="00B50B57">
              <w:rPr>
                <w:rFonts w:cs="Times New Roman"/>
                <w:sz w:val="24"/>
                <w:szCs w:val="24"/>
              </w:rPr>
              <w:t>81</w:t>
            </w:r>
          </w:p>
        </w:tc>
      </w:tr>
      <w:tr w:rsidR="009A4531" w:rsidRPr="00B50B57" w:rsidTr="000474C8">
        <w:trPr>
          <w:jc w:val="center"/>
        </w:trPr>
        <w:tc>
          <w:tcPr>
            <w:tcW w:w="0" w:type="auto"/>
            <w:tcBorders>
              <w:top w:val="nil"/>
              <w:bottom w:val="nil"/>
            </w:tcBorders>
          </w:tcPr>
          <w:p w:rsidR="009A4531" w:rsidRPr="00B50B57" w:rsidRDefault="009A4531" w:rsidP="009B24BE">
            <w:pPr>
              <w:spacing w:line="360" w:lineRule="auto"/>
              <w:jc w:val="center"/>
              <w:rPr>
                <w:rFonts w:cs="Times New Roman"/>
                <w:b/>
                <w:sz w:val="24"/>
                <w:szCs w:val="24"/>
              </w:rPr>
            </w:pPr>
            <w:r w:rsidRPr="00B50B57">
              <w:rPr>
                <w:rFonts w:cs="Times New Roman"/>
                <w:b/>
                <w:sz w:val="24"/>
                <w:szCs w:val="24"/>
              </w:rPr>
              <w:t>2</w:t>
            </w:r>
          </w:p>
        </w:tc>
        <w:tc>
          <w:tcPr>
            <w:tcW w:w="0" w:type="auto"/>
            <w:tcBorders>
              <w:top w:val="nil"/>
              <w:bottom w:val="nil"/>
            </w:tcBorders>
          </w:tcPr>
          <w:p w:rsidR="009A4531" w:rsidRPr="00B50B57" w:rsidRDefault="009A4531" w:rsidP="009B24BE">
            <w:pPr>
              <w:spacing w:line="360" w:lineRule="auto"/>
              <w:jc w:val="center"/>
              <w:rPr>
                <w:rFonts w:cs="Times New Roman"/>
                <w:sz w:val="24"/>
                <w:szCs w:val="24"/>
                <w:vertAlign w:val="subscript"/>
              </w:rPr>
            </w:pPr>
            <w:r w:rsidRPr="00B50B57">
              <w:rPr>
                <w:rFonts w:cs="Times New Roman"/>
                <w:sz w:val="24"/>
                <w:szCs w:val="24"/>
              </w:rPr>
              <w:t>Y(OTf)</w:t>
            </w:r>
            <w:r w:rsidRPr="00B50B57">
              <w:rPr>
                <w:rFonts w:cs="Times New Roman"/>
                <w:sz w:val="24"/>
                <w:szCs w:val="24"/>
                <w:vertAlign w:val="subscript"/>
              </w:rPr>
              <w:t>3</w:t>
            </w:r>
          </w:p>
        </w:tc>
        <w:tc>
          <w:tcPr>
            <w:tcW w:w="0" w:type="auto"/>
            <w:tcBorders>
              <w:top w:val="nil"/>
              <w:bottom w:val="nil"/>
            </w:tcBorders>
          </w:tcPr>
          <w:p w:rsidR="009A4531" w:rsidRPr="009A4531" w:rsidRDefault="009A4531" w:rsidP="009B24BE">
            <w:pPr>
              <w:spacing w:line="360" w:lineRule="auto"/>
              <w:jc w:val="center"/>
              <w:rPr>
                <w:rFonts w:cs="Times New Roman"/>
                <w:b/>
                <w:sz w:val="24"/>
                <w:szCs w:val="24"/>
              </w:rPr>
            </w:pPr>
            <w:r w:rsidRPr="009A4531">
              <w:rPr>
                <w:rFonts w:cs="Times New Roman"/>
                <w:b/>
                <w:sz w:val="24"/>
                <w:szCs w:val="24"/>
              </w:rPr>
              <w:t>99</w:t>
            </w:r>
          </w:p>
        </w:tc>
        <w:tc>
          <w:tcPr>
            <w:tcW w:w="0" w:type="auto"/>
            <w:tcBorders>
              <w:top w:val="nil"/>
              <w:bottom w:val="nil"/>
            </w:tcBorders>
          </w:tcPr>
          <w:p w:rsidR="009A4531" w:rsidRPr="00B50B57" w:rsidRDefault="009A4531" w:rsidP="009B24BE">
            <w:pPr>
              <w:spacing w:line="360" w:lineRule="auto"/>
              <w:jc w:val="center"/>
              <w:rPr>
                <w:rFonts w:cs="Times New Roman"/>
                <w:sz w:val="24"/>
                <w:szCs w:val="24"/>
              </w:rPr>
            </w:pPr>
            <w:r w:rsidRPr="00B50B57">
              <w:rPr>
                <w:rFonts w:cs="Times New Roman"/>
                <w:sz w:val="24"/>
                <w:szCs w:val="24"/>
              </w:rPr>
              <w:t>Trace</w:t>
            </w:r>
          </w:p>
        </w:tc>
      </w:tr>
      <w:tr w:rsidR="009A4531" w:rsidRPr="00B50B57" w:rsidTr="000474C8">
        <w:trPr>
          <w:jc w:val="center"/>
        </w:trPr>
        <w:tc>
          <w:tcPr>
            <w:tcW w:w="0" w:type="auto"/>
            <w:tcBorders>
              <w:top w:val="nil"/>
            </w:tcBorders>
          </w:tcPr>
          <w:p w:rsidR="009A4531" w:rsidRPr="00B50B57" w:rsidRDefault="009A4531" w:rsidP="009B24BE">
            <w:pPr>
              <w:spacing w:line="360" w:lineRule="auto"/>
              <w:jc w:val="center"/>
              <w:rPr>
                <w:rFonts w:cs="Times New Roman"/>
                <w:b/>
                <w:sz w:val="24"/>
                <w:szCs w:val="24"/>
              </w:rPr>
            </w:pPr>
            <w:r w:rsidRPr="00B50B57">
              <w:rPr>
                <w:rFonts w:cs="Times New Roman"/>
                <w:b/>
                <w:sz w:val="24"/>
                <w:szCs w:val="24"/>
              </w:rPr>
              <w:t>3</w:t>
            </w:r>
          </w:p>
        </w:tc>
        <w:tc>
          <w:tcPr>
            <w:tcW w:w="0" w:type="auto"/>
            <w:tcBorders>
              <w:top w:val="nil"/>
            </w:tcBorders>
          </w:tcPr>
          <w:p w:rsidR="009A4531" w:rsidRPr="00B50B57" w:rsidRDefault="009A4531" w:rsidP="009B24BE">
            <w:pPr>
              <w:spacing w:line="360" w:lineRule="auto"/>
              <w:jc w:val="center"/>
              <w:rPr>
                <w:rFonts w:cs="Times New Roman"/>
                <w:sz w:val="24"/>
                <w:szCs w:val="24"/>
                <w:vertAlign w:val="subscript"/>
              </w:rPr>
            </w:pPr>
            <w:r w:rsidRPr="00B50B57">
              <w:rPr>
                <w:rFonts w:cs="Times New Roman"/>
                <w:sz w:val="24"/>
                <w:szCs w:val="24"/>
              </w:rPr>
              <w:t>Yb(OTf)</w:t>
            </w:r>
            <w:r w:rsidRPr="00B50B57">
              <w:rPr>
                <w:rFonts w:cs="Times New Roman"/>
                <w:sz w:val="24"/>
                <w:szCs w:val="24"/>
                <w:vertAlign w:val="subscript"/>
              </w:rPr>
              <w:t>3</w:t>
            </w:r>
          </w:p>
        </w:tc>
        <w:tc>
          <w:tcPr>
            <w:tcW w:w="0" w:type="auto"/>
            <w:tcBorders>
              <w:top w:val="nil"/>
            </w:tcBorders>
          </w:tcPr>
          <w:p w:rsidR="009A4531" w:rsidRPr="009A4531" w:rsidRDefault="009A4531" w:rsidP="009B24BE">
            <w:pPr>
              <w:spacing w:line="360" w:lineRule="auto"/>
              <w:jc w:val="center"/>
              <w:rPr>
                <w:rFonts w:cs="Times New Roman"/>
                <w:b/>
                <w:sz w:val="24"/>
                <w:szCs w:val="24"/>
              </w:rPr>
            </w:pPr>
            <w:r w:rsidRPr="009A4531">
              <w:rPr>
                <w:rFonts w:cs="Times New Roman"/>
                <w:b/>
                <w:sz w:val="24"/>
                <w:szCs w:val="24"/>
              </w:rPr>
              <w:t>100</w:t>
            </w:r>
          </w:p>
        </w:tc>
        <w:tc>
          <w:tcPr>
            <w:tcW w:w="0" w:type="auto"/>
            <w:tcBorders>
              <w:top w:val="nil"/>
            </w:tcBorders>
          </w:tcPr>
          <w:p w:rsidR="009A4531" w:rsidRPr="00B50B57" w:rsidRDefault="009A4531" w:rsidP="009B24BE">
            <w:pPr>
              <w:spacing w:line="360" w:lineRule="auto"/>
              <w:jc w:val="center"/>
              <w:rPr>
                <w:rFonts w:cs="Times New Roman"/>
                <w:sz w:val="24"/>
                <w:szCs w:val="24"/>
              </w:rPr>
            </w:pPr>
            <w:r w:rsidRPr="00B50B57">
              <w:rPr>
                <w:rFonts w:cs="Times New Roman"/>
                <w:sz w:val="24"/>
                <w:szCs w:val="24"/>
              </w:rPr>
              <w:t>Trace</w:t>
            </w:r>
          </w:p>
        </w:tc>
      </w:tr>
    </w:tbl>
    <w:p w:rsidR="00C10283" w:rsidRDefault="00C10283" w:rsidP="008337C4">
      <w:pPr>
        <w:spacing w:line="360" w:lineRule="auto"/>
        <w:jc w:val="both"/>
        <w:rPr>
          <w:sz w:val="24"/>
          <w:szCs w:val="24"/>
        </w:rPr>
      </w:pPr>
    </w:p>
    <w:p w:rsidR="009A4531" w:rsidRPr="009A4531" w:rsidRDefault="009A4531" w:rsidP="009A4531">
      <w:pPr>
        <w:spacing w:line="360" w:lineRule="auto"/>
        <w:jc w:val="center"/>
        <w:rPr>
          <w:b/>
          <w:sz w:val="24"/>
          <w:szCs w:val="24"/>
        </w:rPr>
      </w:pPr>
      <w:r w:rsidRPr="009A4531">
        <w:rPr>
          <w:b/>
          <w:sz w:val="24"/>
          <w:szCs w:val="24"/>
        </w:rPr>
        <w:t>Scheme 1.5</w:t>
      </w:r>
      <w:r w:rsidR="00451339">
        <w:rPr>
          <w:b/>
          <w:sz w:val="24"/>
          <w:szCs w:val="24"/>
        </w:rPr>
        <w:t>5</w:t>
      </w:r>
    </w:p>
    <w:p w:rsidR="005802FE" w:rsidRPr="009161DC" w:rsidRDefault="005802FE" w:rsidP="005802FE">
      <w:pPr>
        <w:spacing w:line="360" w:lineRule="auto"/>
        <w:jc w:val="both"/>
        <w:rPr>
          <w:rFonts w:cs="Times New Roman"/>
          <w:sz w:val="24"/>
          <w:szCs w:val="24"/>
        </w:rPr>
      </w:pPr>
      <w:r w:rsidRPr="009161DC">
        <w:rPr>
          <w:rFonts w:cs="Times New Roman"/>
          <w:sz w:val="24"/>
          <w:szCs w:val="24"/>
        </w:rPr>
        <w:t>Kobayashi and co-workers also investigated the recovery and re-use of the scandium triflate catalysts for these aldol reactions</w:t>
      </w:r>
      <w:r>
        <w:rPr>
          <w:rFonts w:cs="Times New Roman"/>
          <w:sz w:val="24"/>
          <w:szCs w:val="24"/>
        </w:rPr>
        <w:t>.</w:t>
      </w:r>
      <w:r>
        <w:rPr>
          <w:rFonts w:cs="Times New Roman"/>
          <w:sz w:val="24"/>
          <w:szCs w:val="24"/>
        </w:rPr>
        <w:fldChar w:fldCharType="begin" w:fldLock="1"/>
      </w:r>
      <w:r w:rsidR="00F168DA">
        <w:rPr>
          <w:rFonts w:cs="Times New Roman"/>
          <w:sz w:val="24"/>
          <w:szCs w:val="24"/>
        </w:rPr>
        <w:instrText>ADDIN CSL_CITATION { "citationItems" : [ { "id" : "ITEM-1", "itemData" : { "DOI" : "10.1055/s-1993-22495", "ISSN" : "0936-5214", "abstract" : "In the presence of a catalytic amt. of scandium trifluoromethanesulfonate (Sc(OTf)3), aldol and Michael reactions of silyl enolates with aldehydes, acetals, and \u03b1,\u03b2-unsatd. ketones proceed smoothly to give the corresponding adducts in high yields.  Thus, PhCHO was treated with Me2C:C(OMe)OSiMe3 in the presence of Sc(OTf)3 in CH2Cl2 to give 88% PhCH(OH)CMe2CO2Me.  Similarly, PhCOCH:CHPh was treated with CH2:CPhOSiMe3 in the presence of Sc(OTf)3 to give 83% PhCOCH2CHPhCH2COPh.  The catalyst can be recovered and reused, and is available in both org. and aq. solvents.  Aq. formaldehyde and chloroacetaldehyde soln. react directly with a silyl enolate to afford the corresponding aldol adducts in good yields, resp. [on SciFinder(R)]", "author" : [ { "dropping-particle" : "", "family" : "Kobayashi", "given" : "Shu", "non-dropping-particle" : "", "parse-names" : false, "suffix" : "" }, { "dropping-particle" : "", "family" : "Hachiya", "given" : "Iwao", "non-dropping-particle" : "", "parse-names" : false, "suffix" : "" }, { "dropping-particle" : "", "family" : "Ishitani", "given" : "Haruro", "non-dropping-particle" : "", "parse-names" : false, "suffix" : "" }, { "dropping-particle" : "", "family" : "Araki", "given" : "Mitsuharu.", "non-dropping-particle" : "", "parse-names" : false, "suffix" : "" } ], "container-title" : "Synlett", "id" : "ITEM-1", "issue" : "7", "issued" : { "date-parts" : [ [ "1993" ] ] }, "note" : "CAPLUS AN 1994:76977(Journal)", "page" : "472-474", "title" : "Scandium trifluoromethanesulfonate (Sc(OTf)3) as a novel reusable Lewis acid catalyst in aldol and Michael reactions.", "type" : "article-journal" }, "uris" : [ "http://www.mendeley.com/documents/?uuid=56b749b9-2dc0-48f8-9cc2-698983aed8bd" ] } ], "mendeley" : { "formattedCitation" : "&lt;sup&gt;[195]&lt;/sup&gt;", "plainTextFormattedCitation" : "[195]", "previouslyFormattedCitation" : "&lt;sup&gt;[195]&lt;/sup&gt;" }, "properties" : { "noteIndex" : 0 }, "schema" : "https://github.com/citation-style-language/schema/raw/master/csl-citation.json" }</w:instrText>
      </w:r>
      <w:r>
        <w:rPr>
          <w:rFonts w:cs="Times New Roman"/>
          <w:sz w:val="24"/>
          <w:szCs w:val="24"/>
        </w:rPr>
        <w:fldChar w:fldCharType="separate"/>
      </w:r>
      <w:r w:rsidR="0055300D" w:rsidRPr="0055300D">
        <w:rPr>
          <w:rFonts w:cs="Times New Roman"/>
          <w:noProof/>
          <w:sz w:val="24"/>
          <w:szCs w:val="24"/>
          <w:vertAlign w:val="superscript"/>
        </w:rPr>
        <w:t>[195]</w:t>
      </w:r>
      <w:r>
        <w:rPr>
          <w:rFonts w:cs="Times New Roman"/>
          <w:sz w:val="24"/>
          <w:szCs w:val="24"/>
        </w:rPr>
        <w:fldChar w:fldCharType="end"/>
      </w:r>
      <w:r>
        <w:rPr>
          <w:rFonts w:cs="Times New Roman"/>
          <w:sz w:val="24"/>
          <w:szCs w:val="24"/>
        </w:rPr>
        <w:t xml:space="preserve"> The</w:t>
      </w:r>
      <w:r w:rsidRPr="009161DC">
        <w:rPr>
          <w:rFonts w:cs="Times New Roman"/>
          <w:sz w:val="24"/>
          <w:szCs w:val="24"/>
        </w:rPr>
        <w:t xml:space="preserve"> scandium triflate</w:t>
      </w:r>
      <w:r>
        <w:rPr>
          <w:rFonts w:cs="Times New Roman"/>
          <w:sz w:val="24"/>
          <w:szCs w:val="24"/>
        </w:rPr>
        <w:t xml:space="preserve"> </w:t>
      </w:r>
      <w:r w:rsidR="009A4531" w:rsidRPr="009A4531">
        <w:rPr>
          <w:rFonts w:cs="Times New Roman"/>
          <w:b/>
          <w:sz w:val="24"/>
          <w:szCs w:val="24"/>
        </w:rPr>
        <w:t>98</w:t>
      </w:r>
      <w:r w:rsidR="009A4531">
        <w:rPr>
          <w:rFonts w:cs="Times New Roman"/>
          <w:sz w:val="24"/>
          <w:szCs w:val="24"/>
        </w:rPr>
        <w:t xml:space="preserve"> </w:t>
      </w:r>
      <w:r>
        <w:rPr>
          <w:rFonts w:cs="Times New Roman"/>
          <w:sz w:val="24"/>
          <w:szCs w:val="24"/>
        </w:rPr>
        <w:t>was recovered almost quantitatively</w:t>
      </w:r>
      <w:r w:rsidRPr="009161DC">
        <w:rPr>
          <w:rFonts w:cs="Times New Roman"/>
          <w:sz w:val="24"/>
          <w:szCs w:val="24"/>
        </w:rPr>
        <w:t xml:space="preserve"> after the reaction was complete. The recovered catalyst’s activity</w:t>
      </w:r>
      <w:r>
        <w:rPr>
          <w:rFonts w:cs="Times New Roman"/>
          <w:sz w:val="24"/>
          <w:szCs w:val="24"/>
        </w:rPr>
        <w:t xml:space="preserve"> was seemingly undiminished as it performed comparably in the subsequent run (</w:t>
      </w:r>
      <w:r w:rsidRPr="00512B10">
        <w:rPr>
          <w:rFonts w:cs="Times New Roman"/>
          <w:b/>
          <w:sz w:val="24"/>
          <w:szCs w:val="24"/>
        </w:rPr>
        <w:t>Scheme</w:t>
      </w:r>
      <w:r w:rsidR="009A4531">
        <w:rPr>
          <w:rFonts w:cs="Times New Roman"/>
          <w:b/>
          <w:sz w:val="24"/>
          <w:szCs w:val="24"/>
        </w:rPr>
        <w:t xml:space="preserve"> 1.5</w:t>
      </w:r>
      <w:r w:rsidR="00451339">
        <w:rPr>
          <w:rFonts w:cs="Times New Roman"/>
          <w:b/>
          <w:sz w:val="24"/>
          <w:szCs w:val="24"/>
        </w:rPr>
        <w:t>6</w:t>
      </w:r>
      <w:r>
        <w:rPr>
          <w:rFonts w:cs="Times New Roman"/>
          <w:sz w:val="24"/>
          <w:szCs w:val="24"/>
        </w:rPr>
        <w:t>).</w:t>
      </w:r>
      <w:r w:rsidRPr="009161DC">
        <w:rPr>
          <w:rFonts w:cs="Times New Roman"/>
          <w:sz w:val="24"/>
          <w:szCs w:val="24"/>
        </w:rPr>
        <w:t xml:space="preserve"> </w:t>
      </w:r>
    </w:p>
    <w:p w:rsidR="005802FE" w:rsidRDefault="009A4531" w:rsidP="005802FE">
      <w:pPr>
        <w:spacing w:line="360" w:lineRule="auto"/>
        <w:jc w:val="center"/>
      </w:pPr>
      <w:r>
        <w:object w:dxaOrig="6849" w:dyaOrig="1900">
          <v:shape id="_x0000_i1079" type="#_x0000_t75" style="width:343.5pt;height:94.5pt" o:ole="">
            <v:imagedata r:id="rId138" o:title=""/>
          </v:shape>
          <o:OLEObject Type="Embed" ProgID="ChemDraw.Document.6.0" ShapeID="_x0000_i1079" DrawAspect="Content" ObjectID="_1531849628" r:id="rId139"/>
        </w:object>
      </w:r>
    </w:p>
    <w:p w:rsidR="009A4531" w:rsidRPr="009A4531" w:rsidRDefault="009A4531" w:rsidP="005802FE">
      <w:pPr>
        <w:spacing w:line="360" w:lineRule="auto"/>
        <w:jc w:val="center"/>
        <w:rPr>
          <w:rFonts w:ascii="Times New Roman" w:hAnsi="Times New Roman" w:cs="Times New Roman"/>
          <w:b/>
          <w:sz w:val="24"/>
          <w:szCs w:val="24"/>
        </w:rPr>
      </w:pPr>
      <w:r w:rsidRPr="009A4531">
        <w:rPr>
          <w:b/>
          <w:sz w:val="24"/>
          <w:szCs w:val="24"/>
        </w:rPr>
        <w:t>Scheme 1.5</w:t>
      </w:r>
      <w:r w:rsidR="00451339">
        <w:rPr>
          <w:b/>
          <w:sz w:val="24"/>
          <w:szCs w:val="24"/>
        </w:rPr>
        <w:t>6</w:t>
      </w:r>
    </w:p>
    <w:p w:rsidR="009A4531" w:rsidRDefault="009A4531" w:rsidP="005802FE">
      <w:pPr>
        <w:spacing w:line="360" w:lineRule="auto"/>
        <w:jc w:val="both"/>
        <w:rPr>
          <w:rFonts w:cs="Times New Roman"/>
          <w:sz w:val="24"/>
          <w:szCs w:val="24"/>
        </w:rPr>
      </w:pPr>
    </w:p>
    <w:p w:rsidR="005802FE" w:rsidRPr="009161DC" w:rsidRDefault="00110C9D" w:rsidP="005802FE">
      <w:pPr>
        <w:spacing w:line="360" w:lineRule="auto"/>
        <w:jc w:val="both"/>
        <w:rPr>
          <w:rFonts w:cs="Times New Roman"/>
          <w:sz w:val="24"/>
          <w:szCs w:val="24"/>
          <w:vertAlign w:val="superscript"/>
        </w:rPr>
      </w:pPr>
      <w:r>
        <w:rPr>
          <w:rFonts w:cs="Times New Roman"/>
          <w:sz w:val="24"/>
          <w:szCs w:val="24"/>
        </w:rPr>
        <w:t>As scandium(III) triflate</w:t>
      </w:r>
      <w:r w:rsidR="005802FE" w:rsidRPr="009161DC">
        <w:rPr>
          <w:rFonts w:cs="Times New Roman"/>
          <w:sz w:val="24"/>
          <w:szCs w:val="24"/>
        </w:rPr>
        <w:t xml:space="preserve"> is more soluble in water than in organic solvents it can be recovered fro</w:t>
      </w:r>
      <w:r w:rsidR="005802FE">
        <w:rPr>
          <w:rFonts w:cs="Times New Roman"/>
          <w:sz w:val="24"/>
          <w:szCs w:val="24"/>
        </w:rPr>
        <w:t xml:space="preserve">m the aqueous layer as shown in </w:t>
      </w:r>
      <w:r w:rsidR="005802FE" w:rsidRPr="00512B10">
        <w:rPr>
          <w:rFonts w:cs="Times New Roman"/>
          <w:b/>
          <w:sz w:val="24"/>
          <w:szCs w:val="24"/>
        </w:rPr>
        <w:t>Figure</w:t>
      </w:r>
      <w:r w:rsidR="009A4531">
        <w:rPr>
          <w:rFonts w:cs="Times New Roman"/>
          <w:b/>
          <w:sz w:val="24"/>
          <w:szCs w:val="24"/>
        </w:rPr>
        <w:t xml:space="preserve"> 1.10</w:t>
      </w:r>
      <w:r w:rsidR="005802FE">
        <w:rPr>
          <w:rFonts w:cs="Times New Roman"/>
          <w:sz w:val="24"/>
          <w:szCs w:val="24"/>
        </w:rPr>
        <w:t>.</w:t>
      </w:r>
    </w:p>
    <w:p w:rsidR="005802FE" w:rsidRDefault="005802FE" w:rsidP="005802FE">
      <w:pPr>
        <w:spacing w:line="360" w:lineRule="auto"/>
        <w:jc w:val="center"/>
      </w:pPr>
      <w:r>
        <w:object w:dxaOrig="7582" w:dyaOrig="3367">
          <v:shape id="_x0000_i1080" type="#_x0000_t75" style="width:378pt;height:168pt" o:ole="">
            <v:imagedata r:id="rId140" o:title=""/>
          </v:shape>
          <o:OLEObject Type="Embed" ProgID="ChemDraw.Document.6.0" ShapeID="_x0000_i1080" DrawAspect="Content" ObjectID="_1531849629" r:id="rId141"/>
        </w:object>
      </w:r>
    </w:p>
    <w:p w:rsidR="009A4531" w:rsidRPr="009A4531" w:rsidRDefault="009A4531" w:rsidP="005802FE">
      <w:pPr>
        <w:spacing w:line="360" w:lineRule="auto"/>
        <w:jc w:val="center"/>
        <w:rPr>
          <w:rFonts w:ascii="Times New Roman" w:hAnsi="Times New Roman" w:cs="Times New Roman"/>
          <w:b/>
          <w:sz w:val="24"/>
          <w:szCs w:val="24"/>
        </w:rPr>
      </w:pPr>
      <w:r w:rsidRPr="009A4531">
        <w:rPr>
          <w:b/>
          <w:sz w:val="24"/>
          <w:szCs w:val="24"/>
        </w:rPr>
        <w:t>Figure 1.10</w:t>
      </w:r>
    </w:p>
    <w:p w:rsidR="00AA2B82" w:rsidRPr="009161DC" w:rsidRDefault="008F714D" w:rsidP="008337C4">
      <w:pPr>
        <w:spacing w:line="360" w:lineRule="auto"/>
        <w:jc w:val="both"/>
        <w:rPr>
          <w:sz w:val="24"/>
          <w:szCs w:val="24"/>
        </w:rPr>
      </w:pPr>
      <w:r>
        <w:rPr>
          <w:sz w:val="24"/>
          <w:szCs w:val="24"/>
        </w:rPr>
        <w:t xml:space="preserve">More recently, </w:t>
      </w:r>
      <w:r w:rsidR="00AA2B82">
        <w:rPr>
          <w:sz w:val="24"/>
          <w:szCs w:val="24"/>
        </w:rPr>
        <w:t xml:space="preserve">Allen </w:t>
      </w:r>
      <w:r w:rsidR="00AA2B82" w:rsidRPr="008F714D">
        <w:rPr>
          <w:i/>
          <w:sz w:val="24"/>
          <w:szCs w:val="24"/>
        </w:rPr>
        <w:t>et al</w:t>
      </w:r>
      <w:r w:rsidR="00AA2B82">
        <w:rPr>
          <w:sz w:val="24"/>
          <w:szCs w:val="24"/>
        </w:rPr>
        <w:t>. reported the development of chiral lanthanide-containing complexes that produce Mukaiyama aldol products with excellent enantioselectivities</w:t>
      </w:r>
      <w:r w:rsidR="00AD1769">
        <w:rPr>
          <w:sz w:val="24"/>
          <w:szCs w:val="24"/>
        </w:rPr>
        <w:t>.</w:t>
      </w:r>
      <w:r w:rsidR="00AD1769">
        <w:rPr>
          <w:sz w:val="24"/>
          <w:szCs w:val="24"/>
        </w:rPr>
        <w:fldChar w:fldCharType="begin" w:fldLock="1"/>
      </w:r>
      <w:r w:rsidR="00F168DA">
        <w:rPr>
          <w:sz w:val="24"/>
          <w:szCs w:val="24"/>
        </w:rPr>
        <w:instrText>ADDIN CSL_CITATION { "citationItems" : [ { "id" : "ITEM-1", "itemData" : { "DOI" : "10.1021/ja107197p", "ISSN" : "0002-7863", "abstract" : "The development of aq. methods for generating enantiopure \u03b2-hydroxy carbonyl compds. is an important goal because these subunits compose many bioactive compds. and the ability to synthesize these groups in water has environmental and cost benefits.  In this communication, we report a new class of ligands, e.g. I, for aq., lanthanide-catalyzed, asym. Mukaiyama aldol reactions for the synthesis of chiral \u03b2-hydroxy ketones, e.g. II.  Furthermore, we have used luminescence-decay measurements to unveil mechanistic information regarding the catalytic reaction via changes in water-coordination no.  The precatalysts presented here yielded \u03b2-hydroxy carbonyls from aliph. and aryl substrates with outstanding syn:anti ratios and enantiomeric excesses of up to 49:1 and 97%, resp. [on SciFinder(R)]", "author" : [ { "dropping-particle" : "", "family" : "Mei", "given" : "Yujiang", "non-dropping-particle" : "", "parse-names" : false, "suffix" : "" }, { "dropping-particle" : "", "family" : "Dissanayake", "given" : "Prabani", "non-dropping-particle" : "", "parse-names" : false, "suffix" : "" }, { "dropping-particle" : "", "family" : "Allen", "given" : "Matthew J", "non-dropping-particle" : "", "parse-names" : false, "suffix" : "" } ], "container-title" : "Journal of the American Chemical Society", "id" : "ITEM-1", "issue" : "37", "issued" : { "date-parts" : [ [ "2010" ] ] }, "note" : "CAPLUS AN 2010:1097712(Journal)", "page" : "12871-12873", "publisher" : "American Chemical Society", "title" : "A New Class of Ligands for Aqueous, Lanthanide-Catalyzed, Enantioselective Mukaiyama Aldol Reactions.", "type" : "article-journal", "volume" : "132" }, "uris" : [ "http://www.mendeley.com/documents/?uuid=316ba622-ee0c-4f0b-8977-b3e4b465ae57" ] } ], "mendeley" : { "formattedCitation" : "&lt;sup&gt;[197]&lt;/sup&gt;", "plainTextFormattedCitation" : "[197]", "previouslyFormattedCitation" : "&lt;sup&gt;[197]&lt;/sup&gt;" }, "properties" : { "noteIndex" : 0 }, "schema" : "https://github.com/citation-style-language/schema/raw/master/csl-citation.json" }</w:instrText>
      </w:r>
      <w:r w:rsidR="00AD1769">
        <w:rPr>
          <w:sz w:val="24"/>
          <w:szCs w:val="24"/>
        </w:rPr>
        <w:fldChar w:fldCharType="separate"/>
      </w:r>
      <w:r w:rsidR="0055300D" w:rsidRPr="0055300D">
        <w:rPr>
          <w:noProof/>
          <w:sz w:val="24"/>
          <w:szCs w:val="24"/>
          <w:vertAlign w:val="superscript"/>
        </w:rPr>
        <w:t>[197]</w:t>
      </w:r>
      <w:r w:rsidR="00AD1769">
        <w:rPr>
          <w:sz w:val="24"/>
          <w:szCs w:val="24"/>
        </w:rPr>
        <w:fldChar w:fldCharType="end"/>
      </w:r>
      <w:r w:rsidR="00AD1769">
        <w:rPr>
          <w:sz w:val="24"/>
          <w:szCs w:val="24"/>
        </w:rPr>
        <w:t xml:space="preserve"> Mukaiyama aldol reactions are used to synthesise </w:t>
      </w:r>
      <w:r w:rsidR="00AD1769" w:rsidRPr="00AD1769">
        <w:rPr>
          <w:rFonts w:ascii="Symbol" w:hAnsi="Symbol"/>
          <w:sz w:val="24"/>
          <w:szCs w:val="24"/>
        </w:rPr>
        <w:t></w:t>
      </w:r>
      <w:r w:rsidR="00AD1769">
        <w:rPr>
          <w:sz w:val="24"/>
          <w:szCs w:val="24"/>
        </w:rPr>
        <w:t>-hydroxy carbonyls, and requires a catalyst to induce stereochemistry.</w:t>
      </w:r>
      <w:r w:rsidR="00794221">
        <w:rPr>
          <w:sz w:val="24"/>
          <w:szCs w:val="24"/>
        </w:rPr>
        <w:t xml:space="preserve"> When the pre-catalyst L shown in </w:t>
      </w:r>
      <w:r w:rsidR="00794221" w:rsidRPr="005802FE">
        <w:rPr>
          <w:b/>
          <w:sz w:val="24"/>
          <w:szCs w:val="24"/>
        </w:rPr>
        <w:t>Scheme</w:t>
      </w:r>
      <w:r w:rsidR="009A4531">
        <w:rPr>
          <w:b/>
          <w:sz w:val="24"/>
          <w:szCs w:val="24"/>
        </w:rPr>
        <w:t xml:space="preserve"> 1.5</w:t>
      </w:r>
      <w:r w:rsidR="00451339">
        <w:rPr>
          <w:b/>
          <w:sz w:val="24"/>
          <w:szCs w:val="24"/>
        </w:rPr>
        <w:t>7</w:t>
      </w:r>
      <w:r w:rsidR="00794221">
        <w:rPr>
          <w:sz w:val="24"/>
          <w:szCs w:val="24"/>
        </w:rPr>
        <w:t xml:space="preserve"> is used in conjunction with neodymium triflate</w:t>
      </w:r>
      <w:r w:rsidR="009A4531">
        <w:rPr>
          <w:sz w:val="24"/>
          <w:szCs w:val="24"/>
        </w:rPr>
        <w:t xml:space="preserve"> </w:t>
      </w:r>
      <w:r w:rsidR="009A4531" w:rsidRPr="009A4531">
        <w:rPr>
          <w:b/>
          <w:sz w:val="24"/>
          <w:szCs w:val="24"/>
        </w:rPr>
        <w:t>101</w:t>
      </w:r>
      <w:r w:rsidR="005802FE">
        <w:rPr>
          <w:sz w:val="24"/>
          <w:szCs w:val="24"/>
        </w:rPr>
        <w:t xml:space="preserve"> for aromatic aldehydes, excellent yields and good enantioselectivities were obtained. However when the same conditions were employed with alkyl aldehydes, the efficacy of the reaction significantly decreased.</w:t>
      </w:r>
    </w:p>
    <w:p w:rsidR="00AA2B82" w:rsidRDefault="005802FE" w:rsidP="00AA2B82">
      <w:pPr>
        <w:spacing w:line="360" w:lineRule="auto"/>
        <w:jc w:val="center"/>
        <w:rPr>
          <w:sz w:val="24"/>
          <w:szCs w:val="24"/>
        </w:rPr>
      </w:pPr>
      <w:r>
        <w:t xml:space="preserve"> </w:t>
      </w:r>
      <w:r w:rsidR="00110C9D">
        <w:object w:dxaOrig="7924" w:dyaOrig="3287">
          <v:shape id="_x0000_i1081" type="#_x0000_t75" style="width:395.25pt;height:163.5pt" o:ole="">
            <v:imagedata r:id="rId142" o:title=""/>
          </v:shape>
          <o:OLEObject Type="Embed" ProgID="ChemDraw.Document.6.0" ShapeID="_x0000_i1081" DrawAspect="Content" ObjectID="_1531849630" r:id="rId143"/>
        </w:object>
      </w:r>
    </w:p>
    <w:tbl>
      <w:tblPr>
        <w:tblStyle w:val="TableGrid"/>
        <w:tblpPr w:leftFromText="180" w:rightFromText="180" w:vertAnchor="text" w:horzAnchor="margin" w:tblpXSpec="center"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0"/>
        <w:gridCol w:w="709"/>
        <w:gridCol w:w="1012"/>
      </w:tblGrid>
      <w:tr w:rsidR="005802FE" w:rsidTr="005802FE">
        <w:tc>
          <w:tcPr>
            <w:tcW w:w="0" w:type="auto"/>
            <w:tcBorders>
              <w:top w:val="single" w:sz="4" w:space="0" w:color="auto"/>
              <w:bottom w:val="single" w:sz="4" w:space="0" w:color="auto"/>
            </w:tcBorders>
          </w:tcPr>
          <w:p w:rsidR="005802FE" w:rsidRPr="00AA2B82" w:rsidRDefault="005802FE" w:rsidP="005802FE">
            <w:pPr>
              <w:spacing w:line="360" w:lineRule="auto"/>
              <w:jc w:val="center"/>
              <w:rPr>
                <w:b/>
                <w:sz w:val="24"/>
                <w:szCs w:val="24"/>
              </w:rPr>
            </w:pPr>
            <w:r w:rsidRPr="00AA2B82">
              <w:rPr>
                <w:b/>
                <w:sz w:val="24"/>
                <w:szCs w:val="24"/>
              </w:rPr>
              <w:t>Aldehyde</w:t>
            </w:r>
          </w:p>
        </w:tc>
        <w:tc>
          <w:tcPr>
            <w:tcW w:w="0" w:type="auto"/>
            <w:tcBorders>
              <w:top w:val="single" w:sz="4" w:space="0" w:color="auto"/>
              <w:bottom w:val="single" w:sz="4" w:space="0" w:color="auto"/>
            </w:tcBorders>
          </w:tcPr>
          <w:p w:rsidR="005802FE" w:rsidRPr="00AA2B82" w:rsidRDefault="005802FE" w:rsidP="005802FE">
            <w:pPr>
              <w:spacing w:line="360" w:lineRule="auto"/>
              <w:jc w:val="center"/>
              <w:rPr>
                <w:b/>
                <w:sz w:val="24"/>
                <w:szCs w:val="24"/>
              </w:rPr>
            </w:pPr>
            <w:r w:rsidRPr="00AA2B82">
              <w:rPr>
                <w:b/>
                <w:sz w:val="24"/>
                <w:szCs w:val="24"/>
              </w:rPr>
              <w:t>Yield</w:t>
            </w:r>
          </w:p>
        </w:tc>
        <w:tc>
          <w:tcPr>
            <w:tcW w:w="0" w:type="auto"/>
            <w:tcBorders>
              <w:top w:val="single" w:sz="4" w:space="0" w:color="auto"/>
              <w:bottom w:val="single" w:sz="4" w:space="0" w:color="auto"/>
            </w:tcBorders>
          </w:tcPr>
          <w:p w:rsidR="005802FE" w:rsidRPr="00AA2B82" w:rsidRDefault="005802FE" w:rsidP="005802FE">
            <w:pPr>
              <w:spacing w:line="360" w:lineRule="auto"/>
              <w:jc w:val="center"/>
              <w:rPr>
                <w:b/>
                <w:i/>
                <w:sz w:val="24"/>
                <w:szCs w:val="24"/>
              </w:rPr>
            </w:pPr>
            <w:r w:rsidRPr="00AA2B82">
              <w:rPr>
                <w:b/>
                <w:i/>
                <w:sz w:val="24"/>
                <w:szCs w:val="24"/>
              </w:rPr>
              <w:t>syn:anti</w:t>
            </w:r>
          </w:p>
        </w:tc>
      </w:tr>
      <w:tr w:rsidR="005802FE" w:rsidTr="005802FE">
        <w:tc>
          <w:tcPr>
            <w:tcW w:w="0" w:type="auto"/>
            <w:tcBorders>
              <w:top w:val="single" w:sz="4" w:space="0" w:color="auto"/>
            </w:tcBorders>
          </w:tcPr>
          <w:p w:rsidR="005802FE" w:rsidRDefault="005802FE" w:rsidP="005802FE">
            <w:pPr>
              <w:spacing w:line="360" w:lineRule="auto"/>
              <w:jc w:val="center"/>
              <w:rPr>
                <w:sz w:val="24"/>
                <w:szCs w:val="24"/>
              </w:rPr>
            </w:pPr>
            <w:r w:rsidRPr="00AA2B82">
              <w:rPr>
                <w:i/>
                <w:sz w:val="24"/>
                <w:szCs w:val="24"/>
              </w:rPr>
              <w:t>p</w:t>
            </w:r>
            <w:r>
              <w:rPr>
                <w:sz w:val="24"/>
                <w:szCs w:val="24"/>
              </w:rPr>
              <w:t>-Chlorobenzaldehyde</w:t>
            </w:r>
          </w:p>
        </w:tc>
        <w:tc>
          <w:tcPr>
            <w:tcW w:w="0" w:type="auto"/>
            <w:tcBorders>
              <w:top w:val="single" w:sz="4" w:space="0" w:color="auto"/>
            </w:tcBorders>
          </w:tcPr>
          <w:p w:rsidR="005802FE" w:rsidRDefault="005802FE" w:rsidP="005802FE">
            <w:pPr>
              <w:spacing w:line="360" w:lineRule="auto"/>
              <w:jc w:val="center"/>
              <w:rPr>
                <w:sz w:val="24"/>
                <w:szCs w:val="24"/>
              </w:rPr>
            </w:pPr>
            <w:r>
              <w:rPr>
                <w:sz w:val="24"/>
                <w:szCs w:val="24"/>
              </w:rPr>
              <w:t>93%</w:t>
            </w:r>
          </w:p>
        </w:tc>
        <w:tc>
          <w:tcPr>
            <w:tcW w:w="0" w:type="auto"/>
            <w:tcBorders>
              <w:top w:val="single" w:sz="4" w:space="0" w:color="auto"/>
            </w:tcBorders>
          </w:tcPr>
          <w:p w:rsidR="005802FE" w:rsidRDefault="005802FE" w:rsidP="005802FE">
            <w:pPr>
              <w:spacing w:line="360" w:lineRule="auto"/>
              <w:jc w:val="center"/>
              <w:rPr>
                <w:sz w:val="24"/>
                <w:szCs w:val="24"/>
              </w:rPr>
            </w:pPr>
            <w:r>
              <w:rPr>
                <w:sz w:val="24"/>
                <w:szCs w:val="24"/>
              </w:rPr>
              <w:t>36:1</w:t>
            </w:r>
          </w:p>
        </w:tc>
      </w:tr>
      <w:tr w:rsidR="005802FE" w:rsidTr="005802FE">
        <w:tc>
          <w:tcPr>
            <w:tcW w:w="0" w:type="auto"/>
          </w:tcPr>
          <w:p w:rsidR="005802FE" w:rsidRDefault="005802FE" w:rsidP="005802FE">
            <w:pPr>
              <w:spacing w:line="360" w:lineRule="auto"/>
              <w:jc w:val="center"/>
              <w:rPr>
                <w:sz w:val="24"/>
                <w:szCs w:val="24"/>
              </w:rPr>
            </w:pPr>
            <w:r w:rsidRPr="00AA2B82">
              <w:rPr>
                <w:i/>
                <w:sz w:val="24"/>
                <w:szCs w:val="24"/>
              </w:rPr>
              <w:t>p</w:t>
            </w:r>
            <w:r>
              <w:rPr>
                <w:sz w:val="24"/>
                <w:szCs w:val="24"/>
              </w:rPr>
              <w:t>-Methylbenzaldehyde</w:t>
            </w:r>
          </w:p>
        </w:tc>
        <w:tc>
          <w:tcPr>
            <w:tcW w:w="0" w:type="auto"/>
          </w:tcPr>
          <w:p w:rsidR="005802FE" w:rsidRDefault="005802FE" w:rsidP="005802FE">
            <w:pPr>
              <w:spacing w:line="360" w:lineRule="auto"/>
              <w:jc w:val="center"/>
              <w:rPr>
                <w:sz w:val="24"/>
                <w:szCs w:val="24"/>
              </w:rPr>
            </w:pPr>
            <w:r>
              <w:rPr>
                <w:sz w:val="24"/>
                <w:szCs w:val="24"/>
              </w:rPr>
              <w:t>90%</w:t>
            </w:r>
          </w:p>
        </w:tc>
        <w:tc>
          <w:tcPr>
            <w:tcW w:w="0" w:type="auto"/>
          </w:tcPr>
          <w:p w:rsidR="005802FE" w:rsidRDefault="005802FE" w:rsidP="005802FE">
            <w:pPr>
              <w:spacing w:line="360" w:lineRule="auto"/>
              <w:jc w:val="center"/>
              <w:rPr>
                <w:sz w:val="24"/>
                <w:szCs w:val="24"/>
              </w:rPr>
            </w:pPr>
            <w:r>
              <w:rPr>
                <w:sz w:val="24"/>
                <w:szCs w:val="24"/>
              </w:rPr>
              <w:t>12:1</w:t>
            </w:r>
          </w:p>
        </w:tc>
      </w:tr>
      <w:tr w:rsidR="005802FE" w:rsidTr="005802FE">
        <w:tc>
          <w:tcPr>
            <w:tcW w:w="0" w:type="auto"/>
            <w:tcBorders>
              <w:bottom w:val="single" w:sz="4" w:space="0" w:color="auto"/>
            </w:tcBorders>
          </w:tcPr>
          <w:p w:rsidR="005802FE" w:rsidRDefault="005802FE" w:rsidP="005802FE">
            <w:pPr>
              <w:spacing w:line="360" w:lineRule="auto"/>
              <w:jc w:val="center"/>
              <w:rPr>
                <w:sz w:val="24"/>
                <w:szCs w:val="24"/>
              </w:rPr>
            </w:pPr>
            <w:r>
              <w:rPr>
                <w:sz w:val="24"/>
                <w:szCs w:val="24"/>
              </w:rPr>
              <w:t>Formaldehyde</w:t>
            </w:r>
          </w:p>
        </w:tc>
        <w:tc>
          <w:tcPr>
            <w:tcW w:w="0" w:type="auto"/>
            <w:tcBorders>
              <w:bottom w:val="single" w:sz="4" w:space="0" w:color="auto"/>
            </w:tcBorders>
          </w:tcPr>
          <w:p w:rsidR="005802FE" w:rsidRDefault="005802FE" w:rsidP="005802FE">
            <w:pPr>
              <w:spacing w:line="360" w:lineRule="auto"/>
              <w:jc w:val="center"/>
              <w:rPr>
                <w:sz w:val="24"/>
                <w:szCs w:val="24"/>
              </w:rPr>
            </w:pPr>
            <w:r>
              <w:rPr>
                <w:sz w:val="24"/>
                <w:szCs w:val="24"/>
              </w:rPr>
              <w:t>56%</w:t>
            </w:r>
          </w:p>
        </w:tc>
        <w:tc>
          <w:tcPr>
            <w:tcW w:w="0" w:type="auto"/>
            <w:tcBorders>
              <w:bottom w:val="single" w:sz="4" w:space="0" w:color="auto"/>
            </w:tcBorders>
          </w:tcPr>
          <w:p w:rsidR="005802FE" w:rsidRDefault="005802FE" w:rsidP="005802FE">
            <w:pPr>
              <w:spacing w:line="360" w:lineRule="auto"/>
              <w:jc w:val="center"/>
              <w:rPr>
                <w:sz w:val="24"/>
                <w:szCs w:val="24"/>
              </w:rPr>
            </w:pPr>
            <w:r>
              <w:rPr>
                <w:sz w:val="24"/>
                <w:szCs w:val="24"/>
              </w:rPr>
              <w:t>1:3</w:t>
            </w:r>
          </w:p>
        </w:tc>
      </w:tr>
    </w:tbl>
    <w:p w:rsidR="00C10283" w:rsidRDefault="00C10283" w:rsidP="00AA2B82">
      <w:pPr>
        <w:spacing w:line="360" w:lineRule="auto"/>
        <w:jc w:val="center"/>
        <w:rPr>
          <w:sz w:val="24"/>
          <w:szCs w:val="24"/>
        </w:rPr>
      </w:pPr>
    </w:p>
    <w:p w:rsidR="009161DC" w:rsidRDefault="009161DC" w:rsidP="008337C4">
      <w:pPr>
        <w:spacing w:line="360" w:lineRule="auto"/>
        <w:jc w:val="both"/>
        <w:rPr>
          <w:sz w:val="24"/>
          <w:szCs w:val="24"/>
        </w:rPr>
      </w:pPr>
    </w:p>
    <w:p w:rsidR="00AA2B82" w:rsidRDefault="00AA2B82" w:rsidP="009161DC">
      <w:pPr>
        <w:spacing w:line="360" w:lineRule="auto"/>
        <w:jc w:val="both"/>
        <w:rPr>
          <w:rFonts w:cs="Times New Roman"/>
          <w:sz w:val="24"/>
          <w:szCs w:val="24"/>
        </w:rPr>
      </w:pPr>
    </w:p>
    <w:p w:rsidR="00AA2B82" w:rsidRDefault="00AA2B82" w:rsidP="00591EF1"/>
    <w:p w:rsidR="005802FE" w:rsidRPr="00591EF1" w:rsidRDefault="009A4531" w:rsidP="00591EF1">
      <w:pPr>
        <w:jc w:val="center"/>
        <w:rPr>
          <w:b/>
          <w:sz w:val="24"/>
          <w:szCs w:val="24"/>
        </w:rPr>
      </w:pPr>
      <w:r w:rsidRPr="00591EF1">
        <w:rPr>
          <w:b/>
          <w:sz w:val="24"/>
          <w:szCs w:val="24"/>
        </w:rPr>
        <w:t>Scheme 1.5</w:t>
      </w:r>
      <w:r w:rsidR="00451339">
        <w:rPr>
          <w:b/>
          <w:sz w:val="24"/>
          <w:szCs w:val="24"/>
        </w:rPr>
        <w:t>7</w:t>
      </w:r>
    </w:p>
    <w:p w:rsidR="000911EB" w:rsidRDefault="0074056F" w:rsidP="0074056F">
      <w:pPr>
        <w:pStyle w:val="Heading2"/>
      </w:pPr>
      <w:bookmarkStart w:id="29" w:name="_Toc446773081"/>
      <w:r>
        <w:lastRenderedPageBreak/>
        <w:t>1.</w:t>
      </w:r>
      <w:r w:rsidR="00591EF1">
        <w:t>6</w:t>
      </w:r>
      <w:r>
        <w:t xml:space="preserve">.5 </w:t>
      </w:r>
      <w:r w:rsidR="000911EB" w:rsidRPr="000911EB">
        <w:t xml:space="preserve">Lanthanide </w:t>
      </w:r>
      <w:r w:rsidR="009C6875">
        <w:t>t</w:t>
      </w:r>
      <w:r w:rsidR="000911EB" w:rsidRPr="000911EB">
        <w:t>riflates as Le</w:t>
      </w:r>
      <w:r w:rsidR="000911EB">
        <w:t xml:space="preserve">wis </w:t>
      </w:r>
      <w:r w:rsidR="009C6875">
        <w:t>a</w:t>
      </w:r>
      <w:r w:rsidR="000911EB">
        <w:t xml:space="preserve">cid </w:t>
      </w:r>
      <w:r w:rsidR="009C6875">
        <w:t>c</w:t>
      </w:r>
      <w:r w:rsidR="000911EB">
        <w:t>atalysts</w:t>
      </w:r>
      <w:bookmarkEnd w:id="29"/>
    </w:p>
    <w:p w:rsidR="008337C4" w:rsidRDefault="008337C4" w:rsidP="008337C4">
      <w:pPr>
        <w:spacing w:line="360" w:lineRule="auto"/>
        <w:jc w:val="both"/>
        <w:rPr>
          <w:sz w:val="24"/>
          <w:szCs w:val="24"/>
        </w:rPr>
      </w:pPr>
      <w:r w:rsidRPr="00CD5411">
        <w:rPr>
          <w:sz w:val="24"/>
          <w:szCs w:val="24"/>
        </w:rPr>
        <w:t>Kobayashi</w:t>
      </w:r>
      <w:r>
        <w:rPr>
          <w:sz w:val="24"/>
          <w:szCs w:val="24"/>
        </w:rPr>
        <w:t xml:space="preserve"> first reported the use of lanthanide triflates as water compatible Lewis </w:t>
      </w:r>
      <w:r w:rsidR="00C037CF">
        <w:rPr>
          <w:sz w:val="24"/>
          <w:szCs w:val="24"/>
        </w:rPr>
        <w:t>a</w:t>
      </w:r>
      <w:r>
        <w:rPr>
          <w:sz w:val="24"/>
          <w:szCs w:val="24"/>
        </w:rPr>
        <w:t>cids.</w:t>
      </w:r>
      <w:r>
        <w:rPr>
          <w:sz w:val="24"/>
          <w:szCs w:val="24"/>
        </w:rPr>
        <w:fldChar w:fldCharType="begin" w:fldLock="1"/>
      </w:r>
      <w:r w:rsidR="00F168DA">
        <w:rPr>
          <w:sz w:val="24"/>
          <w:szCs w:val="24"/>
        </w:rPr>
        <w:instrText>ADDIN CSL_CITATION { "citationItems" : [ { "id" : "ITEM-1", "itemData" : { "DOI" : "10.1021/ar000145a", "ISSN" : "0001-4842", "abstract" : "A review.  New types of Lewis acids as water-compatible catalysts have been developed.  Various metal salts were found to work as Lewis acid catalysts in aq. media, and catalytic asym. aldol reactions in such media have been attained.  Furthermore, Lewis acid-surfactant combined catalysts, which can be used for reactions in water without using any org. cosolvents, have been also developed.  These investigations will contribute to reducing the use of harmful org. solvents and to develop efficient catalytic systems which cannot be realized in conventional org. solvents. [on SciFinder(R)]", "author" : [ { "dropping-particle" : "", "family" : "Kobayashi", "given" : "Shu", "non-dropping-particle" : "", "parse-names" : false, "suffix" : "" }, { "dropping-particle" : "", "family" : "Manabe", "given" : "Kei.", "non-dropping-particle" : "", "parse-names" : false, "suffix" : "" } ], "container-title" : "Accounts of Chemical Research", "id" : "ITEM-1", "issue" : "4", "issued" : { "date-parts" : [ [ "2002" ] ] }, "note" : "CAPLUS AN 2002:129846(Journal; General Review)", "page" : "209-217", "publisher" : "American Chemical Society", "title" : "Development of Novel Lewis Acid Catalysts for Selective Organic Reactions in Aqueous Media.", "type" : "article-journal", "volume" : "35" }, "uris" : [ "http://www.mendeley.com/documents/?uuid=8ab2b8ae-494b-4761-a075-f14a6b3ad3d5", "http://www.mendeley.com/documents/?uuid=6dd985e1-861a-4a7e-98ba-36a73a111326" ] }, { "id" : "ITEM-2", "itemData" : { "DOI" : "10.1002/(SICI)1099-0690(199901)1999:1&lt;15::AID-EJOC15&gt;3.0.CO;2-B", "ISSN" : "1434-193X", "abstract" : "A review with &gt;75 refs.  Sc(OTf)3 (Tf = CF3SO2) a new type of a Lewis acid that is different from typical Lewis acids such as AlCl3,, BF3, SnCl4, etc.  While most Lewis acids are decompd. or deactivated in the presence of water, Sc(OTf)3 is stable and works as a Lewis acid in water solns.  Many N-contg. compds. such as imines and hydrazones are also successfully activated by using a small amt. of Sc(OTf)3 in both org. and aq. solvents.  In addn., Sc(OTf)3 can be recovered after reactions are completed and can be reused.  While lanthanide triflates [Ln(OTf)3] have similar properties, the catalytic activity of Sc(OTf)3 is higher than that of Ln(OTf)3 in several cases. [on SciFinder(R)]", "author" : [ { "dropping-particle" : "", "family" : "Kobayashi", "given" : "Shu.", "non-dropping-particle" : "", "parse-names" : false, "suffix" : "" } ], "container-title" : "European Journal of Organic Chemistry", "id" : "ITEM-2", "issue" : "1", "issued" : { "date-parts" : [ [ "1999" ] ] }, "note" : "CAPLUS AN 1999:29096(Journal; General Review)", "page" : "15-27", "publisher" : "Wiley-VCH Verlag GmbH", "title" : "Scandium triflate in organic synthesis.", "type" : "article-journal" }, "uris" : [ "http://www.mendeley.com/documents/?uuid=930c9398-9a70-4abf-b1d9-7db6a384dc11", "http://www.mendeley.com/documents/?uuid=5c236a1c-060d-47c5-b8a8-e0dd2d0e4463" ] }, { "id" : "ITEM-3", "itemData" : { "DOI" : "10.1246/cl.1991.2187", "ISSN" : "0366-7022", "abstract" : "Silyl enol ethers reacted with com. HCHO soln. in the presence of Yb(OTf)3 or another lanthanide triflate to give hydroxymethylated products.  For example, I was converted to ketone II in 92% yield. [on SciFinder(R)]", "author" : [ { "dropping-particle" : "", "family" : "Kobayashi", "given" : "Shu.", "non-dropping-particle" : "", "parse-names" : false, "suffix" : "" } ], "container-title" : "Chemistry Letters", "id" : "ITEM-3", "issue" : "12", "issued" : { "date-parts" : [ [ "1991" ] ] }, "note" : "CAPLUS AN 1992:150835(Journal)", "page" : "2187-2190", "title" : "Lanthanide trifluoromethanesulfonates as stable Lewis acids in aqueous media.  Yb(OTf)3 catalyzed hydroxymethylation reaction of silyl enol ethers with commercial formaldehyde solution.", "type" : "article-journal" }, "uris" : [ "http://www.mendeley.com/documents/?uuid=204e8bc9-0080-4c5d-8b12-0adf3ebbd89f", "http://www.mendeley.com/documents/?uuid=9c48dded-177d-4b11-94dd-d403c9223376" ] } ], "mendeley" : { "formattedCitation" : "&lt;sup&gt;[198\u2013200]&lt;/sup&gt;", "plainTextFormattedCitation" : "[198\u2013200]", "previouslyFormattedCitation" : "&lt;sup&gt;[198\u2013200]&lt;/sup&gt;"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[198–200]</w:t>
      </w:r>
      <w:r>
        <w:rPr>
          <w:sz w:val="24"/>
          <w:szCs w:val="24"/>
        </w:rPr>
        <w:fldChar w:fldCharType="end"/>
      </w:r>
      <w:r>
        <w:rPr>
          <w:sz w:val="24"/>
          <w:szCs w:val="24"/>
        </w:rPr>
        <w:t xml:space="preserve"> Use of these lanthanide trifl</w:t>
      </w:r>
      <w:r w:rsidR="00C037CF">
        <w:rPr>
          <w:sz w:val="24"/>
          <w:szCs w:val="24"/>
        </w:rPr>
        <w:t>ates as water compatible Lewis a</w:t>
      </w:r>
      <w:r>
        <w:rPr>
          <w:sz w:val="24"/>
          <w:szCs w:val="24"/>
        </w:rPr>
        <w:t>cids has several benefits.</w:t>
      </w:r>
      <w:r>
        <w:rPr>
          <w:sz w:val="24"/>
          <w:szCs w:val="24"/>
        </w:rPr>
        <w:fldChar w:fldCharType="begin" w:fldLock="1"/>
      </w:r>
      <w:r w:rsidR="00F168DA">
        <w:rPr>
          <w:sz w:val="24"/>
          <w:szCs w:val="24"/>
        </w:rPr>
        <w:instrText>ADDIN CSL_CITATION { "citationItems" : [ { "id" : "ITEM-1", "itemData" : { "DOI" : "10.1021/ar000145a", "ISSN" : "0001-4842", "abstract" : "A review.  New types of Lewis acids as water-compatible catalysts have been developed.  Various metal salts were found to work as Lewis acid catalysts in aq. media, and catalytic asym. aldol reactions in such media have been attained.  Furthermore, Lewis acid-surfactant combined catalysts, which can be used for reactions in water without using any org. cosolvents, have been also developed.  These investigations will contribute to reducing the use of harmful org. solvents and to develop efficient catalytic systems which cannot be realized in conventional org. solvents. [on SciFinder(R)]", "author" : [ { "dropping-particle" : "", "family" : "Kobayashi", "given" : "Shu", "non-dropping-particle" : "", "parse-names" : false, "suffix" : "" }, { "dropping-particle" : "", "family" : "Manabe", "given" : "Kei.", "non-dropping-particle" : "", "parse-names" : false, "suffix" : "" } ], "container-title" : "Accounts of Chemical Research", "id" : "ITEM-1", "issue" : "4", "issued" : { "date-parts" : [ [ "2002" ] ] }, "page" : "209-217", "publisher" : "American Chemical Society", "title" : "Development of Novel Lewis Acid Catalysts for Selective Organic Reactions in Aqueous Media.", "type" : "article-journal", "volume" : "35" }, "uris" : [ "http://www.mendeley.com/documents/?uuid=6dd985e1-861a-4a7e-98ba-36a73a111326", "http://www.mendeley.com/documents/?uuid=8ab2b8ae-494b-4761-a075-f14a6b3ad3d5" ] } ], "mendeley" : { "formattedCitation" : "&lt;sup&gt;[201]&lt;/sup&gt;", "plainTextFormattedCitation" : "[201]", "previouslyFormattedCitation" : "&lt;sup&gt;[201]&lt;/sup&gt;"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[201]</w:t>
      </w:r>
      <w:r>
        <w:rPr>
          <w:sz w:val="24"/>
          <w:szCs w:val="24"/>
        </w:rPr>
        <w:fldChar w:fldCharType="end"/>
      </w:r>
      <w:r>
        <w:rPr>
          <w:sz w:val="24"/>
          <w:szCs w:val="24"/>
        </w:rPr>
        <w:t xml:space="preserve"> These include the ability to use water as reaction solvent in place of organic solvent, and no necessity to use anhydrous solvents and substrates. In addition to this, aqueous solution allows for the use of the Ln(OTf)</w:t>
      </w:r>
      <w:r w:rsidRPr="008337C4">
        <w:rPr>
          <w:sz w:val="24"/>
          <w:szCs w:val="24"/>
          <w:vertAlign w:val="subscript"/>
        </w:rPr>
        <w:t>3</w:t>
      </w:r>
      <w:r>
        <w:rPr>
          <w:sz w:val="24"/>
          <w:szCs w:val="24"/>
        </w:rPr>
        <w:t xml:space="preserve"> hydrates, which are less costly </w:t>
      </w:r>
      <w:r w:rsidR="002206F9">
        <w:rPr>
          <w:sz w:val="24"/>
          <w:szCs w:val="24"/>
        </w:rPr>
        <w:t>than</w:t>
      </w:r>
      <w:r>
        <w:rPr>
          <w:sz w:val="24"/>
          <w:szCs w:val="24"/>
        </w:rPr>
        <w:t xml:space="preserve"> the anhydrous forms.</w:t>
      </w:r>
      <w:r>
        <w:rPr>
          <w:sz w:val="24"/>
          <w:szCs w:val="24"/>
        </w:rPr>
        <w:fldChar w:fldCharType="begin" w:fldLock="1"/>
      </w:r>
      <w:r w:rsidR="00F168DA">
        <w:rPr>
          <w:sz w:val="24"/>
          <w:szCs w:val="24"/>
        </w:rPr>
        <w:instrText>ADDIN CSL_CITATION { "citationItems" : [ { "id" : "ITEM-1", "itemData" : { "DOI" : "10.1016/S0040-4020(99)00791-7", "ISSN" : "0040-4020", "abstract" : "Ln(OTf)3-catalyzed aziridine synthesis from imines and diazo compds. was studied in a variety of protic media.  The reactions proceeded readily under mild conditions and were highly selective, affording predominantly cis aziridines, e.g. I.  The imines used were typically those derived from arom. aldehydes and arom. amines, with either electron-donating or electron-withdrawing substituents.  N-benzyl aryl aldimines and imines derived from arom. amines and hindered aliph. aldehydes were also found to work well.  Among the three diazo compds. examd., Et diazoacetate (EDA) and 3-nitrophenyl diazomethane were effective reagents for the aziridination.  However, the reactions of Et diazoacetoacetate failed to give any desired product.  Six lanthanides triflates as well as Sc(OTf)3 and Y(OTf)3 were tested as catalyst in the aziridination reaction.  The formation of the byproducts was also discussed. [on SciFinder(R)]", "author" : [ { "dropping-particle" : "", "family" : "Xie", "given" : "Wenhua", "non-dropping-particle" : "", "parse-names" : false, "suffix" : "" }, { "dropping-particle" : "", "family" : "Fang", "given" : "Jianwen", "non-dropping-particle" : "", "parse-names" : false, "suffix" : "" }, { "dropping-particle" : "", "family" : "Li", "given" : "Jun", "non-dropping-particle" : "", "parse-names" : false, "suffix" : "" }, { "dropping-particle" : "", "family" : "Wang", "given" : "Peng George.", "non-dropping-particle" : "", "parse-names" : false, "suffix" : "" } ], "container-title" : "Tetrahedron", "id" : "ITEM-1", "issue" : "45", "issued" : { "date-parts" : [ [ "1999" ] ] }, "note" : "CAPLUS AN 1999:687996(Journal)", "page" : "12929-12938", "publisher" : "Elsevier Science Ltd.", "title" : "Aziridine synthesis in protic media by using lanthanide triflates as catalysts.", "type" : "article-journal", "volume" : "55" }, "uris" : [ "http://www.mendeley.com/documents/?uuid=330da21b-53a8-4425-a1c1-5bacb88b5b07", "http://www.mendeley.com/documents/?uuid=67b06177-c731-43c3-8942-b7466d7576b8" ] } ], "mendeley" : { "formattedCitation" : "&lt;sup&gt;[202]&lt;/sup&gt;", "plainTextFormattedCitation" : "[202]", "previouslyFormattedCitation" : "&lt;sup&gt;[202]&lt;/sup&gt;"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[202]</w:t>
      </w:r>
      <w:r>
        <w:rPr>
          <w:sz w:val="24"/>
          <w:szCs w:val="24"/>
        </w:rPr>
        <w:fldChar w:fldCharType="end"/>
      </w:r>
    </w:p>
    <w:p w:rsidR="00403998" w:rsidRDefault="00403998" w:rsidP="008337C4">
      <w:pPr>
        <w:spacing w:line="360" w:lineRule="auto"/>
        <w:jc w:val="both"/>
        <w:rPr>
          <w:sz w:val="24"/>
          <w:szCs w:val="24"/>
        </w:rPr>
      </w:pPr>
      <w:r>
        <w:rPr>
          <w:sz w:val="24"/>
          <w:szCs w:val="24"/>
        </w:rPr>
        <w:t>The Diels-Alder reaction is</w:t>
      </w:r>
      <w:r w:rsidR="00C037CF">
        <w:rPr>
          <w:sz w:val="24"/>
          <w:szCs w:val="24"/>
        </w:rPr>
        <w:t xml:space="preserve"> a widely used synthetic transformation to yield</w:t>
      </w:r>
      <w:r>
        <w:rPr>
          <w:sz w:val="24"/>
          <w:szCs w:val="24"/>
        </w:rPr>
        <w:t xml:space="preserve"> cyclic compounds. These reactions are reversible, and are generally carried out at the lowest possible temperature. Lewis acid catalysts allow Diels-Alder reactions to proceed at room temperature or below, but can be accompanied by diene polymerization.</w:t>
      </w:r>
      <w:r>
        <w:rPr>
          <w:sz w:val="24"/>
          <w:szCs w:val="24"/>
        </w:rPr>
        <w:fldChar w:fldCharType="begin" w:fldLock="1"/>
      </w:r>
      <w:r w:rsidR="00F168DA">
        <w:rPr>
          <w:sz w:val="24"/>
          <w:szCs w:val="24"/>
        </w:rPr>
        <w:instrText>ADDIN CSL_CITATION { "citationItems" : [ { "id" : "ITEM-1", "itemData" : { "DOI" : "10.1021/ja01501a085", "ISSN" : "0002-7863", "abstract" : "Equimolar amts. of anthracene, maleic anhydride, and AlCl3 dissolved in CH2Cl2 at room temp. to give 0.0625M soln. in each reacted completely in 1.5 min. according to infrared spectroscopy.  A quant. yield of Diels-Alder adduct was obtained when the mixt. was poured over ice.  Extrapolation of a rate curve showed that 4800 hrs. would have been needed for 95% completion without AlCl3.  It had been reported (Oddy, CA 17, 3481) that this reaction in C6H6 soln. at 60-70\u00b0 yielded \u03b2-(9-anthroyl)acrylic acid, but this was corrected to C24H18O3 (I), formed when the Diels-Alder reaction was followed by Friedel-Crafts condensation with the solvent.  The reaction of equimolar amts. of anthracene, di-Me fumarate, and AlCl3 in CH2Cl2, complete at room temp. in less than 2 hrs. gave a quant. yield of Diels-Alder adduct.  In the absence of AlCl3, 2-3 days in boiling dioxane was required for reaction completion, and the product was less pure.  Equimolar amts. of anthracene, p-benzoquinone, and AlCl3 in CH2Cl2 at room temp. gave the 1:1 adduct in 90% yield within 15 min.  Upon doubling the relative molar concn. of anthracene the previously unknown di-adduct was obtained in 90% yield, m. 230\u00b0 (decompn.), \u03bb (CH2Cl2) 5.90 \u03bc.  This adduct, identified by oxidn. to the corresponding quinone, did not form in boiling xylene when AlCl3 was omitted.  Equimolar amts. of 2,3-dimethylnaphthalene, maleic anhydride, and AlCl3 in CH2Cl2 reacted completely within 4 hrs. at room temp. and gave a 1:1 adduct, m. 175-8\u00b0 (decompn.), in 40% yield.  This was assigned structure II since boiling MeOH converted it to an acid ester, C17H18O4, m. 184-5\u00b0, \u03bb (CH2Cl2) 5.75, 5.85 \u03bc, which gave, when treated with Br and aq. Na2CO3, a bromolactonic ester, C17H17O4Br, m. 191.5-2.0\u00b0, \u03bb (CH2Cl2) 5.60, 5.75 \u03bc.  II had been obtained by heating in a sealed tube 1 mole 2,3-dimethylnaphthalene and 30 moles maleic anhydride at 100\u00b0 for 24 hrs.  Infrared spectroscopy indicated another adduct in the crude product, which formed under either set of conditions but to a greater extent when AlCl3 was absent. [on SciFinder(R)]", "author" : [ { "dropping-particle" : "", "family" : "Yates", "given" : "Peter", "non-dropping-particle" : "", "parse-names" : false, "suffix" : "" }, { "dropping-particle" : "", "family" : "Eaton", "given" : "Philip.", "non-dropping-particle" : "", "parse-names" : false, "suffix" : "" } ], "container-title" : "Journal of the American Chemical Society", "id" : "ITEM-1", "issued" : { "date-parts" : [ [ "1960" ] ] }, "note" : "CAPLUS AN 1961:17837(Journal)", "page" : "4436-4437", "title" : "Acceleration of the Diels-Alder reaction by aluminum chloride.", "type" : "article-journal", "volume" : "82" }, "uris" : [ "http://www.mendeley.com/documents/?uuid=90ccfce8-b7d0-41fd-ab67-55366cf3ae48" ] } ], "mendeley" : { "formattedCitation" : "&lt;sup&gt;[203]&lt;/sup&gt;", "plainTextFormattedCitation" : "[203]", "previouslyFormattedCitation" : "&lt;sup&gt;[203]&lt;/sup&gt;" }, "properties" : { "noteIndex" : 0 }, "schema" : "https://github.com/citation-style-language/schema/raw/master/csl-citation.json" }</w:instrText>
      </w:r>
      <w:r>
        <w:rPr>
          <w:sz w:val="24"/>
          <w:szCs w:val="24"/>
        </w:rPr>
        <w:fldChar w:fldCharType="separate"/>
      </w:r>
      <w:r w:rsidR="0055300D" w:rsidRPr="0055300D">
        <w:rPr>
          <w:noProof/>
          <w:sz w:val="24"/>
          <w:szCs w:val="24"/>
          <w:vertAlign w:val="superscript"/>
        </w:rPr>
        <w:t>[203]</w:t>
      </w:r>
      <w:r>
        <w:rPr>
          <w:sz w:val="24"/>
          <w:szCs w:val="24"/>
        </w:rPr>
        <w:fldChar w:fldCharType="end"/>
      </w:r>
    </w:p>
    <w:p w:rsidR="001306EB" w:rsidRDefault="000828C5" w:rsidP="001306EB">
      <w:pPr>
        <w:spacing w:line="360" w:lineRule="auto"/>
        <w:jc w:val="both"/>
        <w:rPr>
          <w:rFonts w:cs="Times New Roman"/>
          <w:sz w:val="24"/>
          <w:szCs w:val="24"/>
        </w:rPr>
      </w:pPr>
      <w:r w:rsidRPr="000828C5">
        <w:rPr>
          <w:rFonts w:cs="Times New Roman"/>
          <w:sz w:val="24"/>
          <w:szCs w:val="24"/>
        </w:rPr>
        <w:t>Lanthanide triflate</w:t>
      </w:r>
      <w:r w:rsidR="003613F6">
        <w:rPr>
          <w:rFonts w:cs="Times New Roman"/>
          <w:sz w:val="24"/>
          <w:szCs w:val="24"/>
        </w:rPr>
        <w:t>s have been shown to successfully catalyse</w:t>
      </w:r>
      <w:r w:rsidRPr="000828C5">
        <w:rPr>
          <w:rFonts w:cs="Times New Roman"/>
          <w:sz w:val="24"/>
          <w:szCs w:val="24"/>
        </w:rPr>
        <w:t xml:space="preserve"> Diels-Alder reactions.</w:t>
      </w:r>
      <w:r w:rsidR="003613F6">
        <w:rPr>
          <w:rFonts w:cs="Times New Roman"/>
          <w:sz w:val="24"/>
          <w:szCs w:val="24"/>
        </w:rPr>
        <w:fldChar w:fldCharType="begin" w:fldLock="1"/>
      </w:r>
      <w:r w:rsidR="00F168DA">
        <w:rPr>
          <w:rFonts w:cs="Times New Roman"/>
          <w:sz w:val="24"/>
          <w:szCs w:val="24"/>
        </w:rPr>
        <w:instrText>ADDIN CSL_CITATION { "citationItems" : [ { "id" : "ITEM-1", "itemData" : { "DOI" : "10.1016/S0040-4039(00)79220-3", "ISSN" : "0040-4039", "abstract" : "Scandium trifluoromethanesulfonate (I) is found to be quite effective as a Lewis acid catalyst in the Diels-Alder reaction.  The novel catalyst is active in both aq. and org. media, is easily recovered from the aq. layer after the reaction is completed, and can be reused.  Thus, 1,4-naphthoquinone reacted with cyclopentadiene in the presence of I in THF-H2O (9:1) to give 93% endo cycloadduct II. [on SciFinder(R)]", "author" : [ { "dropping-particle" : "", "family" : "Kobayashi", "given" : "Shu", "non-dropping-particle" : "", "parse-names" : false, "suffix" : "" }, { "dropping-particle" : "", "family" : "Hachiya", "given" : "Iwao", "non-dropping-particle" : "", "parse-names" : false, "suffix" : "" }, { "dropping-particle" : "", "family" : "Araki", "given" : "Mitsuharu", "non-dropping-particle" : "", "parse-names" : false, "suffix" : "" }, { "dropping-particle" : "", "family" : "Ishitani", "given" : "Haruro.", "non-dropping-particle" : "", "parse-names" : false, "suffix" : "" } ], "container-title" : "Tetrahedron Letters", "id" : "ITEM-1", "issue" : "23", "issued" : { "date-parts" : [ [ "1993" ] ] }, "note" : "CAPLUS AN 1993:670766(Journal)", "page" : "3755-3758", "title" : "Scandium trifluoromethanesulfonate (Sc(OTf)3). A novel reusable catalyst in the Diels-Alder reaction.", "type" : "article-journal", "volume" : "34" }, "uris" : [ "http://www.mendeley.com/documents/?uuid=bee9d7d7-99da-4352-87b8-38bd009e5961" ] } ], "mendeley" : { "formattedCitation" : "&lt;sup&gt;[204]&lt;/sup&gt;", "plainTextFormattedCitation" : "[204]", "previouslyFormattedCitation" : "&lt;sup&gt;[204]&lt;/sup&gt;" }, "properties" : { "noteIndex" : 0 }, "schema" : "https://github.com/citation-style-language/schema/raw/master/csl-citation.json" }</w:instrText>
      </w:r>
      <w:r w:rsidR="003613F6">
        <w:rPr>
          <w:rFonts w:cs="Times New Roman"/>
          <w:sz w:val="24"/>
          <w:szCs w:val="24"/>
        </w:rPr>
        <w:fldChar w:fldCharType="separate"/>
      </w:r>
      <w:r w:rsidR="0055300D" w:rsidRPr="0055300D">
        <w:rPr>
          <w:rFonts w:cs="Times New Roman"/>
          <w:noProof/>
          <w:sz w:val="24"/>
          <w:szCs w:val="24"/>
          <w:vertAlign w:val="superscript"/>
        </w:rPr>
        <w:t>[204]</w:t>
      </w:r>
      <w:r w:rsidR="003613F6">
        <w:rPr>
          <w:rFonts w:cs="Times New Roman"/>
          <w:sz w:val="24"/>
          <w:szCs w:val="24"/>
        </w:rPr>
        <w:fldChar w:fldCharType="end"/>
      </w:r>
      <w:r w:rsidR="001306EB">
        <w:rPr>
          <w:rFonts w:cs="Times New Roman"/>
          <w:sz w:val="24"/>
          <w:szCs w:val="24"/>
        </w:rPr>
        <w:t xml:space="preserve"> A recent example of this in the literature was reported by Tiseni when investigating </w:t>
      </w:r>
      <w:r w:rsidR="001306EB" w:rsidRPr="001306EB">
        <w:rPr>
          <w:rFonts w:cs="Times New Roman"/>
          <w:sz w:val="24"/>
          <w:szCs w:val="24"/>
        </w:rPr>
        <w:t xml:space="preserve">tertiary-amine-catalyzed </w:t>
      </w:r>
      <w:r w:rsidR="001306EB">
        <w:rPr>
          <w:rFonts w:cs="Times New Roman"/>
          <w:sz w:val="24"/>
          <w:szCs w:val="24"/>
        </w:rPr>
        <w:t>enantioselec</w:t>
      </w:r>
      <w:r w:rsidR="001306EB" w:rsidRPr="001306EB">
        <w:rPr>
          <w:rFonts w:cs="Times New Roman"/>
          <w:sz w:val="24"/>
          <w:szCs w:val="24"/>
        </w:rPr>
        <w:t xml:space="preserve">tive [4+2] cycloadditions of </w:t>
      </w:r>
      <w:r w:rsidR="001306EB" w:rsidRPr="001306EB">
        <w:rPr>
          <w:rFonts w:ascii="Symbol" w:hAnsi="Symbol" w:cs="Times New Roman"/>
          <w:sz w:val="24"/>
          <w:szCs w:val="24"/>
        </w:rPr>
        <w:t></w:t>
      </w:r>
      <w:r w:rsidR="001306EB" w:rsidRPr="001306EB">
        <w:rPr>
          <w:rFonts w:cs="Times New Roman"/>
          <w:sz w:val="24"/>
          <w:szCs w:val="24"/>
        </w:rPr>
        <w:t>,</w:t>
      </w:r>
      <w:r w:rsidR="001306EB" w:rsidRPr="001306EB">
        <w:rPr>
          <w:rFonts w:ascii="Symbol" w:hAnsi="Symbol" w:cs="Times New Roman"/>
          <w:sz w:val="24"/>
          <w:szCs w:val="24"/>
        </w:rPr>
        <w:t></w:t>
      </w:r>
      <w:r w:rsidR="001306EB" w:rsidRPr="001306EB">
        <w:rPr>
          <w:rFonts w:cs="Times New Roman"/>
          <w:sz w:val="24"/>
          <w:szCs w:val="24"/>
        </w:rPr>
        <w:t>-unsaturated acid chlorides and the electron-poor aldehyde chloral</w:t>
      </w:r>
      <w:r w:rsidR="001306EB">
        <w:rPr>
          <w:rFonts w:cs="Times New Roman"/>
          <w:sz w:val="24"/>
          <w:szCs w:val="24"/>
        </w:rPr>
        <w:t>.</w:t>
      </w:r>
      <w:r w:rsidR="001306EB">
        <w:rPr>
          <w:rFonts w:cs="Times New Roman"/>
          <w:sz w:val="24"/>
          <w:szCs w:val="24"/>
        </w:rPr>
        <w:fldChar w:fldCharType="begin" w:fldLock="1"/>
      </w:r>
      <w:r w:rsidR="00F168DA">
        <w:rPr>
          <w:rFonts w:cs="Times New Roman"/>
          <w:sz w:val="24"/>
          <w:szCs w:val="24"/>
        </w:rPr>
        <w:instrText>ADDIN CSL_CITATION { "citationItems" : [ { "id" : "ITEM-1", "itemData" : { "DOI" : "10.1002/chem.200902896", "ISSN" : "0947-6539", "abstract" : "Enantiopure zwitterionic ammonium dienolates have been utilized in this work as reactive intermediates that act as diene components in hetero-Diels-Alder reactions with aldehydes to produce optically active \u03b4-lactones.  The dienolates were generated in situ from E/Z mixts. of \u03b1,\u03b2-unsatd. acid chlorides by use of a nucleophilic quinidine deriv. and Sn(OTf)2 as co-catalyst.  The latter component was not directly involved in the cycloaddn. step with aldehydes and simply facilitated the formation of the reactive dienolate species.  The scope of the cycloaddn. was considerably improved by use of a complex formed from Er(OTf)3 and a simple com. available norephedrine-derived ligand that tolerated a broad range of arom. and heteroarom. aldehydes for a cooperative bifunctional Lewis-acid-/Lewis-base-catalyzed reaction, providing \u03b1,\u03b2-unsatd. \u03b4-lactones with excellent enantioselectivities.  Mechanistic studies confirmed the formation of the dienolate intermediates for both catalytic systems.  The active Er(III) complex is most likely a monomeric species.  All lanthanides can catalyze the title reaction, but the efficiency in terms of yield and enantioselectivity depends directly on the radius of the Ln(III) ion.  Similarly, use of the pseudolanthanides Sc(III) and Y(III) also resulted in product formation, whereas the larger La(III) and other transition metal salts, as well as main group metal salts, proved to be inefficient.  In addn., various synthetic transformations of 6-CCl3- or 4-silyl-substituted \u03b1,\u03b2-unsatd. \u03b4-lactones, giving access to a no. of valuable \u03b4-lactone building blocks, were investigated. [on SciFinder(R)]", "author" : [ { "dropping-particle" : "", "family" : "Tiseni", "given" : "Paolo S", "non-dropping-particle" : "", "parse-names" : false, "suffix" : "" }, { "dropping-particle" : "", "family" : "Peters", "given" : "Rene.", "non-dropping-particle" : "", "parse-names" : false, "suffix" : "" } ], "container-title" : "Chemistry - A European Journal", "id" : "ITEM-1", "issue" : "8", "issued" : { "date-parts" : [ [ "2010" ] ] }, "note" : "CAPLUS AN 2010:220014(Journal)", "page" : "2503-2517, S2503/1-S2503/205", "publisher" : "Wiley-VCH Verlag GmbH &amp; Co. KGaA", "title" : "Catalytic Asymmetric Formation of \u03b4-Lactones from Unsaturated Acyl Halides.", "type" : "article-journal", "volume" : "16" }, "uris" : [ "http://www.mendeley.com/documents/?uuid=1cee6d1c-e290-4eb0-ae94-f48d1a5c0ea3" ] } ], "mendeley" : { "formattedCitation" : "&lt;sup&gt;[205]&lt;/sup&gt;", "plainTextFormattedCitation" : "[205]", "previouslyFormattedCitation" : "&lt;sup&gt;[205]&lt;/sup&gt;" }, "properties" : { "noteIndex" : 0 }, "schema" : "https://github.com/citation-style-language/schema/raw/master/csl-citation.json" }</w:instrText>
      </w:r>
      <w:r w:rsidR="001306EB">
        <w:rPr>
          <w:rFonts w:cs="Times New Roman"/>
          <w:sz w:val="24"/>
          <w:szCs w:val="24"/>
        </w:rPr>
        <w:fldChar w:fldCharType="separate"/>
      </w:r>
      <w:r w:rsidR="0055300D" w:rsidRPr="0055300D">
        <w:rPr>
          <w:rFonts w:cs="Times New Roman"/>
          <w:noProof/>
          <w:sz w:val="24"/>
          <w:szCs w:val="24"/>
          <w:vertAlign w:val="superscript"/>
        </w:rPr>
        <w:t>[205]</w:t>
      </w:r>
      <w:r w:rsidR="001306EB">
        <w:rPr>
          <w:rFonts w:cs="Times New Roman"/>
          <w:sz w:val="24"/>
          <w:szCs w:val="24"/>
        </w:rPr>
        <w:fldChar w:fldCharType="end"/>
      </w:r>
      <w:r w:rsidR="001306EB">
        <w:rPr>
          <w:rFonts w:cs="Times New Roman"/>
          <w:sz w:val="24"/>
          <w:szCs w:val="24"/>
        </w:rPr>
        <w:t xml:space="preserve"> The</w:t>
      </w:r>
      <w:r w:rsidR="00BB1C41">
        <w:rPr>
          <w:rFonts w:cs="Times New Roman"/>
          <w:sz w:val="24"/>
          <w:szCs w:val="24"/>
        </w:rPr>
        <w:t xml:space="preserve"> authors found the use of erbium</w:t>
      </w:r>
      <w:r w:rsidR="001306EB">
        <w:rPr>
          <w:rFonts w:cs="Times New Roman"/>
          <w:sz w:val="24"/>
          <w:szCs w:val="24"/>
        </w:rPr>
        <w:t xml:space="preserve"> triflate catalyst</w:t>
      </w:r>
      <w:r w:rsidR="007B4C1C">
        <w:rPr>
          <w:rFonts w:cs="Times New Roman"/>
          <w:sz w:val="24"/>
          <w:szCs w:val="24"/>
        </w:rPr>
        <w:t xml:space="preserve"> </w:t>
      </w:r>
      <w:r w:rsidR="007B4C1C" w:rsidRPr="007B4C1C">
        <w:rPr>
          <w:rFonts w:cs="Times New Roman"/>
          <w:b/>
          <w:sz w:val="24"/>
          <w:szCs w:val="24"/>
        </w:rPr>
        <w:t>102</w:t>
      </w:r>
      <w:r w:rsidR="001306EB">
        <w:rPr>
          <w:rFonts w:cs="Times New Roman"/>
          <w:sz w:val="24"/>
          <w:szCs w:val="24"/>
        </w:rPr>
        <w:t xml:space="preserve"> improved the scope of the reactions considerably</w:t>
      </w:r>
      <w:r w:rsidR="00BB1C41">
        <w:rPr>
          <w:rFonts w:cs="Times New Roman"/>
          <w:sz w:val="24"/>
          <w:szCs w:val="24"/>
        </w:rPr>
        <w:t>, allowing the use of a wide range of aromatic and aliphatic aldehydes</w:t>
      </w:r>
      <w:r w:rsidR="001306EB">
        <w:rPr>
          <w:rFonts w:cs="Times New Roman"/>
          <w:sz w:val="24"/>
          <w:szCs w:val="24"/>
        </w:rPr>
        <w:t>.</w:t>
      </w:r>
      <w:r w:rsidR="00BB1C41">
        <w:rPr>
          <w:rFonts w:cs="Times New Roman"/>
          <w:sz w:val="24"/>
          <w:szCs w:val="24"/>
        </w:rPr>
        <w:t xml:space="preserve"> Some examples of the transformations achieved are shown in </w:t>
      </w:r>
      <w:r w:rsidR="00BB1C41" w:rsidRPr="00BB1C41">
        <w:rPr>
          <w:rFonts w:cs="Times New Roman"/>
          <w:b/>
          <w:sz w:val="24"/>
          <w:szCs w:val="24"/>
        </w:rPr>
        <w:t>Scheme</w:t>
      </w:r>
      <w:r w:rsidR="007B4C1C">
        <w:rPr>
          <w:rFonts w:cs="Times New Roman"/>
          <w:b/>
          <w:sz w:val="24"/>
          <w:szCs w:val="24"/>
        </w:rPr>
        <w:t xml:space="preserve"> 1.5</w:t>
      </w:r>
      <w:r w:rsidR="00451339">
        <w:rPr>
          <w:rFonts w:cs="Times New Roman"/>
          <w:b/>
          <w:sz w:val="24"/>
          <w:szCs w:val="24"/>
        </w:rPr>
        <w:t>8</w:t>
      </w:r>
      <w:r w:rsidR="00BB1C41">
        <w:rPr>
          <w:rFonts w:cs="Times New Roman"/>
          <w:sz w:val="24"/>
          <w:szCs w:val="24"/>
        </w:rPr>
        <w:t>.</w:t>
      </w:r>
    </w:p>
    <w:p w:rsidR="00BB1C41" w:rsidRDefault="007B4C1C" w:rsidP="00BB1C41">
      <w:pPr>
        <w:spacing w:line="360" w:lineRule="auto"/>
        <w:jc w:val="center"/>
      </w:pPr>
      <w:r>
        <w:object w:dxaOrig="5920" w:dyaOrig="2335">
          <v:shape id="_x0000_i1082" type="#_x0000_t75" style="width:296.25pt;height:117pt" o:ole="">
            <v:imagedata r:id="rId144" o:title=""/>
          </v:shape>
          <o:OLEObject Type="Embed" ProgID="ChemDraw.Document.6.0" ShapeID="_x0000_i1082" DrawAspect="Content" ObjectID="_1531849631" r:id="rId145"/>
        </w:obje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1103"/>
        <w:gridCol w:w="1094"/>
        <w:gridCol w:w="837"/>
      </w:tblGrid>
      <w:tr w:rsidR="00C31410" w:rsidTr="00C31410">
        <w:trPr>
          <w:jc w:val="center"/>
        </w:trPr>
        <w:tc>
          <w:tcPr>
            <w:tcW w:w="0" w:type="auto"/>
            <w:tcBorders>
              <w:top w:val="single" w:sz="4" w:space="0" w:color="auto"/>
              <w:bottom w:val="single" w:sz="4" w:space="0" w:color="auto"/>
            </w:tcBorders>
          </w:tcPr>
          <w:p w:rsidR="00C31410" w:rsidRPr="00C31410" w:rsidRDefault="00C31410" w:rsidP="00C31410">
            <w:pPr>
              <w:spacing w:line="360" w:lineRule="auto"/>
              <w:jc w:val="center"/>
              <w:rPr>
                <w:rFonts w:cs="Times New Roman"/>
                <w:b/>
                <w:sz w:val="24"/>
                <w:szCs w:val="24"/>
              </w:rPr>
            </w:pPr>
            <w:r w:rsidRPr="00C31410">
              <w:rPr>
                <w:rFonts w:cs="Times New Roman"/>
                <w:b/>
                <w:sz w:val="24"/>
                <w:szCs w:val="24"/>
              </w:rPr>
              <w:t>R</w:t>
            </w:r>
            <w:r w:rsidRPr="00C31410">
              <w:rPr>
                <w:rFonts w:cs="Times New Roman"/>
                <w:b/>
                <w:sz w:val="24"/>
                <w:szCs w:val="24"/>
                <w:vertAlign w:val="superscript"/>
              </w:rPr>
              <w:t>1</w:t>
            </w:r>
          </w:p>
        </w:tc>
        <w:tc>
          <w:tcPr>
            <w:tcW w:w="0" w:type="auto"/>
            <w:tcBorders>
              <w:top w:val="single" w:sz="4" w:space="0" w:color="auto"/>
              <w:bottom w:val="single" w:sz="4" w:space="0" w:color="auto"/>
            </w:tcBorders>
          </w:tcPr>
          <w:p w:rsidR="00C31410" w:rsidRPr="00C31410" w:rsidRDefault="00C31410" w:rsidP="00C31410">
            <w:pPr>
              <w:spacing w:line="360" w:lineRule="auto"/>
              <w:jc w:val="center"/>
              <w:rPr>
                <w:rFonts w:cs="Times New Roman"/>
                <w:b/>
                <w:sz w:val="24"/>
                <w:szCs w:val="24"/>
                <w:vertAlign w:val="superscript"/>
              </w:rPr>
            </w:pPr>
            <w:r w:rsidRPr="00C31410">
              <w:rPr>
                <w:rFonts w:cs="Times New Roman"/>
                <w:b/>
                <w:sz w:val="24"/>
                <w:szCs w:val="24"/>
              </w:rPr>
              <w:t>R</w:t>
            </w:r>
            <w:r w:rsidRPr="00C31410">
              <w:rPr>
                <w:rFonts w:cs="Times New Roman"/>
                <w:b/>
                <w:sz w:val="24"/>
                <w:szCs w:val="24"/>
                <w:vertAlign w:val="superscript"/>
              </w:rPr>
              <w:t>2</w:t>
            </w:r>
          </w:p>
        </w:tc>
        <w:tc>
          <w:tcPr>
            <w:tcW w:w="0" w:type="auto"/>
            <w:tcBorders>
              <w:top w:val="single" w:sz="4" w:space="0" w:color="auto"/>
              <w:bottom w:val="single" w:sz="4" w:space="0" w:color="auto"/>
            </w:tcBorders>
          </w:tcPr>
          <w:p w:rsidR="00C31410" w:rsidRPr="00C31410" w:rsidRDefault="00C31410" w:rsidP="00CF6097">
            <w:pPr>
              <w:spacing w:line="360" w:lineRule="auto"/>
              <w:jc w:val="center"/>
              <w:rPr>
                <w:rFonts w:cs="Times New Roman"/>
                <w:b/>
                <w:sz w:val="24"/>
                <w:szCs w:val="24"/>
              </w:rPr>
            </w:pPr>
            <w:r w:rsidRPr="00C31410">
              <w:rPr>
                <w:rFonts w:cs="Times New Roman"/>
                <w:b/>
                <w:sz w:val="24"/>
                <w:szCs w:val="24"/>
              </w:rPr>
              <w:t>Yield [%]</w:t>
            </w:r>
          </w:p>
        </w:tc>
        <w:tc>
          <w:tcPr>
            <w:tcW w:w="0" w:type="auto"/>
            <w:tcBorders>
              <w:top w:val="single" w:sz="4" w:space="0" w:color="auto"/>
              <w:bottom w:val="single" w:sz="4" w:space="0" w:color="auto"/>
            </w:tcBorders>
          </w:tcPr>
          <w:p w:rsidR="00C31410" w:rsidRPr="00C31410" w:rsidRDefault="00C31410" w:rsidP="00CF6097">
            <w:pPr>
              <w:spacing w:line="360" w:lineRule="auto"/>
              <w:jc w:val="center"/>
              <w:rPr>
                <w:rFonts w:cs="Times New Roman"/>
                <w:b/>
                <w:i/>
                <w:sz w:val="24"/>
                <w:szCs w:val="24"/>
              </w:rPr>
            </w:pPr>
            <w:r w:rsidRPr="00C31410">
              <w:rPr>
                <w:rFonts w:cs="Times New Roman"/>
                <w:b/>
                <w:i/>
                <w:sz w:val="24"/>
                <w:szCs w:val="24"/>
              </w:rPr>
              <w:t xml:space="preserve">ee </w:t>
            </w:r>
            <w:r w:rsidRPr="00C31410">
              <w:rPr>
                <w:rFonts w:cs="Times New Roman"/>
                <w:b/>
                <w:sz w:val="24"/>
                <w:szCs w:val="24"/>
              </w:rPr>
              <w:t>[%]</w:t>
            </w:r>
            <w:r w:rsidRPr="00C31410">
              <w:rPr>
                <w:rFonts w:cs="Times New Roman"/>
                <w:b/>
                <w:i/>
                <w:sz w:val="24"/>
                <w:szCs w:val="24"/>
              </w:rPr>
              <w:t xml:space="preserve"> </w:t>
            </w:r>
          </w:p>
        </w:tc>
      </w:tr>
      <w:tr w:rsidR="00C31410" w:rsidTr="00C31410">
        <w:trPr>
          <w:jc w:val="center"/>
        </w:trPr>
        <w:tc>
          <w:tcPr>
            <w:tcW w:w="0" w:type="auto"/>
            <w:tcBorders>
              <w:top w:val="single" w:sz="4" w:space="0" w:color="auto"/>
            </w:tcBorders>
          </w:tcPr>
          <w:p w:rsidR="00C31410" w:rsidRPr="00C31410" w:rsidRDefault="00C31410" w:rsidP="00CF6097">
            <w:pPr>
              <w:spacing w:line="360" w:lineRule="auto"/>
              <w:jc w:val="center"/>
              <w:rPr>
                <w:rFonts w:cs="Times New Roman"/>
                <w:sz w:val="24"/>
                <w:szCs w:val="24"/>
              </w:rPr>
            </w:pPr>
            <w:r>
              <w:rPr>
                <w:rFonts w:cs="Times New Roman"/>
                <w:sz w:val="24"/>
                <w:szCs w:val="24"/>
              </w:rPr>
              <w:t>Et</w:t>
            </w:r>
          </w:p>
        </w:tc>
        <w:tc>
          <w:tcPr>
            <w:tcW w:w="0" w:type="auto"/>
            <w:tcBorders>
              <w:top w:val="single" w:sz="4" w:space="0" w:color="auto"/>
            </w:tcBorders>
          </w:tcPr>
          <w:p w:rsidR="00C31410" w:rsidRPr="00C31410" w:rsidRDefault="00C31410" w:rsidP="00CF6097">
            <w:pPr>
              <w:spacing w:line="360" w:lineRule="auto"/>
              <w:jc w:val="center"/>
              <w:rPr>
                <w:rFonts w:cs="Times New Roman"/>
                <w:sz w:val="24"/>
                <w:szCs w:val="24"/>
              </w:rPr>
            </w:pPr>
            <w:r>
              <w:rPr>
                <w:rFonts w:cs="Times New Roman"/>
                <w:sz w:val="24"/>
                <w:szCs w:val="24"/>
              </w:rPr>
              <w:t>Ph</w:t>
            </w:r>
          </w:p>
        </w:tc>
        <w:tc>
          <w:tcPr>
            <w:tcW w:w="0" w:type="auto"/>
            <w:tcBorders>
              <w:top w:val="single" w:sz="4" w:space="0" w:color="auto"/>
            </w:tcBorders>
          </w:tcPr>
          <w:p w:rsidR="00C31410" w:rsidRPr="00C31410" w:rsidRDefault="00C31410" w:rsidP="00CF6097">
            <w:pPr>
              <w:spacing w:line="360" w:lineRule="auto"/>
              <w:jc w:val="center"/>
              <w:rPr>
                <w:rFonts w:cs="Times New Roman"/>
                <w:sz w:val="24"/>
                <w:szCs w:val="24"/>
              </w:rPr>
            </w:pPr>
            <w:r>
              <w:rPr>
                <w:rFonts w:cs="Times New Roman"/>
                <w:sz w:val="24"/>
                <w:szCs w:val="24"/>
              </w:rPr>
              <w:t>62</w:t>
            </w:r>
          </w:p>
        </w:tc>
        <w:tc>
          <w:tcPr>
            <w:tcW w:w="0" w:type="auto"/>
            <w:tcBorders>
              <w:top w:val="single" w:sz="4" w:space="0" w:color="auto"/>
            </w:tcBorders>
          </w:tcPr>
          <w:p w:rsidR="00C31410" w:rsidRPr="00C31410" w:rsidRDefault="00C31410" w:rsidP="00CF6097">
            <w:pPr>
              <w:spacing w:line="360" w:lineRule="auto"/>
              <w:jc w:val="center"/>
              <w:rPr>
                <w:rFonts w:cs="Times New Roman"/>
                <w:sz w:val="24"/>
                <w:szCs w:val="24"/>
              </w:rPr>
            </w:pPr>
            <w:r>
              <w:rPr>
                <w:rFonts w:cs="Times New Roman"/>
                <w:sz w:val="24"/>
                <w:szCs w:val="24"/>
              </w:rPr>
              <w:t>95</w:t>
            </w:r>
          </w:p>
        </w:tc>
      </w:tr>
      <w:tr w:rsidR="00C31410" w:rsidTr="00C31410">
        <w:trPr>
          <w:jc w:val="center"/>
        </w:trPr>
        <w:tc>
          <w:tcPr>
            <w:tcW w:w="0" w:type="auto"/>
          </w:tcPr>
          <w:p w:rsidR="00C31410" w:rsidRPr="00C31410" w:rsidRDefault="00C31410" w:rsidP="00CF6097">
            <w:pPr>
              <w:spacing w:line="360" w:lineRule="auto"/>
              <w:jc w:val="center"/>
              <w:rPr>
                <w:rFonts w:cs="Times New Roman"/>
                <w:sz w:val="24"/>
                <w:szCs w:val="24"/>
              </w:rPr>
            </w:pPr>
            <w:r>
              <w:rPr>
                <w:rFonts w:cs="Times New Roman"/>
                <w:sz w:val="24"/>
                <w:szCs w:val="24"/>
              </w:rPr>
              <w:t>Ph</w:t>
            </w:r>
          </w:p>
        </w:tc>
        <w:tc>
          <w:tcPr>
            <w:tcW w:w="0" w:type="auto"/>
          </w:tcPr>
          <w:p w:rsidR="00C31410" w:rsidRPr="00C31410" w:rsidRDefault="00C31410" w:rsidP="00CF6097">
            <w:pPr>
              <w:spacing w:line="360" w:lineRule="auto"/>
              <w:jc w:val="center"/>
              <w:rPr>
                <w:rFonts w:cs="Times New Roman"/>
                <w:sz w:val="24"/>
                <w:szCs w:val="24"/>
              </w:rPr>
            </w:pPr>
            <w:r>
              <w:rPr>
                <w:rFonts w:cs="Times New Roman"/>
                <w:sz w:val="24"/>
                <w:szCs w:val="24"/>
              </w:rPr>
              <w:t>Ph</w:t>
            </w:r>
          </w:p>
        </w:tc>
        <w:tc>
          <w:tcPr>
            <w:tcW w:w="0" w:type="auto"/>
          </w:tcPr>
          <w:p w:rsidR="00C31410" w:rsidRPr="00C31410" w:rsidRDefault="00C31410" w:rsidP="00CF6097">
            <w:pPr>
              <w:spacing w:line="360" w:lineRule="auto"/>
              <w:jc w:val="center"/>
              <w:rPr>
                <w:rFonts w:cs="Times New Roman"/>
                <w:sz w:val="24"/>
                <w:szCs w:val="24"/>
              </w:rPr>
            </w:pPr>
            <w:r>
              <w:rPr>
                <w:rFonts w:cs="Times New Roman"/>
                <w:sz w:val="24"/>
                <w:szCs w:val="24"/>
              </w:rPr>
              <w:t>64</w:t>
            </w:r>
          </w:p>
        </w:tc>
        <w:tc>
          <w:tcPr>
            <w:tcW w:w="0" w:type="auto"/>
          </w:tcPr>
          <w:p w:rsidR="00C31410" w:rsidRPr="00C31410" w:rsidRDefault="00C31410" w:rsidP="00CF6097">
            <w:pPr>
              <w:spacing w:line="360" w:lineRule="auto"/>
              <w:jc w:val="center"/>
              <w:rPr>
                <w:rFonts w:cs="Times New Roman"/>
                <w:sz w:val="24"/>
                <w:szCs w:val="24"/>
              </w:rPr>
            </w:pPr>
            <w:r>
              <w:rPr>
                <w:rFonts w:cs="Times New Roman"/>
                <w:sz w:val="24"/>
                <w:szCs w:val="24"/>
              </w:rPr>
              <w:t>94</w:t>
            </w:r>
          </w:p>
        </w:tc>
      </w:tr>
      <w:tr w:rsidR="00C31410" w:rsidTr="00C31410">
        <w:trPr>
          <w:jc w:val="center"/>
        </w:trPr>
        <w:tc>
          <w:tcPr>
            <w:tcW w:w="0" w:type="auto"/>
            <w:tcBorders>
              <w:bottom w:val="single" w:sz="4" w:space="0" w:color="auto"/>
            </w:tcBorders>
          </w:tcPr>
          <w:p w:rsidR="00C31410" w:rsidRPr="00C31410" w:rsidRDefault="00C31410" w:rsidP="00CF6097">
            <w:pPr>
              <w:spacing w:line="360" w:lineRule="auto"/>
              <w:jc w:val="center"/>
              <w:rPr>
                <w:rFonts w:cs="Times New Roman"/>
                <w:sz w:val="24"/>
                <w:szCs w:val="24"/>
              </w:rPr>
            </w:pPr>
            <w:r>
              <w:rPr>
                <w:rFonts w:cs="Times New Roman"/>
                <w:sz w:val="24"/>
                <w:szCs w:val="24"/>
              </w:rPr>
              <w:t>Ph</w:t>
            </w:r>
          </w:p>
        </w:tc>
        <w:tc>
          <w:tcPr>
            <w:tcW w:w="0" w:type="auto"/>
            <w:tcBorders>
              <w:bottom w:val="single" w:sz="4" w:space="0" w:color="auto"/>
            </w:tcBorders>
          </w:tcPr>
          <w:p w:rsidR="00C31410" w:rsidRPr="00C31410" w:rsidRDefault="00C31410" w:rsidP="00CF6097">
            <w:pPr>
              <w:spacing w:line="360" w:lineRule="auto"/>
              <w:jc w:val="center"/>
              <w:rPr>
                <w:rFonts w:cs="Times New Roman"/>
                <w:sz w:val="24"/>
                <w:szCs w:val="24"/>
              </w:rPr>
            </w:pPr>
            <w:r w:rsidRPr="00C31410">
              <w:rPr>
                <w:rFonts w:cs="Times New Roman"/>
                <w:i/>
                <w:sz w:val="24"/>
                <w:szCs w:val="24"/>
              </w:rPr>
              <w:t>m</w:t>
            </w:r>
            <w:r>
              <w:rPr>
                <w:rFonts w:cs="Times New Roman"/>
                <w:sz w:val="24"/>
                <w:szCs w:val="24"/>
              </w:rPr>
              <w:t>-ClC</w:t>
            </w:r>
            <w:r w:rsidRPr="00C31410">
              <w:rPr>
                <w:rFonts w:cs="Times New Roman"/>
                <w:sz w:val="24"/>
                <w:szCs w:val="24"/>
                <w:vertAlign w:val="subscript"/>
              </w:rPr>
              <w:t>6</w:t>
            </w:r>
            <w:r>
              <w:rPr>
                <w:rFonts w:cs="Times New Roman"/>
                <w:sz w:val="24"/>
                <w:szCs w:val="24"/>
              </w:rPr>
              <w:t>H</w:t>
            </w:r>
            <w:r w:rsidRPr="00C31410">
              <w:rPr>
                <w:rFonts w:cs="Times New Roman"/>
                <w:sz w:val="24"/>
                <w:szCs w:val="24"/>
                <w:vertAlign w:val="subscript"/>
              </w:rPr>
              <w:t>4</w:t>
            </w:r>
          </w:p>
        </w:tc>
        <w:tc>
          <w:tcPr>
            <w:tcW w:w="0" w:type="auto"/>
            <w:tcBorders>
              <w:bottom w:val="single" w:sz="4" w:space="0" w:color="auto"/>
            </w:tcBorders>
          </w:tcPr>
          <w:p w:rsidR="00C31410" w:rsidRPr="00C31410" w:rsidRDefault="00C31410" w:rsidP="00CF6097">
            <w:pPr>
              <w:spacing w:line="360" w:lineRule="auto"/>
              <w:jc w:val="center"/>
              <w:rPr>
                <w:rFonts w:cs="Times New Roman"/>
                <w:sz w:val="24"/>
                <w:szCs w:val="24"/>
              </w:rPr>
            </w:pPr>
            <w:r>
              <w:rPr>
                <w:rFonts w:cs="Times New Roman"/>
                <w:sz w:val="24"/>
                <w:szCs w:val="24"/>
              </w:rPr>
              <w:t>78</w:t>
            </w:r>
          </w:p>
        </w:tc>
        <w:tc>
          <w:tcPr>
            <w:tcW w:w="0" w:type="auto"/>
            <w:tcBorders>
              <w:bottom w:val="single" w:sz="4" w:space="0" w:color="auto"/>
            </w:tcBorders>
          </w:tcPr>
          <w:p w:rsidR="00C31410" w:rsidRPr="00C31410" w:rsidRDefault="00C31410" w:rsidP="00CF6097">
            <w:pPr>
              <w:spacing w:line="360" w:lineRule="auto"/>
              <w:jc w:val="center"/>
              <w:rPr>
                <w:rFonts w:cs="Times New Roman"/>
                <w:sz w:val="24"/>
                <w:szCs w:val="24"/>
              </w:rPr>
            </w:pPr>
            <w:r>
              <w:rPr>
                <w:rFonts w:cs="Times New Roman"/>
                <w:sz w:val="24"/>
                <w:szCs w:val="24"/>
              </w:rPr>
              <w:t>93</w:t>
            </w:r>
          </w:p>
        </w:tc>
      </w:tr>
    </w:tbl>
    <w:p w:rsidR="007B4C1C" w:rsidRDefault="007B4C1C" w:rsidP="00CF6097">
      <w:pPr>
        <w:spacing w:line="360" w:lineRule="auto"/>
        <w:jc w:val="center"/>
        <w:rPr>
          <w:rFonts w:cs="Times New Roman"/>
          <w:b/>
          <w:sz w:val="24"/>
          <w:szCs w:val="24"/>
        </w:rPr>
      </w:pPr>
    </w:p>
    <w:p w:rsidR="000828C5" w:rsidRPr="007B4C1C" w:rsidRDefault="007B4C1C" w:rsidP="00CF6097">
      <w:pPr>
        <w:spacing w:line="360" w:lineRule="auto"/>
        <w:jc w:val="center"/>
        <w:rPr>
          <w:rFonts w:cs="Times New Roman"/>
          <w:b/>
          <w:sz w:val="24"/>
          <w:szCs w:val="24"/>
        </w:rPr>
      </w:pPr>
      <w:r w:rsidRPr="007B4C1C">
        <w:rPr>
          <w:rFonts w:cs="Times New Roman"/>
          <w:b/>
          <w:sz w:val="24"/>
          <w:szCs w:val="24"/>
        </w:rPr>
        <w:t>Scheme 1.5</w:t>
      </w:r>
      <w:r w:rsidR="00451339">
        <w:rPr>
          <w:rFonts w:cs="Times New Roman"/>
          <w:b/>
          <w:sz w:val="24"/>
          <w:szCs w:val="24"/>
        </w:rPr>
        <w:t>8</w:t>
      </w:r>
    </w:p>
    <w:p w:rsidR="002C5AF5" w:rsidRDefault="002C5AF5" w:rsidP="0074056F">
      <w:pPr>
        <w:pStyle w:val="Heading2"/>
      </w:pPr>
    </w:p>
    <w:p w:rsidR="008A66E1" w:rsidRDefault="0074056F" w:rsidP="0074056F">
      <w:pPr>
        <w:pStyle w:val="Heading2"/>
      </w:pPr>
      <w:bookmarkStart w:id="30" w:name="_Toc446773082"/>
      <w:r>
        <w:lastRenderedPageBreak/>
        <w:t>1.</w:t>
      </w:r>
      <w:r w:rsidR="00591EF1">
        <w:t>6</w:t>
      </w:r>
      <w:r>
        <w:t xml:space="preserve">.6 </w:t>
      </w:r>
      <w:r w:rsidR="00FB58FF" w:rsidRPr="000B7226">
        <w:t>Lanthanid</w:t>
      </w:r>
      <w:r w:rsidR="000B7226" w:rsidRPr="000B7226">
        <w:t xml:space="preserve">es and </w:t>
      </w:r>
      <w:r w:rsidR="009C6875">
        <w:t>d</w:t>
      </w:r>
      <w:r w:rsidR="000B7226" w:rsidRPr="000B7226">
        <w:t xml:space="preserve">iazo </w:t>
      </w:r>
      <w:r w:rsidR="009C6875">
        <w:t>c</w:t>
      </w:r>
      <w:r w:rsidR="000B7226" w:rsidRPr="000B7226">
        <w:t>ompounds</w:t>
      </w:r>
      <w:bookmarkEnd w:id="30"/>
    </w:p>
    <w:p w:rsidR="000B7226" w:rsidRDefault="000F36CB" w:rsidP="000B7226">
      <w:pPr>
        <w:spacing w:line="360" w:lineRule="auto"/>
        <w:jc w:val="both"/>
        <w:rPr>
          <w:rFonts w:cs="Times New Roman"/>
          <w:sz w:val="24"/>
          <w:szCs w:val="24"/>
        </w:rPr>
      </w:pPr>
      <w:r>
        <w:rPr>
          <w:rFonts w:cs="Times New Roman"/>
          <w:sz w:val="24"/>
          <w:szCs w:val="24"/>
        </w:rPr>
        <w:t>Aziridines are traditionally prepared using transition metal catalysis, either through addition of a nitrene moiety to an olefin, or the addition of a carbene moiety to an imine.</w:t>
      </w:r>
      <w:r>
        <w:rPr>
          <w:rFonts w:cs="Times New Roman"/>
          <w:sz w:val="24"/>
          <w:szCs w:val="24"/>
        </w:rPr>
        <w:fldChar w:fldCharType="begin" w:fldLock="1"/>
      </w:r>
      <w:r w:rsidR="00F168DA">
        <w:rPr>
          <w:rFonts w:cs="Times New Roman"/>
          <w:sz w:val="24"/>
          <w:szCs w:val="24"/>
        </w:rPr>
        <w:instrText>ADDIN CSL_CITATION { "citationItems" : [ { "id" : "ITEM-1", "itemData" : { "DOI" : "10.1021/ja00086a007", "ISSN" : "0002-7863", "abstract" : "Sol. Cu(I) and Cu(II) triflate and perchlorate salts are efficient catalysts for the aziridination of olefins employing (N-(p-tolylsulfonyl)imino)phenyliodinane, PhI:NTs, as the nitrene precursor.  Electron-rich as well as electron-deficient olefins undergo aziridination with this reagent in 55-95% yields, at temps. ranging from -20 \u00b0C to +25 \u00b0C.  The catalyzed nitrogen atom-transfer reaction to enol silanes and silylketene acetals has also been developed to provide facile syntheses of \u03b1-amino ketones.  Other metal complexes were found to be less effective at catalyzing the reaction, while PhI:NTs proved to be superior to other imido group donors as the nitrene precursor.  Reaction rates and yields are enhanced in polar aprotic solvents such as MeCN and MeNO2.  Reaction stereospecificity in the aziridination of cis and trans disubstituted olefins was evaluated and found to be both catalyst and substrate dependent.  Intermol. competition expts. between pairs of mono- and disubstituted olefins indicate that the olefin selectivity profile for the reaction is independent of the oxidn. state of the copper catalyst employed.  It is concluded that these reactions are proceeding through the 2+ catalyst oxidn. state under the conditions employed in this study. [on SciFinder(R)]", "author" : [ { "dropping-particle" : "", "family" : "Evans", "given" : "David A", "non-dropping-particle" : "", "parse-names" : false, "suffix" : "" }, { "dropping-particle" : "", "family" : "Bilodeau", "given" : "Mark T", "non-dropping-particle" : "", "parse-names" : false, "suffix" : "" }, { "dropping-particle" : "", "family" : "Faul", "given" : "Margaret M", "non-dropping-particle" : "", "parse-names" : false, "suffix" : "" } ], "container-title" : "Journal of the American Chemical Society", "id" : "ITEM-1", "issue" : "7", "issued" : { "date-parts" : [ [ "1994" ] ] }, "note" : "CAPLUS AN 1994:435209(Journal)", "page" : "2742-2753", "title" : "Development of the Copper-Catalyzed Olefin Aziridination Reaction.", "type" : "article-journal", "volume" : "116" }, "uris" : [ "http://www.mendeley.com/documents/?uuid=0e248c0b-f906-4ad2-98ef-0a8f80c28b51" ] }, { "id" : "ITEM-2", "itemData" : { "DOI" : "10.1021/ja00065a068", "ISSN" : "0002-7863", "abstract" : "The enantioselective metal-catalyzed aziridination of aryl-substituted olefins employing N-(p-toluenesulfonyl)imino)phenyliodinane, PhI=NTs (I) as the nitrogen source was achieved.  The chiral catalysts, prepd. from the bis(oxazolines) II (R = Me2CH, Ph, Me3C, PhMe2C, Ph2MeC) and Cu(I) triflate, are effective in promoting the enantioselective aziridination of styrene, trans-\u03b2-methylstyrene, and Me cinnamate.  In the aziridinations of representative cinnamate esters, reaction enantioselectivities remained high (94-97%) when the reactions were carried out in benzene (24 h, 21\u00b0).  In addn., other aryl substituents such as \u03b1- or \u03b2-naphthyl performed equally well.  Thus, reaction of Me trans-cinnamate with I in benzene contg. a catalyst prepd. from II (R = Ph) and Cu(I) triflate gave the (S)-aziridine III in 63% yield and 94% enantiomeric excess.  Both Cu(I) and Cu(II) triflate-ligand complexes are competent catalysts which afford similar enantioselectivities.  In contrast, rates of reactions mediated by bis(oxazoline) complexes of Cu(I) halides were prohibitively slow and the enantioselectivities were markedly lower than those obtained with the more ionic Cu(I)/Cu(II) triflate and perchlorate complexes. [on SciFinder(R)]", "author" : [ { "dropping-particle" : "", "family" : "Evans", "given" : "David A", "non-dropping-particle" : "", "parse-names" : false, "suffix" : "" }, { "dropping-particle" : "", "family" : "Faul", "given" : "Margaret M", "non-dropping-particle" : "", "parse-names" : false, "suffix" : "" }, { "dropping-particle" : "", "family" : "Bilodeau", "given" : "Mark T", "non-dropping-particle" : "", "parse-names" : false, "suffix" : "" }, { "dropping-particle" : "", "family" : "Anderson", "given" : "Benjamin A", "non-dropping-particle" : "", "parse-names" : false, "suffix" : "" }, { "dropping-particle" : "", "family" : "Barnes", "given" : "David M", "non-dropping-particle" : "", "parse-names" : false, "suffix" : "" } ], "container-title" : "Journal of the American Chemical Society", "id" : "ITEM-2", "issue" : "12", "issued" : { "date-parts" : [ [ "1993" ] ] }, "note" : "CAPLUS AN 1993:538993(Journal)", "page" : "5328-5329", "title" : "Bis(oxazoline)-copper complexes as chiral catalysts for the enantioselective aziridination of olefins.", "type" : "article-journal", "volume" : "115" }, "uris" : [ "http://www.mendeley.com/documents/?uuid=e71e7fa0-ada1-43a4-8c6e-7b14be61ded8" ] }, { "id" : "ITEM-3", "itemData" : { "DOI" : "10.1021/ja00065a067", "ISSN" : "0002-7863", "abstract" : "A new class of chiral bisbenzylidenediaminocyclohexane ligands has been developed which, in assocn. with CuO3SCF3, catalyze aziridination of alkenes by PhI:NSO2C6H4Me-4.  Moderate-to-excellent enantioselectivies were attained in the aziridination of a range of different substrates. [on SciFinder(R)]", "author" : [ { "dropping-particle" : "", "family" : "Li", "given" : "Zhen", "non-dropping-particle" : "", "parse-names" : false, "suffix" : "" }, { "dropping-particle" : "", "family" : "Conser", "given" : "Kathryn R", "non-dropping-particle" : "", "parse-names" : false, "suffix" : "" }, { "dropping-particle" : "", "family" : "Jacobsen", "given" : "Eric N", "non-dropping-particle" : "", "parse-names" : false, "suffix" : "" } ], "container-title" : "Journal of the American Chemical Society", "id" : "ITEM-3", "issue" : "12", "issued" : { "date-parts" : [ [ "1993" ] ] }, "note" : "CAPLUS AN 1993:427935(Journal)", "page" : "5326-5327", "title" : "Asymmetric alkene aziridination with readily available chiral diimine-based catalysts.", "type" : "article-journal", "volume" : "115" }, "uris" : [ "http://www.mendeley.com/documents/?uuid=e5ae5385-f85a-4edb-8c43-3a851352e1aa" ] }, { "id" : "ITEM-4", "itemData" : { "DOI" : "10.1021/ja00126a044", "ISSN" : "0002-7863", "abstract" : "Alkene aziridination with PhI:NTs occurs enantioselectivity in the presence of Cu(I) complexes assocd. with a chiral diimine ligand.  Evidence that this reaction involves the intermediacy of a discrete, monomeric Cu(III)-nitrene complex includes the following exptl. observations: (1) variation of the steric properties of the Ar group in the oxidant ArI:NTs has no effect on reaction enantioselectivities; (2) aziridination of styrene in the presence of copper-diimine catalysts with tosylnitrene ([TsN]), photochem.-generated from TsN3, occurs with the same enantioselectivity as the aziridinations of styrene with PhI:NTs and the same catalysts; (3) linear correlations between diimine ligand ee and aziridine ee were obtained.  A remarkable correlation between enantioselectivities in olefin cyclopropanation and in aziridination with different diimine ligands was also obsd., suggesting that these two reaction proceed via similar transition structure geometries.  Kinetic studies of the aziridination reaction revealed that the reaction is accelerated to a significant extent by added diimine ligand, thus adding copper(I)-catalyzed aziridination to the list of important ligand-accelerated asym. processes. [on SciFinder(R)]", "author" : [ { "dropping-particle" : "", "family" : "Li", "given" : "Zhen", "non-dropping-particle" : "", "parse-names" : false, "suffix" : "" }, { "dropping-particle" : "", "family" : "Quan", "given" : "Roger W", "non-dropping-particle" : "", "parse-names" : false, "suffix" : "" }, { "dropping-particle" : "", "family" : "Jacobsen", "given" : "Eric N", "non-dropping-particle" : "", "parse-names" : false, "suffix" : "" } ], "container-title" : "Journal of the American Chemical Society", "id" : "ITEM-4", "issue" : "21", "issued" : { "date-parts" : [ [ "1995" ] ] }, "note" : "CAPLUS AN 1995:569026(Journal)", "page" : "5889-5890", "publisher" : "American Chemical Society", "title" : "Mechanism of the (Diimine)copper-Catalyzed Asymmetric Aziridination of Alkenes. Nitrene Transfer via Ligand-Accelerated Catalysis.", "type" : "article-journal", "volume" : "117" }, "uris" : [ "http://www.mendeley.com/documents/?uuid=66fb9385-e912-429f-95ec-307e88039fc7" ] }, { "id" : "ITEM-5", "itemData" : { "ISSN" : "1359-7345", "abstract" : "A heterogeneous catalytic method for the prepn. of trans-aziridines from imines and Me diazoacetate is described using Rh3+- and Mn3+-exchanged montmorillonite K10 clays as catalysts.  Thus, reaction of 4-ClC6H4CH:NPh and N2CHCO2Me in dry, refluxing benzene contg. Rh3+-exchanged montmorillonite K10 for 5 h gave 57% Me trans-3-(4-chlorophenyl)-1-phenyl-2-aziridinecarboxylate. [on SciFinder(R)]", "author" : [ { "dropping-particle" : "", "family" : "Mohan", "given" : "J Madan", "non-dropping-particle" : "", "parse-names" : false, "suffix" : "" }, { "dropping-particle" : "", "family" : "Uphade", "given" : "B S", "non-dropping-particle" : "", "parse-names" : false, "suffix" : "" }, { "dropping-particle" : "", "family" : "Choudhary", "given" : "V R", "non-dropping-particle" : "", "parse-names" : false, "suffix" : "" }, { "dropping-particle" : "", "family" : "Ravindranathan", "given" : "T", "non-dropping-particle" : "", "parse-names" : false, "suffix" : "" }, { "dropping-particle" : "", "family" : "Sudalai", "given" : "A", "non-dropping-particle" : "", "parse-names" : false, "suffix" : "" } ], "container-title" : "Chemical Communications (Cambridge)", "id" : "ITEM-5", "issue" : "15", "issued" : { "date-parts" : [ [ "1997" ] ] }, "note" : "CAPLUS AN 1997:530094(Journal)", "page" : "1429-1430", "publisher" : "Royal Society of Chemistry", "title" : "Carbenoid transfer to imines: a new heterogeneous catalytic synthesis of aziridines.", "type" : "article-journal" }, "uris" : [ "http://www.mendeley.com/documents/?uuid=1b9f0d88-0124-405f-9aeb-8982344a5075" ] } ], "mendeley" : { "formattedCitation" : "&lt;sup&gt;[206\u2013210]&lt;/sup&gt;", "plainTextFormattedCitation" : "[206\u2013210]", "previouslyFormattedCitation" : "&lt;sup&gt;[206\u2013210]&lt;/sup&gt;" }, "properties" : { "noteIndex" : 0 }, "schema" : "https://github.com/citation-style-language/schema/raw/master/csl-citation.json" }</w:instrText>
      </w:r>
      <w:r>
        <w:rPr>
          <w:rFonts w:cs="Times New Roman"/>
          <w:sz w:val="24"/>
          <w:szCs w:val="24"/>
        </w:rPr>
        <w:fldChar w:fldCharType="separate"/>
      </w:r>
      <w:r w:rsidR="0055300D" w:rsidRPr="0055300D">
        <w:rPr>
          <w:rFonts w:cs="Times New Roman"/>
          <w:noProof/>
          <w:sz w:val="24"/>
          <w:szCs w:val="24"/>
          <w:vertAlign w:val="superscript"/>
        </w:rPr>
        <w:t>[206–210]</w:t>
      </w:r>
      <w:r>
        <w:rPr>
          <w:rFonts w:cs="Times New Roman"/>
          <w:sz w:val="24"/>
          <w:szCs w:val="24"/>
        </w:rPr>
        <w:fldChar w:fldCharType="end"/>
      </w:r>
      <w:r>
        <w:rPr>
          <w:rFonts w:cs="Times New Roman"/>
          <w:sz w:val="24"/>
          <w:szCs w:val="24"/>
        </w:rPr>
        <w:t xml:space="preserve">  </w:t>
      </w:r>
      <w:r w:rsidR="000B7226">
        <w:rPr>
          <w:rFonts w:cs="Times New Roman"/>
          <w:sz w:val="24"/>
          <w:szCs w:val="24"/>
        </w:rPr>
        <w:t>Wang and co-workers have reported lanthanide triflate</w:t>
      </w:r>
      <w:r>
        <w:rPr>
          <w:rFonts w:cs="Times New Roman"/>
          <w:sz w:val="24"/>
          <w:szCs w:val="24"/>
        </w:rPr>
        <w:t xml:space="preserve"> catalysed</w:t>
      </w:r>
      <w:r w:rsidR="000B7226">
        <w:rPr>
          <w:rFonts w:cs="Times New Roman"/>
          <w:sz w:val="24"/>
          <w:szCs w:val="24"/>
        </w:rPr>
        <w:t xml:space="preserve"> aziridine synthesis from imines and diazo compounds.</w:t>
      </w:r>
      <w:r w:rsidR="000B7226">
        <w:rPr>
          <w:rFonts w:cs="Times New Roman"/>
          <w:sz w:val="24"/>
          <w:szCs w:val="24"/>
        </w:rPr>
        <w:fldChar w:fldCharType="begin" w:fldLock="1"/>
      </w:r>
      <w:r w:rsidR="00F168DA">
        <w:rPr>
          <w:rFonts w:cs="Times New Roman"/>
          <w:sz w:val="24"/>
          <w:szCs w:val="24"/>
        </w:rPr>
        <w:instrText>ADDIN CSL_CITATION { "citationItems" : [ { "id" : "ITEM-1", "itemData" : { "DOI" : "10.1016/S0040-4020(99)00791-7", "ISSN" : "0040-4020", "abstract" : "Ln(OTf)3-catalyzed aziridine synthesis from imines and diazo compds. was studied in a variety of protic media.  The reactions proceeded readily under mild conditions and were highly selective, affording predominantly cis aziridines, e.g. I.  The imines used were typically those derived from arom. aldehydes and arom. amines, with either electron-donating or electron-withdrawing substituents.  N-benzyl aryl aldimines and imines derived from arom. amines and hindered aliph. aldehydes were also found to work well.  Among the three diazo compds. examd., Et diazoacetate (EDA) and 3-nitrophenyl diazomethane were effective reagents for the aziridination.  However, the reactions of Et diazoacetoacetate failed to give any desired product.  Six lanthanides triflates as well as Sc(OTf)3 and Y(OTf)3 were tested as catalyst in the aziridination reaction.  The formation of the byproducts was also discussed. [on SciFinder(R)]", "author" : [ { "dropping-particle" : "", "family" : "Xie", "given" : "Wenhua", "non-dropping-particle" : "", "parse-names" : false, "suffix" : "" }, { "dropping-particle" : "", "family" : "Fang", "given" : "Jianwen", "non-dropping-particle" : "", "parse-names" : false, "suffix" : "" }, { "dropping-particle" : "", "family" : "Li", "given" : "Jun", "non-dropping-particle" : "", "parse-names" : false, "suffix" : "" }, { "dropping-particle" : "", "family" : "Wang", "given" : "Peng George.", "non-dropping-particle" : "", "parse-names" : false, "suffix" : "" } ], "container-title" : "Tetrahedron", "id" : "ITEM-1", "issue" : "45", "issued" : { "date-parts" : [ [ "1999" ] ] }, "page" : "12929-12938", "publisher" : "Elsevier Science Ltd.", "title" : "Aziridine synthesis in protic media by using lanthanide triflates as catalysts.", "type" : "article-journal", "volume" : "55" }, "uris" : [ "http://www.mendeley.com/documents/?uuid=67b06177-c731-43c3-8942-b7466d7576b8" ] } ], "mendeley" : { "formattedCitation" : "&lt;sup&gt;[211]&lt;/sup&gt;", "plainTextFormattedCitation" : "[211]", "previouslyFormattedCitation" : "&lt;sup&gt;[211]&lt;/sup&gt;" }, "properties" : { "noteIndex" : 0 }, "schema" : "https://github.com/citation-style-language/schema/raw/master/csl-citation.json" }</w:instrText>
      </w:r>
      <w:r w:rsidR="000B7226">
        <w:rPr>
          <w:rFonts w:cs="Times New Roman"/>
          <w:sz w:val="24"/>
          <w:szCs w:val="24"/>
        </w:rPr>
        <w:fldChar w:fldCharType="separate"/>
      </w:r>
      <w:r w:rsidR="0055300D" w:rsidRPr="0055300D">
        <w:rPr>
          <w:rFonts w:cs="Times New Roman"/>
          <w:noProof/>
          <w:sz w:val="24"/>
          <w:szCs w:val="24"/>
          <w:vertAlign w:val="superscript"/>
        </w:rPr>
        <w:t>[211]</w:t>
      </w:r>
      <w:r w:rsidR="000B7226">
        <w:rPr>
          <w:rFonts w:cs="Times New Roman"/>
          <w:sz w:val="24"/>
          <w:szCs w:val="24"/>
        </w:rPr>
        <w:fldChar w:fldCharType="end"/>
      </w:r>
      <w:r w:rsidR="000B7226">
        <w:rPr>
          <w:rFonts w:cs="Times New Roman"/>
          <w:sz w:val="24"/>
          <w:szCs w:val="24"/>
        </w:rPr>
        <w:t xml:space="preserve"> </w:t>
      </w:r>
      <w:r>
        <w:rPr>
          <w:rFonts w:cs="Times New Roman"/>
          <w:sz w:val="24"/>
          <w:szCs w:val="24"/>
        </w:rPr>
        <w:t xml:space="preserve">This follows on from a </w:t>
      </w:r>
      <w:r w:rsidR="00A47FD6">
        <w:rPr>
          <w:rFonts w:cs="Times New Roman"/>
          <w:sz w:val="24"/>
          <w:szCs w:val="24"/>
        </w:rPr>
        <w:t>publication</w:t>
      </w:r>
      <w:r>
        <w:rPr>
          <w:rFonts w:cs="Times New Roman"/>
          <w:sz w:val="24"/>
          <w:szCs w:val="24"/>
        </w:rPr>
        <w:t xml:space="preserve"> by Templeton </w:t>
      </w:r>
      <w:r w:rsidRPr="008F714D">
        <w:rPr>
          <w:rFonts w:cs="Times New Roman"/>
          <w:i/>
          <w:sz w:val="24"/>
          <w:szCs w:val="24"/>
        </w:rPr>
        <w:t>et al</w:t>
      </w:r>
      <w:r w:rsidR="00C037CF">
        <w:rPr>
          <w:rFonts w:cs="Times New Roman"/>
          <w:sz w:val="24"/>
          <w:szCs w:val="24"/>
        </w:rPr>
        <w:t>. of Lewis-a</w:t>
      </w:r>
      <w:r>
        <w:rPr>
          <w:rFonts w:cs="Times New Roman"/>
          <w:sz w:val="24"/>
          <w:szCs w:val="24"/>
        </w:rPr>
        <w:t xml:space="preserve">cid catalysed synthesis of aziridines from ethyl diazoacetate </w:t>
      </w:r>
      <w:r w:rsidR="00126BCB" w:rsidRPr="00126BCB">
        <w:rPr>
          <w:rFonts w:cs="Times New Roman"/>
          <w:b/>
          <w:sz w:val="24"/>
          <w:szCs w:val="24"/>
        </w:rPr>
        <w:t>48</w:t>
      </w:r>
      <w:r w:rsidR="00126BCB">
        <w:rPr>
          <w:rFonts w:cs="Times New Roman"/>
          <w:sz w:val="24"/>
          <w:szCs w:val="24"/>
        </w:rPr>
        <w:t xml:space="preserve"> </w:t>
      </w:r>
      <w:r>
        <w:rPr>
          <w:rFonts w:cs="Times New Roman"/>
          <w:sz w:val="24"/>
          <w:szCs w:val="24"/>
        </w:rPr>
        <w:t>and imines.</w:t>
      </w:r>
      <w:r>
        <w:rPr>
          <w:rFonts w:cs="Times New Roman"/>
          <w:sz w:val="24"/>
          <w:szCs w:val="24"/>
        </w:rPr>
        <w:fldChar w:fldCharType="begin" w:fldLock="1"/>
      </w:r>
      <w:r w:rsidR="00F168DA">
        <w:rPr>
          <w:rFonts w:cs="Times New Roman"/>
          <w:sz w:val="24"/>
          <w:szCs w:val="24"/>
        </w:rPr>
        <w:instrText>ADDIN CSL_CITATION { "citationItems" : [ { "id" : "ITEM-1", "itemData" : { "DOI" : "10.1021/JO961391W", "ISSN" : "0022-3263", "abstract" : "The reaction between imines R1CH:NR2 (R1 = Ph, p-anisyl, p-O2NC6H4, tBu, R2 = Ph, p-anisyl, PhCH2) and Et diazoacetate in the presence of catalytic amts. of Lewis acids (BF3\u00b7Et2O, AlCl3, TiCl4) represents a general route to aziridines.  An alternative evolution of the proposed intermediate explains the formation of enamines R2NHCH:CR1CO2Et and R2NHCR1:CHCO2Et.  The reaction shows high cis-diastereoselectivity and yields range from 44 to 83%. [on SciFinder(R)]", "author" : [ { "dropping-particle" : "", "family" : "Casarrubios", "given" : "Luis", "non-dropping-particle" : "", "parse-names" : false, "suffix" : "" }, { "dropping-particle" : "", "family" : "Perez", "given" : "Julio A", "non-dropping-particle" : "", "parse-names" : false, "suffix" : "" }, { "dropping-particle" : "", "family" : "Brookhart", "given" : "Maurice", "non-dropping-particle" : "", "parse-names" : false, "suffix" : "" }, { "dropping-particle" : "", "family" : "Templeton", "given" : "Joseph L", "non-dropping-particle" : "", "parse-names" : false, "suffix" : "" } ], "container-title" : "Journal of Organic Chemistry", "id" : "ITEM-1", "issue" : "24", "issued" : { "date-parts" : [ [ "1996" ] ] }, "note" : "CAPLUS AN 1996:674209(Journal)", "page" : "8358-8359", "publisher" : "American Chemical Society", "title" : "Lewis Acid-Catalyzed Synthesis of Aziridines.", "type" : "article-journal", "volume" : "61" }, "uris" : [ "http://www.mendeley.com/documents/?uuid=2255d56b-69df-4123-affa-82666c866aa6" ] } ], "mendeley" : { "formattedCitation" : "&lt;sup&gt;[212]&lt;/sup&gt;", "plainTextFormattedCitation" : "[212]", "previouslyFormattedCitation" : "&lt;sup&gt;[212]&lt;/sup&gt;" }, "properties" : { "noteIndex" : 0 }, "schema" : "https://github.com/citation-style-language/schema/raw/master/csl-citation.json" }</w:instrText>
      </w:r>
      <w:r>
        <w:rPr>
          <w:rFonts w:cs="Times New Roman"/>
          <w:sz w:val="24"/>
          <w:szCs w:val="24"/>
        </w:rPr>
        <w:fldChar w:fldCharType="separate"/>
      </w:r>
      <w:r w:rsidR="0055300D" w:rsidRPr="0055300D">
        <w:rPr>
          <w:rFonts w:cs="Times New Roman"/>
          <w:noProof/>
          <w:sz w:val="24"/>
          <w:szCs w:val="24"/>
          <w:vertAlign w:val="superscript"/>
        </w:rPr>
        <w:t>[212]</w:t>
      </w:r>
      <w:r>
        <w:rPr>
          <w:rFonts w:cs="Times New Roman"/>
          <w:sz w:val="24"/>
          <w:szCs w:val="24"/>
        </w:rPr>
        <w:fldChar w:fldCharType="end"/>
      </w:r>
    </w:p>
    <w:p w:rsidR="000B7226" w:rsidRDefault="00A47FD6" w:rsidP="00830FDE">
      <w:pPr>
        <w:spacing w:line="360" w:lineRule="auto"/>
        <w:jc w:val="both"/>
        <w:rPr>
          <w:rFonts w:cs="Times New Roman"/>
          <w:sz w:val="24"/>
          <w:szCs w:val="24"/>
        </w:rPr>
      </w:pPr>
      <w:r>
        <w:rPr>
          <w:rFonts w:cs="Times New Roman"/>
          <w:sz w:val="24"/>
          <w:szCs w:val="24"/>
        </w:rPr>
        <w:t xml:space="preserve">The authors used a variety of imines with ethyl diazoacetate </w:t>
      </w:r>
      <w:r w:rsidR="00126BCB" w:rsidRPr="00126BCB">
        <w:rPr>
          <w:rFonts w:cs="Times New Roman"/>
          <w:b/>
          <w:sz w:val="24"/>
          <w:szCs w:val="24"/>
        </w:rPr>
        <w:t>48</w:t>
      </w:r>
      <w:r w:rsidR="00126BCB">
        <w:rPr>
          <w:rFonts w:cs="Times New Roman"/>
          <w:sz w:val="24"/>
          <w:szCs w:val="24"/>
        </w:rPr>
        <w:t xml:space="preserve"> </w:t>
      </w:r>
      <w:r>
        <w:rPr>
          <w:rFonts w:cs="Times New Roman"/>
          <w:sz w:val="24"/>
          <w:szCs w:val="24"/>
        </w:rPr>
        <w:t>in the presence of 10 mol% of lanthanum triflate hydrate</w:t>
      </w:r>
      <w:r w:rsidR="00126BCB">
        <w:rPr>
          <w:rFonts w:cs="Times New Roman"/>
          <w:sz w:val="24"/>
          <w:szCs w:val="24"/>
        </w:rPr>
        <w:t xml:space="preserve"> </w:t>
      </w:r>
      <w:r w:rsidR="00126BCB" w:rsidRPr="00126BCB">
        <w:rPr>
          <w:rFonts w:cs="Times New Roman"/>
          <w:b/>
          <w:sz w:val="24"/>
          <w:szCs w:val="24"/>
        </w:rPr>
        <w:t>103</w:t>
      </w:r>
      <w:r>
        <w:rPr>
          <w:rFonts w:cs="Times New Roman"/>
          <w:sz w:val="24"/>
          <w:szCs w:val="24"/>
        </w:rPr>
        <w:t xml:space="preserve">. The reaction was found to proceed smoothly, even in protic solvents like ethanol. </w:t>
      </w:r>
      <w:r w:rsidR="00830FDE">
        <w:rPr>
          <w:rFonts w:cs="Times New Roman"/>
          <w:sz w:val="24"/>
          <w:szCs w:val="24"/>
        </w:rPr>
        <w:t xml:space="preserve">Ethanol was </w:t>
      </w:r>
      <w:r w:rsidR="00F14850">
        <w:rPr>
          <w:rFonts w:cs="Times New Roman"/>
          <w:sz w:val="24"/>
          <w:szCs w:val="24"/>
        </w:rPr>
        <w:t xml:space="preserve">therefore </w:t>
      </w:r>
      <w:r w:rsidR="00830FDE">
        <w:rPr>
          <w:rFonts w:cs="Times New Roman"/>
          <w:sz w:val="24"/>
          <w:szCs w:val="24"/>
        </w:rPr>
        <w:t xml:space="preserve">used as the solvent of choice, as it allowed the use of the lanthanide triflates in their hydrated form, </w:t>
      </w:r>
      <w:r w:rsidR="00830FDE" w:rsidRPr="00830FDE">
        <w:rPr>
          <w:rFonts w:ascii="Calibri" w:hAnsi="Calibri" w:cs="Times New Roman"/>
          <w:sz w:val="24"/>
          <w:szCs w:val="24"/>
        </w:rPr>
        <w:t>which are much less expensive than the anhydrous salts</w:t>
      </w:r>
      <w:r w:rsidR="00830FDE">
        <w:rPr>
          <w:rFonts w:cs="Times New Roman"/>
          <w:sz w:val="24"/>
          <w:szCs w:val="24"/>
        </w:rPr>
        <w:t xml:space="preserve">. Using these conditions, the reaction was found to be </w:t>
      </w:r>
      <w:r w:rsidR="00830FDE" w:rsidRPr="00830FDE">
        <w:rPr>
          <w:rFonts w:cs="Times New Roman"/>
          <w:sz w:val="24"/>
          <w:szCs w:val="24"/>
        </w:rPr>
        <w:t>s</w:t>
      </w:r>
      <w:r w:rsidR="000B7226" w:rsidRPr="00830FDE">
        <w:rPr>
          <w:rFonts w:cs="Times New Roman"/>
          <w:sz w:val="24"/>
          <w:szCs w:val="24"/>
        </w:rPr>
        <w:t>elective</w:t>
      </w:r>
      <w:r w:rsidR="00830FDE" w:rsidRPr="00830FDE">
        <w:rPr>
          <w:rFonts w:cs="Times New Roman"/>
          <w:sz w:val="24"/>
          <w:szCs w:val="24"/>
        </w:rPr>
        <w:t>,</w:t>
      </w:r>
      <w:r w:rsidR="000B7226" w:rsidRPr="00830FDE">
        <w:rPr>
          <w:rFonts w:cs="Times New Roman"/>
          <w:sz w:val="24"/>
          <w:szCs w:val="24"/>
        </w:rPr>
        <w:t xml:space="preserve"> affording predominately </w:t>
      </w:r>
      <w:r w:rsidR="000B7226" w:rsidRPr="00830FDE">
        <w:rPr>
          <w:rFonts w:cs="Times New Roman"/>
          <w:i/>
          <w:sz w:val="24"/>
          <w:szCs w:val="24"/>
        </w:rPr>
        <w:t>cis</w:t>
      </w:r>
      <w:r w:rsidR="000B7226" w:rsidRPr="00830FDE">
        <w:rPr>
          <w:rFonts w:cs="Times New Roman"/>
          <w:sz w:val="24"/>
          <w:szCs w:val="24"/>
        </w:rPr>
        <w:t xml:space="preserve"> aziridines. A range of arylimines were reacted with ethyl diazoacetate</w:t>
      </w:r>
      <w:r w:rsidR="00126BCB">
        <w:rPr>
          <w:rFonts w:cs="Times New Roman"/>
          <w:sz w:val="24"/>
          <w:szCs w:val="24"/>
        </w:rPr>
        <w:t xml:space="preserve"> </w:t>
      </w:r>
      <w:r w:rsidR="00126BCB" w:rsidRPr="00126BCB">
        <w:rPr>
          <w:rFonts w:cs="Times New Roman"/>
          <w:b/>
          <w:sz w:val="24"/>
          <w:szCs w:val="24"/>
        </w:rPr>
        <w:t>48</w:t>
      </w:r>
      <w:r w:rsidR="000B7226" w:rsidRPr="00830FDE">
        <w:rPr>
          <w:rFonts w:cs="Times New Roman"/>
          <w:sz w:val="24"/>
          <w:szCs w:val="24"/>
        </w:rPr>
        <w:t xml:space="preserve"> in ethanol to produce the corresponding aziridines as shown in </w:t>
      </w:r>
      <w:r w:rsidR="00126BCB">
        <w:rPr>
          <w:rFonts w:cs="Times New Roman"/>
          <w:b/>
          <w:sz w:val="24"/>
          <w:szCs w:val="24"/>
        </w:rPr>
        <w:t>Scheme 1.</w:t>
      </w:r>
      <w:r w:rsidR="00451339">
        <w:rPr>
          <w:rFonts w:cs="Times New Roman"/>
          <w:b/>
          <w:sz w:val="24"/>
          <w:szCs w:val="24"/>
        </w:rPr>
        <w:t>59</w:t>
      </w:r>
      <w:r w:rsidR="000B7226" w:rsidRPr="00830FDE">
        <w:rPr>
          <w:rFonts w:cs="Times New Roman"/>
          <w:sz w:val="24"/>
          <w:szCs w:val="24"/>
        </w:rPr>
        <w:t>.</w:t>
      </w:r>
    </w:p>
    <w:p w:rsidR="00126BCB" w:rsidRDefault="00126BCB" w:rsidP="00830FDE">
      <w:pPr>
        <w:spacing w:line="360" w:lineRule="auto"/>
        <w:jc w:val="both"/>
        <w:rPr>
          <w:rFonts w:cs="Times New Roman"/>
          <w:sz w:val="24"/>
          <w:szCs w:val="24"/>
        </w:rPr>
      </w:pPr>
    </w:p>
    <w:p w:rsidR="00830FDE" w:rsidRDefault="00126BCB" w:rsidP="00CF6097">
      <w:pPr>
        <w:spacing w:line="360" w:lineRule="auto"/>
        <w:jc w:val="center"/>
      </w:pPr>
      <w:r>
        <w:object w:dxaOrig="7447" w:dyaOrig="3590">
          <v:shape id="_x0000_i1083" type="#_x0000_t75" style="width:372.75pt;height:179.25pt" o:ole="">
            <v:imagedata r:id="rId146" o:title=""/>
          </v:shape>
          <o:OLEObject Type="Embed" ProgID="ChemDraw.Document.6.0" ShapeID="_x0000_i1083" DrawAspect="Content" ObjectID="_1531849632" r:id="rId147"/>
        </w:object>
      </w:r>
    </w:p>
    <w:p w:rsidR="00126BCB" w:rsidRDefault="00126BCB" w:rsidP="00CF6097">
      <w:pPr>
        <w:spacing w:line="360" w:lineRule="auto"/>
        <w:jc w:val="center"/>
      </w:pPr>
    </w:p>
    <w:p w:rsidR="00126BCB" w:rsidRPr="00830FDE" w:rsidRDefault="00126BCB" w:rsidP="00CF6097">
      <w:pPr>
        <w:spacing w:line="360" w:lineRule="auto"/>
        <w:jc w:val="center"/>
        <w:rPr>
          <w:rFonts w:cs="Times New Roman"/>
          <w:b/>
          <w:sz w:val="24"/>
          <w:szCs w:val="24"/>
        </w:rPr>
      </w:pPr>
    </w:p>
    <w:tbl>
      <w:tblPr>
        <w:tblStyle w:val="TableGrid"/>
        <w:tblpPr w:leftFromText="180" w:rightFromText="180" w:vertAnchor="page" w:horzAnchor="margin" w:tblpXSpec="center" w:tblpY="119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1251"/>
        <w:gridCol w:w="1110"/>
        <w:gridCol w:w="1128"/>
        <w:gridCol w:w="1128"/>
        <w:gridCol w:w="1128"/>
        <w:gridCol w:w="1128"/>
      </w:tblGrid>
      <w:tr w:rsidR="00126BCB" w:rsidTr="00126BCB">
        <w:tc>
          <w:tcPr>
            <w:tcW w:w="0" w:type="auto"/>
            <w:tcBorders>
              <w:top w:val="single" w:sz="4" w:space="0" w:color="auto"/>
              <w:bottom w:val="single" w:sz="4" w:space="0" w:color="auto"/>
            </w:tcBorders>
          </w:tcPr>
          <w:p w:rsidR="00126BCB" w:rsidRDefault="00126BCB" w:rsidP="00126BCB">
            <w:pPr>
              <w:spacing w:line="360" w:lineRule="auto"/>
              <w:jc w:val="center"/>
              <w:rPr>
                <w:rFonts w:cs="Times New Roman"/>
                <w:b/>
                <w:sz w:val="24"/>
                <w:szCs w:val="24"/>
              </w:rPr>
            </w:pPr>
            <w:r>
              <w:rPr>
                <w:rFonts w:cs="Times New Roman"/>
                <w:b/>
                <w:sz w:val="24"/>
                <w:szCs w:val="24"/>
              </w:rPr>
              <w:t>Imine</w:t>
            </w:r>
          </w:p>
        </w:tc>
        <w:tc>
          <w:tcPr>
            <w:tcW w:w="0" w:type="auto"/>
            <w:tcBorders>
              <w:top w:val="single" w:sz="4" w:space="0" w:color="auto"/>
              <w:bottom w:val="single" w:sz="4" w:space="0" w:color="auto"/>
            </w:tcBorders>
          </w:tcPr>
          <w:p w:rsidR="00126BCB" w:rsidRPr="00830FDE" w:rsidRDefault="00126BCB" w:rsidP="00126BCB">
            <w:pPr>
              <w:spacing w:line="360" w:lineRule="auto"/>
              <w:jc w:val="center"/>
              <w:rPr>
                <w:rFonts w:cs="Times New Roman"/>
                <w:b/>
                <w:sz w:val="24"/>
                <w:szCs w:val="24"/>
                <w:vertAlign w:val="superscript"/>
              </w:rPr>
            </w:pPr>
            <w:r>
              <w:rPr>
                <w:rFonts w:cs="Times New Roman"/>
                <w:b/>
                <w:sz w:val="24"/>
                <w:szCs w:val="24"/>
              </w:rPr>
              <w:t>R</w:t>
            </w:r>
            <w:r>
              <w:rPr>
                <w:rFonts w:cs="Times New Roman"/>
                <w:b/>
                <w:sz w:val="24"/>
                <w:szCs w:val="24"/>
                <w:vertAlign w:val="superscript"/>
              </w:rPr>
              <w:t>1</w:t>
            </w:r>
          </w:p>
        </w:tc>
        <w:tc>
          <w:tcPr>
            <w:tcW w:w="0" w:type="auto"/>
            <w:tcBorders>
              <w:top w:val="single" w:sz="4" w:space="0" w:color="auto"/>
              <w:bottom w:val="single" w:sz="4" w:space="0" w:color="auto"/>
            </w:tcBorders>
          </w:tcPr>
          <w:p w:rsidR="00126BCB" w:rsidRDefault="00126BCB" w:rsidP="00126BCB">
            <w:pPr>
              <w:spacing w:line="360" w:lineRule="auto"/>
              <w:jc w:val="center"/>
              <w:rPr>
                <w:rFonts w:cs="Times New Roman"/>
                <w:b/>
                <w:sz w:val="24"/>
                <w:szCs w:val="24"/>
              </w:rPr>
            </w:pPr>
            <w:r>
              <w:rPr>
                <w:rFonts w:cs="Times New Roman"/>
                <w:b/>
                <w:sz w:val="24"/>
                <w:szCs w:val="24"/>
              </w:rPr>
              <w:t>R</w:t>
            </w:r>
            <w:r>
              <w:rPr>
                <w:rFonts w:cs="Times New Roman"/>
                <w:b/>
                <w:sz w:val="24"/>
                <w:szCs w:val="24"/>
                <w:vertAlign w:val="superscript"/>
              </w:rPr>
              <w:t>2</w:t>
            </w:r>
          </w:p>
        </w:tc>
        <w:tc>
          <w:tcPr>
            <w:tcW w:w="0" w:type="auto"/>
            <w:tcBorders>
              <w:top w:val="single" w:sz="4" w:space="0" w:color="auto"/>
              <w:bottom w:val="single" w:sz="4" w:space="0" w:color="auto"/>
            </w:tcBorders>
          </w:tcPr>
          <w:p w:rsidR="00126BCB" w:rsidRDefault="00126BCB" w:rsidP="00126BCB">
            <w:pPr>
              <w:spacing w:line="360" w:lineRule="auto"/>
              <w:jc w:val="center"/>
              <w:rPr>
                <w:rFonts w:cs="Times New Roman"/>
                <w:b/>
                <w:sz w:val="24"/>
                <w:szCs w:val="24"/>
              </w:rPr>
            </w:pPr>
            <w:r>
              <w:rPr>
                <w:rFonts w:cs="Times New Roman"/>
                <w:b/>
                <w:sz w:val="24"/>
                <w:szCs w:val="24"/>
              </w:rPr>
              <w:t>Yield 104</w:t>
            </w:r>
          </w:p>
        </w:tc>
        <w:tc>
          <w:tcPr>
            <w:tcW w:w="0" w:type="auto"/>
            <w:tcBorders>
              <w:top w:val="single" w:sz="4" w:space="0" w:color="auto"/>
              <w:bottom w:val="single" w:sz="4" w:space="0" w:color="auto"/>
            </w:tcBorders>
          </w:tcPr>
          <w:p w:rsidR="00126BCB" w:rsidRDefault="00126BCB" w:rsidP="00126BCB">
            <w:pPr>
              <w:spacing w:line="360" w:lineRule="auto"/>
              <w:jc w:val="center"/>
              <w:rPr>
                <w:rFonts w:cs="Times New Roman"/>
                <w:b/>
                <w:sz w:val="24"/>
                <w:szCs w:val="24"/>
              </w:rPr>
            </w:pPr>
            <w:r>
              <w:rPr>
                <w:rFonts w:cs="Times New Roman"/>
                <w:b/>
                <w:sz w:val="24"/>
                <w:szCs w:val="24"/>
              </w:rPr>
              <w:t>Yield 105</w:t>
            </w:r>
          </w:p>
        </w:tc>
        <w:tc>
          <w:tcPr>
            <w:tcW w:w="0" w:type="auto"/>
            <w:tcBorders>
              <w:top w:val="single" w:sz="4" w:space="0" w:color="auto"/>
              <w:bottom w:val="single" w:sz="4" w:space="0" w:color="auto"/>
            </w:tcBorders>
          </w:tcPr>
          <w:p w:rsidR="00126BCB" w:rsidRDefault="00126BCB" w:rsidP="00126BCB">
            <w:pPr>
              <w:spacing w:line="360" w:lineRule="auto"/>
              <w:jc w:val="center"/>
              <w:rPr>
                <w:rFonts w:cs="Times New Roman"/>
                <w:b/>
                <w:sz w:val="24"/>
                <w:szCs w:val="24"/>
              </w:rPr>
            </w:pPr>
            <w:r>
              <w:rPr>
                <w:rFonts w:cs="Times New Roman"/>
                <w:b/>
                <w:sz w:val="24"/>
                <w:szCs w:val="24"/>
              </w:rPr>
              <w:t>Yield 106</w:t>
            </w:r>
          </w:p>
        </w:tc>
        <w:tc>
          <w:tcPr>
            <w:tcW w:w="0" w:type="auto"/>
            <w:tcBorders>
              <w:top w:val="single" w:sz="4" w:space="0" w:color="auto"/>
              <w:bottom w:val="single" w:sz="4" w:space="0" w:color="auto"/>
            </w:tcBorders>
          </w:tcPr>
          <w:p w:rsidR="00126BCB" w:rsidRDefault="00126BCB" w:rsidP="00126BCB">
            <w:pPr>
              <w:spacing w:line="360" w:lineRule="auto"/>
              <w:jc w:val="center"/>
              <w:rPr>
                <w:rFonts w:cs="Times New Roman"/>
                <w:b/>
                <w:sz w:val="24"/>
                <w:szCs w:val="24"/>
              </w:rPr>
            </w:pPr>
            <w:r>
              <w:rPr>
                <w:rFonts w:cs="Times New Roman"/>
                <w:b/>
                <w:sz w:val="24"/>
                <w:szCs w:val="24"/>
              </w:rPr>
              <w:t>Yield 107</w:t>
            </w:r>
          </w:p>
        </w:tc>
      </w:tr>
      <w:tr w:rsidR="00126BCB" w:rsidTr="00126BCB">
        <w:tc>
          <w:tcPr>
            <w:tcW w:w="0" w:type="auto"/>
            <w:tcBorders>
              <w:top w:val="single" w:sz="4" w:space="0" w:color="auto"/>
            </w:tcBorders>
          </w:tcPr>
          <w:p w:rsidR="00126BCB" w:rsidRPr="00830FDE" w:rsidRDefault="00126BCB" w:rsidP="00126BCB">
            <w:pPr>
              <w:spacing w:line="360" w:lineRule="auto"/>
              <w:jc w:val="center"/>
              <w:rPr>
                <w:rFonts w:cs="Times New Roman"/>
                <w:sz w:val="24"/>
                <w:szCs w:val="24"/>
              </w:rPr>
            </w:pPr>
            <w:r w:rsidRPr="00830FDE">
              <w:rPr>
                <w:rFonts w:cs="Times New Roman"/>
                <w:sz w:val="24"/>
                <w:szCs w:val="24"/>
              </w:rPr>
              <w:t>1a</w:t>
            </w:r>
          </w:p>
        </w:tc>
        <w:tc>
          <w:tcPr>
            <w:tcW w:w="0" w:type="auto"/>
            <w:tcBorders>
              <w:top w:val="single" w:sz="4" w:space="0" w:color="auto"/>
            </w:tcBorders>
          </w:tcPr>
          <w:p w:rsidR="00126BCB" w:rsidRPr="00830FDE" w:rsidRDefault="00126BCB" w:rsidP="00126BCB">
            <w:pPr>
              <w:spacing w:line="360" w:lineRule="auto"/>
              <w:jc w:val="center"/>
              <w:rPr>
                <w:rFonts w:cs="Times New Roman"/>
                <w:sz w:val="24"/>
                <w:szCs w:val="24"/>
              </w:rPr>
            </w:pPr>
            <w:r w:rsidRPr="00830FDE">
              <w:rPr>
                <w:rFonts w:cs="Times New Roman"/>
                <w:sz w:val="24"/>
                <w:szCs w:val="24"/>
              </w:rPr>
              <w:t>C</w:t>
            </w:r>
            <w:r w:rsidRPr="00830FDE">
              <w:rPr>
                <w:rFonts w:cs="Times New Roman"/>
                <w:sz w:val="24"/>
                <w:szCs w:val="24"/>
                <w:vertAlign w:val="subscript"/>
              </w:rPr>
              <w:t>6</w:t>
            </w:r>
            <w:r w:rsidRPr="00830FDE">
              <w:rPr>
                <w:rFonts w:cs="Times New Roman"/>
                <w:sz w:val="24"/>
                <w:szCs w:val="24"/>
              </w:rPr>
              <w:t>H</w:t>
            </w:r>
            <w:r w:rsidRPr="00830FDE">
              <w:rPr>
                <w:rFonts w:cs="Times New Roman"/>
                <w:sz w:val="24"/>
                <w:szCs w:val="24"/>
                <w:vertAlign w:val="subscript"/>
              </w:rPr>
              <w:t>5</w:t>
            </w:r>
          </w:p>
        </w:tc>
        <w:tc>
          <w:tcPr>
            <w:tcW w:w="0" w:type="auto"/>
            <w:tcBorders>
              <w:top w:val="single" w:sz="4" w:space="0" w:color="auto"/>
            </w:tcBorders>
          </w:tcPr>
          <w:p w:rsidR="00126BCB" w:rsidRPr="00830FDE" w:rsidRDefault="00126BCB" w:rsidP="00126BCB">
            <w:pPr>
              <w:spacing w:line="360" w:lineRule="auto"/>
              <w:jc w:val="center"/>
              <w:rPr>
                <w:rFonts w:cs="Times New Roman"/>
                <w:sz w:val="24"/>
                <w:szCs w:val="24"/>
              </w:rPr>
            </w:pPr>
            <w:r w:rsidRPr="00830FDE">
              <w:rPr>
                <w:rFonts w:cs="Times New Roman"/>
                <w:sz w:val="24"/>
                <w:szCs w:val="24"/>
              </w:rPr>
              <w:t>C</w:t>
            </w:r>
            <w:r w:rsidRPr="00830FDE">
              <w:rPr>
                <w:rFonts w:cs="Times New Roman"/>
                <w:sz w:val="24"/>
                <w:szCs w:val="24"/>
                <w:vertAlign w:val="subscript"/>
              </w:rPr>
              <w:t>6</w:t>
            </w:r>
            <w:r w:rsidRPr="00830FDE">
              <w:rPr>
                <w:rFonts w:cs="Times New Roman"/>
                <w:sz w:val="24"/>
                <w:szCs w:val="24"/>
              </w:rPr>
              <w:t>H</w:t>
            </w:r>
            <w:r w:rsidRPr="00830FDE">
              <w:rPr>
                <w:rFonts w:cs="Times New Roman"/>
                <w:sz w:val="24"/>
                <w:szCs w:val="24"/>
                <w:vertAlign w:val="subscript"/>
              </w:rPr>
              <w:t>5</w:t>
            </w:r>
          </w:p>
        </w:tc>
        <w:tc>
          <w:tcPr>
            <w:tcW w:w="0" w:type="auto"/>
            <w:tcBorders>
              <w:top w:val="single" w:sz="4" w:space="0" w:color="auto"/>
            </w:tcBorders>
          </w:tcPr>
          <w:p w:rsidR="00126BCB" w:rsidRPr="00830FDE" w:rsidRDefault="00126BCB" w:rsidP="00126BCB">
            <w:pPr>
              <w:spacing w:line="360" w:lineRule="auto"/>
              <w:jc w:val="center"/>
              <w:rPr>
                <w:rFonts w:cs="Times New Roman"/>
                <w:sz w:val="24"/>
                <w:szCs w:val="24"/>
              </w:rPr>
            </w:pPr>
            <w:r>
              <w:rPr>
                <w:rFonts w:cs="Times New Roman"/>
                <w:sz w:val="24"/>
                <w:szCs w:val="24"/>
              </w:rPr>
              <w:t>53%</w:t>
            </w:r>
          </w:p>
        </w:tc>
        <w:tc>
          <w:tcPr>
            <w:tcW w:w="0" w:type="auto"/>
            <w:tcBorders>
              <w:top w:val="single" w:sz="4" w:space="0" w:color="auto"/>
            </w:tcBorders>
          </w:tcPr>
          <w:p w:rsidR="00126BCB" w:rsidRPr="00830FDE" w:rsidRDefault="00126BCB" w:rsidP="00126BCB">
            <w:pPr>
              <w:spacing w:line="360" w:lineRule="auto"/>
              <w:jc w:val="center"/>
              <w:rPr>
                <w:rFonts w:cs="Times New Roman"/>
                <w:sz w:val="24"/>
                <w:szCs w:val="24"/>
              </w:rPr>
            </w:pPr>
            <w:r>
              <w:rPr>
                <w:rFonts w:cs="Times New Roman"/>
                <w:sz w:val="24"/>
                <w:szCs w:val="24"/>
              </w:rPr>
              <w:t>-</w:t>
            </w:r>
          </w:p>
        </w:tc>
        <w:tc>
          <w:tcPr>
            <w:tcW w:w="0" w:type="auto"/>
            <w:tcBorders>
              <w:top w:val="single" w:sz="4" w:space="0" w:color="auto"/>
            </w:tcBorders>
          </w:tcPr>
          <w:p w:rsidR="00126BCB" w:rsidRPr="00830FDE" w:rsidRDefault="00126BCB" w:rsidP="00126BCB">
            <w:pPr>
              <w:spacing w:line="360" w:lineRule="auto"/>
              <w:jc w:val="center"/>
              <w:rPr>
                <w:rFonts w:cs="Times New Roman"/>
                <w:sz w:val="24"/>
                <w:szCs w:val="24"/>
              </w:rPr>
            </w:pPr>
            <w:r>
              <w:rPr>
                <w:rFonts w:cs="Times New Roman"/>
                <w:sz w:val="24"/>
                <w:szCs w:val="24"/>
              </w:rPr>
              <w:t>13%</w:t>
            </w:r>
          </w:p>
        </w:tc>
        <w:tc>
          <w:tcPr>
            <w:tcW w:w="0" w:type="auto"/>
            <w:tcBorders>
              <w:top w:val="single" w:sz="4" w:space="0" w:color="auto"/>
            </w:tcBorders>
          </w:tcPr>
          <w:p w:rsidR="00126BCB" w:rsidRPr="00830FDE" w:rsidRDefault="00126BCB" w:rsidP="00126BCB">
            <w:pPr>
              <w:spacing w:line="360" w:lineRule="auto"/>
              <w:jc w:val="center"/>
              <w:rPr>
                <w:rFonts w:cs="Times New Roman"/>
                <w:sz w:val="24"/>
                <w:szCs w:val="24"/>
              </w:rPr>
            </w:pPr>
            <w:r>
              <w:rPr>
                <w:rFonts w:cs="Times New Roman"/>
                <w:sz w:val="24"/>
                <w:szCs w:val="24"/>
              </w:rPr>
              <w:t>17%</w:t>
            </w:r>
          </w:p>
        </w:tc>
      </w:tr>
      <w:tr w:rsidR="00126BCB" w:rsidTr="00126BCB">
        <w:tc>
          <w:tcPr>
            <w:tcW w:w="0" w:type="auto"/>
          </w:tcPr>
          <w:p w:rsidR="00126BCB" w:rsidRPr="00830FDE" w:rsidRDefault="00126BCB" w:rsidP="00126BCB">
            <w:pPr>
              <w:spacing w:line="360" w:lineRule="auto"/>
              <w:jc w:val="center"/>
              <w:rPr>
                <w:rFonts w:cs="Times New Roman"/>
                <w:sz w:val="24"/>
                <w:szCs w:val="24"/>
              </w:rPr>
            </w:pPr>
            <w:r w:rsidRPr="00830FDE">
              <w:rPr>
                <w:rFonts w:cs="Times New Roman"/>
                <w:sz w:val="24"/>
                <w:szCs w:val="24"/>
              </w:rPr>
              <w:t>1b</w:t>
            </w:r>
          </w:p>
        </w:tc>
        <w:tc>
          <w:tcPr>
            <w:tcW w:w="0" w:type="auto"/>
          </w:tcPr>
          <w:p w:rsidR="00126BCB" w:rsidRPr="00830FDE" w:rsidRDefault="00126BCB" w:rsidP="00126BCB">
            <w:pPr>
              <w:spacing w:line="360" w:lineRule="auto"/>
              <w:jc w:val="center"/>
              <w:rPr>
                <w:rFonts w:cs="Times New Roman"/>
                <w:sz w:val="24"/>
                <w:szCs w:val="24"/>
              </w:rPr>
            </w:pPr>
            <w:r w:rsidRPr="00830FDE">
              <w:rPr>
                <w:rFonts w:cs="Times New Roman"/>
                <w:i/>
                <w:sz w:val="24"/>
                <w:szCs w:val="24"/>
              </w:rPr>
              <w:t>p</w:t>
            </w:r>
            <w:r>
              <w:rPr>
                <w:rFonts w:cs="Times New Roman"/>
                <w:sz w:val="24"/>
                <w:szCs w:val="24"/>
              </w:rPr>
              <w:t>-Cl-</w:t>
            </w:r>
            <w:r w:rsidRPr="00830FDE">
              <w:rPr>
                <w:rFonts w:cs="Times New Roman"/>
                <w:sz w:val="24"/>
                <w:szCs w:val="24"/>
              </w:rPr>
              <w:t>C</w:t>
            </w:r>
            <w:r w:rsidRPr="00830FDE">
              <w:rPr>
                <w:rFonts w:cs="Times New Roman"/>
                <w:sz w:val="24"/>
                <w:szCs w:val="24"/>
                <w:vertAlign w:val="subscript"/>
              </w:rPr>
              <w:t>6</w:t>
            </w:r>
            <w:r w:rsidRPr="00830FDE">
              <w:rPr>
                <w:rFonts w:cs="Times New Roman"/>
                <w:sz w:val="24"/>
                <w:szCs w:val="24"/>
              </w:rPr>
              <w:t>H</w:t>
            </w:r>
            <w:r>
              <w:rPr>
                <w:rFonts w:cs="Times New Roman"/>
                <w:sz w:val="24"/>
                <w:szCs w:val="24"/>
                <w:vertAlign w:val="subscript"/>
              </w:rPr>
              <w:t>4</w:t>
            </w:r>
          </w:p>
        </w:tc>
        <w:tc>
          <w:tcPr>
            <w:tcW w:w="0" w:type="auto"/>
          </w:tcPr>
          <w:p w:rsidR="00126BCB" w:rsidRPr="00830FDE" w:rsidRDefault="00126BCB" w:rsidP="00126BCB">
            <w:pPr>
              <w:spacing w:line="360" w:lineRule="auto"/>
              <w:jc w:val="center"/>
              <w:rPr>
                <w:rFonts w:cs="Times New Roman"/>
                <w:sz w:val="24"/>
                <w:szCs w:val="24"/>
              </w:rPr>
            </w:pPr>
            <w:r w:rsidRPr="00830FDE">
              <w:rPr>
                <w:rFonts w:cs="Times New Roman"/>
                <w:sz w:val="24"/>
                <w:szCs w:val="24"/>
              </w:rPr>
              <w:t>C</w:t>
            </w:r>
            <w:r w:rsidRPr="00830FDE">
              <w:rPr>
                <w:rFonts w:cs="Times New Roman"/>
                <w:sz w:val="24"/>
                <w:szCs w:val="24"/>
                <w:vertAlign w:val="subscript"/>
              </w:rPr>
              <w:t>6</w:t>
            </w:r>
            <w:r w:rsidRPr="00830FDE">
              <w:rPr>
                <w:rFonts w:cs="Times New Roman"/>
                <w:sz w:val="24"/>
                <w:szCs w:val="24"/>
              </w:rPr>
              <w:t>H</w:t>
            </w:r>
            <w:r w:rsidRPr="00830FDE">
              <w:rPr>
                <w:rFonts w:cs="Times New Roman"/>
                <w:sz w:val="24"/>
                <w:szCs w:val="24"/>
                <w:vertAlign w:val="subscript"/>
              </w:rPr>
              <w:t>5</w:t>
            </w:r>
          </w:p>
        </w:tc>
        <w:tc>
          <w:tcPr>
            <w:tcW w:w="0" w:type="auto"/>
          </w:tcPr>
          <w:p w:rsidR="00126BCB" w:rsidRPr="00830FDE" w:rsidRDefault="00126BCB" w:rsidP="00126BCB">
            <w:pPr>
              <w:spacing w:line="360" w:lineRule="auto"/>
              <w:jc w:val="center"/>
              <w:rPr>
                <w:rFonts w:cs="Times New Roman"/>
                <w:sz w:val="24"/>
                <w:szCs w:val="24"/>
              </w:rPr>
            </w:pPr>
            <w:r>
              <w:rPr>
                <w:rFonts w:cs="Times New Roman"/>
                <w:sz w:val="24"/>
                <w:szCs w:val="24"/>
              </w:rPr>
              <w:t>55%</w:t>
            </w:r>
          </w:p>
        </w:tc>
        <w:tc>
          <w:tcPr>
            <w:tcW w:w="0" w:type="auto"/>
          </w:tcPr>
          <w:p w:rsidR="00126BCB" w:rsidRPr="00830FDE" w:rsidRDefault="00126BCB" w:rsidP="00126BCB">
            <w:pPr>
              <w:spacing w:line="360" w:lineRule="auto"/>
              <w:jc w:val="center"/>
              <w:rPr>
                <w:rFonts w:cs="Times New Roman"/>
                <w:sz w:val="24"/>
                <w:szCs w:val="24"/>
              </w:rPr>
            </w:pPr>
            <w:r>
              <w:rPr>
                <w:rFonts w:cs="Times New Roman"/>
                <w:sz w:val="24"/>
                <w:szCs w:val="24"/>
              </w:rPr>
              <w:t>-</w:t>
            </w:r>
          </w:p>
        </w:tc>
        <w:tc>
          <w:tcPr>
            <w:tcW w:w="0" w:type="auto"/>
          </w:tcPr>
          <w:p w:rsidR="00126BCB" w:rsidRPr="00830FDE" w:rsidRDefault="00126BCB" w:rsidP="00126BCB">
            <w:pPr>
              <w:spacing w:line="360" w:lineRule="auto"/>
              <w:jc w:val="center"/>
              <w:rPr>
                <w:rFonts w:cs="Times New Roman"/>
                <w:sz w:val="24"/>
                <w:szCs w:val="24"/>
              </w:rPr>
            </w:pPr>
            <w:r>
              <w:rPr>
                <w:rFonts w:cs="Times New Roman"/>
                <w:sz w:val="24"/>
                <w:szCs w:val="24"/>
              </w:rPr>
              <w:t>-</w:t>
            </w:r>
          </w:p>
        </w:tc>
        <w:tc>
          <w:tcPr>
            <w:tcW w:w="0" w:type="auto"/>
          </w:tcPr>
          <w:p w:rsidR="00126BCB" w:rsidRPr="00830FDE" w:rsidRDefault="00126BCB" w:rsidP="00126BCB">
            <w:pPr>
              <w:spacing w:line="360" w:lineRule="auto"/>
              <w:jc w:val="center"/>
              <w:rPr>
                <w:rFonts w:cs="Times New Roman"/>
                <w:sz w:val="24"/>
                <w:szCs w:val="24"/>
              </w:rPr>
            </w:pPr>
            <w:r>
              <w:rPr>
                <w:rFonts w:cs="Times New Roman"/>
                <w:sz w:val="24"/>
                <w:szCs w:val="24"/>
              </w:rPr>
              <w:t>-</w:t>
            </w:r>
          </w:p>
        </w:tc>
      </w:tr>
      <w:tr w:rsidR="00126BCB" w:rsidTr="00126BCB">
        <w:tc>
          <w:tcPr>
            <w:tcW w:w="0" w:type="auto"/>
            <w:tcBorders>
              <w:bottom w:val="single" w:sz="4" w:space="0" w:color="auto"/>
            </w:tcBorders>
          </w:tcPr>
          <w:p w:rsidR="00126BCB" w:rsidRPr="00830FDE" w:rsidRDefault="00126BCB" w:rsidP="00126BCB">
            <w:pPr>
              <w:spacing w:line="360" w:lineRule="auto"/>
              <w:jc w:val="center"/>
              <w:rPr>
                <w:rFonts w:cs="Times New Roman"/>
                <w:sz w:val="24"/>
                <w:szCs w:val="24"/>
              </w:rPr>
            </w:pPr>
            <w:r w:rsidRPr="00830FDE">
              <w:rPr>
                <w:rFonts w:cs="Times New Roman"/>
                <w:sz w:val="24"/>
                <w:szCs w:val="24"/>
              </w:rPr>
              <w:t>1c</w:t>
            </w:r>
          </w:p>
        </w:tc>
        <w:tc>
          <w:tcPr>
            <w:tcW w:w="0" w:type="auto"/>
            <w:tcBorders>
              <w:bottom w:val="single" w:sz="4" w:space="0" w:color="auto"/>
            </w:tcBorders>
          </w:tcPr>
          <w:p w:rsidR="00126BCB" w:rsidRPr="00830FDE" w:rsidRDefault="00126BCB" w:rsidP="00126BCB">
            <w:pPr>
              <w:spacing w:line="360" w:lineRule="auto"/>
              <w:jc w:val="center"/>
              <w:rPr>
                <w:rFonts w:cs="Times New Roman"/>
                <w:sz w:val="24"/>
                <w:szCs w:val="24"/>
              </w:rPr>
            </w:pPr>
            <w:r w:rsidRPr="00830FDE">
              <w:rPr>
                <w:rFonts w:cs="Times New Roman"/>
                <w:i/>
                <w:sz w:val="24"/>
                <w:szCs w:val="24"/>
              </w:rPr>
              <w:t>p</w:t>
            </w:r>
            <w:r>
              <w:rPr>
                <w:rFonts w:cs="Times New Roman"/>
                <w:sz w:val="24"/>
                <w:szCs w:val="24"/>
              </w:rPr>
              <w:t>-Me-</w:t>
            </w:r>
            <w:r w:rsidRPr="00830FDE">
              <w:rPr>
                <w:rFonts w:cs="Times New Roman"/>
                <w:sz w:val="24"/>
                <w:szCs w:val="24"/>
              </w:rPr>
              <w:t>C</w:t>
            </w:r>
            <w:r w:rsidRPr="00830FDE">
              <w:rPr>
                <w:rFonts w:cs="Times New Roman"/>
                <w:sz w:val="24"/>
                <w:szCs w:val="24"/>
                <w:vertAlign w:val="subscript"/>
              </w:rPr>
              <w:t>6</w:t>
            </w:r>
            <w:r w:rsidRPr="00830FDE">
              <w:rPr>
                <w:rFonts w:cs="Times New Roman"/>
                <w:sz w:val="24"/>
                <w:szCs w:val="24"/>
              </w:rPr>
              <w:t>H</w:t>
            </w:r>
            <w:r>
              <w:rPr>
                <w:rFonts w:cs="Times New Roman"/>
                <w:sz w:val="24"/>
                <w:szCs w:val="24"/>
                <w:vertAlign w:val="subscript"/>
              </w:rPr>
              <w:t>4</w:t>
            </w:r>
          </w:p>
        </w:tc>
        <w:tc>
          <w:tcPr>
            <w:tcW w:w="0" w:type="auto"/>
            <w:tcBorders>
              <w:bottom w:val="single" w:sz="4" w:space="0" w:color="auto"/>
            </w:tcBorders>
          </w:tcPr>
          <w:p w:rsidR="00126BCB" w:rsidRPr="00830FDE" w:rsidRDefault="00126BCB" w:rsidP="00126BCB">
            <w:pPr>
              <w:spacing w:line="360" w:lineRule="auto"/>
              <w:jc w:val="center"/>
              <w:rPr>
                <w:rFonts w:cs="Times New Roman"/>
                <w:sz w:val="24"/>
                <w:szCs w:val="24"/>
              </w:rPr>
            </w:pPr>
            <w:r w:rsidRPr="00830FDE">
              <w:rPr>
                <w:rFonts w:cs="Times New Roman"/>
                <w:i/>
                <w:sz w:val="24"/>
                <w:szCs w:val="24"/>
              </w:rPr>
              <w:t>p</w:t>
            </w:r>
            <w:r>
              <w:rPr>
                <w:rFonts w:cs="Times New Roman"/>
                <w:sz w:val="24"/>
                <w:szCs w:val="24"/>
              </w:rPr>
              <w:t>-Cl-</w:t>
            </w:r>
            <w:r w:rsidRPr="00830FDE">
              <w:rPr>
                <w:rFonts w:cs="Times New Roman"/>
                <w:sz w:val="24"/>
                <w:szCs w:val="24"/>
              </w:rPr>
              <w:t>C</w:t>
            </w:r>
            <w:r w:rsidRPr="00830FDE">
              <w:rPr>
                <w:rFonts w:cs="Times New Roman"/>
                <w:sz w:val="24"/>
                <w:szCs w:val="24"/>
                <w:vertAlign w:val="subscript"/>
              </w:rPr>
              <w:t>6</w:t>
            </w:r>
            <w:r w:rsidRPr="00830FDE">
              <w:rPr>
                <w:rFonts w:cs="Times New Roman"/>
                <w:sz w:val="24"/>
                <w:szCs w:val="24"/>
              </w:rPr>
              <w:t>H</w:t>
            </w:r>
            <w:r>
              <w:rPr>
                <w:rFonts w:cs="Times New Roman"/>
                <w:sz w:val="24"/>
                <w:szCs w:val="24"/>
                <w:vertAlign w:val="subscript"/>
              </w:rPr>
              <w:t>4</w:t>
            </w:r>
          </w:p>
        </w:tc>
        <w:tc>
          <w:tcPr>
            <w:tcW w:w="0" w:type="auto"/>
            <w:tcBorders>
              <w:bottom w:val="single" w:sz="4" w:space="0" w:color="auto"/>
            </w:tcBorders>
          </w:tcPr>
          <w:p w:rsidR="00126BCB" w:rsidRPr="00830FDE" w:rsidRDefault="00126BCB" w:rsidP="00126BCB">
            <w:pPr>
              <w:spacing w:line="360" w:lineRule="auto"/>
              <w:jc w:val="center"/>
              <w:rPr>
                <w:rFonts w:cs="Times New Roman"/>
                <w:sz w:val="24"/>
                <w:szCs w:val="24"/>
              </w:rPr>
            </w:pPr>
            <w:r>
              <w:rPr>
                <w:rFonts w:cs="Times New Roman"/>
                <w:sz w:val="24"/>
                <w:szCs w:val="24"/>
              </w:rPr>
              <w:t>57%</w:t>
            </w:r>
          </w:p>
        </w:tc>
        <w:tc>
          <w:tcPr>
            <w:tcW w:w="0" w:type="auto"/>
            <w:tcBorders>
              <w:bottom w:val="single" w:sz="4" w:space="0" w:color="auto"/>
            </w:tcBorders>
          </w:tcPr>
          <w:p w:rsidR="00126BCB" w:rsidRPr="00830FDE" w:rsidRDefault="00126BCB" w:rsidP="00126BCB">
            <w:pPr>
              <w:spacing w:line="360" w:lineRule="auto"/>
              <w:jc w:val="center"/>
              <w:rPr>
                <w:rFonts w:cs="Times New Roman"/>
                <w:sz w:val="24"/>
                <w:szCs w:val="24"/>
              </w:rPr>
            </w:pPr>
            <w:r>
              <w:rPr>
                <w:rFonts w:cs="Times New Roman"/>
                <w:sz w:val="24"/>
                <w:szCs w:val="24"/>
              </w:rPr>
              <w:t>-</w:t>
            </w:r>
          </w:p>
        </w:tc>
        <w:tc>
          <w:tcPr>
            <w:tcW w:w="0" w:type="auto"/>
            <w:tcBorders>
              <w:bottom w:val="single" w:sz="4" w:space="0" w:color="auto"/>
            </w:tcBorders>
          </w:tcPr>
          <w:p w:rsidR="00126BCB" w:rsidRPr="00830FDE" w:rsidRDefault="00126BCB" w:rsidP="00126BCB">
            <w:pPr>
              <w:spacing w:line="360" w:lineRule="auto"/>
              <w:jc w:val="center"/>
              <w:rPr>
                <w:rFonts w:cs="Times New Roman"/>
                <w:sz w:val="24"/>
                <w:szCs w:val="24"/>
              </w:rPr>
            </w:pPr>
            <w:r>
              <w:rPr>
                <w:rFonts w:cs="Times New Roman"/>
                <w:sz w:val="24"/>
                <w:szCs w:val="24"/>
              </w:rPr>
              <w:t>10%</w:t>
            </w:r>
          </w:p>
        </w:tc>
        <w:tc>
          <w:tcPr>
            <w:tcW w:w="0" w:type="auto"/>
            <w:tcBorders>
              <w:bottom w:val="single" w:sz="4" w:space="0" w:color="auto"/>
            </w:tcBorders>
          </w:tcPr>
          <w:p w:rsidR="00126BCB" w:rsidRPr="00830FDE" w:rsidRDefault="00126BCB" w:rsidP="00126BCB">
            <w:pPr>
              <w:spacing w:line="360" w:lineRule="auto"/>
              <w:jc w:val="center"/>
              <w:rPr>
                <w:rFonts w:cs="Times New Roman"/>
                <w:sz w:val="24"/>
                <w:szCs w:val="24"/>
              </w:rPr>
            </w:pPr>
            <w:r>
              <w:rPr>
                <w:rFonts w:cs="Times New Roman"/>
                <w:sz w:val="24"/>
                <w:szCs w:val="24"/>
              </w:rPr>
              <w:t>13%</w:t>
            </w:r>
          </w:p>
        </w:tc>
      </w:tr>
    </w:tbl>
    <w:p w:rsidR="00830FDE" w:rsidRDefault="000B7226" w:rsidP="00126BCB">
      <w:pPr>
        <w:spacing w:before="240" w:line="360" w:lineRule="auto"/>
        <w:jc w:val="both"/>
        <w:rPr>
          <w:rFonts w:ascii="Times New Roman" w:hAnsi="Times New Roman" w:cs="Times New Roman"/>
          <w:sz w:val="24"/>
          <w:szCs w:val="24"/>
        </w:rPr>
      </w:pPr>
      <w:r w:rsidRPr="000C022E">
        <w:rPr>
          <w:rFonts w:ascii="Times New Roman" w:hAnsi="Times New Roman" w:cs="Times New Roman"/>
          <w:sz w:val="24"/>
          <w:szCs w:val="24"/>
        </w:rPr>
        <w:tab/>
      </w:r>
    </w:p>
    <w:p w:rsidR="00830FDE" w:rsidRDefault="00830FDE" w:rsidP="000B7226">
      <w:pPr>
        <w:spacing w:line="360" w:lineRule="auto"/>
        <w:jc w:val="both"/>
        <w:rPr>
          <w:rFonts w:ascii="Times New Roman" w:hAnsi="Times New Roman" w:cs="Times New Roman"/>
          <w:sz w:val="24"/>
          <w:szCs w:val="24"/>
        </w:rPr>
      </w:pPr>
    </w:p>
    <w:p w:rsidR="00830FDE" w:rsidRPr="00126BCB" w:rsidRDefault="00126BCB" w:rsidP="00126BCB">
      <w:pPr>
        <w:spacing w:line="360" w:lineRule="auto"/>
        <w:jc w:val="center"/>
        <w:rPr>
          <w:rFonts w:ascii="Calibri" w:hAnsi="Calibri" w:cs="Times New Roman"/>
          <w:b/>
          <w:sz w:val="24"/>
          <w:szCs w:val="24"/>
        </w:rPr>
      </w:pPr>
      <w:r w:rsidRPr="00126BCB">
        <w:rPr>
          <w:rFonts w:ascii="Calibri" w:hAnsi="Calibri" w:cs="Times New Roman"/>
          <w:b/>
          <w:sz w:val="24"/>
          <w:szCs w:val="24"/>
        </w:rPr>
        <w:t>Scheme 1.</w:t>
      </w:r>
      <w:r w:rsidR="00451339">
        <w:rPr>
          <w:rFonts w:ascii="Calibri" w:hAnsi="Calibri" w:cs="Times New Roman"/>
          <w:b/>
          <w:sz w:val="24"/>
          <w:szCs w:val="24"/>
        </w:rPr>
        <w:t>59</w:t>
      </w:r>
    </w:p>
    <w:p w:rsidR="00D50E45" w:rsidRDefault="00D50E45" w:rsidP="000B7226">
      <w:pPr>
        <w:spacing w:line="360" w:lineRule="auto"/>
        <w:jc w:val="both"/>
        <w:rPr>
          <w:rFonts w:ascii="Calibri" w:hAnsi="Calibri" w:cs="Times New Roman"/>
          <w:sz w:val="24"/>
          <w:szCs w:val="24"/>
        </w:rPr>
      </w:pPr>
      <w:r w:rsidRPr="00D50E45">
        <w:rPr>
          <w:rFonts w:ascii="Calibri" w:hAnsi="Calibri" w:cs="Times New Roman"/>
          <w:sz w:val="24"/>
          <w:szCs w:val="24"/>
        </w:rPr>
        <w:lastRenderedPageBreak/>
        <w:t>W</w:t>
      </w:r>
      <w:r>
        <w:rPr>
          <w:rFonts w:ascii="Calibri" w:hAnsi="Calibri" w:cs="Times New Roman"/>
          <w:sz w:val="24"/>
          <w:szCs w:val="24"/>
        </w:rPr>
        <w:t>ang and co-workers</w:t>
      </w:r>
      <w:r w:rsidR="000B7226" w:rsidRPr="00D50E45">
        <w:rPr>
          <w:rFonts w:ascii="Calibri" w:hAnsi="Calibri" w:cs="Times New Roman"/>
          <w:sz w:val="24"/>
          <w:szCs w:val="24"/>
        </w:rPr>
        <w:t xml:space="preserve"> investigated a range of lanthanide triflate catalysts </w:t>
      </w:r>
      <w:r>
        <w:rPr>
          <w:rFonts w:ascii="Calibri" w:hAnsi="Calibri" w:cs="Times New Roman"/>
          <w:sz w:val="24"/>
          <w:szCs w:val="24"/>
        </w:rPr>
        <w:t xml:space="preserve">and loadings. It was found </w:t>
      </w:r>
      <w:r w:rsidRPr="00D50E45">
        <w:rPr>
          <w:rFonts w:ascii="Calibri" w:hAnsi="Calibri" w:cs="Times New Roman"/>
          <w:sz w:val="24"/>
          <w:szCs w:val="24"/>
        </w:rPr>
        <w:t>that a 10-15 mol % catalyst loading gave the optimum results</w:t>
      </w:r>
      <w:r>
        <w:rPr>
          <w:rFonts w:ascii="Calibri" w:hAnsi="Calibri" w:cs="Times New Roman"/>
          <w:sz w:val="24"/>
          <w:szCs w:val="24"/>
        </w:rPr>
        <w:t xml:space="preserve">, </w:t>
      </w:r>
      <w:r w:rsidR="000B7226" w:rsidRPr="00D50E45">
        <w:rPr>
          <w:rFonts w:ascii="Calibri" w:hAnsi="Calibri" w:cs="Times New Roman"/>
          <w:sz w:val="24"/>
          <w:szCs w:val="24"/>
        </w:rPr>
        <w:t>and that neodymium triflate</w:t>
      </w:r>
      <w:r w:rsidR="0049609A">
        <w:rPr>
          <w:rFonts w:ascii="Calibri" w:hAnsi="Calibri" w:cs="Times New Roman"/>
          <w:sz w:val="24"/>
          <w:szCs w:val="24"/>
        </w:rPr>
        <w:t xml:space="preserve"> </w:t>
      </w:r>
      <w:r w:rsidR="0049609A" w:rsidRPr="0049609A">
        <w:rPr>
          <w:rFonts w:ascii="Calibri" w:hAnsi="Calibri" w:cs="Times New Roman"/>
          <w:b/>
          <w:sz w:val="24"/>
          <w:szCs w:val="24"/>
        </w:rPr>
        <w:t>101</w:t>
      </w:r>
      <w:r w:rsidR="000B7226" w:rsidRPr="00D50E45">
        <w:rPr>
          <w:rFonts w:ascii="Calibri" w:hAnsi="Calibri" w:cs="Times New Roman"/>
          <w:sz w:val="24"/>
          <w:szCs w:val="24"/>
        </w:rPr>
        <w:t xml:space="preserve"> gave the highest yield and </w:t>
      </w:r>
      <w:r w:rsidR="000B7226" w:rsidRPr="00D50E45">
        <w:rPr>
          <w:rFonts w:ascii="Calibri" w:hAnsi="Calibri" w:cs="Times New Roman"/>
          <w:i/>
          <w:sz w:val="24"/>
          <w:szCs w:val="24"/>
        </w:rPr>
        <w:t>cis</w:t>
      </w:r>
      <w:r w:rsidR="000B7226" w:rsidRPr="00D50E45">
        <w:rPr>
          <w:rFonts w:ascii="Calibri" w:hAnsi="Calibri" w:cs="Times New Roman"/>
          <w:sz w:val="24"/>
          <w:szCs w:val="24"/>
        </w:rPr>
        <w:t xml:space="preserve"> selectivities were o</w:t>
      </w:r>
      <w:r>
        <w:rPr>
          <w:rFonts w:ascii="Calibri" w:hAnsi="Calibri" w:cs="Times New Roman"/>
          <w:sz w:val="24"/>
          <w:szCs w:val="24"/>
        </w:rPr>
        <w:t>btained in all cases. T</w:t>
      </w:r>
      <w:r w:rsidR="000B7226" w:rsidRPr="00D50E45">
        <w:rPr>
          <w:rFonts w:ascii="Calibri" w:hAnsi="Calibri" w:cs="Times New Roman"/>
          <w:sz w:val="24"/>
          <w:szCs w:val="24"/>
        </w:rPr>
        <w:t xml:space="preserve">he heavier lanthanides </w:t>
      </w:r>
      <w:r>
        <w:rPr>
          <w:rFonts w:ascii="Calibri" w:hAnsi="Calibri" w:cs="Times New Roman"/>
          <w:sz w:val="24"/>
          <w:szCs w:val="24"/>
        </w:rPr>
        <w:t>resulted in reduced</w:t>
      </w:r>
      <w:r w:rsidR="000B7226" w:rsidRPr="00D50E45">
        <w:rPr>
          <w:rFonts w:ascii="Calibri" w:hAnsi="Calibri" w:cs="Times New Roman"/>
          <w:sz w:val="24"/>
          <w:szCs w:val="24"/>
        </w:rPr>
        <w:t xml:space="preserve"> selectivities</w:t>
      </w:r>
      <w:r>
        <w:rPr>
          <w:rFonts w:ascii="Calibri" w:hAnsi="Calibri" w:cs="Times New Roman"/>
          <w:sz w:val="24"/>
          <w:szCs w:val="24"/>
        </w:rPr>
        <w:t>.</w:t>
      </w:r>
    </w:p>
    <w:p w:rsidR="00417B41" w:rsidRDefault="00182C32" w:rsidP="000B7226">
      <w:pPr>
        <w:spacing w:line="360" w:lineRule="auto"/>
        <w:jc w:val="both"/>
        <w:rPr>
          <w:rFonts w:ascii="Calibri" w:hAnsi="Calibri" w:cs="Times New Roman"/>
          <w:sz w:val="24"/>
          <w:szCs w:val="24"/>
        </w:rPr>
      </w:pPr>
      <w:r>
        <w:rPr>
          <w:rFonts w:ascii="Calibri" w:hAnsi="Calibri" w:cs="Times New Roman"/>
          <w:sz w:val="24"/>
          <w:szCs w:val="24"/>
        </w:rPr>
        <w:t xml:space="preserve">Curini </w:t>
      </w:r>
      <w:r w:rsidRPr="00182C32">
        <w:rPr>
          <w:rFonts w:ascii="Calibri" w:hAnsi="Calibri" w:cs="Times New Roman"/>
          <w:i/>
          <w:sz w:val="24"/>
          <w:szCs w:val="24"/>
        </w:rPr>
        <w:t>et al</w:t>
      </w:r>
      <w:r>
        <w:rPr>
          <w:rFonts w:ascii="Calibri" w:hAnsi="Calibri" w:cs="Times New Roman"/>
          <w:sz w:val="24"/>
          <w:szCs w:val="24"/>
        </w:rPr>
        <w:t xml:space="preserve">. reported the use of lanthanide triflates to form </w:t>
      </w:r>
      <w:r w:rsidRPr="00182C32">
        <w:rPr>
          <w:rFonts w:ascii="Symbol" w:hAnsi="Symbol" w:cs="Times New Roman"/>
          <w:sz w:val="24"/>
          <w:szCs w:val="24"/>
        </w:rPr>
        <w:t></w:t>
      </w:r>
      <w:r>
        <w:rPr>
          <w:rFonts w:ascii="Calibri" w:hAnsi="Calibri" w:cs="Times New Roman"/>
          <w:sz w:val="24"/>
          <w:szCs w:val="24"/>
        </w:rPr>
        <w:t>,</w:t>
      </w:r>
      <w:r w:rsidRPr="00182C32">
        <w:rPr>
          <w:rFonts w:ascii="Symbol" w:hAnsi="Symbol" w:cs="Times New Roman"/>
          <w:sz w:val="24"/>
          <w:szCs w:val="24"/>
        </w:rPr>
        <w:t></w:t>
      </w:r>
      <w:r>
        <w:rPr>
          <w:rFonts w:ascii="Calibri" w:hAnsi="Calibri" w:cs="Times New Roman"/>
          <w:sz w:val="24"/>
          <w:szCs w:val="24"/>
        </w:rPr>
        <w:t>-epoxy esters from the reaction of aldehydes with ethyl diazoacetate</w:t>
      </w:r>
      <w:r w:rsidR="0049609A">
        <w:rPr>
          <w:rFonts w:ascii="Calibri" w:hAnsi="Calibri" w:cs="Times New Roman"/>
          <w:sz w:val="24"/>
          <w:szCs w:val="24"/>
        </w:rPr>
        <w:t xml:space="preserve"> </w:t>
      </w:r>
      <w:r w:rsidR="0049609A" w:rsidRPr="0049609A">
        <w:rPr>
          <w:rFonts w:ascii="Calibri" w:hAnsi="Calibri" w:cs="Times New Roman"/>
          <w:b/>
          <w:sz w:val="24"/>
          <w:szCs w:val="24"/>
        </w:rPr>
        <w:t>48</w:t>
      </w:r>
      <w:r w:rsidR="0049609A">
        <w:rPr>
          <w:rFonts w:ascii="Calibri" w:hAnsi="Calibri" w:cs="Times New Roman"/>
          <w:sz w:val="24"/>
          <w:szCs w:val="24"/>
        </w:rPr>
        <w:t xml:space="preserve">, as illustrated in </w:t>
      </w:r>
      <w:r w:rsidR="0049609A" w:rsidRPr="001D29AC">
        <w:rPr>
          <w:rFonts w:ascii="Calibri" w:hAnsi="Calibri" w:cs="Times New Roman"/>
          <w:b/>
          <w:sz w:val="24"/>
          <w:szCs w:val="24"/>
        </w:rPr>
        <w:t>Scheme</w:t>
      </w:r>
      <w:r w:rsidR="0049609A">
        <w:rPr>
          <w:rFonts w:ascii="Calibri" w:hAnsi="Calibri" w:cs="Times New Roman"/>
          <w:sz w:val="24"/>
          <w:szCs w:val="24"/>
        </w:rPr>
        <w:t xml:space="preserve"> </w:t>
      </w:r>
      <w:r w:rsidR="0049609A" w:rsidRPr="0049609A">
        <w:rPr>
          <w:rFonts w:ascii="Calibri" w:hAnsi="Calibri" w:cs="Times New Roman"/>
          <w:b/>
          <w:sz w:val="24"/>
          <w:szCs w:val="24"/>
        </w:rPr>
        <w:t>1.6</w:t>
      </w:r>
      <w:r w:rsidR="00451339">
        <w:rPr>
          <w:rFonts w:ascii="Calibri" w:hAnsi="Calibri" w:cs="Times New Roman"/>
          <w:b/>
          <w:sz w:val="24"/>
          <w:szCs w:val="24"/>
        </w:rPr>
        <w:t>0</w:t>
      </w:r>
      <w:r>
        <w:rPr>
          <w:rFonts w:ascii="Calibri" w:hAnsi="Calibri" w:cs="Times New Roman"/>
          <w:sz w:val="24"/>
          <w:szCs w:val="24"/>
        </w:rPr>
        <w:t>.</w:t>
      </w:r>
      <w:r>
        <w:rPr>
          <w:rFonts w:ascii="Calibri" w:hAnsi="Calibri" w:cs="Times New Roman"/>
          <w:sz w:val="24"/>
          <w:szCs w:val="24"/>
        </w:rPr>
        <w:fldChar w:fldCharType="begin" w:fldLock="1"/>
      </w:r>
      <w:r w:rsidR="00F168DA">
        <w:rPr>
          <w:rFonts w:ascii="Calibri" w:hAnsi="Calibri" w:cs="Times New Roman"/>
          <w:sz w:val="24"/>
          <w:szCs w:val="24"/>
        </w:rPr>
        <w:instrText>ADDIN CSL_CITATION { "citationItems" : [ { "id" : "ITEM-1", "itemData" : { "DOI" : "10.1002/1099-0690(200205)2002:9&lt;1562::AID-EJOC1562&gt;3.0.CO;2-Q", "ISSN" : "1434-193X", "abstract" : "The results of the reaction between Et diazoacetate and carbonyl compds. catalyzed by lanthanide triflates are described.  Aldehydes and \u03b1-unsubstituted and \u03b1-monosubstituted cyclohexanones react to give selective formation of \u03b1,\u03b2-epoxy esters (glycidic esters), whereas other ketones are unreactive. [on SciFinder(R)]", "author" : [ { "dropping-particle" : "", "family" : "Curini", "given" : "Massimo", "non-dropping-particle" : "", "parse-names" : false, "suffix" : "" }, { "dropping-particle" : "", "family" : "Epifano", "given" : "Francesco", "non-dropping-particle" : "", "parse-names" : false, "suffix" : "" }, { "dropping-particle" : "", "family" : "Marcotullio", "given" : "Maria Carla", "non-dropping-particle" : "", "parse-names" : false, "suffix" : "" }, { "dropping-particle" : "", "family" : "Rosati", "given" : "Ornelio.", "non-dropping-particle" : "", "parse-names" : false, "suffix" : "" } ], "container-title" : "European Journal of Organic Chemistry", "id" : "ITEM-1", "issue" : "9", "issued" : { "date-parts" : [ [ "2002" ] ] }, "note" : "CAPLUS AN 2002:366745(Journal)", "page" : "1562-1565", "publisher" : "Wiley-VCH Verlag GmbH", "title" : "The synthesis of solvent-free glycidic esters from diazo esters and carbonyl compounds catalyzed by lanthanide triflates.", "type" : "article-journal" }, "uris" : [ "http://www.mendeley.com/documents/?uuid=fa829335-b5f2-4416-9eca-46c938006c05" ] } ], "mendeley" : { "formattedCitation" : "&lt;sup&gt;[213]&lt;/sup&gt;", "plainTextFormattedCitation" : "[213]", "previouslyFormattedCitation" : "&lt;sup&gt;[213]&lt;/sup&gt;" }, "properties" : { "noteIndex" : 0 }, "schema" : "https://github.com/citation-style-language/schema/raw/master/csl-citation.json" }</w:instrText>
      </w:r>
      <w:r>
        <w:rPr>
          <w:rFonts w:ascii="Calibri" w:hAnsi="Calibri" w:cs="Times New Roman"/>
          <w:sz w:val="24"/>
          <w:szCs w:val="24"/>
        </w:rPr>
        <w:fldChar w:fldCharType="separate"/>
      </w:r>
      <w:r w:rsidR="0055300D" w:rsidRPr="0055300D">
        <w:rPr>
          <w:rFonts w:ascii="Calibri" w:hAnsi="Calibri" w:cs="Times New Roman"/>
          <w:noProof/>
          <w:sz w:val="24"/>
          <w:szCs w:val="24"/>
          <w:vertAlign w:val="superscript"/>
        </w:rPr>
        <w:t>[213]</w:t>
      </w:r>
      <w:r>
        <w:rPr>
          <w:rFonts w:ascii="Calibri" w:hAnsi="Calibri" w:cs="Times New Roman"/>
          <w:sz w:val="24"/>
          <w:szCs w:val="24"/>
        </w:rPr>
        <w:fldChar w:fldCharType="end"/>
      </w:r>
      <w:r>
        <w:rPr>
          <w:rFonts w:ascii="Calibri" w:hAnsi="Calibri" w:cs="Times New Roman"/>
          <w:sz w:val="24"/>
          <w:szCs w:val="24"/>
        </w:rPr>
        <w:t xml:space="preserve"> The authors tested a variety of reaction conditions but found that the best results were obtained in solvent-free conditions. A range of aliphatic and aromatic aldehydes were tested, and were found to be very reactive in all cases, with reactions times of only 10 minutes. </w:t>
      </w:r>
    </w:p>
    <w:p w:rsidR="00417B41" w:rsidRDefault="00417B41" w:rsidP="000B7226">
      <w:pPr>
        <w:spacing w:line="360" w:lineRule="auto"/>
        <w:jc w:val="both"/>
        <w:rPr>
          <w:rFonts w:ascii="Calibri" w:hAnsi="Calibri" w:cs="Times New Roman"/>
          <w:sz w:val="24"/>
          <w:szCs w:val="24"/>
        </w:rPr>
      </w:pPr>
    </w:p>
    <w:p w:rsidR="000B7226" w:rsidRDefault="00C037CF" w:rsidP="00182C32">
      <w:pPr>
        <w:spacing w:line="360" w:lineRule="auto"/>
        <w:jc w:val="center"/>
      </w:pPr>
      <w:r>
        <w:object w:dxaOrig="5460" w:dyaOrig="1142">
          <v:shape id="_x0000_i1084" type="#_x0000_t75" style="width:272.25pt;height:57.75pt" o:ole="">
            <v:imagedata r:id="rId148" o:title=""/>
          </v:shape>
          <o:OLEObject Type="Embed" ProgID="ChemDraw.Document.6.0" ShapeID="_x0000_i1084" DrawAspect="Content" ObjectID="_1531849633" r:id="rId149"/>
        </w:object>
      </w:r>
    </w:p>
    <w:p w:rsidR="00417B41" w:rsidRPr="00D50E45" w:rsidRDefault="00417B41" w:rsidP="00182C32">
      <w:pPr>
        <w:spacing w:line="360" w:lineRule="auto"/>
        <w:jc w:val="center"/>
        <w:rPr>
          <w:rFonts w:ascii="Calibri" w:hAnsi="Calibri"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1630"/>
        <w:gridCol w:w="2075"/>
        <w:gridCol w:w="2101"/>
        <w:gridCol w:w="2108"/>
      </w:tblGrid>
      <w:tr w:rsidR="00417B41" w:rsidTr="00417B41">
        <w:tc>
          <w:tcPr>
            <w:tcW w:w="0" w:type="auto"/>
            <w:tcBorders>
              <w:top w:val="single" w:sz="4" w:space="0" w:color="auto"/>
              <w:bottom w:val="single" w:sz="4" w:space="0" w:color="auto"/>
            </w:tcBorders>
          </w:tcPr>
          <w:p w:rsidR="00417B41" w:rsidRPr="00417B41" w:rsidRDefault="00417B41" w:rsidP="00417B41">
            <w:pPr>
              <w:spacing w:line="360" w:lineRule="auto"/>
              <w:jc w:val="center"/>
              <w:rPr>
                <w:rFonts w:ascii="Calibri" w:hAnsi="Calibri" w:cs="Times New Roman"/>
                <w:b/>
                <w:sz w:val="24"/>
                <w:szCs w:val="24"/>
                <w:vertAlign w:val="superscript"/>
              </w:rPr>
            </w:pPr>
            <w:r>
              <w:rPr>
                <w:rFonts w:ascii="Calibri" w:hAnsi="Calibri" w:cs="Times New Roman"/>
                <w:b/>
                <w:sz w:val="24"/>
                <w:szCs w:val="24"/>
              </w:rPr>
              <w:t>R</w:t>
            </w:r>
            <w:r>
              <w:rPr>
                <w:rFonts w:ascii="Calibri" w:hAnsi="Calibri" w:cs="Times New Roman"/>
                <w:b/>
                <w:sz w:val="24"/>
                <w:szCs w:val="24"/>
                <w:vertAlign w:val="superscript"/>
              </w:rPr>
              <w:t>1</w:t>
            </w:r>
          </w:p>
        </w:tc>
        <w:tc>
          <w:tcPr>
            <w:tcW w:w="0" w:type="auto"/>
            <w:tcBorders>
              <w:top w:val="single" w:sz="4" w:space="0" w:color="auto"/>
              <w:bottom w:val="single" w:sz="4" w:space="0" w:color="auto"/>
            </w:tcBorders>
          </w:tcPr>
          <w:p w:rsidR="00417B41" w:rsidRDefault="00417B41" w:rsidP="00417B41">
            <w:pPr>
              <w:spacing w:line="360" w:lineRule="auto"/>
              <w:jc w:val="center"/>
              <w:rPr>
                <w:rFonts w:ascii="Calibri" w:hAnsi="Calibri" w:cs="Times New Roman"/>
                <w:b/>
                <w:sz w:val="24"/>
                <w:szCs w:val="24"/>
              </w:rPr>
            </w:pPr>
            <w:r>
              <w:rPr>
                <w:rFonts w:ascii="Calibri" w:hAnsi="Calibri" w:cs="Times New Roman"/>
                <w:b/>
                <w:sz w:val="24"/>
                <w:szCs w:val="24"/>
              </w:rPr>
              <w:t xml:space="preserve">Ratio </w:t>
            </w:r>
            <w:r w:rsidRPr="00512B10">
              <w:rPr>
                <w:rFonts w:ascii="Calibri" w:hAnsi="Calibri" w:cs="Times New Roman"/>
                <w:b/>
                <w:i/>
                <w:sz w:val="24"/>
                <w:szCs w:val="24"/>
              </w:rPr>
              <w:t>cis</w:t>
            </w:r>
            <w:r>
              <w:rPr>
                <w:rFonts w:ascii="Calibri" w:hAnsi="Calibri" w:cs="Times New Roman"/>
                <w:b/>
                <w:sz w:val="24"/>
                <w:szCs w:val="24"/>
              </w:rPr>
              <w:t>:</w:t>
            </w:r>
            <w:r w:rsidRPr="00512B10">
              <w:rPr>
                <w:rFonts w:ascii="Calibri" w:hAnsi="Calibri" w:cs="Times New Roman"/>
                <w:b/>
                <w:i/>
                <w:sz w:val="24"/>
                <w:szCs w:val="24"/>
              </w:rPr>
              <w:t>trans</w:t>
            </w:r>
          </w:p>
        </w:tc>
        <w:tc>
          <w:tcPr>
            <w:tcW w:w="0" w:type="auto"/>
            <w:tcBorders>
              <w:top w:val="single" w:sz="4" w:space="0" w:color="auto"/>
              <w:bottom w:val="single" w:sz="4" w:space="0" w:color="auto"/>
            </w:tcBorders>
          </w:tcPr>
          <w:p w:rsidR="00417B41" w:rsidRDefault="00417B41" w:rsidP="00417B41">
            <w:pPr>
              <w:spacing w:line="360" w:lineRule="auto"/>
              <w:jc w:val="center"/>
              <w:rPr>
                <w:rFonts w:ascii="Calibri" w:hAnsi="Calibri" w:cs="Times New Roman"/>
                <w:b/>
                <w:sz w:val="24"/>
                <w:szCs w:val="24"/>
              </w:rPr>
            </w:pPr>
            <w:r>
              <w:rPr>
                <w:rFonts w:ascii="Calibri" w:hAnsi="Calibri" w:cs="Times New Roman"/>
                <w:b/>
                <w:sz w:val="24"/>
                <w:szCs w:val="24"/>
              </w:rPr>
              <w:t>Yield with La(OTf)</w:t>
            </w:r>
            <w:r w:rsidRPr="00417B41">
              <w:rPr>
                <w:rFonts w:ascii="Calibri" w:hAnsi="Calibri" w:cs="Times New Roman"/>
                <w:b/>
                <w:sz w:val="24"/>
                <w:szCs w:val="24"/>
                <w:vertAlign w:val="subscript"/>
              </w:rPr>
              <w:t>3</w:t>
            </w:r>
          </w:p>
        </w:tc>
        <w:tc>
          <w:tcPr>
            <w:tcW w:w="0" w:type="auto"/>
            <w:tcBorders>
              <w:top w:val="single" w:sz="4" w:space="0" w:color="auto"/>
              <w:bottom w:val="single" w:sz="4" w:space="0" w:color="auto"/>
            </w:tcBorders>
          </w:tcPr>
          <w:p w:rsidR="00417B41" w:rsidRDefault="00417B41" w:rsidP="00417B41">
            <w:pPr>
              <w:spacing w:line="360" w:lineRule="auto"/>
              <w:jc w:val="center"/>
              <w:rPr>
                <w:rFonts w:ascii="Calibri" w:hAnsi="Calibri" w:cs="Times New Roman"/>
                <w:b/>
                <w:sz w:val="24"/>
                <w:szCs w:val="24"/>
              </w:rPr>
            </w:pPr>
            <w:r>
              <w:rPr>
                <w:rFonts w:ascii="Calibri" w:hAnsi="Calibri" w:cs="Times New Roman"/>
                <w:b/>
                <w:sz w:val="24"/>
                <w:szCs w:val="24"/>
              </w:rPr>
              <w:t>Yield with Eu(OTf)</w:t>
            </w:r>
            <w:r w:rsidRPr="00417B41">
              <w:rPr>
                <w:rFonts w:ascii="Calibri" w:hAnsi="Calibri" w:cs="Times New Roman"/>
                <w:b/>
                <w:sz w:val="24"/>
                <w:szCs w:val="24"/>
                <w:vertAlign w:val="subscript"/>
              </w:rPr>
              <w:t>3</w:t>
            </w:r>
          </w:p>
        </w:tc>
        <w:tc>
          <w:tcPr>
            <w:tcW w:w="0" w:type="auto"/>
            <w:tcBorders>
              <w:top w:val="single" w:sz="4" w:space="0" w:color="auto"/>
              <w:bottom w:val="single" w:sz="4" w:space="0" w:color="auto"/>
            </w:tcBorders>
          </w:tcPr>
          <w:p w:rsidR="00417B41" w:rsidRDefault="00417B41" w:rsidP="00417B41">
            <w:pPr>
              <w:spacing w:line="360" w:lineRule="auto"/>
              <w:jc w:val="center"/>
              <w:rPr>
                <w:rFonts w:ascii="Calibri" w:hAnsi="Calibri" w:cs="Times New Roman"/>
                <w:b/>
                <w:sz w:val="24"/>
                <w:szCs w:val="24"/>
              </w:rPr>
            </w:pPr>
            <w:r>
              <w:rPr>
                <w:rFonts w:ascii="Calibri" w:hAnsi="Calibri" w:cs="Times New Roman"/>
                <w:b/>
                <w:sz w:val="24"/>
                <w:szCs w:val="24"/>
              </w:rPr>
              <w:t>Yield with Yb(OTf)</w:t>
            </w:r>
            <w:r w:rsidRPr="00417B41">
              <w:rPr>
                <w:rFonts w:ascii="Calibri" w:hAnsi="Calibri" w:cs="Times New Roman"/>
                <w:b/>
                <w:sz w:val="24"/>
                <w:szCs w:val="24"/>
                <w:vertAlign w:val="subscript"/>
              </w:rPr>
              <w:t>3</w:t>
            </w:r>
          </w:p>
        </w:tc>
      </w:tr>
      <w:tr w:rsidR="00417B41" w:rsidTr="00417B41">
        <w:tc>
          <w:tcPr>
            <w:tcW w:w="0" w:type="auto"/>
            <w:tcBorders>
              <w:top w:val="single" w:sz="4" w:space="0" w:color="auto"/>
            </w:tcBorders>
          </w:tcPr>
          <w:p w:rsidR="00417B41" w:rsidRPr="00417B41" w:rsidRDefault="00417B41" w:rsidP="00417B41">
            <w:pPr>
              <w:spacing w:line="360" w:lineRule="auto"/>
              <w:jc w:val="center"/>
              <w:rPr>
                <w:rFonts w:ascii="Calibri" w:hAnsi="Calibri" w:cs="Times New Roman"/>
                <w:sz w:val="24"/>
                <w:szCs w:val="24"/>
              </w:rPr>
            </w:pPr>
            <w:r w:rsidRPr="00417B41">
              <w:rPr>
                <w:rFonts w:ascii="Calibri" w:hAnsi="Calibri" w:cs="Times New Roman"/>
                <w:sz w:val="24"/>
                <w:szCs w:val="24"/>
              </w:rPr>
              <w:t>CH</w:t>
            </w:r>
            <w:r w:rsidRPr="00417B41">
              <w:rPr>
                <w:rFonts w:ascii="Calibri" w:hAnsi="Calibri" w:cs="Times New Roman"/>
                <w:sz w:val="24"/>
                <w:szCs w:val="24"/>
                <w:vertAlign w:val="subscript"/>
              </w:rPr>
              <w:t>3</w:t>
            </w:r>
          </w:p>
        </w:tc>
        <w:tc>
          <w:tcPr>
            <w:tcW w:w="0" w:type="auto"/>
            <w:tcBorders>
              <w:top w:val="single" w:sz="4" w:space="0" w:color="auto"/>
            </w:tcBorders>
          </w:tcPr>
          <w:p w:rsidR="00417B41" w:rsidRPr="00417B41" w:rsidRDefault="00417B41" w:rsidP="00417B41">
            <w:pPr>
              <w:spacing w:line="360" w:lineRule="auto"/>
              <w:jc w:val="center"/>
              <w:rPr>
                <w:rFonts w:ascii="Calibri" w:hAnsi="Calibri" w:cs="Times New Roman"/>
                <w:sz w:val="24"/>
                <w:szCs w:val="24"/>
              </w:rPr>
            </w:pPr>
            <w:r w:rsidRPr="00417B41">
              <w:rPr>
                <w:rFonts w:ascii="Calibri" w:hAnsi="Calibri" w:cs="Times New Roman"/>
                <w:sz w:val="24"/>
                <w:szCs w:val="24"/>
              </w:rPr>
              <w:t>1:1</w:t>
            </w:r>
          </w:p>
        </w:tc>
        <w:tc>
          <w:tcPr>
            <w:tcW w:w="0" w:type="auto"/>
            <w:tcBorders>
              <w:top w:val="single" w:sz="4" w:space="0" w:color="auto"/>
            </w:tcBorders>
          </w:tcPr>
          <w:p w:rsidR="00417B41" w:rsidRPr="00417B41" w:rsidRDefault="00417B41" w:rsidP="00417B41">
            <w:pPr>
              <w:spacing w:line="360" w:lineRule="auto"/>
              <w:jc w:val="center"/>
              <w:rPr>
                <w:rFonts w:ascii="Calibri" w:hAnsi="Calibri" w:cs="Times New Roman"/>
                <w:sz w:val="24"/>
                <w:szCs w:val="24"/>
              </w:rPr>
            </w:pPr>
            <w:r w:rsidRPr="00417B41">
              <w:rPr>
                <w:rFonts w:ascii="Calibri" w:hAnsi="Calibri" w:cs="Times New Roman"/>
                <w:sz w:val="24"/>
                <w:szCs w:val="24"/>
              </w:rPr>
              <w:t>92%</w:t>
            </w:r>
          </w:p>
        </w:tc>
        <w:tc>
          <w:tcPr>
            <w:tcW w:w="0" w:type="auto"/>
            <w:tcBorders>
              <w:top w:val="single" w:sz="4" w:space="0" w:color="auto"/>
            </w:tcBorders>
          </w:tcPr>
          <w:p w:rsidR="00417B41" w:rsidRPr="00417B41" w:rsidRDefault="00417B41" w:rsidP="00417B41">
            <w:pPr>
              <w:spacing w:line="360" w:lineRule="auto"/>
              <w:jc w:val="center"/>
              <w:rPr>
                <w:rFonts w:ascii="Calibri" w:hAnsi="Calibri" w:cs="Times New Roman"/>
                <w:sz w:val="24"/>
                <w:szCs w:val="24"/>
              </w:rPr>
            </w:pPr>
            <w:r w:rsidRPr="00417B41">
              <w:rPr>
                <w:rFonts w:ascii="Calibri" w:hAnsi="Calibri" w:cs="Times New Roman"/>
                <w:sz w:val="24"/>
                <w:szCs w:val="24"/>
              </w:rPr>
              <w:t>35%</w:t>
            </w:r>
          </w:p>
        </w:tc>
        <w:tc>
          <w:tcPr>
            <w:tcW w:w="0" w:type="auto"/>
            <w:tcBorders>
              <w:top w:val="single" w:sz="4" w:space="0" w:color="auto"/>
            </w:tcBorders>
          </w:tcPr>
          <w:p w:rsidR="00417B41" w:rsidRPr="00417B41" w:rsidRDefault="00417B41" w:rsidP="00417B41">
            <w:pPr>
              <w:spacing w:line="360" w:lineRule="auto"/>
              <w:jc w:val="center"/>
              <w:rPr>
                <w:rFonts w:ascii="Calibri" w:hAnsi="Calibri" w:cs="Times New Roman"/>
                <w:sz w:val="24"/>
                <w:szCs w:val="24"/>
              </w:rPr>
            </w:pPr>
            <w:r w:rsidRPr="00417B41">
              <w:rPr>
                <w:rFonts w:ascii="Calibri" w:hAnsi="Calibri" w:cs="Times New Roman"/>
                <w:sz w:val="24"/>
                <w:szCs w:val="24"/>
              </w:rPr>
              <w:t>29%</w:t>
            </w:r>
          </w:p>
        </w:tc>
      </w:tr>
      <w:tr w:rsidR="00417B41" w:rsidTr="00417B41">
        <w:tc>
          <w:tcPr>
            <w:tcW w:w="0" w:type="auto"/>
          </w:tcPr>
          <w:p w:rsidR="00417B41" w:rsidRPr="00417B41" w:rsidRDefault="00417B41" w:rsidP="00417B41">
            <w:pPr>
              <w:spacing w:line="360" w:lineRule="auto"/>
              <w:jc w:val="center"/>
              <w:rPr>
                <w:rFonts w:ascii="Calibri" w:hAnsi="Calibri" w:cs="Times New Roman"/>
                <w:sz w:val="24"/>
                <w:szCs w:val="24"/>
              </w:rPr>
            </w:pPr>
            <w:r w:rsidRPr="00417B41">
              <w:rPr>
                <w:rFonts w:ascii="Calibri" w:hAnsi="Calibri" w:cs="Times New Roman"/>
                <w:sz w:val="24"/>
                <w:szCs w:val="24"/>
              </w:rPr>
              <w:t>C</w:t>
            </w:r>
            <w:r w:rsidRPr="00417B41">
              <w:rPr>
                <w:rFonts w:ascii="Calibri" w:hAnsi="Calibri" w:cs="Times New Roman"/>
                <w:sz w:val="24"/>
                <w:szCs w:val="24"/>
                <w:vertAlign w:val="subscript"/>
              </w:rPr>
              <w:t>5</w:t>
            </w:r>
            <w:r w:rsidRPr="00417B41">
              <w:rPr>
                <w:rFonts w:ascii="Calibri" w:hAnsi="Calibri" w:cs="Times New Roman"/>
                <w:sz w:val="24"/>
                <w:szCs w:val="24"/>
              </w:rPr>
              <w:t>H</w:t>
            </w:r>
            <w:r w:rsidRPr="00417B41">
              <w:rPr>
                <w:rFonts w:ascii="Calibri" w:hAnsi="Calibri" w:cs="Times New Roman"/>
                <w:sz w:val="24"/>
                <w:szCs w:val="24"/>
                <w:vertAlign w:val="subscript"/>
              </w:rPr>
              <w:t>11</w:t>
            </w:r>
          </w:p>
        </w:tc>
        <w:tc>
          <w:tcPr>
            <w:tcW w:w="0" w:type="auto"/>
          </w:tcPr>
          <w:p w:rsidR="00417B41" w:rsidRPr="00417B41" w:rsidRDefault="00417B41" w:rsidP="00417B41">
            <w:pPr>
              <w:spacing w:line="360" w:lineRule="auto"/>
              <w:jc w:val="center"/>
              <w:rPr>
                <w:rFonts w:ascii="Calibri" w:hAnsi="Calibri" w:cs="Times New Roman"/>
                <w:sz w:val="24"/>
                <w:szCs w:val="24"/>
              </w:rPr>
            </w:pPr>
            <w:r w:rsidRPr="00417B41">
              <w:rPr>
                <w:rFonts w:ascii="Calibri" w:hAnsi="Calibri" w:cs="Times New Roman"/>
                <w:sz w:val="24"/>
                <w:szCs w:val="24"/>
              </w:rPr>
              <w:t>1:1</w:t>
            </w:r>
          </w:p>
        </w:tc>
        <w:tc>
          <w:tcPr>
            <w:tcW w:w="0" w:type="auto"/>
          </w:tcPr>
          <w:p w:rsidR="00417B41" w:rsidRPr="00417B41" w:rsidRDefault="00417B41" w:rsidP="00417B41">
            <w:pPr>
              <w:spacing w:line="360" w:lineRule="auto"/>
              <w:jc w:val="center"/>
              <w:rPr>
                <w:rFonts w:ascii="Calibri" w:hAnsi="Calibri" w:cs="Times New Roman"/>
                <w:sz w:val="24"/>
                <w:szCs w:val="24"/>
              </w:rPr>
            </w:pPr>
            <w:r w:rsidRPr="00417B41">
              <w:rPr>
                <w:rFonts w:ascii="Calibri" w:hAnsi="Calibri" w:cs="Times New Roman"/>
                <w:sz w:val="24"/>
                <w:szCs w:val="24"/>
              </w:rPr>
              <w:t>85%</w:t>
            </w:r>
          </w:p>
        </w:tc>
        <w:tc>
          <w:tcPr>
            <w:tcW w:w="0" w:type="auto"/>
          </w:tcPr>
          <w:p w:rsidR="00417B41" w:rsidRPr="00417B41" w:rsidRDefault="00417B41" w:rsidP="00417B41">
            <w:pPr>
              <w:spacing w:line="360" w:lineRule="auto"/>
              <w:jc w:val="center"/>
              <w:rPr>
                <w:rFonts w:ascii="Calibri" w:hAnsi="Calibri" w:cs="Times New Roman"/>
                <w:sz w:val="24"/>
                <w:szCs w:val="24"/>
              </w:rPr>
            </w:pPr>
            <w:r w:rsidRPr="00417B41">
              <w:rPr>
                <w:rFonts w:ascii="Calibri" w:hAnsi="Calibri" w:cs="Times New Roman"/>
                <w:sz w:val="24"/>
                <w:szCs w:val="24"/>
              </w:rPr>
              <w:t>41%</w:t>
            </w:r>
          </w:p>
        </w:tc>
        <w:tc>
          <w:tcPr>
            <w:tcW w:w="0" w:type="auto"/>
          </w:tcPr>
          <w:p w:rsidR="00417B41" w:rsidRPr="00417B41" w:rsidRDefault="00417B41" w:rsidP="00417B41">
            <w:pPr>
              <w:spacing w:line="360" w:lineRule="auto"/>
              <w:jc w:val="center"/>
              <w:rPr>
                <w:rFonts w:ascii="Calibri" w:hAnsi="Calibri" w:cs="Times New Roman"/>
                <w:sz w:val="24"/>
                <w:szCs w:val="24"/>
              </w:rPr>
            </w:pPr>
            <w:r w:rsidRPr="00417B41">
              <w:rPr>
                <w:rFonts w:ascii="Calibri" w:hAnsi="Calibri" w:cs="Times New Roman"/>
                <w:sz w:val="24"/>
                <w:szCs w:val="24"/>
              </w:rPr>
              <w:t>40%</w:t>
            </w:r>
          </w:p>
        </w:tc>
      </w:tr>
      <w:tr w:rsidR="00417B41" w:rsidTr="00417B41">
        <w:tc>
          <w:tcPr>
            <w:tcW w:w="0" w:type="auto"/>
            <w:tcBorders>
              <w:bottom w:val="single" w:sz="4" w:space="0" w:color="auto"/>
            </w:tcBorders>
          </w:tcPr>
          <w:p w:rsidR="00417B41" w:rsidRPr="00417B41" w:rsidRDefault="00417B41" w:rsidP="00417B41">
            <w:pPr>
              <w:spacing w:line="360" w:lineRule="auto"/>
              <w:jc w:val="center"/>
              <w:rPr>
                <w:rFonts w:ascii="Calibri" w:hAnsi="Calibri" w:cs="Times New Roman"/>
                <w:sz w:val="24"/>
                <w:szCs w:val="24"/>
              </w:rPr>
            </w:pPr>
            <w:r w:rsidRPr="00417B41">
              <w:rPr>
                <w:rFonts w:ascii="Calibri" w:hAnsi="Calibri" w:cs="Times New Roman"/>
                <w:sz w:val="24"/>
                <w:szCs w:val="24"/>
              </w:rPr>
              <w:t>C</w:t>
            </w:r>
            <w:r w:rsidRPr="00417B41">
              <w:rPr>
                <w:rFonts w:ascii="Calibri" w:hAnsi="Calibri" w:cs="Times New Roman"/>
                <w:sz w:val="24"/>
                <w:szCs w:val="24"/>
                <w:vertAlign w:val="subscript"/>
              </w:rPr>
              <w:t>6</w:t>
            </w:r>
            <w:r w:rsidRPr="00417B41">
              <w:rPr>
                <w:rFonts w:ascii="Calibri" w:hAnsi="Calibri" w:cs="Times New Roman"/>
                <w:sz w:val="24"/>
                <w:szCs w:val="24"/>
              </w:rPr>
              <w:t>H</w:t>
            </w:r>
            <w:r w:rsidRPr="00417B41">
              <w:rPr>
                <w:rFonts w:ascii="Calibri" w:hAnsi="Calibri" w:cs="Times New Roman"/>
                <w:sz w:val="24"/>
                <w:szCs w:val="24"/>
                <w:vertAlign w:val="subscript"/>
              </w:rPr>
              <w:t>5</w:t>
            </w:r>
          </w:p>
        </w:tc>
        <w:tc>
          <w:tcPr>
            <w:tcW w:w="0" w:type="auto"/>
            <w:tcBorders>
              <w:bottom w:val="single" w:sz="4" w:space="0" w:color="auto"/>
            </w:tcBorders>
          </w:tcPr>
          <w:p w:rsidR="00417B41" w:rsidRPr="00417B41" w:rsidRDefault="00417B41" w:rsidP="00417B41">
            <w:pPr>
              <w:spacing w:line="360" w:lineRule="auto"/>
              <w:jc w:val="center"/>
              <w:rPr>
                <w:rFonts w:ascii="Calibri" w:hAnsi="Calibri" w:cs="Times New Roman"/>
                <w:sz w:val="24"/>
                <w:szCs w:val="24"/>
              </w:rPr>
            </w:pPr>
            <w:r w:rsidRPr="00417B41">
              <w:rPr>
                <w:rFonts w:ascii="Calibri" w:hAnsi="Calibri" w:cs="Times New Roman"/>
                <w:sz w:val="24"/>
                <w:szCs w:val="24"/>
              </w:rPr>
              <w:t>4:6</w:t>
            </w:r>
          </w:p>
        </w:tc>
        <w:tc>
          <w:tcPr>
            <w:tcW w:w="0" w:type="auto"/>
            <w:tcBorders>
              <w:bottom w:val="single" w:sz="4" w:space="0" w:color="auto"/>
            </w:tcBorders>
          </w:tcPr>
          <w:p w:rsidR="00417B41" w:rsidRPr="00417B41" w:rsidRDefault="00417B41" w:rsidP="00417B41">
            <w:pPr>
              <w:spacing w:line="360" w:lineRule="auto"/>
              <w:jc w:val="center"/>
              <w:rPr>
                <w:rFonts w:ascii="Calibri" w:hAnsi="Calibri" w:cs="Times New Roman"/>
                <w:sz w:val="24"/>
                <w:szCs w:val="24"/>
              </w:rPr>
            </w:pPr>
            <w:r w:rsidRPr="00417B41">
              <w:rPr>
                <w:rFonts w:ascii="Calibri" w:hAnsi="Calibri" w:cs="Times New Roman"/>
                <w:sz w:val="24"/>
                <w:szCs w:val="24"/>
              </w:rPr>
              <w:t>73%</w:t>
            </w:r>
          </w:p>
        </w:tc>
        <w:tc>
          <w:tcPr>
            <w:tcW w:w="0" w:type="auto"/>
            <w:tcBorders>
              <w:bottom w:val="single" w:sz="4" w:space="0" w:color="auto"/>
            </w:tcBorders>
          </w:tcPr>
          <w:p w:rsidR="00417B41" w:rsidRPr="00417B41" w:rsidRDefault="00417B41" w:rsidP="00417B41">
            <w:pPr>
              <w:spacing w:line="360" w:lineRule="auto"/>
              <w:jc w:val="center"/>
              <w:rPr>
                <w:rFonts w:ascii="Calibri" w:hAnsi="Calibri" w:cs="Times New Roman"/>
                <w:sz w:val="24"/>
                <w:szCs w:val="24"/>
              </w:rPr>
            </w:pPr>
            <w:r w:rsidRPr="00417B41">
              <w:rPr>
                <w:rFonts w:ascii="Calibri" w:hAnsi="Calibri" w:cs="Times New Roman"/>
                <w:sz w:val="24"/>
                <w:szCs w:val="24"/>
              </w:rPr>
              <w:t>19%</w:t>
            </w:r>
          </w:p>
        </w:tc>
        <w:tc>
          <w:tcPr>
            <w:tcW w:w="0" w:type="auto"/>
            <w:tcBorders>
              <w:bottom w:val="single" w:sz="4" w:space="0" w:color="auto"/>
            </w:tcBorders>
          </w:tcPr>
          <w:p w:rsidR="00417B41" w:rsidRPr="00417B41" w:rsidRDefault="00417B41" w:rsidP="00417B41">
            <w:pPr>
              <w:tabs>
                <w:tab w:val="left" w:pos="480"/>
                <w:tab w:val="center" w:pos="794"/>
              </w:tabs>
              <w:spacing w:line="360" w:lineRule="auto"/>
              <w:jc w:val="center"/>
              <w:rPr>
                <w:rFonts w:ascii="Calibri" w:hAnsi="Calibri" w:cs="Times New Roman"/>
                <w:sz w:val="24"/>
                <w:szCs w:val="24"/>
              </w:rPr>
            </w:pPr>
            <w:r w:rsidRPr="00417B41">
              <w:rPr>
                <w:rFonts w:ascii="Calibri" w:hAnsi="Calibri" w:cs="Times New Roman"/>
                <w:sz w:val="24"/>
                <w:szCs w:val="24"/>
              </w:rPr>
              <w:t>18%</w:t>
            </w:r>
          </w:p>
        </w:tc>
      </w:tr>
    </w:tbl>
    <w:p w:rsidR="000B7226" w:rsidRDefault="000B7226" w:rsidP="000828C5">
      <w:pPr>
        <w:spacing w:line="360" w:lineRule="auto"/>
        <w:jc w:val="both"/>
        <w:rPr>
          <w:rFonts w:ascii="Calibri" w:hAnsi="Calibri" w:cs="Times New Roman"/>
          <w:b/>
          <w:sz w:val="24"/>
          <w:szCs w:val="24"/>
        </w:rPr>
      </w:pPr>
    </w:p>
    <w:p w:rsidR="0049609A" w:rsidRPr="000B7226" w:rsidRDefault="00451339" w:rsidP="0049609A">
      <w:pPr>
        <w:spacing w:line="360" w:lineRule="auto"/>
        <w:jc w:val="center"/>
        <w:rPr>
          <w:rFonts w:ascii="Calibri" w:hAnsi="Calibri" w:cs="Times New Roman"/>
          <w:b/>
          <w:sz w:val="24"/>
          <w:szCs w:val="24"/>
        </w:rPr>
      </w:pPr>
      <w:r>
        <w:rPr>
          <w:rFonts w:ascii="Calibri" w:hAnsi="Calibri" w:cs="Times New Roman"/>
          <w:b/>
          <w:sz w:val="24"/>
          <w:szCs w:val="24"/>
        </w:rPr>
        <w:t>Scheme 1.60</w:t>
      </w:r>
    </w:p>
    <w:p w:rsidR="0049609A" w:rsidRDefault="0049609A" w:rsidP="000828C5">
      <w:pPr>
        <w:spacing w:line="360" w:lineRule="auto"/>
        <w:jc w:val="both"/>
        <w:rPr>
          <w:rFonts w:cs="Times New Roman"/>
          <w:sz w:val="24"/>
          <w:szCs w:val="24"/>
        </w:rPr>
      </w:pPr>
    </w:p>
    <w:p w:rsidR="008A66E1" w:rsidRDefault="003C5DAE" w:rsidP="000828C5">
      <w:pPr>
        <w:spacing w:line="360" w:lineRule="auto"/>
        <w:jc w:val="both"/>
        <w:rPr>
          <w:rFonts w:cs="Times New Roman"/>
          <w:sz w:val="24"/>
          <w:szCs w:val="24"/>
        </w:rPr>
      </w:pPr>
      <w:r w:rsidRPr="003C5DAE">
        <w:rPr>
          <w:rFonts w:cs="Times New Roman"/>
          <w:sz w:val="24"/>
          <w:szCs w:val="24"/>
        </w:rPr>
        <w:t>The same reaction was attempted using ketones as substrates</w:t>
      </w:r>
      <w:r w:rsidR="00FA4F18">
        <w:rPr>
          <w:rFonts w:cs="Times New Roman"/>
          <w:sz w:val="24"/>
          <w:szCs w:val="24"/>
        </w:rPr>
        <w:t xml:space="preserve"> in an attempt to form glycidic esters</w:t>
      </w:r>
      <w:r>
        <w:rPr>
          <w:rFonts w:cs="Times New Roman"/>
          <w:sz w:val="24"/>
          <w:szCs w:val="24"/>
        </w:rPr>
        <w:t>. Ketones were found to be much less reactive than aldehydes, with no reaction occuring in several cases, and a significantly longer reaction time (72h) for those that did react</w:t>
      </w:r>
      <w:r w:rsidR="0049609A">
        <w:rPr>
          <w:rFonts w:cs="Times New Roman"/>
          <w:sz w:val="24"/>
          <w:szCs w:val="24"/>
        </w:rPr>
        <w:t xml:space="preserve"> (</w:t>
      </w:r>
      <w:r w:rsidR="00451339">
        <w:rPr>
          <w:rFonts w:cs="Times New Roman"/>
          <w:b/>
          <w:sz w:val="24"/>
          <w:szCs w:val="24"/>
        </w:rPr>
        <w:t>Scheme 1.61</w:t>
      </w:r>
      <w:r w:rsidR="0049609A">
        <w:rPr>
          <w:rFonts w:cs="Times New Roman"/>
          <w:sz w:val="24"/>
          <w:szCs w:val="24"/>
        </w:rPr>
        <w:t>)</w:t>
      </w:r>
      <w:r>
        <w:rPr>
          <w:rFonts w:cs="Times New Roman"/>
          <w:sz w:val="24"/>
          <w:szCs w:val="24"/>
        </w:rPr>
        <w:t xml:space="preserve">. It was determined that </w:t>
      </w:r>
      <w:r w:rsidRPr="00F92837">
        <w:rPr>
          <w:rFonts w:ascii="Symbol" w:hAnsi="Symbol" w:cs="Times New Roman"/>
          <w:sz w:val="24"/>
          <w:szCs w:val="24"/>
        </w:rPr>
        <w:t></w:t>
      </w:r>
      <w:r>
        <w:rPr>
          <w:rFonts w:cs="Times New Roman"/>
          <w:sz w:val="24"/>
          <w:szCs w:val="24"/>
        </w:rPr>
        <w:t xml:space="preserve">-unsubstituted and </w:t>
      </w:r>
      <w:r w:rsidRPr="003C5DAE">
        <w:rPr>
          <w:rFonts w:ascii="Symbol" w:hAnsi="Symbol" w:cs="Times New Roman"/>
          <w:sz w:val="24"/>
          <w:szCs w:val="24"/>
        </w:rPr>
        <w:t></w:t>
      </w:r>
      <w:r>
        <w:rPr>
          <w:rFonts w:cs="Times New Roman"/>
          <w:sz w:val="24"/>
          <w:szCs w:val="24"/>
        </w:rPr>
        <w:t xml:space="preserve">-monosubstituted cyclohexanones were the only substrates for which the process is effective. </w:t>
      </w:r>
    </w:p>
    <w:p w:rsidR="0049609A" w:rsidRDefault="0049609A" w:rsidP="000828C5">
      <w:pPr>
        <w:spacing w:line="360" w:lineRule="auto"/>
        <w:jc w:val="both"/>
        <w:rPr>
          <w:rFonts w:cs="Times New Roman"/>
          <w:sz w:val="24"/>
          <w:szCs w:val="24"/>
        </w:rPr>
      </w:pPr>
    </w:p>
    <w:p w:rsidR="008A66E1" w:rsidRDefault="00EB25F3" w:rsidP="00CF6097">
      <w:pPr>
        <w:spacing w:line="360" w:lineRule="auto"/>
        <w:jc w:val="center"/>
        <w:rPr>
          <w:rFonts w:ascii="Times New Roman" w:hAnsi="Times New Roman" w:cs="Times New Roman"/>
          <w:sz w:val="24"/>
          <w:szCs w:val="24"/>
        </w:rPr>
      </w:pPr>
      <w:r>
        <w:object w:dxaOrig="6712" w:dyaOrig="1396">
          <v:shape id="_x0000_i1101" type="#_x0000_t75" style="width:335.25pt;height:69pt" o:ole="">
            <v:imagedata r:id="rId150" o:title=""/>
          </v:shape>
          <o:OLEObject Type="Embed" ProgID="ChemDraw.Document.6.0" ShapeID="_x0000_i1101" DrawAspect="Content" ObjectID="_1531849634" r:id="rId151"/>
        </w:obje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575"/>
        <w:gridCol w:w="2075"/>
        <w:gridCol w:w="2101"/>
        <w:gridCol w:w="2108"/>
      </w:tblGrid>
      <w:tr w:rsidR="003C5DAE" w:rsidTr="003C5DAE">
        <w:trPr>
          <w:jc w:val="center"/>
        </w:trPr>
        <w:tc>
          <w:tcPr>
            <w:tcW w:w="0" w:type="auto"/>
            <w:tcBorders>
              <w:top w:val="single" w:sz="4" w:space="0" w:color="auto"/>
              <w:bottom w:val="single" w:sz="4" w:space="0" w:color="auto"/>
            </w:tcBorders>
          </w:tcPr>
          <w:p w:rsidR="003C5DAE" w:rsidRPr="00417B41" w:rsidRDefault="003C5DAE" w:rsidP="00512B10">
            <w:pPr>
              <w:spacing w:line="360" w:lineRule="auto"/>
              <w:jc w:val="center"/>
              <w:rPr>
                <w:rFonts w:ascii="Calibri" w:hAnsi="Calibri" w:cs="Times New Roman"/>
                <w:b/>
                <w:sz w:val="24"/>
                <w:szCs w:val="24"/>
                <w:vertAlign w:val="superscript"/>
              </w:rPr>
            </w:pPr>
            <w:r>
              <w:rPr>
                <w:rFonts w:ascii="Calibri" w:hAnsi="Calibri" w:cs="Times New Roman"/>
                <w:b/>
                <w:sz w:val="24"/>
                <w:szCs w:val="24"/>
              </w:rPr>
              <w:t>R</w:t>
            </w:r>
            <w:r>
              <w:rPr>
                <w:rFonts w:ascii="Calibri" w:hAnsi="Calibri" w:cs="Times New Roman"/>
                <w:b/>
                <w:sz w:val="24"/>
                <w:szCs w:val="24"/>
                <w:vertAlign w:val="superscript"/>
              </w:rPr>
              <w:t>1</w:t>
            </w:r>
          </w:p>
        </w:tc>
        <w:tc>
          <w:tcPr>
            <w:tcW w:w="0" w:type="auto"/>
            <w:tcBorders>
              <w:top w:val="single" w:sz="4" w:space="0" w:color="auto"/>
              <w:bottom w:val="single" w:sz="4" w:space="0" w:color="auto"/>
            </w:tcBorders>
          </w:tcPr>
          <w:p w:rsidR="003C5DAE" w:rsidRDefault="003C5DAE" w:rsidP="00512B10">
            <w:pPr>
              <w:spacing w:line="360" w:lineRule="auto"/>
              <w:jc w:val="center"/>
              <w:rPr>
                <w:rFonts w:ascii="Calibri" w:hAnsi="Calibri" w:cs="Times New Roman"/>
                <w:b/>
                <w:sz w:val="24"/>
                <w:szCs w:val="24"/>
              </w:rPr>
            </w:pPr>
            <w:r>
              <w:rPr>
                <w:rFonts w:ascii="Calibri" w:hAnsi="Calibri" w:cs="Times New Roman"/>
                <w:b/>
                <w:sz w:val="24"/>
                <w:szCs w:val="24"/>
              </w:rPr>
              <w:t>R</w:t>
            </w:r>
            <w:r>
              <w:rPr>
                <w:rFonts w:ascii="Calibri" w:hAnsi="Calibri" w:cs="Times New Roman"/>
                <w:b/>
                <w:sz w:val="24"/>
                <w:szCs w:val="24"/>
                <w:vertAlign w:val="superscript"/>
              </w:rPr>
              <w:t>1</w:t>
            </w:r>
          </w:p>
        </w:tc>
        <w:tc>
          <w:tcPr>
            <w:tcW w:w="0" w:type="auto"/>
            <w:tcBorders>
              <w:top w:val="single" w:sz="4" w:space="0" w:color="auto"/>
              <w:bottom w:val="single" w:sz="4" w:space="0" w:color="auto"/>
            </w:tcBorders>
          </w:tcPr>
          <w:p w:rsidR="003C5DAE" w:rsidRDefault="003C5DAE" w:rsidP="00512B10">
            <w:pPr>
              <w:spacing w:line="360" w:lineRule="auto"/>
              <w:jc w:val="center"/>
              <w:rPr>
                <w:rFonts w:ascii="Calibri" w:hAnsi="Calibri" w:cs="Times New Roman"/>
                <w:b/>
                <w:sz w:val="24"/>
                <w:szCs w:val="24"/>
              </w:rPr>
            </w:pPr>
            <w:r>
              <w:rPr>
                <w:rFonts w:ascii="Calibri" w:hAnsi="Calibri" w:cs="Times New Roman"/>
                <w:b/>
                <w:sz w:val="24"/>
                <w:szCs w:val="24"/>
              </w:rPr>
              <w:t>Yield with La(OTf)</w:t>
            </w:r>
            <w:r w:rsidRPr="00417B41">
              <w:rPr>
                <w:rFonts w:ascii="Calibri" w:hAnsi="Calibri" w:cs="Times New Roman"/>
                <w:b/>
                <w:sz w:val="24"/>
                <w:szCs w:val="24"/>
                <w:vertAlign w:val="subscript"/>
              </w:rPr>
              <w:t>3</w:t>
            </w:r>
          </w:p>
        </w:tc>
        <w:tc>
          <w:tcPr>
            <w:tcW w:w="0" w:type="auto"/>
            <w:tcBorders>
              <w:top w:val="single" w:sz="4" w:space="0" w:color="auto"/>
              <w:bottom w:val="single" w:sz="4" w:space="0" w:color="auto"/>
            </w:tcBorders>
          </w:tcPr>
          <w:p w:rsidR="003C5DAE" w:rsidRDefault="003C5DAE" w:rsidP="00512B10">
            <w:pPr>
              <w:spacing w:line="360" w:lineRule="auto"/>
              <w:jc w:val="center"/>
              <w:rPr>
                <w:rFonts w:ascii="Calibri" w:hAnsi="Calibri" w:cs="Times New Roman"/>
                <w:b/>
                <w:sz w:val="24"/>
                <w:szCs w:val="24"/>
              </w:rPr>
            </w:pPr>
            <w:r>
              <w:rPr>
                <w:rFonts w:ascii="Calibri" w:hAnsi="Calibri" w:cs="Times New Roman"/>
                <w:b/>
                <w:sz w:val="24"/>
                <w:szCs w:val="24"/>
              </w:rPr>
              <w:t>Yield with Eu(OTf)</w:t>
            </w:r>
            <w:r w:rsidRPr="00417B41">
              <w:rPr>
                <w:rFonts w:ascii="Calibri" w:hAnsi="Calibri" w:cs="Times New Roman"/>
                <w:b/>
                <w:sz w:val="24"/>
                <w:szCs w:val="24"/>
                <w:vertAlign w:val="subscript"/>
              </w:rPr>
              <w:t>3</w:t>
            </w:r>
          </w:p>
        </w:tc>
        <w:tc>
          <w:tcPr>
            <w:tcW w:w="0" w:type="auto"/>
            <w:tcBorders>
              <w:top w:val="single" w:sz="4" w:space="0" w:color="auto"/>
              <w:bottom w:val="single" w:sz="4" w:space="0" w:color="auto"/>
            </w:tcBorders>
          </w:tcPr>
          <w:p w:rsidR="003C5DAE" w:rsidRDefault="003C5DAE" w:rsidP="00512B10">
            <w:pPr>
              <w:spacing w:line="360" w:lineRule="auto"/>
              <w:jc w:val="center"/>
              <w:rPr>
                <w:rFonts w:ascii="Calibri" w:hAnsi="Calibri" w:cs="Times New Roman"/>
                <w:b/>
                <w:sz w:val="24"/>
                <w:szCs w:val="24"/>
              </w:rPr>
            </w:pPr>
            <w:r>
              <w:rPr>
                <w:rFonts w:ascii="Calibri" w:hAnsi="Calibri" w:cs="Times New Roman"/>
                <w:b/>
                <w:sz w:val="24"/>
                <w:szCs w:val="24"/>
              </w:rPr>
              <w:t>Yield with Yb(OTf)</w:t>
            </w:r>
            <w:r w:rsidRPr="00417B41">
              <w:rPr>
                <w:rFonts w:ascii="Calibri" w:hAnsi="Calibri" w:cs="Times New Roman"/>
                <w:b/>
                <w:sz w:val="24"/>
                <w:szCs w:val="24"/>
                <w:vertAlign w:val="subscript"/>
              </w:rPr>
              <w:t>3</w:t>
            </w:r>
          </w:p>
        </w:tc>
      </w:tr>
      <w:tr w:rsidR="003C5DAE" w:rsidTr="003C5DAE">
        <w:trPr>
          <w:jc w:val="center"/>
        </w:trPr>
        <w:tc>
          <w:tcPr>
            <w:tcW w:w="0" w:type="auto"/>
            <w:tcBorders>
              <w:top w:val="single" w:sz="4" w:space="0" w:color="auto"/>
            </w:tcBorders>
          </w:tcPr>
          <w:p w:rsidR="003C5DAE" w:rsidRPr="00417B41" w:rsidRDefault="003C5DAE" w:rsidP="00512B10">
            <w:pPr>
              <w:spacing w:line="360" w:lineRule="auto"/>
              <w:jc w:val="center"/>
              <w:rPr>
                <w:rFonts w:ascii="Calibri" w:hAnsi="Calibri" w:cs="Times New Roman"/>
                <w:sz w:val="24"/>
                <w:szCs w:val="24"/>
              </w:rPr>
            </w:pPr>
            <w:r>
              <w:rPr>
                <w:rFonts w:ascii="Calibri" w:hAnsi="Calibri" w:cs="Times New Roman"/>
                <w:sz w:val="24"/>
                <w:szCs w:val="24"/>
              </w:rPr>
              <w:t>H</w:t>
            </w:r>
          </w:p>
        </w:tc>
        <w:tc>
          <w:tcPr>
            <w:tcW w:w="0" w:type="auto"/>
            <w:tcBorders>
              <w:top w:val="single" w:sz="4" w:space="0" w:color="auto"/>
            </w:tcBorders>
          </w:tcPr>
          <w:p w:rsidR="003C5DAE" w:rsidRPr="00417B41" w:rsidRDefault="003C5DAE" w:rsidP="00512B10">
            <w:pPr>
              <w:spacing w:line="360" w:lineRule="auto"/>
              <w:jc w:val="center"/>
              <w:rPr>
                <w:rFonts w:ascii="Calibri" w:hAnsi="Calibri" w:cs="Times New Roman"/>
                <w:sz w:val="24"/>
                <w:szCs w:val="24"/>
              </w:rPr>
            </w:pPr>
            <w:r>
              <w:rPr>
                <w:rFonts w:ascii="Calibri" w:hAnsi="Calibri" w:cs="Times New Roman"/>
                <w:sz w:val="24"/>
                <w:szCs w:val="24"/>
              </w:rPr>
              <w:t>H</w:t>
            </w:r>
          </w:p>
        </w:tc>
        <w:tc>
          <w:tcPr>
            <w:tcW w:w="0" w:type="auto"/>
            <w:tcBorders>
              <w:top w:val="single" w:sz="4" w:space="0" w:color="auto"/>
            </w:tcBorders>
          </w:tcPr>
          <w:p w:rsidR="003C5DAE" w:rsidRPr="00417B41" w:rsidRDefault="00FA4F18" w:rsidP="00512B10">
            <w:pPr>
              <w:spacing w:line="360" w:lineRule="auto"/>
              <w:jc w:val="center"/>
              <w:rPr>
                <w:rFonts w:ascii="Calibri" w:hAnsi="Calibri" w:cs="Times New Roman"/>
                <w:sz w:val="24"/>
                <w:szCs w:val="24"/>
              </w:rPr>
            </w:pPr>
            <w:r>
              <w:rPr>
                <w:rFonts w:ascii="Calibri" w:hAnsi="Calibri" w:cs="Times New Roman"/>
                <w:sz w:val="24"/>
                <w:szCs w:val="24"/>
              </w:rPr>
              <w:t>87</w:t>
            </w:r>
            <w:r w:rsidR="003C5DAE" w:rsidRPr="00417B41">
              <w:rPr>
                <w:rFonts w:ascii="Calibri" w:hAnsi="Calibri" w:cs="Times New Roman"/>
                <w:sz w:val="24"/>
                <w:szCs w:val="24"/>
              </w:rPr>
              <w:t>%</w:t>
            </w:r>
          </w:p>
        </w:tc>
        <w:tc>
          <w:tcPr>
            <w:tcW w:w="0" w:type="auto"/>
            <w:tcBorders>
              <w:top w:val="single" w:sz="4" w:space="0" w:color="auto"/>
            </w:tcBorders>
          </w:tcPr>
          <w:p w:rsidR="003C5DAE" w:rsidRPr="00417B41" w:rsidRDefault="00FA4F18" w:rsidP="00512B10">
            <w:pPr>
              <w:spacing w:line="360" w:lineRule="auto"/>
              <w:jc w:val="center"/>
              <w:rPr>
                <w:rFonts w:ascii="Calibri" w:hAnsi="Calibri" w:cs="Times New Roman"/>
                <w:sz w:val="24"/>
                <w:szCs w:val="24"/>
              </w:rPr>
            </w:pPr>
            <w:r>
              <w:rPr>
                <w:rFonts w:ascii="Calibri" w:hAnsi="Calibri" w:cs="Times New Roman"/>
                <w:sz w:val="24"/>
                <w:szCs w:val="24"/>
              </w:rPr>
              <w:t>56</w:t>
            </w:r>
            <w:r w:rsidR="003C5DAE" w:rsidRPr="00417B41">
              <w:rPr>
                <w:rFonts w:ascii="Calibri" w:hAnsi="Calibri" w:cs="Times New Roman"/>
                <w:sz w:val="24"/>
                <w:szCs w:val="24"/>
              </w:rPr>
              <w:t>%</w:t>
            </w:r>
          </w:p>
        </w:tc>
        <w:tc>
          <w:tcPr>
            <w:tcW w:w="0" w:type="auto"/>
            <w:tcBorders>
              <w:top w:val="single" w:sz="4" w:space="0" w:color="auto"/>
            </w:tcBorders>
          </w:tcPr>
          <w:p w:rsidR="003C5DAE" w:rsidRPr="00417B41" w:rsidRDefault="00FA4F18" w:rsidP="00512B10">
            <w:pPr>
              <w:spacing w:line="360" w:lineRule="auto"/>
              <w:jc w:val="center"/>
              <w:rPr>
                <w:rFonts w:ascii="Calibri" w:hAnsi="Calibri" w:cs="Times New Roman"/>
                <w:sz w:val="24"/>
                <w:szCs w:val="24"/>
              </w:rPr>
            </w:pPr>
            <w:r>
              <w:rPr>
                <w:rFonts w:ascii="Calibri" w:hAnsi="Calibri" w:cs="Times New Roman"/>
                <w:sz w:val="24"/>
                <w:szCs w:val="24"/>
              </w:rPr>
              <w:t>46</w:t>
            </w:r>
            <w:r w:rsidR="003C5DAE" w:rsidRPr="00417B41">
              <w:rPr>
                <w:rFonts w:ascii="Calibri" w:hAnsi="Calibri" w:cs="Times New Roman"/>
                <w:sz w:val="24"/>
                <w:szCs w:val="24"/>
              </w:rPr>
              <w:t>%</w:t>
            </w:r>
          </w:p>
        </w:tc>
      </w:tr>
      <w:tr w:rsidR="003C5DAE" w:rsidTr="003C5DAE">
        <w:trPr>
          <w:jc w:val="center"/>
        </w:trPr>
        <w:tc>
          <w:tcPr>
            <w:tcW w:w="0" w:type="auto"/>
          </w:tcPr>
          <w:p w:rsidR="003C5DAE" w:rsidRPr="00417B41" w:rsidRDefault="00FA4F18" w:rsidP="00512B10">
            <w:pPr>
              <w:spacing w:line="360" w:lineRule="auto"/>
              <w:jc w:val="center"/>
              <w:rPr>
                <w:rFonts w:ascii="Calibri" w:hAnsi="Calibri" w:cs="Times New Roman"/>
                <w:sz w:val="24"/>
                <w:szCs w:val="24"/>
              </w:rPr>
            </w:pPr>
            <w:r>
              <w:rPr>
                <w:rFonts w:ascii="Calibri" w:hAnsi="Calibri" w:cs="Times New Roman"/>
                <w:sz w:val="24"/>
                <w:szCs w:val="24"/>
              </w:rPr>
              <w:t>H</w:t>
            </w:r>
          </w:p>
        </w:tc>
        <w:tc>
          <w:tcPr>
            <w:tcW w:w="0" w:type="auto"/>
          </w:tcPr>
          <w:p w:rsidR="003C5DAE" w:rsidRPr="00417B41" w:rsidRDefault="00FA4F18" w:rsidP="00512B10">
            <w:pPr>
              <w:spacing w:line="360" w:lineRule="auto"/>
              <w:jc w:val="center"/>
              <w:rPr>
                <w:rFonts w:ascii="Calibri" w:hAnsi="Calibri" w:cs="Times New Roman"/>
                <w:sz w:val="24"/>
                <w:szCs w:val="24"/>
              </w:rPr>
            </w:pPr>
            <w:r>
              <w:rPr>
                <w:rFonts w:ascii="Calibri" w:hAnsi="Calibri" w:cs="Times New Roman"/>
                <w:sz w:val="24"/>
                <w:szCs w:val="24"/>
              </w:rPr>
              <w:t>CH</w:t>
            </w:r>
            <w:r w:rsidRPr="00FA4F18">
              <w:rPr>
                <w:rFonts w:ascii="Calibri" w:hAnsi="Calibri" w:cs="Times New Roman"/>
                <w:sz w:val="24"/>
                <w:szCs w:val="24"/>
                <w:vertAlign w:val="subscript"/>
              </w:rPr>
              <w:t>3</w:t>
            </w:r>
          </w:p>
        </w:tc>
        <w:tc>
          <w:tcPr>
            <w:tcW w:w="0" w:type="auto"/>
          </w:tcPr>
          <w:p w:rsidR="003C5DAE" w:rsidRPr="00417B41" w:rsidRDefault="003C5DAE" w:rsidP="00FA4F18">
            <w:pPr>
              <w:spacing w:line="360" w:lineRule="auto"/>
              <w:jc w:val="center"/>
              <w:rPr>
                <w:rFonts w:ascii="Calibri" w:hAnsi="Calibri" w:cs="Times New Roman"/>
                <w:sz w:val="24"/>
                <w:szCs w:val="24"/>
              </w:rPr>
            </w:pPr>
            <w:r w:rsidRPr="00417B41">
              <w:rPr>
                <w:rFonts w:ascii="Calibri" w:hAnsi="Calibri" w:cs="Times New Roman"/>
                <w:sz w:val="24"/>
                <w:szCs w:val="24"/>
              </w:rPr>
              <w:t>8</w:t>
            </w:r>
            <w:r w:rsidR="00FA4F18">
              <w:rPr>
                <w:rFonts w:ascii="Calibri" w:hAnsi="Calibri" w:cs="Times New Roman"/>
                <w:sz w:val="24"/>
                <w:szCs w:val="24"/>
              </w:rPr>
              <w:t>3</w:t>
            </w:r>
            <w:r w:rsidRPr="00417B41">
              <w:rPr>
                <w:rFonts w:ascii="Calibri" w:hAnsi="Calibri" w:cs="Times New Roman"/>
                <w:sz w:val="24"/>
                <w:szCs w:val="24"/>
              </w:rPr>
              <w:t>%</w:t>
            </w:r>
          </w:p>
        </w:tc>
        <w:tc>
          <w:tcPr>
            <w:tcW w:w="0" w:type="auto"/>
          </w:tcPr>
          <w:p w:rsidR="003C5DAE" w:rsidRPr="00417B41" w:rsidRDefault="00FA4F18" w:rsidP="00512B10">
            <w:pPr>
              <w:spacing w:line="360" w:lineRule="auto"/>
              <w:jc w:val="center"/>
              <w:rPr>
                <w:rFonts w:ascii="Calibri" w:hAnsi="Calibri" w:cs="Times New Roman"/>
                <w:sz w:val="24"/>
                <w:szCs w:val="24"/>
              </w:rPr>
            </w:pPr>
            <w:r>
              <w:rPr>
                <w:rFonts w:ascii="Calibri" w:hAnsi="Calibri" w:cs="Times New Roman"/>
                <w:sz w:val="24"/>
                <w:szCs w:val="24"/>
              </w:rPr>
              <w:t>34</w:t>
            </w:r>
            <w:r w:rsidR="003C5DAE" w:rsidRPr="00417B41">
              <w:rPr>
                <w:rFonts w:ascii="Calibri" w:hAnsi="Calibri" w:cs="Times New Roman"/>
                <w:sz w:val="24"/>
                <w:szCs w:val="24"/>
              </w:rPr>
              <w:t>%</w:t>
            </w:r>
          </w:p>
        </w:tc>
        <w:tc>
          <w:tcPr>
            <w:tcW w:w="0" w:type="auto"/>
          </w:tcPr>
          <w:p w:rsidR="003C5DAE" w:rsidRPr="00417B41" w:rsidRDefault="00FA4F18" w:rsidP="00512B10">
            <w:pPr>
              <w:spacing w:line="360" w:lineRule="auto"/>
              <w:jc w:val="center"/>
              <w:rPr>
                <w:rFonts w:ascii="Calibri" w:hAnsi="Calibri" w:cs="Times New Roman"/>
                <w:sz w:val="24"/>
                <w:szCs w:val="24"/>
              </w:rPr>
            </w:pPr>
            <w:r>
              <w:rPr>
                <w:rFonts w:ascii="Calibri" w:hAnsi="Calibri" w:cs="Times New Roman"/>
                <w:sz w:val="24"/>
                <w:szCs w:val="24"/>
              </w:rPr>
              <w:t>32</w:t>
            </w:r>
            <w:r w:rsidR="003C5DAE" w:rsidRPr="00417B41">
              <w:rPr>
                <w:rFonts w:ascii="Calibri" w:hAnsi="Calibri" w:cs="Times New Roman"/>
                <w:sz w:val="24"/>
                <w:szCs w:val="24"/>
              </w:rPr>
              <w:t>%</w:t>
            </w:r>
          </w:p>
        </w:tc>
      </w:tr>
      <w:tr w:rsidR="003C5DAE" w:rsidTr="003C5DAE">
        <w:trPr>
          <w:jc w:val="center"/>
        </w:trPr>
        <w:tc>
          <w:tcPr>
            <w:tcW w:w="0" w:type="auto"/>
            <w:tcBorders>
              <w:bottom w:val="single" w:sz="4" w:space="0" w:color="auto"/>
            </w:tcBorders>
          </w:tcPr>
          <w:p w:rsidR="003C5DAE" w:rsidRPr="00417B41" w:rsidRDefault="00FA4F18" w:rsidP="00512B10">
            <w:pPr>
              <w:spacing w:line="360" w:lineRule="auto"/>
              <w:jc w:val="center"/>
              <w:rPr>
                <w:rFonts w:ascii="Calibri" w:hAnsi="Calibri" w:cs="Times New Roman"/>
                <w:sz w:val="24"/>
                <w:szCs w:val="24"/>
              </w:rPr>
            </w:pPr>
            <w:r>
              <w:rPr>
                <w:rFonts w:ascii="Calibri" w:hAnsi="Calibri" w:cs="Times New Roman"/>
                <w:sz w:val="24"/>
                <w:szCs w:val="24"/>
              </w:rPr>
              <w:t>CH</w:t>
            </w:r>
            <w:r w:rsidRPr="00FA4F18">
              <w:rPr>
                <w:rFonts w:ascii="Calibri" w:hAnsi="Calibri" w:cs="Times New Roman"/>
                <w:sz w:val="24"/>
                <w:szCs w:val="24"/>
                <w:vertAlign w:val="subscript"/>
              </w:rPr>
              <w:t>3</w:t>
            </w:r>
          </w:p>
        </w:tc>
        <w:tc>
          <w:tcPr>
            <w:tcW w:w="0" w:type="auto"/>
            <w:tcBorders>
              <w:bottom w:val="single" w:sz="4" w:space="0" w:color="auto"/>
            </w:tcBorders>
          </w:tcPr>
          <w:p w:rsidR="003C5DAE" w:rsidRPr="00417B41" w:rsidRDefault="00FA4F18" w:rsidP="00512B10">
            <w:pPr>
              <w:spacing w:line="360" w:lineRule="auto"/>
              <w:jc w:val="center"/>
              <w:rPr>
                <w:rFonts w:ascii="Calibri" w:hAnsi="Calibri" w:cs="Times New Roman"/>
                <w:sz w:val="24"/>
                <w:szCs w:val="24"/>
              </w:rPr>
            </w:pPr>
            <w:r>
              <w:rPr>
                <w:rFonts w:ascii="Calibri" w:hAnsi="Calibri" w:cs="Times New Roman"/>
                <w:sz w:val="24"/>
                <w:szCs w:val="24"/>
              </w:rPr>
              <w:t>H</w:t>
            </w:r>
          </w:p>
        </w:tc>
        <w:tc>
          <w:tcPr>
            <w:tcW w:w="0" w:type="auto"/>
            <w:tcBorders>
              <w:bottom w:val="single" w:sz="4" w:space="0" w:color="auto"/>
            </w:tcBorders>
          </w:tcPr>
          <w:p w:rsidR="003C5DAE" w:rsidRPr="00417B41" w:rsidRDefault="00FA4F18" w:rsidP="00512B10">
            <w:pPr>
              <w:spacing w:line="360" w:lineRule="auto"/>
              <w:jc w:val="center"/>
              <w:rPr>
                <w:rFonts w:ascii="Calibri" w:hAnsi="Calibri" w:cs="Times New Roman"/>
                <w:sz w:val="24"/>
                <w:szCs w:val="24"/>
              </w:rPr>
            </w:pPr>
            <w:r>
              <w:rPr>
                <w:rFonts w:ascii="Calibri" w:hAnsi="Calibri" w:cs="Times New Roman"/>
                <w:sz w:val="24"/>
                <w:szCs w:val="24"/>
              </w:rPr>
              <w:t>81</w:t>
            </w:r>
            <w:r w:rsidR="003C5DAE" w:rsidRPr="00417B41">
              <w:rPr>
                <w:rFonts w:ascii="Calibri" w:hAnsi="Calibri" w:cs="Times New Roman"/>
                <w:sz w:val="24"/>
                <w:szCs w:val="24"/>
              </w:rPr>
              <w:t>%</w:t>
            </w:r>
          </w:p>
        </w:tc>
        <w:tc>
          <w:tcPr>
            <w:tcW w:w="0" w:type="auto"/>
            <w:tcBorders>
              <w:bottom w:val="single" w:sz="4" w:space="0" w:color="auto"/>
            </w:tcBorders>
          </w:tcPr>
          <w:p w:rsidR="003C5DAE" w:rsidRPr="00417B41" w:rsidRDefault="00FA4F18" w:rsidP="00512B10">
            <w:pPr>
              <w:spacing w:line="360" w:lineRule="auto"/>
              <w:jc w:val="center"/>
              <w:rPr>
                <w:rFonts w:ascii="Calibri" w:hAnsi="Calibri" w:cs="Times New Roman"/>
                <w:sz w:val="24"/>
                <w:szCs w:val="24"/>
              </w:rPr>
            </w:pPr>
            <w:r>
              <w:rPr>
                <w:rFonts w:ascii="Calibri" w:hAnsi="Calibri" w:cs="Times New Roman"/>
                <w:sz w:val="24"/>
                <w:szCs w:val="24"/>
              </w:rPr>
              <w:t>3</w:t>
            </w:r>
            <w:r w:rsidR="003C5DAE" w:rsidRPr="00417B41">
              <w:rPr>
                <w:rFonts w:ascii="Calibri" w:hAnsi="Calibri" w:cs="Times New Roman"/>
                <w:sz w:val="24"/>
                <w:szCs w:val="24"/>
              </w:rPr>
              <w:t>9%</w:t>
            </w:r>
          </w:p>
        </w:tc>
        <w:tc>
          <w:tcPr>
            <w:tcW w:w="0" w:type="auto"/>
            <w:tcBorders>
              <w:bottom w:val="single" w:sz="4" w:space="0" w:color="auto"/>
            </w:tcBorders>
          </w:tcPr>
          <w:p w:rsidR="003C5DAE" w:rsidRPr="00417B41" w:rsidRDefault="00FA4F18" w:rsidP="00512B10">
            <w:pPr>
              <w:tabs>
                <w:tab w:val="left" w:pos="480"/>
                <w:tab w:val="center" w:pos="794"/>
              </w:tabs>
              <w:spacing w:line="360" w:lineRule="auto"/>
              <w:jc w:val="center"/>
              <w:rPr>
                <w:rFonts w:ascii="Calibri" w:hAnsi="Calibri" w:cs="Times New Roman"/>
                <w:sz w:val="24"/>
                <w:szCs w:val="24"/>
              </w:rPr>
            </w:pPr>
            <w:r>
              <w:rPr>
                <w:rFonts w:ascii="Calibri" w:hAnsi="Calibri" w:cs="Times New Roman"/>
                <w:sz w:val="24"/>
                <w:szCs w:val="24"/>
              </w:rPr>
              <w:t>34</w:t>
            </w:r>
            <w:r w:rsidR="003C5DAE" w:rsidRPr="00417B41">
              <w:rPr>
                <w:rFonts w:ascii="Calibri" w:hAnsi="Calibri" w:cs="Times New Roman"/>
                <w:sz w:val="24"/>
                <w:szCs w:val="24"/>
              </w:rPr>
              <w:t>%</w:t>
            </w:r>
          </w:p>
        </w:tc>
      </w:tr>
    </w:tbl>
    <w:p w:rsidR="008A66E1" w:rsidRDefault="008A66E1" w:rsidP="000828C5">
      <w:pPr>
        <w:spacing w:line="360" w:lineRule="auto"/>
        <w:jc w:val="both"/>
        <w:rPr>
          <w:rFonts w:ascii="Times New Roman" w:hAnsi="Times New Roman" w:cs="Times New Roman"/>
          <w:sz w:val="24"/>
          <w:szCs w:val="24"/>
        </w:rPr>
      </w:pPr>
    </w:p>
    <w:p w:rsidR="0049609A" w:rsidRDefault="00451339" w:rsidP="0049609A">
      <w:pPr>
        <w:spacing w:line="360" w:lineRule="auto"/>
        <w:jc w:val="center"/>
        <w:rPr>
          <w:rFonts w:ascii="Times New Roman" w:hAnsi="Times New Roman" w:cs="Times New Roman"/>
          <w:sz w:val="24"/>
          <w:szCs w:val="24"/>
        </w:rPr>
      </w:pPr>
      <w:r>
        <w:rPr>
          <w:rFonts w:cs="Times New Roman"/>
          <w:b/>
          <w:sz w:val="24"/>
          <w:szCs w:val="24"/>
        </w:rPr>
        <w:t>Scheme 1.61</w:t>
      </w:r>
    </w:p>
    <w:p w:rsidR="008A66E1" w:rsidRDefault="0074056F" w:rsidP="0074056F">
      <w:pPr>
        <w:pStyle w:val="Heading2"/>
      </w:pPr>
      <w:bookmarkStart w:id="31" w:name="_Toc446773083"/>
      <w:r>
        <w:t>1.</w:t>
      </w:r>
      <w:r w:rsidR="00591EF1">
        <w:t>6</w:t>
      </w:r>
      <w:r>
        <w:t xml:space="preserve">.7 </w:t>
      </w:r>
      <w:r w:rsidR="00512B10" w:rsidRPr="00512B10">
        <w:t>X-H insertion reactions</w:t>
      </w:r>
      <w:bookmarkEnd w:id="31"/>
    </w:p>
    <w:p w:rsidR="00512B10" w:rsidRDefault="0074056F" w:rsidP="000828C5">
      <w:pPr>
        <w:spacing w:line="360" w:lineRule="auto"/>
        <w:jc w:val="both"/>
        <w:rPr>
          <w:rFonts w:cs="Times New Roman"/>
          <w:sz w:val="24"/>
          <w:szCs w:val="24"/>
        </w:rPr>
      </w:pPr>
      <w:r w:rsidRPr="0074056F">
        <w:rPr>
          <w:rFonts w:cs="Times New Roman"/>
          <w:sz w:val="24"/>
          <w:szCs w:val="24"/>
        </w:rPr>
        <w:t xml:space="preserve">X-H insertion reactions of </w:t>
      </w:r>
      <w:r>
        <w:rPr>
          <w:rFonts w:cs="Times New Roman"/>
          <w:sz w:val="24"/>
          <w:szCs w:val="24"/>
        </w:rPr>
        <w:t>diazocarbonyl</w:t>
      </w:r>
      <w:r w:rsidRPr="0074056F">
        <w:rPr>
          <w:rFonts w:cs="Times New Roman"/>
          <w:sz w:val="24"/>
          <w:szCs w:val="24"/>
        </w:rPr>
        <w:t xml:space="preserve"> compounds</w:t>
      </w:r>
      <w:r>
        <w:rPr>
          <w:rFonts w:cs="Times New Roman"/>
          <w:sz w:val="24"/>
          <w:szCs w:val="24"/>
        </w:rPr>
        <w:t xml:space="preserve"> </w:t>
      </w:r>
      <w:r w:rsidR="00B44C91">
        <w:rPr>
          <w:rFonts w:cs="Times New Roman"/>
          <w:sz w:val="24"/>
          <w:szCs w:val="24"/>
        </w:rPr>
        <w:t>have been</w:t>
      </w:r>
      <w:r w:rsidR="004F14E4">
        <w:rPr>
          <w:rFonts w:cs="Times New Roman"/>
          <w:sz w:val="24"/>
          <w:szCs w:val="24"/>
        </w:rPr>
        <w:t xml:space="preserve"> </w:t>
      </w:r>
      <w:r w:rsidR="00B44C91">
        <w:rPr>
          <w:rFonts w:cs="Times New Roman"/>
          <w:sz w:val="24"/>
          <w:szCs w:val="24"/>
        </w:rPr>
        <w:t xml:space="preserve">comprehensively </w:t>
      </w:r>
      <w:r w:rsidR="004F14E4">
        <w:rPr>
          <w:rFonts w:cs="Times New Roman"/>
          <w:sz w:val="24"/>
          <w:szCs w:val="24"/>
        </w:rPr>
        <w:t>reviewed,</w:t>
      </w:r>
      <w:r w:rsidR="00B44C91">
        <w:rPr>
          <w:rFonts w:cs="Times New Roman"/>
          <w:sz w:val="24"/>
          <w:szCs w:val="24"/>
        </w:rPr>
        <w:fldChar w:fldCharType="begin" w:fldLock="1"/>
      </w:r>
      <w:r w:rsidR="00F168DA">
        <w:rPr>
          <w:rFonts w:cs="Times New Roman"/>
          <w:sz w:val="24"/>
          <w:szCs w:val="24"/>
        </w:rPr>
        <w:instrText>ADDIN CSL_CITATION { "citationItems" : [ { "id" : "ITEM-1", "itemData" : { "ISSN" : "0009-286X", "author" : [ { "dropping-particle" : "", "family" : "Ferstl", "given" : "Wolfgang F", "non-dropping-particle" : "", "parse-names" : false, "suffix" : "" }, { "dropping-particle" : "", "family" : "Schwarzer", "given" : "M S", "non-dropping-particle" : "", "parse-names" : false, "suffix" : "" }, { "dropping-particle" : "", "family" : "Loebbecke", "given" : "S L", "non-dropping-particle" : "", "parse-names" : false, "suffix" : "" } ], "container-title" : "Chemie Ingenieur Technik", "id" : "ITEM-1", "issue" : "9", "issued" : { "date-parts" : [ [ "2004" ] ] }, "note" : "CAPLUS AN 2004:869968(Journal; Miscellaneous)", "page" : "1326-1327", "publisher" : "Wiley-VCH Verlag GmbH &amp; Co. KGaA", "title" : "Use of microreaction technology for reduction of the hazard potential in synthesis and reaction of diazomethane.", "type" : "article-journal", "volume" : "76" }, "uris" : [ "http://www.mendeley.com/documents/?uuid=d0d0c219-f750-43fd-b8e5-b6ecee98d28b" ] }, { "id" : "ITEM-2", "itemData" : { "DOI" : "10.1021/cr00075a013", "ISSN" : "0009-2665", "abstract" : "A review with \u223c170 refs. in which catalysts for the title reactions, and catalytic cyclopropanations, dipolar cycloaddn., and insertion reactions, and catalytic methods for ylide generation and rearrangement are discussed. [on SciFinder(R)]", "author" : [ { "dropping-particle" : "", "family" : "Doyle", "given" : "Michael P", "non-dropping-particle" : "", "parse-names" : false, "suffix" : "" } ], "container-title" : "Chemical Reviews (Washington, DC, United States)", "id" : "ITEM-2", "issue" : "5", "issued" : { "date-parts" : [ [ "1986" ] ] }, "note" : "CAPLUS AN 1986:571432(Journal; General Review)", "page" : "919-940", "title" : "Catalytic methods for metal carbene transformations.", "type" : "article-journal", "volume" : "86" }, "uris" : [ "http://www.mendeley.com/documents/?uuid=7ea73c16-244d-4c2d-b534-f3280081552f" ] }, { "id" : "ITEM-3", "itemData" : { "author" : [ { "dropping-particle" : "", "family" : "Doyle, M. P.; McKervey, M. A.; Ye", "given" : "T", "non-dropping-particle" : "", "parse-names" : false, "suffix" : "" } ], "id" : "ITEM-3", "issued" : { "date-parts" : [ [ "1998" ] ] }, "publisher" : "John Wiley and Sons Inc.: New York", "title" : "Modern catalytic methods in organic synthesis with diazo compunds, from cyclopropanes to ylides", "type" : "book" }, "uris" : [ "http://www.mendeley.com/documents/?uuid=d38571d5-256e-4c64-bcc4-4f71063d11cc" ] }, { "id" : "ITEM-4", "itemData" : { "DOI" : "10.1021/cr00028a010", "ISSN" : "0009-2665", "abstract" : "Review with 786 ref. [on SciFinder(R)]", "author" : [ { "dropping-particle" : "", "family" : "Ye", "given" : "Tao", "non-dropping-particle" : "", "parse-names" : false, "suffix" : "" }, { "dropping-particle" : "", "family" : "McKervey", "given" : "M Anthony.", "non-dropping-particle" : "", "parse-names" : false, "suffix" : "" } ], "container-title" : "Chemical Reviews (Washington, DC, United States)", "id" : "ITEM-4", "issue" : "4", "issued" : { "date-parts" : [ [ "1994" ] ] }, "note" : "CAPLUS AN 1994:408238(Journal; General Review)", "page" : "1091-1160", "title" : "Organic Synthesis with \u03b1-Diazo Carbonyl Compounds.", "type" : "article-journal", "volume" : "94" }, "uris" : [ "http://www.mendeley.com/documents/?uuid=0f67123a-7452-4180-96d7-05c8fcdb2031" ] }, { "id" : "ITEM-5", "itemData" : { "DOI" : "10.1016/j.tet.2008.04.074", "ISBN" : "0040-4020", "ISSN" : "00404020", "URL" : "http://ac.els-cdn.com/S0040402008007886/1-s2.0-S0040402008007886-main.pdf?_tid=625e76b4-a16e-11e4-ae8f-00000aab0f02&amp;acdnat=1421845799_c3b5fe822ab352ac93d87fbdaa5d44ad", "abstract" : "A review. \u0152\u00b1-Diazocarbonyl compds. are easy to prep. and can be handled without difficulty in the lab, and they have a diverse reactivity. They can be decompd. by transition metal complexes to generate Fischer-type metal carbene intermediates, which can subsequently undergo diverse transformations, including XH (X = C, O, S, N, etc.) insertion, cyclopropanation, ylide formation, and 1,2-migration. Recently, olefination and polymn. of \u0152\u00b1-diazocarbonyl compds. have also been reported. In addn, \u0152\u00b1-diazocarbonyl compds. undergo various reactions under thermolytic and photolytic conditions. They can be used as nucleophiles in nucleophilic addn. reactions. This report focuses on the most recent studies since 2003. [on SciFinder(R)]", "accessed" : { "date-parts" : [ [ "2015", "1", "21" ] ] }, "author" : [ { "dropping-particle" : "", "family" : "Zhang", "given" : "Zhenhua", "non-dropping-particle" : "", "parse-names" : false, "suffix" : "" }, { "dropping-particle" : "", "family" : "Wang", "given" : "Jianbo", "non-dropping-particle" : "", "parse-names" : false, "suffix" : "" } ], "container-title" : "Tetrahedron", "id" : "ITEM-5", "issue" : "839", "issued" : { "date-parts" : [ [ "2008" ] ] }, "page" : "6577-6605", "title" : "Recent studies on the reactions of a-diazocarbonyl compounds", "type" : "webpage", "volume" : "64" }, "uris" : [ "http://www.mendeley.com/documents/?uuid=3862f6e9-25b4-4b19-97a3-989542193bdd" ] } ], "mendeley" : { "formattedCitation" : "&lt;sup&gt;[3,8,90,214,215]&lt;/sup&gt;", "plainTextFormattedCitation" : "[3,8,90,214,215]", "previouslyFormattedCitation" : "&lt;sup&gt;[3,8,90,214,215]&lt;/sup&gt;" }, "properties" : { "noteIndex" : 0 }, "schema" : "https://github.com/citation-style-language/schema/raw/master/csl-citation.json" }</w:instrText>
      </w:r>
      <w:r w:rsidR="00B44C91">
        <w:rPr>
          <w:rFonts w:cs="Times New Roman"/>
          <w:sz w:val="24"/>
          <w:szCs w:val="24"/>
        </w:rPr>
        <w:fldChar w:fldCharType="separate"/>
      </w:r>
      <w:r w:rsidR="0055300D" w:rsidRPr="0055300D">
        <w:rPr>
          <w:rFonts w:cs="Times New Roman"/>
          <w:noProof/>
          <w:sz w:val="24"/>
          <w:szCs w:val="24"/>
          <w:vertAlign w:val="superscript"/>
        </w:rPr>
        <w:t>[3,8,90,214,215]</w:t>
      </w:r>
      <w:r w:rsidR="00B44C91">
        <w:rPr>
          <w:rFonts w:cs="Times New Roman"/>
          <w:sz w:val="24"/>
          <w:szCs w:val="24"/>
        </w:rPr>
        <w:fldChar w:fldCharType="end"/>
      </w:r>
      <w:r w:rsidR="004F14E4">
        <w:rPr>
          <w:rFonts w:cs="Times New Roman"/>
          <w:sz w:val="24"/>
          <w:szCs w:val="24"/>
        </w:rPr>
        <w:t xml:space="preserve"> most recently by Gillingham</w:t>
      </w:r>
      <w:r w:rsidR="004F14E4">
        <w:rPr>
          <w:rFonts w:cs="Times New Roman"/>
          <w:sz w:val="24"/>
          <w:szCs w:val="24"/>
        </w:rPr>
        <w:fldChar w:fldCharType="begin" w:fldLock="1"/>
      </w:r>
      <w:r w:rsidR="00F168DA">
        <w:rPr>
          <w:rFonts w:cs="Times New Roman"/>
          <w:sz w:val="24"/>
          <w:szCs w:val="24"/>
        </w:rPr>
        <w:instrText>ADDIN CSL_CITATION { "citationItems" : [ { "id" : "ITEM-1", "itemData" : { "DOI" : "10.1039/c3cs35496b", "ISBN" : "0306-0012", "ISSN" : "1460-4744", "PMID" : "23407887", "URL" : "http://www.ncbi.nlm.nih.gov/pubmed/23407887\\nhttp://dx.doi.org/10.1039/C3CS35496B", "abstract" : "Catalysed X-H insertion reactions into diazo compounds (where X is any heteroatom) are a powerful yet underutilized class of transformations. The following review will explore the historical development of X-H insertion and give an up-to-date account of the metal catalysts most often employed, including an assessment of their strengths and weaknesses. Despite decades of development, recent work on enantioselective variants, as well as applying catalytic X-H insertion towards problems in chemical biology indicate that this field has ample room for innovation.", "accessed" : { "date-parts" : [ [ "2015", "1", "22" ] ] }, "author" : [ { "dropping-particle" : "", "family" : "Gillingham", "given" : "Dennis", "non-dropping-particle" : "", "parse-names" : false, "suffix" : "" }, { "dropping-particle" : "", "family" : "Fei", "given" : "Na", "non-dropping-particle" : "", "parse-names" : false, "suffix" : "" } ], "container-title" : "Chemical Society reviews", "id" : "ITEM-1", "issue" : "12", "issued" : { "date-parts" : [ [ "2013" ] ] }, "page" : "4918-4931", "title" : "Catalytic X-H insertion reactions based on carbenoids.", "type" : "webpage", "volume" : "42" }, "uris" : [ "http://www.mendeley.com/documents/?uuid=095e9f3a-bc79-4804-a139-8b3b015b33d7" ] } ], "mendeley" : { "formattedCitation" : "&lt;sup&gt;[216]&lt;/sup&gt;", "plainTextFormattedCitation" : "[216]", "previouslyFormattedCitation" : "&lt;sup&gt;[216]&lt;/sup&gt;" }, "properties" : { "noteIndex" : 0 }, "schema" : "https://github.com/citation-style-language/schema/raw/master/csl-citation.json" }</w:instrText>
      </w:r>
      <w:r w:rsidR="004F14E4">
        <w:rPr>
          <w:rFonts w:cs="Times New Roman"/>
          <w:sz w:val="24"/>
          <w:szCs w:val="24"/>
        </w:rPr>
        <w:fldChar w:fldCharType="separate"/>
      </w:r>
      <w:r w:rsidR="0055300D" w:rsidRPr="0055300D">
        <w:rPr>
          <w:rFonts w:cs="Times New Roman"/>
          <w:noProof/>
          <w:sz w:val="24"/>
          <w:szCs w:val="24"/>
          <w:vertAlign w:val="superscript"/>
        </w:rPr>
        <w:t>[216]</w:t>
      </w:r>
      <w:r w:rsidR="004F14E4">
        <w:rPr>
          <w:rFonts w:cs="Times New Roman"/>
          <w:sz w:val="24"/>
          <w:szCs w:val="24"/>
        </w:rPr>
        <w:fldChar w:fldCharType="end"/>
      </w:r>
      <w:r w:rsidR="004F14E4">
        <w:rPr>
          <w:rFonts w:cs="Times New Roman"/>
          <w:sz w:val="24"/>
          <w:szCs w:val="24"/>
        </w:rPr>
        <w:t xml:space="preserve"> and McKervey.</w:t>
      </w:r>
      <w:r w:rsidR="004F14E4">
        <w:rPr>
          <w:rFonts w:cs="Times New Roman"/>
          <w:sz w:val="24"/>
          <w:szCs w:val="24"/>
        </w:rPr>
        <w:fldChar w:fldCharType="begin" w:fldLock="1"/>
      </w:r>
      <w:r w:rsidR="004F14E4">
        <w:rPr>
          <w:rFonts w:cs="Times New Roman"/>
          <w:sz w:val="24"/>
          <w:szCs w:val="24"/>
        </w:rPr>
        <w:instrText>ADDIN CSL_CITATION { "citationItems" : [ { "id" : "ITEM-1", "itemData" : { "DOI" : "10.1021/acs.chemrev.5b00121", "ISSN" : "0009-2665", "abstract" : "A review.  There has been enormous influence of the proximal combination of two simple functional groups, keto and diazo, on the practice of org. synthesis.  Due to the application of diazocarbonyl compds. to org. synthesis and the expansion into new application areas during the past two decades, this topic is being again reviewed.  Not all aspects of diazocarbonyl chem. have prospered equally, but the areas that continue to attract the most attention are prepn. of diazocarbonyl substrates, including diazomethane synthesis, the Wolff rearrangement, cyclopropanation of alkenes, reactions with aroms., C-H insertion, X-H insertion, and formation and reactions of ylides.  In addn., there have been significant developments with the use of diazocarbonyl reactions in biol. environments, e.g., structure-selective alkylation of DNA and RNA.  The areas of cyclopropanation and aliph. C-H insertion have been reviewed extensively elsewhere; only a selection of the most significant developments are treated here. [on SciFinder(R)]", "author" : [ { "dropping-particle" : "", "family" : "Ford", "given" : "Alan", "non-dropping-particle" : "", "parse-names" : false, "suffix" : "" }, { "dropping-particle" : "", "family" : "Miel", "given" : "Hugues", "non-dropping-particle" : "", "parse-names" : false, "suffix" : "" }, { "dropping-particle" : "", "family" : "Ring", "given" : "Aoife", "non-dropping-particle" : "", "parse-names" : false, "suffix" : "" }, { "dropping-particle" : "", "family" : "Slattery", "given" : "Catherine N", "non-dropping-particle" : "", "parse-names" : false, "suffix" : "" }, { "dropping-particle" : "", "family" : "Maguire", "given" : "Anita R", "non-dropping-particle" : "", "parse-names" : false, "suffix" : "" }, { "dropping-particle" : "", "family" : "McKervey", "given" : "M Anthony.", "non-dropping-particle" : "", "parse-names" : false, "suffix" : "" } ], "container-title" : "Chemical Reviews (Washington, DC, United States)", "id" : "ITEM-1", "issue" : "18", "issued" : { "date-parts" : [ [ "2015" ] ] }, "note" : "CAPLUS AN 2015:1370800(Journal; General Review; Online Computer File)", "page" : "9981-10080", "publisher" : "American Chemical Society", "title" : "Modern Organic Synthesis with \u03b1-Diazocarbonyl Compounds.", "type" : "article-journal", "volume" : "115" }, "uris" : [ "http://www.mendeley.com/documents/?uuid=64b31586-804d-4d50-9577-652ac998c0e8" ] } ], "mendeley" : { "formattedCitation" : "&lt;sup&gt;[4]&lt;/sup&gt;", "plainTextFormattedCitation" : "[4]", "previouslyFormattedCitation" : "&lt;sup&gt;[4]&lt;/sup&gt;" }, "properties" : { "noteIndex" : 0 }, "schema" : "https://github.com/citation-style-language/schema/raw/master/csl-citation.json" }</w:instrText>
      </w:r>
      <w:r w:rsidR="004F14E4">
        <w:rPr>
          <w:rFonts w:cs="Times New Roman"/>
          <w:sz w:val="24"/>
          <w:szCs w:val="24"/>
        </w:rPr>
        <w:fldChar w:fldCharType="separate"/>
      </w:r>
      <w:r w:rsidR="004F14E4" w:rsidRPr="004F14E4">
        <w:rPr>
          <w:rFonts w:cs="Times New Roman"/>
          <w:noProof/>
          <w:sz w:val="24"/>
          <w:szCs w:val="24"/>
          <w:vertAlign w:val="superscript"/>
        </w:rPr>
        <w:t>[4]</w:t>
      </w:r>
      <w:r w:rsidR="004F14E4">
        <w:rPr>
          <w:rFonts w:cs="Times New Roman"/>
          <w:sz w:val="24"/>
          <w:szCs w:val="24"/>
        </w:rPr>
        <w:fldChar w:fldCharType="end"/>
      </w:r>
      <w:r w:rsidR="004F14E4">
        <w:rPr>
          <w:rFonts w:cs="Times New Roman"/>
          <w:sz w:val="24"/>
          <w:szCs w:val="24"/>
        </w:rPr>
        <w:t xml:space="preserve"> X-H insertion </w:t>
      </w:r>
      <w:r w:rsidR="00B44C91">
        <w:rPr>
          <w:rFonts w:cs="Times New Roman"/>
          <w:sz w:val="24"/>
          <w:szCs w:val="24"/>
        </w:rPr>
        <w:t>is</w:t>
      </w:r>
      <w:r w:rsidR="004F14E4">
        <w:rPr>
          <w:rFonts w:cs="Times New Roman"/>
          <w:sz w:val="24"/>
          <w:szCs w:val="24"/>
        </w:rPr>
        <w:t xml:space="preserve"> the insertion of a carbene into the X-H bond, as can be seen in </w:t>
      </w:r>
      <w:r w:rsidR="004F14E4" w:rsidRPr="004F14E4">
        <w:rPr>
          <w:rFonts w:cs="Times New Roman"/>
          <w:b/>
          <w:sz w:val="24"/>
          <w:szCs w:val="24"/>
        </w:rPr>
        <w:t>Scheme</w:t>
      </w:r>
      <w:r w:rsidR="00451339">
        <w:rPr>
          <w:rFonts w:cs="Times New Roman"/>
          <w:b/>
          <w:sz w:val="24"/>
          <w:szCs w:val="24"/>
        </w:rPr>
        <w:t xml:space="preserve"> 1.62</w:t>
      </w:r>
      <w:r w:rsidR="004F14E4">
        <w:rPr>
          <w:rFonts w:cs="Times New Roman"/>
          <w:sz w:val="24"/>
          <w:szCs w:val="24"/>
        </w:rPr>
        <w:t xml:space="preserve">. </w:t>
      </w:r>
    </w:p>
    <w:p w:rsidR="004F14E4" w:rsidRPr="0074056F" w:rsidRDefault="00CF6097" w:rsidP="00CF6097">
      <w:pPr>
        <w:spacing w:line="360" w:lineRule="auto"/>
        <w:jc w:val="center"/>
        <w:rPr>
          <w:rFonts w:cs="Times New Roman"/>
          <w:sz w:val="24"/>
          <w:szCs w:val="24"/>
        </w:rPr>
      </w:pPr>
      <w:r>
        <w:object w:dxaOrig="4558" w:dyaOrig="2741">
          <v:shape id="_x0000_i1085" type="#_x0000_t75" style="width:227.25pt;height:137.25pt" o:ole="">
            <v:imagedata r:id="rId152" o:title=""/>
          </v:shape>
          <o:OLEObject Type="Embed" ProgID="ChemDraw.Document.6.0" ShapeID="_x0000_i1085" DrawAspect="Content" ObjectID="_1531849635" r:id="rId153"/>
        </w:object>
      </w:r>
    </w:p>
    <w:p w:rsidR="008A66E1" w:rsidRDefault="00AD36F4" w:rsidP="00AD36F4">
      <w:pPr>
        <w:spacing w:line="360" w:lineRule="auto"/>
        <w:jc w:val="center"/>
        <w:rPr>
          <w:rFonts w:ascii="Times New Roman" w:hAnsi="Times New Roman" w:cs="Times New Roman"/>
          <w:sz w:val="24"/>
          <w:szCs w:val="24"/>
        </w:rPr>
      </w:pPr>
      <w:r w:rsidRPr="0049609A">
        <w:rPr>
          <w:rFonts w:cs="Times New Roman"/>
          <w:b/>
          <w:sz w:val="24"/>
          <w:szCs w:val="24"/>
        </w:rPr>
        <w:t>S</w:t>
      </w:r>
      <w:r w:rsidR="00451339">
        <w:rPr>
          <w:rFonts w:cs="Times New Roman"/>
          <w:b/>
          <w:sz w:val="24"/>
          <w:szCs w:val="24"/>
        </w:rPr>
        <w:t>cheme 1.62</w:t>
      </w:r>
    </w:p>
    <w:p w:rsidR="004F14E4" w:rsidRPr="004F14E4" w:rsidRDefault="004F14E4" w:rsidP="004F14E4"/>
    <w:p w:rsidR="00E04486" w:rsidRDefault="008B256B" w:rsidP="007D46A6">
      <w:pPr>
        <w:spacing w:line="360" w:lineRule="auto"/>
        <w:jc w:val="both"/>
        <w:rPr>
          <w:sz w:val="24"/>
          <w:szCs w:val="24"/>
        </w:rPr>
      </w:pPr>
      <w:r w:rsidRPr="007D46A6">
        <w:rPr>
          <w:sz w:val="24"/>
          <w:szCs w:val="24"/>
        </w:rPr>
        <w:t xml:space="preserve">O-H, S-H and N-H insertion reactions have been the most studied reactions in this class. </w:t>
      </w:r>
      <w:r w:rsidR="007D46A6" w:rsidRPr="007D46A6">
        <w:rPr>
          <w:sz w:val="24"/>
          <w:szCs w:val="24"/>
        </w:rPr>
        <w:t xml:space="preserve">The most popular transition metal catalysts used in the literature to achieve these transformations have been </w:t>
      </w:r>
      <w:r w:rsidR="009C452D">
        <w:rPr>
          <w:sz w:val="24"/>
          <w:szCs w:val="24"/>
        </w:rPr>
        <w:t>rhodium(II)</w:t>
      </w:r>
      <w:r w:rsidR="007D46A6" w:rsidRPr="007D46A6">
        <w:rPr>
          <w:sz w:val="24"/>
          <w:szCs w:val="24"/>
        </w:rPr>
        <w:t xml:space="preserve"> and copper</w:t>
      </w:r>
      <w:r w:rsidR="007D46A6">
        <w:rPr>
          <w:sz w:val="24"/>
          <w:szCs w:val="24"/>
        </w:rPr>
        <w:t xml:space="preserve">(I). </w:t>
      </w:r>
      <w:r w:rsidR="009C452D">
        <w:rPr>
          <w:sz w:val="24"/>
          <w:szCs w:val="24"/>
        </w:rPr>
        <w:t>Rhodium(II)</w:t>
      </w:r>
      <w:r w:rsidR="007D46A6">
        <w:rPr>
          <w:sz w:val="24"/>
          <w:szCs w:val="24"/>
        </w:rPr>
        <w:t xml:space="preserve"> acetate catalysed X-H insertion has even been used commercially by Merck</w:t>
      </w:r>
      <w:r w:rsidR="00E04486">
        <w:rPr>
          <w:sz w:val="24"/>
          <w:szCs w:val="24"/>
        </w:rPr>
        <w:t xml:space="preserve"> in the preparation of (+)-thienamycin</w:t>
      </w:r>
      <w:r w:rsidR="00AD36F4">
        <w:rPr>
          <w:sz w:val="24"/>
          <w:szCs w:val="24"/>
        </w:rPr>
        <w:t xml:space="preserve"> </w:t>
      </w:r>
      <w:r w:rsidR="00AD36F4" w:rsidRPr="00AD36F4">
        <w:rPr>
          <w:b/>
          <w:sz w:val="24"/>
          <w:szCs w:val="24"/>
        </w:rPr>
        <w:t>108</w:t>
      </w:r>
      <w:r w:rsidR="00E04486">
        <w:rPr>
          <w:sz w:val="24"/>
          <w:szCs w:val="24"/>
        </w:rPr>
        <w:t>, a powerful antibiotic (</w:t>
      </w:r>
      <w:r w:rsidR="00E04486" w:rsidRPr="00E04486">
        <w:rPr>
          <w:b/>
          <w:sz w:val="24"/>
          <w:szCs w:val="24"/>
        </w:rPr>
        <w:t>Scheme</w:t>
      </w:r>
      <w:r w:rsidR="00AD36F4">
        <w:rPr>
          <w:b/>
          <w:sz w:val="24"/>
          <w:szCs w:val="24"/>
        </w:rPr>
        <w:t xml:space="preserve"> 1.6</w:t>
      </w:r>
      <w:r w:rsidR="00451339">
        <w:rPr>
          <w:b/>
          <w:sz w:val="24"/>
          <w:szCs w:val="24"/>
        </w:rPr>
        <w:t>3</w:t>
      </w:r>
      <w:r w:rsidR="00E04486">
        <w:rPr>
          <w:sz w:val="24"/>
          <w:szCs w:val="24"/>
        </w:rPr>
        <w:t>)</w:t>
      </w:r>
      <w:r w:rsidR="007D46A6">
        <w:rPr>
          <w:sz w:val="24"/>
          <w:szCs w:val="24"/>
        </w:rPr>
        <w:t>.</w:t>
      </w:r>
      <w:r w:rsidR="007D46A6">
        <w:rPr>
          <w:sz w:val="24"/>
          <w:szCs w:val="24"/>
        </w:rPr>
        <w:fldChar w:fldCharType="begin" w:fldLock="1"/>
      </w:r>
      <w:r w:rsidR="00F168DA">
        <w:rPr>
          <w:sz w:val="24"/>
          <w:szCs w:val="24"/>
        </w:rPr>
        <w:instrText>ADDIN CSL_CITATION { "citationItems" : [ { "id" : "ITEM-1", "itemData" : { "DOI" : "10.1021/ja00539a040", "ISSN" : "0002-7863", "abstract" : "A versatile, stereocontrolled total synthesis of thienamycin from L-aspartic acid is reported.  Stereocontrol is achieved by K-Selectride redn. of a thermodynamically formed 3a-acetylazetidinone intermediate.  The key [3.2.0] bicyclic ring system is prepd. by a highly efficient, Rh acetate-catalyzed carbene insertion reaction. [on SciFinder(R)]", "author" : [ { "dropping-particle" : "", "family" : "Salzmann", "given" : "Thomas N", "non-dropping-particle" : "", "parse-names" : false, "suffix" : "" }, { "dropping-particle" : "", "family" : "Ratcliffe", "given" : "R W", "non-dropping-particle" : "", "parse-names" : false, "suffix" : "" }, { "dropping-particle" : "", "family" : "Christensen", "given" : "B G", "non-dropping-particle" : "", "parse-names" : false, "suffix" : "" }, { "dropping-particle" : "", "family" : "Bouffard", "given" : "F A", "non-dropping-particle" : "", "parse-names" : false, "suffix" : "" } ], "container-title" : "Journal of the American Chemical Society", "id" : "ITEM-1", "issue" : "19", "issued" : { "date-parts" : [ [ "1980" ] ] }, "note" : "CAPLUS AN 1981:121211(Journal)", "page" : "6161-6163", "title" : "A stereocontrolled synthesis of (+)-thienamycin.", "type" : "article-journal", "volume" : "102" }, "uris" : [ "http://www.mendeley.com/documents/?uuid=cddd91af-c2c4-43e0-9206-f353ef1a6ff6" ] } ], "mendeley" : { "formattedCitation" : "&lt;sup&gt;[217]&lt;/sup&gt;", "plainTextFormattedCitation" : "[217]", "previouslyFormattedCitation" : "&lt;sup&gt;[217]&lt;/sup&gt;" }, "properties" : { "noteIndex" : 0 }, "schema" : "https://github.com/citation-style-language/schema/raw/master/csl-citation.json" }</w:instrText>
      </w:r>
      <w:r w:rsidR="007D46A6">
        <w:rPr>
          <w:sz w:val="24"/>
          <w:szCs w:val="24"/>
        </w:rPr>
        <w:fldChar w:fldCharType="separate"/>
      </w:r>
      <w:r w:rsidR="0055300D" w:rsidRPr="0055300D">
        <w:rPr>
          <w:noProof/>
          <w:sz w:val="24"/>
          <w:szCs w:val="24"/>
          <w:vertAlign w:val="superscript"/>
        </w:rPr>
        <w:t>[217]</w:t>
      </w:r>
      <w:r w:rsidR="007D46A6">
        <w:rPr>
          <w:sz w:val="24"/>
          <w:szCs w:val="24"/>
        </w:rPr>
        <w:fldChar w:fldCharType="end"/>
      </w:r>
      <w:r w:rsidR="00E04486">
        <w:rPr>
          <w:sz w:val="24"/>
          <w:szCs w:val="24"/>
        </w:rPr>
        <w:t xml:space="preserve"> </w:t>
      </w:r>
    </w:p>
    <w:p w:rsidR="00E04486" w:rsidRDefault="00F92837" w:rsidP="00CF6097">
      <w:pPr>
        <w:spacing w:line="360" w:lineRule="auto"/>
        <w:jc w:val="center"/>
      </w:pPr>
      <w:r>
        <w:object w:dxaOrig="5726" w:dyaOrig="1761">
          <v:shape id="_x0000_i1086" type="#_x0000_t75" style="width:286.5pt;height:87.75pt" o:ole="">
            <v:imagedata r:id="rId154" o:title=""/>
          </v:shape>
          <o:OLEObject Type="Embed" ProgID="ChemDraw.Document.6.0" ShapeID="_x0000_i1086" DrawAspect="Content" ObjectID="_1531849636" r:id="rId155"/>
        </w:object>
      </w:r>
    </w:p>
    <w:p w:rsidR="00AD36F4" w:rsidRPr="00AD36F4" w:rsidRDefault="00451339" w:rsidP="00CF6097">
      <w:pPr>
        <w:spacing w:line="360" w:lineRule="auto"/>
        <w:jc w:val="center"/>
        <w:rPr>
          <w:b/>
          <w:sz w:val="24"/>
          <w:szCs w:val="24"/>
        </w:rPr>
      </w:pPr>
      <w:r>
        <w:rPr>
          <w:b/>
          <w:sz w:val="24"/>
          <w:szCs w:val="24"/>
        </w:rPr>
        <w:t>Scheme 1.63</w:t>
      </w:r>
    </w:p>
    <w:p w:rsidR="00783696" w:rsidRPr="00783696" w:rsidRDefault="00212935" w:rsidP="007D46A6">
      <w:pPr>
        <w:spacing w:line="360" w:lineRule="auto"/>
        <w:jc w:val="both"/>
        <w:rPr>
          <w:sz w:val="24"/>
          <w:szCs w:val="24"/>
        </w:rPr>
      </w:pPr>
      <w:r>
        <w:rPr>
          <w:sz w:val="24"/>
          <w:szCs w:val="24"/>
        </w:rPr>
        <w:t>To date there has been only one report in the literature using lanthanide catalysts to achieve X-H insertion</w:t>
      </w:r>
      <w:r w:rsidR="00783696">
        <w:rPr>
          <w:sz w:val="24"/>
          <w:szCs w:val="24"/>
        </w:rPr>
        <w:t xml:space="preserve"> from diazocarbonyl compounds</w:t>
      </w:r>
      <w:r>
        <w:rPr>
          <w:sz w:val="24"/>
          <w:szCs w:val="24"/>
        </w:rPr>
        <w:t>. Pansare and co-workers</w:t>
      </w:r>
      <w:r w:rsidR="00783696">
        <w:rPr>
          <w:sz w:val="24"/>
          <w:szCs w:val="24"/>
        </w:rPr>
        <w:fldChar w:fldCharType="begin" w:fldLock="1"/>
      </w:r>
      <w:r w:rsidR="00F168DA">
        <w:rPr>
          <w:sz w:val="24"/>
          <w:szCs w:val="24"/>
        </w:rPr>
        <w:instrText>ADDIN CSL_CITATION { "citationItems" : [ { "id" : "ITEM-1", "itemData" : { "DOI" : "10.1016/S0040-4039(99)00995-8", "ISSN" : "0040-4039", "abstract" : "Scandium triflate is an efficient catalyst for diazocarbonyl insertion reactions into O-H, S-H and carbamate N-H bonds.  E.g., 4-ClC6H4COCH:N2 and Sc(OTf)3 are stirred in benzene or CH2Cl2 to which methanol is added; after chromatog., 4-ClC6H4COCH2OMe is isolated in 93% yield.  The O-H and S-H insertion reactions proceed at ambient temp. and selective O-H insertion is possible in the presence of a carbamate N-H.  A novel approach to \u03b1-amino acids involving intramol. carbene/N-H insertion as the key step has been demonstrated.  E.g., PhCH2OCONHCH2CH2OCOC(:N2)Ph, prepd. in two steps from the phenylglyoxalate ester of N-Cbz-ethanolamine, is dissolved in benzene and added to a soln. of Sc(OTf)3 in benzene and heated to reflux to give oxazine I in 63-66% yield which undergoes methanolysis upon redn. with palladium on carbon and hydrogen to give MeO2CCH(Ph)NHCH2CH2OH in 58% yield. [on SciFinder(R)]", "author" : [ { "dropping-particle" : "V", "family" : "Pansare", "given" : "Sunil", "non-dropping-particle" : "", "parse-names" : false, "suffix" : "" }, { "dropping-particle" : "", "family" : "Jain", "given" : "Rajendra P", "non-dropping-particle" : "", "parse-names" : false, "suffix" : "" }, { "dropping-particle" : "", "family" : "Bhattacharyya", "given" : "Annyt.", "non-dropping-particle" : "", "parse-names" : false, "suffix" : "" } ], "container-title" : "Tetrahedron Letters", "id" : "ITEM-1", "issue" : "28", "issued" : { "date-parts" : [ [ "1999" ] ] }, "note" : "CAPLUS AN 1999:440792(Journal)", "page" : "5255-5258", "publisher" : "Elsevier Science Ltd.", "title" : "Scandium triflate catalyzed diazocarbonyl insertions into heteroatom-hydrogen bonds.", "type" : "article-journal", "volume" : "40" }, "uris" : [ "http://www.mendeley.com/documents/?uuid=fbf8634b-13ca-45e6-901e-362f7e2e3fb9" ] } ], "mendeley" : { "formattedCitation" : "&lt;sup&gt;[218]&lt;/sup&gt;", "plainTextFormattedCitation" : "[218]", "previouslyFormattedCitation" : "&lt;sup&gt;[218]&lt;/sup&gt;" }, "properties" : { "noteIndex" : 0 }, "schema" : "https://github.com/citation-style-language/schema/raw/master/csl-citation.json" }</w:instrText>
      </w:r>
      <w:r w:rsidR="00783696">
        <w:rPr>
          <w:sz w:val="24"/>
          <w:szCs w:val="24"/>
        </w:rPr>
        <w:fldChar w:fldCharType="separate"/>
      </w:r>
      <w:r w:rsidR="0055300D" w:rsidRPr="0055300D">
        <w:rPr>
          <w:noProof/>
          <w:sz w:val="24"/>
          <w:szCs w:val="24"/>
          <w:vertAlign w:val="superscript"/>
        </w:rPr>
        <w:t>[218]</w:t>
      </w:r>
      <w:r w:rsidR="00783696">
        <w:rPr>
          <w:sz w:val="24"/>
          <w:szCs w:val="24"/>
        </w:rPr>
        <w:fldChar w:fldCharType="end"/>
      </w:r>
      <w:r w:rsidR="00783696">
        <w:rPr>
          <w:sz w:val="24"/>
          <w:szCs w:val="24"/>
        </w:rPr>
        <w:t xml:space="preserve"> were looking for a route to </w:t>
      </w:r>
      <w:r w:rsidR="00783696" w:rsidRPr="00783696">
        <w:rPr>
          <w:rFonts w:ascii="Symbol" w:hAnsi="Symbol"/>
          <w:sz w:val="24"/>
          <w:szCs w:val="24"/>
        </w:rPr>
        <w:t></w:t>
      </w:r>
      <w:r w:rsidR="00783696">
        <w:rPr>
          <w:sz w:val="24"/>
          <w:szCs w:val="24"/>
        </w:rPr>
        <w:t xml:space="preserve">-alkoxy aryl ketones using mild conditions. They </w:t>
      </w:r>
      <w:r w:rsidR="00783696" w:rsidRPr="00783696">
        <w:rPr>
          <w:rFonts w:cs="Times New Roman"/>
          <w:sz w:val="24"/>
          <w:szCs w:val="24"/>
        </w:rPr>
        <w:t>investigated a range of diazocarbonyl ins</w:t>
      </w:r>
      <w:r w:rsidR="00783696">
        <w:rPr>
          <w:rFonts w:cs="Times New Roman"/>
          <w:sz w:val="24"/>
          <w:szCs w:val="24"/>
        </w:rPr>
        <w:t>ertion reactions into the oxygen</w:t>
      </w:r>
      <w:r w:rsidR="00783696" w:rsidRPr="00783696">
        <w:rPr>
          <w:rFonts w:cs="Times New Roman"/>
          <w:sz w:val="24"/>
          <w:szCs w:val="24"/>
        </w:rPr>
        <w:t xml:space="preserve">-hydrogen bonds </w:t>
      </w:r>
      <w:r w:rsidR="00783696">
        <w:rPr>
          <w:rFonts w:cs="Times New Roman"/>
          <w:sz w:val="24"/>
          <w:szCs w:val="24"/>
        </w:rPr>
        <w:t xml:space="preserve">in various alcohols, </w:t>
      </w:r>
      <w:r w:rsidR="00783696" w:rsidRPr="00783696">
        <w:rPr>
          <w:rFonts w:cs="Times New Roman"/>
          <w:sz w:val="24"/>
          <w:szCs w:val="24"/>
        </w:rPr>
        <w:t>using scandium triflate</w:t>
      </w:r>
      <w:r w:rsidR="00783696">
        <w:rPr>
          <w:rFonts w:cs="Times New Roman"/>
          <w:sz w:val="24"/>
          <w:szCs w:val="24"/>
        </w:rPr>
        <w:t xml:space="preserve"> </w:t>
      </w:r>
      <w:r w:rsidR="00AD36F4" w:rsidRPr="00AD36F4">
        <w:rPr>
          <w:rFonts w:cs="Times New Roman"/>
          <w:b/>
          <w:sz w:val="24"/>
          <w:szCs w:val="24"/>
        </w:rPr>
        <w:t>98</w:t>
      </w:r>
      <w:r w:rsidR="00AD36F4">
        <w:rPr>
          <w:rFonts w:cs="Times New Roman"/>
          <w:sz w:val="24"/>
          <w:szCs w:val="24"/>
        </w:rPr>
        <w:t xml:space="preserve"> </w:t>
      </w:r>
      <w:r w:rsidR="00783696">
        <w:rPr>
          <w:rFonts w:cs="Times New Roman"/>
          <w:sz w:val="24"/>
          <w:szCs w:val="24"/>
        </w:rPr>
        <w:t>(2-10 mol%) as catalyst, and achieved successful O-H insertion (</w:t>
      </w:r>
      <w:r w:rsidR="00783696" w:rsidRPr="00783696">
        <w:rPr>
          <w:rFonts w:cs="Times New Roman"/>
          <w:b/>
          <w:sz w:val="24"/>
          <w:szCs w:val="24"/>
        </w:rPr>
        <w:t>Scheme</w:t>
      </w:r>
      <w:r w:rsidR="00AD36F4">
        <w:rPr>
          <w:rFonts w:cs="Times New Roman"/>
          <w:b/>
          <w:sz w:val="24"/>
          <w:szCs w:val="24"/>
        </w:rPr>
        <w:t xml:space="preserve"> 1.6</w:t>
      </w:r>
      <w:r w:rsidR="00451339">
        <w:rPr>
          <w:rFonts w:cs="Times New Roman"/>
          <w:b/>
          <w:sz w:val="24"/>
          <w:szCs w:val="24"/>
        </w:rPr>
        <w:t>4</w:t>
      </w:r>
      <w:r w:rsidR="00783696">
        <w:rPr>
          <w:rFonts w:cs="Times New Roman"/>
          <w:sz w:val="24"/>
          <w:szCs w:val="24"/>
        </w:rPr>
        <w:t>).</w:t>
      </w:r>
    </w:p>
    <w:p w:rsidR="00783696" w:rsidRDefault="001D29AC" w:rsidP="00CF6097">
      <w:pPr>
        <w:spacing w:line="360" w:lineRule="auto"/>
        <w:jc w:val="center"/>
      </w:pPr>
      <w:r>
        <w:object w:dxaOrig="6134" w:dyaOrig="1034">
          <v:shape id="_x0000_i1087" type="#_x0000_t75" style="width:306.75pt;height:52.5pt" o:ole="">
            <v:imagedata r:id="rId156" o:title=""/>
          </v:shape>
          <o:OLEObject Type="Embed" ProgID="ChemDraw.Document.6.0" ShapeID="_x0000_i1087" DrawAspect="Content" ObjectID="_1531849637" r:id="rId157"/>
        </w:object>
      </w:r>
    </w:p>
    <w:p w:rsidR="00AD36F4" w:rsidRPr="00AD36F4" w:rsidRDefault="00AD36F4" w:rsidP="00CF6097">
      <w:pPr>
        <w:spacing w:line="360" w:lineRule="auto"/>
        <w:jc w:val="center"/>
        <w:rPr>
          <w:rFonts w:ascii="Times New Roman" w:hAnsi="Times New Roman" w:cs="Times New Roman"/>
          <w:b/>
          <w:sz w:val="24"/>
          <w:szCs w:val="24"/>
        </w:rPr>
      </w:pPr>
      <w:r w:rsidRPr="00AD36F4">
        <w:rPr>
          <w:b/>
          <w:sz w:val="24"/>
          <w:szCs w:val="24"/>
        </w:rPr>
        <w:t>Scheme 1.6</w:t>
      </w:r>
      <w:r w:rsidR="00451339">
        <w:rPr>
          <w:b/>
          <w:sz w:val="24"/>
          <w:szCs w:val="24"/>
        </w:rPr>
        <w:t>4</w:t>
      </w:r>
    </w:p>
    <w:p w:rsidR="00783696" w:rsidRPr="000C022E" w:rsidRDefault="00783696" w:rsidP="00783696">
      <w:pPr>
        <w:spacing w:line="360" w:lineRule="auto"/>
        <w:jc w:val="center"/>
        <w:rPr>
          <w:rFonts w:ascii="Times New Roman" w:hAnsi="Times New Roman" w:cs="Times New Roman"/>
          <w:b/>
          <w:sz w:val="24"/>
          <w:szCs w:val="24"/>
        </w:rPr>
      </w:pPr>
    </w:p>
    <w:p w:rsidR="00783696" w:rsidRPr="004C72B4" w:rsidRDefault="004E43A2" w:rsidP="00C34643">
      <w:pPr>
        <w:spacing w:after="0" w:line="360" w:lineRule="auto"/>
        <w:jc w:val="both"/>
        <w:rPr>
          <w:rFonts w:ascii="Times New Roman" w:hAnsi="Times New Roman" w:cs="Times New Roman"/>
          <w:sz w:val="24"/>
          <w:szCs w:val="24"/>
          <w:vertAlign w:val="superscript"/>
        </w:rPr>
      </w:pPr>
      <w:r w:rsidRPr="004E43A2">
        <w:rPr>
          <w:rFonts w:ascii="Calibri" w:hAnsi="Calibri" w:cs="Times New Roman"/>
          <w:sz w:val="24"/>
          <w:szCs w:val="24"/>
        </w:rPr>
        <w:t>The reactions were found to work well in either</w:t>
      </w:r>
      <w:r w:rsidR="00783696" w:rsidRPr="004E43A2">
        <w:rPr>
          <w:rFonts w:ascii="Calibri" w:hAnsi="Calibri" w:cs="Times New Roman"/>
          <w:sz w:val="24"/>
          <w:szCs w:val="24"/>
        </w:rPr>
        <w:t xml:space="preserve"> benzene or dichloromethane at room temperature</w:t>
      </w:r>
      <w:r w:rsidRPr="004E43A2">
        <w:rPr>
          <w:rFonts w:ascii="Calibri" w:hAnsi="Calibri" w:cs="Times New Roman"/>
          <w:sz w:val="24"/>
          <w:szCs w:val="24"/>
        </w:rPr>
        <w:t xml:space="preserve">, </w:t>
      </w:r>
      <w:r w:rsidR="0042589F">
        <w:rPr>
          <w:rFonts w:ascii="Calibri" w:hAnsi="Calibri" w:cs="Times New Roman"/>
          <w:sz w:val="24"/>
          <w:szCs w:val="24"/>
        </w:rPr>
        <w:t xml:space="preserve">and </w:t>
      </w:r>
      <w:r w:rsidRPr="004E43A2">
        <w:rPr>
          <w:rFonts w:ascii="Calibri" w:hAnsi="Calibri" w:cs="Times New Roman"/>
          <w:sz w:val="24"/>
          <w:szCs w:val="24"/>
        </w:rPr>
        <w:t>was found to be faster</w:t>
      </w:r>
      <w:r w:rsidR="00783696" w:rsidRPr="004E43A2">
        <w:rPr>
          <w:rFonts w:ascii="Calibri" w:hAnsi="Calibri" w:cs="Times New Roman"/>
          <w:sz w:val="24"/>
          <w:szCs w:val="24"/>
        </w:rPr>
        <w:t xml:space="preserve"> for primary alcohols</w:t>
      </w:r>
      <w:r w:rsidRPr="004E43A2">
        <w:rPr>
          <w:rFonts w:ascii="Calibri" w:hAnsi="Calibri" w:cs="Times New Roman"/>
          <w:sz w:val="24"/>
          <w:szCs w:val="24"/>
        </w:rPr>
        <w:t xml:space="preserve"> than secondary</w:t>
      </w:r>
      <w:r w:rsidR="00783696" w:rsidRPr="004E43A2">
        <w:rPr>
          <w:rFonts w:ascii="Calibri" w:hAnsi="Calibri" w:cs="Times New Roman"/>
          <w:sz w:val="24"/>
          <w:szCs w:val="24"/>
        </w:rPr>
        <w:t>.</w:t>
      </w:r>
      <w:r>
        <w:rPr>
          <w:rFonts w:ascii="Calibri" w:hAnsi="Calibri" w:cs="Times New Roman"/>
          <w:sz w:val="24"/>
          <w:szCs w:val="24"/>
        </w:rPr>
        <w:t xml:space="preserve"> </w:t>
      </w:r>
      <w:r w:rsidR="00783696" w:rsidRPr="004E43A2">
        <w:rPr>
          <w:rFonts w:ascii="Calibri" w:hAnsi="Calibri" w:cs="Times New Roman"/>
          <w:sz w:val="24"/>
          <w:szCs w:val="24"/>
        </w:rPr>
        <w:t>Pansare also investigated O-H inserti</w:t>
      </w:r>
      <w:r>
        <w:rPr>
          <w:rFonts w:ascii="Calibri" w:hAnsi="Calibri" w:cs="Times New Roman"/>
          <w:sz w:val="24"/>
          <w:szCs w:val="24"/>
        </w:rPr>
        <w:t>on using amino acid and hydroxy</w:t>
      </w:r>
      <w:r w:rsidR="00783696" w:rsidRPr="004E43A2">
        <w:rPr>
          <w:rFonts w:ascii="Calibri" w:hAnsi="Calibri" w:cs="Times New Roman"/>
          <w:sz w:val="24"/>
          <w:szCs w:val="24"/>
        </w:rPr>
        <w:t xml:space="preserve"> acid derived diazocarbonyl substrates.</w:t>
      </w:r>
      <w:r w:rsidR="00783696" w:rsidRPr="000C022E">
        <w:rPr>
          <w:rFonts w:ascii="Times New Roman" w:hAnsi="Times New Roman" w:cs="Times New Roman"/>
          <w:sz w:val="24"/>
          <w:szCs w:val="24"/>
        </w:rPr>
        <w:t xml:space="preserve"> </w:t>
      </w:r>
      <w:r w:rsidR="00C34643">
        <w:rPr>
          <w:rFonts w:cs="Times New Roman"/>
          <w:sz w:val="24"/>
          <w:szCs w:val="24"/>
        </w:rPr>
        <w:t>D</w:t>
      </w:r>
      <w:r w:rsidR="00C34643" w:rsidRPr="00C34643">
        <w:rPr>
          <w:rFonts w:cs="Times New Roman"/>
          <w:sz w:val="24"/>
          <w:szCs w:val="24"/>
        </w:rPr>
        <w:t xml:space="preserve">iazoketone derived from </w:t>
      </w:r>
      <w:r w:rsidRPr="00C34643">
        <w:rPr>
          <w:rFonts w:cs="Times New Roman"/>
          <w:i/>
          <w:sz w:val="24"/>
          <w:szCs w:val="24"/>
        </w:rPr>
        <w:t>O</w:t>
      </w:r>
      <w:r w:rsidRPr="00C34643">
        <w:rPr>
          <w:rFonts w:cs="Times New Roman"/>
          <w:sz w:val="24"/>
          <w:szCs w:val="24"/>
        </w:rPr>
        <w:t xml:space="preserve">-acetyl </w:t>
      </w:r>
      <w:r w:rsidR="00C34643">
        <w:rPr>
          <w:rFonts w:cs="Times New Roman"/>
          <w:sz w:val="24"/>
          <w:szCs w:val="24"/>
        </w:rPr>
        <w:t>mandelic acid were</w:t>
      </w:r>
      <w:r w:rsidRPr="00C34643">
        <w:rPr>
          <w:rFonts w:cs="Times New Roman"/>
          <w:sz w:val="24"/>
          <w:szCs w:val="24"/>
        </w:rPr>
        <w:t xml:space="preserve"> used as a substrate</w:t>
      </w:r>
      <w:r w:rsidR="00C34643">
        <w:rPr>
          <w:rFonts w:cs="Times New Roman"/>
          <w:sz w:val="24"/>
          <w:szCs w:val="24"/>
        </w:rPr>
        <w:t xml:space="preserve">, and, </w:t>
      </w:r>
      <w:r w:rsidRPr="00C34643">
        <w:rPr>
          <w:rFonts w:cs="Times New Roman"/>
          <w:sz w:val="24"/>
          <w:szCs w:val="24"/>
        </w:rPr>
        <w:t xml:space="preserve">underwent </w:t>
      </w:r>
      <w:r w:rsidR="00C34643">
        <w:rPr>
          <w:rFonts w:cs="Times New Roman"/>
          <w:sz w:val="24"/>
          <w:szCs w:val="24"/>
        </w:rPr>
        <w:t xml:space="preserve">successful </w:t>
      </w:r>
      <w:r w:rsidRPr="00C34643">
        <w:rPr>
          <w:rFonts w:cs="Times New Roman"/>
          <w:sz w:val="24"/>
          <w:szCs w:val="24"/>
        </w:rPr>
        <w:t>methanol insertion</w:t>
      </w:r>
      <w:r w:rsidR="00C34643">
        <w:rPr>
          <w:rFonts w:cs="Times New Roman"/>
          <w:sz w:val="24"/>
          <w:szCs w:val="24"/>
        </w:rPr>
        <w:t>, showing the scope of the methodology</w:t>
      </w:r>
      <w:r w:rsidR="00AD36F4">
        <w:rPr>
          <w:rFonts w:cs="Times New Roman"/>
          <w:sz w:val="24"/>
          <w:szCs w:val="24"/>
        </w:rPr>
        <w:t xml:space="preserve"> (</w:t>
      </w:r>
      <w:r w:rsidR="00AD36F4" w:rsidRPr="00AD36F4">
        <w:rPr>
          <w:rFonts w:cs="Times New Roman"/>
          <w:b/>
          <w:sz w:val="24"/>
          <w:szCs w:val="24"/>
        </w:rPr>
        <w:t>Scheme 1.6</w:t>
      </w:r>
      <w:r w:rsidR="00451339">
        <w:rPr>
          <w:rFonts w:cs="Times New Roman"/>
          <w:b/>
          <w:sz w:val="24"/>
          <w:szCs w:val="24"/>
        </w:rPr>
        <w:t>5</w:t>
      </w:r>
      <w:r w:rsidR="00AD36F4">
        <w:rPr>
          <w:rFonts w:cs="Times New Roman"/>
          <w:sz w:val="24"/>
          <w:szCs w:val="24"/>
        </w:rPr>
        <w:t>)</w:t>
      </w:r>
      <w:r w:rsidR="00C34643">
        <w:rPr>
          <w:rFonts w:cs="Times New Roman"/>
          <w:sz w:val="24"/>
          <w:szCs w:val="24"/>
        </w:rPr>
        <w:t>.</w:t>
      </w:r>
    </w:p>
    <w:p w:rsidR="00783696" w:rsidRDefault="00CF6097" w:rsidP="00CF6097">
      <w:pPr>
        <w:spacing w:line="360" w:lineRule="auto"/>
        <w:jc w:val="center"/>
      </w:pPr>
      <w:r>
        <w:object w:dxaOrig="5128" w:dyaOrig="4068">
          <v:shape id="_x0000_i1088" type="#_x0000_t75" style="width:257.25pt;height:203.25pt" o:ole="">
            <v:imagedata r:id="rId158" o:title=""/>
          </v:shape>
          <o:OLEObject Type="Embed" ProgID="ChemDraw.Document.6.0" ShapeID="_x0000_i1088" DrawAspect="Content" ObjectID="_1531849638" r:id="rId159"/>
        </w:object>
      </w:r>
    </w:p>
    <w:p w:rsidR="00AD36F4" w:rsidRPr="00AD36F4" w:rsidRDefault="00AD36F4" w:rsidP="00CF6097">
      <w:pPr>
        <w:spacing w:line="360" w:lineRule="auto"/>
        <w:jc w:val="center"/>
        <w:rPr>
          <w:rFonts w:ascii="Times New Roman" w:hAnsi="Times New Roman" w:cs="Times New Roman"/>
          <w:b/>
          <w:sz w:val="24"/>
          <w:szCs w:val="24"/>
        </w:rPr>
      </w:pPr>
      <w:r w:rsidRPr="00AD36F4">
        <w:rPr>
          <w:b/>
          <w:sz w:val="24"/>
          <w:szCs w:val="24"/>
        </w:rPr>
        <w:t>Scheme 1.6</w:t>
      </w:r>
      <w:r w:rsidR="00451339">
        <w:rPr>
          <w:b/>
          <w:sz w:val="24"/>
          <w:szCs w:val="24"/>
        </w:rPr>
        <w:t>5</w:t>
      </w:r>
    </w:p>
    <w:p w:rsidR="00AD36F4" w:rsidRDefault="00AD36F4" w:rsidP="00783696">
      <w:pPr>
        <w:spacing w:line="360" w:lineRule="auto"/>
        <w:jc w:val="both"/>
        <w:rPr>
          <w:rFonts w:ascii="Calibri" w:hAnsi="Calibri" w:cs="Times New Roman"/>
          <w:sz w:val="24"/>
          <w:szCs w:val="24"/>
        </w:rPr>
      </w:pPr>
    </w:p>
    <w:p w:rsidR="00783696" w:rsidRPr="00C34643" w:rsidRDefault="00C34643" w:rsidP="00783696">
      <w:pPr>
        <w:spacing w:line="360" w:lineRule="auto"/>
        <w:jc w:val="both"/>
        <w:rPr>
          <w:rFonts w:ascii="Calibri" w:hAnsi="Calibri" w:cs="Times New Roman"/>
          <w:sz w:val="24"/>
          <w:szCs w:val="24"/>
        </w:rPr>
      </w:pPr>
      <w:r w:rsidRPr="00C34643">
        <w:rPr>
          <w:rFonts w:ascii="Calibri" w:hAnsi="Calibri" w:cs="Times New Roman"/>
          <w:sz w:val="24"/>
          <w:szCs w:val="24"/>
        </w:rPr>
        <w:t>The corresponding</w:t>
      </w:r>
      <w:r>
        <w:rPr>
          <w:rFonts w:ascii="Calibri" w:hAnsi="Calibri" w:cs="Times New Roman"/>
          <w:sz w:val="24"/>
          <w:szCs w:val="24"/>
        </w:rPr>
        <w:t xml:space="preserve"> intermolecular</w:t>
      </w:r>
      <w:r w:rsidRPr="00C34643">
        <w:rPr>
          <w:rFonts w:ascii="Calibri" w:hAnsi="Calibri" w:cs="Times New Roman"/>
          <w:sz w:val="24"/>
          <w:szCs w:val="24"/>
        </w:rPr>
        <w:t xml:space="preserve"> N-H insertion reaction was also attempted </w:t>
      </w:r>
      <w:r>
        <w:rPr>
          <w:rFonts w:ascii="Calibri" w:hAnsi="Calibri" w:cs="Times New Roman"/>
          <w:sz w:val="24"/>
          <w:szCs w:val="24"/>
        </w:rPr>
        <w:t>with</w:t>
      </w:r>
      <w:r w:rsidRPr="00C34643">
        <w:rPr>
          <w:rFonts w:ascii="Calibri" w:hAnsi="Calibri" w:cs="Times New Roman"/>
          <w:sz w:val="24"/>
          <w:szCs w:val="24"/>
        </w:rPr>
        <w:t xml:space="preserve"> an amine</w:t>
      </w:r>
      <w:r>
        <w:rPr>
          <w:rFonts w:ascii="Calibri" w:hAnsi="Calibri" w:cs="Times New Roman"/>
          <w:sz w:val="24"/>
          <w:szCs w:val="24"/>
        </w:rPr>
        <w:t>, a carbamate</w:t>
      </w:r>
      <w:r w:rsidR="0042589F">
        <w:rPr>
          <w:rFonts w:ascii="Calibri" w:hAnsi="Calibri" w:cs="Times New Roman"/>
          <w:sz w:val="24"/>
          <w:szCs w:val="24"/>
        </w:rPr>
        <w:t xml:space="preserve"> and </w:t>
      </w:r>
      <w:r w:rsidRPr="00C34643">
        <w:rPr>
          <w:rFonts w:ascii="Calibri" w:hAnsi="Calibri" w:cs="Times New Roman"/>
          <w:sz w:val="24"/>
          <w:szCs w:val="24"/>
        </w:rPr>
        <w:t xml:space="preserve">morpholine, but proved to be unsuccessful, as can be seen in </w:t>
      </w:r>
      <w:r w:rsidRPr="00C34643">
        <w:rPr>
          <w:rFonts w:ascii="Calibri" w:hAnsi="Calibri" w:cs="Times New Roman"/>
          <w:b/>
          <w:sz w:val="24"/>
          <w:szCs w:val="24"/>
        </w:rPr>
        <w:t>Scheme</w:t>
      </w:r>
      <w:r w:rsidR="00AD36F4">
        <w:rPr>
          <w:rFonts w:ascii="Calibri" w:hAnsi="Calibri" w:cs="Times New Roman"/>
          <w:b/>
          <w:sz w:val="24"/>
          <w:szCs w:val="24"/>
        </w:rPr>
        <w:t xml:space="preserve"> 1.6</w:t>
      </w:r>
      <w:r w:rsidR="00451339">
        <w:rPr>
          <w:rFonts w:ascii="Calibri" w:hAnsi="Calibri" w:cs="Times New Roman"/>
          <w:b/>
          <w:sz w:val="24"/>
          <w:szCs w:val="24"/>
        </w:rPr>
        <w:t>6</w:t>
      </w:r>
      <w:r w:rsidRPr="00C34643">
        <w:rPr>
          <w:rFonts w:ascii="Calibri" w:hAnsi="Calibri" w:cs="Times New Roman"/>
          <w:sz w:val="24"/>
          <w:szCs w:val="24"/>
        </w:rPr>
        <w:t>.</w:t>
      </w:r>
    </w:p>
    <w:p w:rsidR="00783696" w:rsidRDefault="00CF6097" w:rsidP="00783696">
      <w:pPr>
        <w:spacing w:line="360" w:lineRule="auto"/>
        <w:jc w:val="center"/>
      </w:pPr>
      <w:r>
        <w:object w:dxaOrig="5191" w:dyaOrig="1029">
          <v:shape id="_x0000_i1089" type="#_x0000_t75" style="width:259.5pt;height:52.5pt" o:ole="">
            <v:imagedata r:id="rId160" o:title=""/>
          </v:shape>
          <o:OLEObject Type="Embed" ProgID="ChemDraw.Document.6.0" ShapeID="_x0000_i1089" DrawAspect="Content" ObjectID="_1531849639" r:id="rId161"/>
        </w:object>
      </w:r>
    </w:p>
    <w:p w:rsidR="00AD36F4" w:rsidRPr="00AD36F4" w:rsidRDefault="00AD36F4" w:rsidP="00783696">
      <w:pPr>
        <w:spacing w:line="360" w:lineRule="auto"/>
        <w:jc w:val="center"/>
        <w:rPr>
          <w:rFonts w:ascii="Times New Roman" w:hAnsi="Times New Roman" w:cs="Times New Roman"/>
          <w:b/>
          <w:sz w:val="24"/>
          <w:szCs w:val="24"/>
        </w:rPr>
      </w:pPr>
      <w:r w:rsidRPr="00AD36F4">
        <w:rPr>
          <w:b/>
          <w:sz w:val="24"/>
          <w:szCs w:val="24"/>
        </w:rPr>
        <w:t>Scheme 1.6</w:t>
      </w:r>
      <w:r w:rsidR="00451339">
        <w:rPr>
          <w:b/>
          <w:sz w:val="24"/>
          <w:szCs w:val="24"/>
        </w:rPr>
        <w:t>6</w:t>
      </w:r>
    </w:p>
    <w:p w:rsidR="00AD36F4" w:rsidRDefault="00783696" w:rsidP="00783696">
      <w:pPr>
        <w:spacing w:line="360" w:lineRule="auto"/>
        <w:jc w:val="both"/>
        <w:rPr>
          <w:rFonts w:ascii="Times New Roman" w:hAnsi="Times New Roman" w:cs="Times New Roman"/>
          <w:b/>
          <w:sz w:val="24"/>
          <w:szCs w:val="24"/>
        </w:rPr>
      </w:pPr>
      <w:r w:rsidRPr="000C022E">
        <w:rPr>
          <w:rFonts w:ascii="Times New Roman" w:hAnsi="Times New Roman" w:cs="Times New Roman"/>
          <w:b/>
          <w:sz w:val="24"/>
          <w:szCs w:val="24"/>
        </w:rPr>
        <w:tab/>
      </w:r>
    </w:p>
    <w:p w:rsidR="00783696" w:rsidRPr="00C34643" w:rsidRDefault="00C34643" w:rsidP="00783696">
      <w:pPr>
        <w:spacing w:line="360" w:lineRule="auto"/>
        <w:jc w:val="both"/>
        <w:rPr>
          <w:rFonts w:cs="Times New Roman"/>
          <w:b/>
          <w:sz w:val="24"/>
          <w:szCs w:val="24"/>
        </w:rPr>
      </w:pPr>
      <w:r w:rsidRPr="00C34643">
        <w:rPr>
          <w:rFonts w:cs="Times New Roman"/>
          <w:sz w:val="24"/>
          <w:szCs w:val="24"/>
        </w:rPr>
        <w:t>When the intramolecular reaction was attempted however, the reaction was successful</w:t>
      </w:r>
      <w:r>
        <w:rPr>
          <w:rFonts w:cs="Times New Roman"/>
          <w:sz w:val="24"/>
          <w:szCs w:val="24"/>
        </w:rPr>
        <w:t xml:space="preserve"> yielding</w:t>
      </w:r>
      <w:r w:rsidRPr="00C34643">
        <w:rPr>
          <w:rFonts w:cs="Times New Roman"/>
          <w:sz w:val="24"/>
          <w:szCs w:val="24"/>
        </w:rPr>
        <w:t xml:space="preserve"> 3-phenyl-4-benzyloxycarbonyl morpholine-2-one</w:t>
      </w:r>
      <w:r w:rsidR="008F5BBD">
        <w:rPr>
          <w:rFonts w:cs="Times New Roman"/>
          <w:sz w:val="24"/>
          <w:szCs w:val="24"/>
        </w:rPr>
        <w:t xml:space="preserve"> </w:t>
      </w:r>
      <w:r w:rsidR="008F5BBD" w:rsidRPr="008F5BBD">
        <w:rPr>
          <w:rFonts w:cs="Times New Roman"/>
          <w:b/>
          <w:sz w:val="24"/>
          <w:szCs w:val="24"/>
        </w:rPr>
        <w:t>109</w:t>
      </w:r>
      <w:r>
        <w:rPr>
          <w:rFonts w:cs="Times New Roman"/>
          <w:sz w:val="24"/>
          <w:szCs w:val="24"/>
        </w:rPr>
        <w:t xml:space="preserve"> (</w:t>
      </w:r>
      <w:r w:rsidRPr="00C34643">
        <w:rPr>
          <w:rFonts w:cs="Times New Roman"/>
          <w:b/>
          <w:sz w:val="24"/>
          <w:szCs w:val="24"/>
        </w:rPr>
        <w:t>Scheme</w:t>
      </w:r>
      <w:r w:rsidR="00AD36F4">
        <w:rPr>
          <w:rFonts w:cs="Times New Roman"/>
          <w:b/>
          <w:sz w:val="24"/>
          <w:szCs w:val="24"/>
        </w:rPr>
        <w:t xml:space="preserve"> 1.6</w:t>
      </w:r>
      <w:r w:rsidR="00451339">
        <w:rPr>
          <w:rFonts w:cs="Times New Roman"/>
          <w:b/>
          <w:sz w:val="24"/>
          <w:szCs w:val="24"/>
        </w:rPr>
        <w:t>7</w:t>
      </w:r>
      <w:r>
        <w:rPr>
          <w:rFonts w:cs="Times New Roman"/>
          <w:sz w:val="24"/>
          <w:szCs w:val="24"/>
        </w:rPr>
        <w:t>).</w:t>
      </w:r>
    </w:p>
    <w:p w:rsidR="00783696" w:rsidRDefault="008F5BBD" w:rsidP="00CF6097">
      <w:pPr>
        <w:spacing w:line="360" w:lineRule="auto"/>
        <w:jc w:val="center"/>
      </w:pPr>
      <w:r>
        <w:object w:dxaOrig="6549" w:dyaOrig="1485">
          <v:shape id="_x0000_i1090" type="#_x0000_t75" style="width:327.75pt;height:73.5pt" o:ole="">
            <v:imagedata r:id="rId162" o:title=""/>
          </v:shape>
          <o:OLEObject Type="Embed" ProgID="ChemDraw.Document.6.0" ShapeID="_x0000_i1090" DrawAspect="Content" ObjectID="_1531849640" r:id="rId163"/>
        </w:object>
      </w:r>
    </w:p>
    <w:p w:rsidR="00AD36F4" w:rsidRPr="00AD36F4" w:rsidRDefault="00AD36F4" w:rsidP="00CF6097">
      <w:pPr>
        <w:spacing w:line="360" w:lineRule="auto"/>
        <w:jc w:val="center"/>
        <w:rPr>
          <w:rFonts w:ascii="Times New Roman" w:hAnsi="Times New Roman" w:cs="Times New Roman"/>
          <w:b/>
          <w:sz w:val="24"/>
          <w:szCs w:val="24"/>
        </w:rPr>
      </w:pPr>
      <w:r w:rsidRPr="00AD36F4">
        <w:rPr>
          <w:b/>
          <w:sz w:val="24"/>
          <w:szCs w:val="24"/>
        </w:rPr>
        <w:t>Scheme 1.6</w:t>
      </w:r>
      <w:r w:rsidR="00451339">
        <w:rPr>
          <w:b/>
          <w:sz w:val="24"/>
          <w:szCs w:val="24"/>
        </w:rPr>
        <w:t>7</w:t>
      </w:r>
    </w:p>
    <w:p w:rsidR="00783696" w:rsidRDefault="00783696" w:rsidP="00783696">
      <w:pPr>
        <w:spacing w:line="360" w:lineRule="auto"/>
        <w:jc w:val="both"/>
        <w:rPr>
          <w:rFonts w:ascii="Times New Roman" w:hAnsi="Times New Roman" w:cs="Times New Roman"/>
          <w:b/>
          <w:sz w:val="24"/>
          <w:szCs w:val="24"/>
        </w:rPr>
      </w:pPr>
    </w:p>
    <w:p w:rsidR="00783696" w:rsidRDefault="00783696" w:rsidP="00783696">
      <w:pPr>
        <w:spacing w:line="360" w:lineRule="auto"/>
        <w:jc w:val="both"/>
        <w:rPr>
          <w:rFonts w:ascii="Times New Roman" w:hAnsi="Times New Roman" w:cs="Times New Roman"/>
          <w:b/>
          <w:sz w:val="24"/>
          <w:szCs w:val="24"/>
        </w:rPr>
      </w:pPr>
    </w:p>
    <w:p w:rsidR="00B0010E" w:rsidRDefault="00B0010E" w:rsidP="00783696">
      <w:pPr>
        <w:spacing w:line="360" w:lineRule="auto"/>
        <w:jc w:val="both"/>
        <w:rPr>
          <w:rFonts w:ascii="Times New Roman" w:hAnsi="Times New Roman" w:cs="Times New Roman"/>
          <w:b/>
          <w:sz w:val="24"/>
          <w:szCs w:val="24"/>
        </w:rPr>
      </w:pPr>
    </w:p>
    <w:p w:rsidR="00B0010E" w:rsidRDefault="00B0010E" w:rsidP="00B0010E">
      <w:pPr>
        <w:pStyle w:val="Heading1"/>
      </w:pPr>
      <w:bookmarkStart w:id="32" w:name="_Toc446773084"/>
      <w:r w:rsidRPr="00B0010E">
        <w:lastRenderedPageBreak/>
        <w:t xml:space="preserve">1.7 Objectives of </w:t>
      </w:r>
      <w:r w:rsidR="009C6875">
        <w:t>c</w:t>
      </w:r>
      <w:r w:rsidRPr="00B0010E">
        <w:t xml:space="preserve">urrent </w:t>
      </w:r>
      <w:r w:rsidR="009C6875">
        <w:t>r</w:t>
      </w:r>
      <w:r w:rsidRPr="00B0010E">
        <w:t>esearch</w:t>
      </w:r>
      <w:bookmarkEnd w:id="32"/>
    </w:p>
    <w:p w:rsidR="00B0010E" w:rsidRDefault="00B0010E" w:rsidP="00B0010E">
      <w:pPr>
        <w:spacing w:line="360" w:lineRule="auto"/>
        <w:jc w:val="both"/>
        <w:rPr>
          <w:sz w:val="24"/>
          <w:szCs w:val="24"/>
        </w:rPr>
      </w:pPr>
      <w:r w:rsidRPr="00B0010E">
        <w:rPr>
          <w:sz w:val="24"/>
          <w:szCs w:val="24"/>
        </w:rPr>
        <w:t>Following on from the above literature review, the objectives of this project are as follows:</w:t>
      </w:r>
    </w:p>
    <w:p w:rsidR="00B0010E" w:rsidRPr="00EB25F3" w:rsidRDefault="00B0010E" w:rsidP="00720583">
      <w:pPr>
        <w:pStyle w:val="ListParagraph"/>
        <w:numPr>
          <w:ilvl w:val="0"/>
          <w:numId w:val="7"/>
        </w:numPr>
        <w:spacing w:line="360" w:lineRule="auto"/>
        <w:jc w:val="both"/>
        <w:rPr>
          <w:sz w:val="24"/>
          <w:szCs w:val="24"/>
        </w:rPr>
      </w:pPr>
      <w:r w:rsidRPr="00EB25F3">
        <w:rPr>
          <w:sz w:val="24"/>
          <w:szCs w:val="24"/>
        </w:rPr>
        <w:t xml:space="preserve">To synthesise a range of </w:t>
      </w:r>
      <w:r w:rsidRPr="00EB25F3">
        <w:rPr>
          <w:rFonts w:ascii="Symbol" w:hAnsi="Symbol"/>
          <w:sz w:val="24"/>
          <w:szCs w:val="24"/>
        </w:rPr>
        <w:t></w:t>
      </w:r>
      <w:r w:rsidRPr="00EB25F3">
        <w:rPr>
          <w:sz w:val="24"/>
          <w:szCs w:val="24"/>
        </w:rPr>
        <w:t xml:space="preserve">-ketoesters with varying ester side-chains by transesterification of the corresponding alcohol, as shown in </w:t>
      </w:r>
      <w:r w:rsidRPr="00EB25F3">
        <w:rPr>
          <w:b/>
          <w:sz w:val="24"/>
          <w:szCs w:val="24"/>
        </w:rPr>
        <w:t>Scheme 1.6</w:t>
      </w:r>
      <w:r w:rsidR="00451339" w:rsidRPr="00EB25F3">
        <w:rPr>
          <w:b/>
          <w:sz w:val="24"/>
          <w:szCs w:val="24"/>
        </w:rPr>
        <w:t>8</w:t>
      </w:r>
      <w:r w:rsidRPr="00EB25F3">
        <w:rPr>
          <w:sz w:val="24"/>
          <w:szCs w:val="24"/>
        </w:rPr>
        <w:t>.</w:t>
      </w:r>
    </w:p>
    <w:p w:rsidR="00B0010E" w:rsidRDefault="00B0010E" w:rsidP="00B0010E">
      <w:pPr>
        <w:pStyle w:val="ListParagraph"/>
        <w:spacing w:line="360" w:lineRule="auto"/>
        <w:jc w:val="center"/>
      </w:pPr>
      <w:r>
        <w:object w:dxaOrig="6600" w:dyaOrig="1395">
          <v:shape id="_x0000_i1091" type="#_x0000_t75" style="width:330pt;height:69pt" o:ole="">
            <v:imagedata r:id="rId164" o:title=""/>
          </v:shape>
          <o:OLEObject Type="Embed" ProgID="ChemDraw.Document.6.0" ShapeID="_x0000_i1091" DrawAspect="Content" ObjectID="_1531849641" r:id="rId165"/>
        </w:object>
      </w:r>
    </w:p>
    <w:p w:rsidR="00B0010E" w:rsidRDefault="00B0010E" w:rsidP="00EB25F3">
      <w:pPr>
        <w:pStyle w:val="ListParagraph"/>
        <w:spacing w:line="360" w:lineRule="auto"/>
        <w:jc w:val="center"/>
        <w:rPr>
          <w:sz w:val="24"/>
          <w:szCs w:val="24"/>
        </w:rPr>
      </w:pPr>
      <w:r>
        <w:rPr>
          <w:b/>
          <w:sz w:val="24"/>
          <w:szCs w:val="24"/>
        </w:rPr>
        <w:t>Scheme 1.6</w:t>
      </w:r>
      <w:r w:rsidR="00451339">
        <w:rPr>
          <w:b/>
          <w:sz w:val="24"/>
          <w:szCs w:val="24"/>
        </w:rPr>
        <w:t>8</w:t>
      </w:r>
    </w:p>
    <w:p w:rsidR="00B0010E" w:rsidRPr="00EB25F3" w:rsidRDefault="00B0010E" w:rsidP="008A3256">
      <w:pPr>
        <w:pStyle w:val="ListParagraph"/>
        <w:numPr>
          <w:ilvl w:val="0"/>
          <w:numId w:val="7"/>
        </w:numPr>
        <w:spacing w:line="360" w:lineRule="auto"/>
        <w:jc w:val="both"/>
        <w:rPr>
          <w:sz w:val="24"/>
          <w:szCs w:val="24"/>
        </w:rPr>
      </w:pPr>
      <w:r w:rsidRPr="00EB25F3">
        <w:rPr>
          <w:sz w:val="24"/>
          <w:szCs w:val="24"/>
        </w:rPr>
        <w:t xml:space="preserve">To prepare a range of novel </w:t>
      </w:r>
      <w:r w:rsidRPr="00EB25F3">
        <w:rPr>
          <w:rFonts w:ascii="Symbol" w:hAnsi="Symbol"/>
          <w:sz w:val="24"/>
          <w:szCs w:val="24"/>
        </w:rPr>
        <w:t></w:t>
      </w:r>
      <w:r w:rsidRPr="00EB25F3">
        <w:rPr>
          <w:sz w:val="24"/>
          <w:szCs w:val="24"/>
        </w:rPr>
        <w:t>-diazo-</w:t>
      </w:r>
      <w:r w:rsidRPr="00EB25F3">
        <w:rPr>
          <w:rFonts w:ascii="Symbol" w:hAnsi="Symbol"/>
          <w:sz w:val="24"/>
          <w:szCs w:val="24"/>
        </w:rPr>
        <w:t></w:t>
      </w:r>
      <w:r w:rsidRPr="00EB25F3">
        <w:rPr>
          <w:sz w:val="24"/>
          <w:szCs w:val="24"/>
        </w:rPr>
        <w:t xml:space="preserve">-ketoesters from </w:t>
      </w:r>
      <w:r w:rsidRPr="00EB25F3">
        <w:rPr>
          <w:rFonts w:ascii="Symbol" w:hAnsi="Symbol"/>
          <w:sz w:val="24"/>
          <w:szCs w:val="24"/>
        </w:rPr>
        <w:t></w:t>
      </w:r>
      <w:r w:rsidRPr="00EB25F3">
        <w:rPr>
          <w:sz w:val="24"/>
          <w:szCs w:val="24"/>
        </w:rPr>
        <w:t xml:space="preserve">-ketoesters </w:t>
      </w:r>
      <w:r w:rsidRPr="00EB25F3">
        <w:rPr>
          <w:i/>
          <w:sz w:val="24"/>
          <w:szCs w:val="24"/>
        </w:rPr>
        <w:t>via</w:t>
      </w:r>
      <w:r w:rsidRPr="00EB25F3">
        <w:rPr>
          <w:sz w:val="24"/>
          <w:szCs w:val="24"/>
        </w:rPr>
        <w:t xml:space="preserve"> diazo transfer (</w:t>
      </w:r>
      <w:r w:rsidRPr="00EB25F3">
        <w:rPr>
          <w:b/>
          <w:sz w:val="24"/>
          <w:szCs w:val="24"/>
        </w:rPr>
        <w:t>Scheme 1.</w:t>
      </w:r>
      <w:r w:rsidR="00451339" w:rsidRPr="00EB25F3">
        <w:rPr>
          <w:b/>
          <w:sz w:val="24"/>
          <w:szCs w:val="24"/>
        </w:rPr>
        <w:t>69</w:t>
      </w:r>
      <w:r w:rsidRPr="00EB25F3">
        <w:rPr>
          <w:sz w:val="24"/>
          <w:szCs w:val="24"/>
        </w:rPr>
        <w:t>).</w:t>
      </w:r>
    </w:p>
    <w:p w:rsidR="00B0010E" w:rsidRDefault="00B0010E" w:rsidP="00B0010E">
      <w:pPr>
        <w:pStyle w:val="ListParagraph"/>
        <w:spacing w:line="360" w:lineRule="auto"/>
        <w:jc w:val="center"/>
      </w:pPr>
      <w:r>
        <w:object w:dxaOrig="4650" w:dyaOrig="1155">
          <v:shape id="_x0000_i1092" type="#_x0000_t75" style="width:233.25pt;height:57.75pt" o:ole="">
            <v:imagedata r:id="rId166" o:title=""/>
          </v:shape>
          <o:OLEObject Type="Embed" ProgID="ChemDraw.Document.6.0" ShapeID="_x0000_i1092" DrawAspect="Content" ObjectID="_1531849642" r:id="rId167"/>
        </w:object>
      </w:r>
    </w:p>
    <w:p w:rsidR="00B0010E" w:rsidRDefault="00B0010E" w:rsidP="00B0010E">
      <w:pPr>
        <w:pStyle w:val="ListParagraph"/>
        <w:spacing w:line="360" w:lineRule="auto"/>
        <w:jc w:val="center"/>
      </w:pPr>
    </w:p>
    <w:p w:rsidR="00B0010E" w:rsidRDefault="00B0010E" w:rsidP="00EB25F3">
      <w:pPr>
        <w:pStyle w:val="ListParagraph"/>
        <w:spacing w:line="360" w:lineRule="auto"/>
        <w:jc w:val="center"/>
        <w:rPr>
          <w:sz w:val="24"/>
          <w:szCs w:val="24"/>
        </w:rPr>
      </w:pPr>
      <w:r>
        <w:rPr>
          <w:b/>
          <w:sz w:val="24"/>
          <w:szCs w:val="24"/>
        </w:rPr>
        <w:t>Scheme 1.</w:t>
      </w:r>
      <w:r w:rsidR="00451339">
        <w:rPr>
          <w:b/>
          <w:sz w:val="24"/>
          <w:szCs w:val="24"/>
        </w:rPr>
        <w:t>69</w:t>
      </w:r>
    </w:p>
    <w:p w:rsidR="00B0010E" w:rsidRDefault="00B0010E" w:rsidP="00B0010E">
      <w:pPr>
        <w:pStyle w:val="ListParagraph"/>
        <w:numPr>
          <w:ilvl w:val="0"/>
          <w:numId w:val="7"/>
        </w:numPr>
        <w:spacing w:line="360" w:lineRule="auto"/>
        <w:jc w:val="both"/>
        <w:rPr>
          <w:sz w:val="24"/>
          <w:szCs w:val="24"/>
        </w:rPr>
      </w:pPr>
      <w:r>
        <w:rPr>
          <w:sz w:val="24"/>
          <w:szCs w:val="24"/>
        </w:rPr>
        <w:t xml:space="preserve">To examine the effect of varying different parameters of the diazo transfer reaction on the efficacy of the reaction in an attempt to make it </w:t>
      </w:r>
      <w:r w:rsidR="00770BCC">
        <w:rPr>
          <w:sz w:val="24"/>
          <w:szCs w:val="24"/>
        </w:rPr>
        <w:t>more environmentally benign by employing some of the 12 Principles of Green Chemistry,</w:t>
      </w:r>
      <w:r w:rsidR="00770BCC">
        <w:rPr>
          <w:sz w:val="24"/>
          <w:szCs w:val="24"/>
        </w:rPr>
        <w:fldChar w:fldCharType="begin" w:fldLock="1"/>
      </w:r>
      <w:r w:rsidR="00F168DA">
        <w:rPr>
          <w:sz w:val="24"/>
          <w:szCs w:val="24"/>
        </w:rPr>
        <w:instrText>ADDIN CSL_CITATION { "citationItems" : [ { "id" : "ITEM-1", "itemData" : { "author" : [ { "dropping-particle" : "", "family" : "Anastas, P. T.; Warner", "given" : "J. C.", "non-dropping-particle" : "", "parse-names" : false, "suffix" : "" } ], "container-title" : "Green Chemistry: Theory and Practice", "id" : "ITEM-1", "issued" : { "date-parts" : [ [ "1998" ] ] }, "publisher" : "Oxford University Press", "title" : "12 Principles of Green Chemistry", "type" : "chapter" }, "uris" : [ "http://www.mendeley.com/documents/?uuid=bb71f6c5-08fe-4dcb-b916-0f4a11722f82" ] } ], "mendeley" : { "formattedCitation" : "&lt;sup&gt;[56]&lt;/sup&gt;", "plainTextFormattedCitation" : "[56]", "previouslyFormattedCitation" : "&lt;sup&gt;[56]&lt;/sup&gt;" }, "properties" : { "noteIndex" : 0 }, "schema" : "https://github.com/citation-style-language/schema/raw/master/csl-citation.json" }</w:instrText>
      </w:r>
      <w:r w:rsidR="00770BCC">
        <w:rPr>
          <w:sz w:val="24"/>
          <w:szCs w:val="24"/>
        </w:rPr>
        <w:fldChar w:fldCharType="separate"/>
      </w:r>
      <w:r w:rsidR="0055300D" w:rsidRPr="0055300D">
        <w:rPr>
          <w:noProof/>
          <w:sz w:val="24"/>
          <w:szCs w:val="24"/>
          <w:vertAlign w:val="superscript"/>
        </w:rPr>
        <w:t>[56]</w:t>
      </w:r>
      <w:r w:rsidR="00770BCC">
        <w:rPr>
          <w:sz w:val="24"/>
          <w:szCs w:val="24"/>
        </w:rPr>
        <w:fldChar w:fldCharType="end"/>
      </w:r>
      <w:r>
        <w:rPr>
          <w:sz w:val="24"/>
          <w:szCs w:val="24"/>
        </w:rPr>
        <w:t xml:space="preserve"> and more appealing to industry.</w:t>
      </w:r>
    </w:p>
    <w:p w:rsidR="00B0010E" w:rsidRDefault="00B0010E" w:rsidP="00B0010E">
      <w:pPr>
        <w:pStyle w:val="ListParagraph"/>
        <w:numPr>
          <w:ilvl w:val="0"/>
          <w:numId w:val="7"/>
        </w:numPr>
        <w:spacing w:line="360" w:lineRule="auto"/>
        <w:jc w:val="both"/>
        <w:rPr>
          <w:sz w:val="24"/>
          <w:szCs w:val="24"/>
        </w:rPr>
      </w:pPr>
      <w:r>
        <w:rPr>
          <w:sz w:val="24"/>
          <w:szCs w:val="24"/>
        </w:rPr>
        <w:t>To apply this improved methodology to continuous processing.</w:t>
      </w:r>
    </w:p>
    <w:p w:rsidR="00B0010E" w:rsidRDefault="00B0010E" w:rsidP="00B0010E">
      <w:pPr>
        <w:pStyle w:val="ListParagraph"/>
        <w:numPr>
          <w:ilvl w:val="0"/>
          <w:numId w:val="7"/>
        </w:numPr>
        <w:spacing w:line="360" w:lineRule="auto"/>
        <w:jc w:val="both"/>
        <w:rPr>
          <w:sz w:val="24"/>
          <w:szCs w:val="24"/>
        </w:rPr>
      </w:pPr>
      <w:r>
        <w:rPr>
          <w:sz w:val="24"/>
          <w:szCs w:val="24"/>
        </w:rPr>
        <w:t xml:space="preserve">To synthesise a range of dioxinones </w:t>
      </w:r>
      <w:r w:rsidRPr="00B540B7">
        <w:rPr>
          <w:i/>
          <w:sz w:val="24"/>
          <w:szCs w:val="24"/>
        </w:rPr>
        <w:t>via</w:t>
      </w:r>
      <w:r w:rsidR="00B540B7">
        <w:rPr>
          <w:sz w:val="24"/>
          <w:szCs w:val="24"/>
        </w:rPr>
        <w:t xml:space="preserve"> rhodium</w:t>
      </w:r>
      <w:r>
        <w:rPr>
          <w:sz w:val="24"/>
          <w:szCs w:val="24"/>
        </w:rPr>
        <w:t xml:space="preserve">(II) catalysed decomposition of </w:t>
      </w:r>
      <w:r>
        <w:rPr>
          <w:rFonts w:ascii="Symbol" w:hAnsi="Symbol"/>
          <w:sz w:val="24"/>
          <w:szCs w:val="24"/>
        </w:rPr>
        <w:t></w:t>
      </w:r>
      <w:r>
        <w:rPr>
          <w:sz w:val="24"/>
          <w:szCs w:val="24"/>
        </w:rPr>
        <w:t>-diazo-</w:t>
      </w:r>
      <w:r>
        <w:rPr>
          <w:rFonts w:ascii="Symbol" w:hAnsi="Symbol"/>
          <w:sz w:val="24"/>
          <w:szCs w:val="24"/>
        </w:rPr>
        <w:t></w:t>
      </w:r>
      <w:r>
        <w:rPr>
          <w:sz w:val="24"/>
          <w:szCs w:val="24"/>
        </w:rPr>
        <w:t>-ketoesters.</w:t>
      </w:r>
    </w:p>
    <w:p w:rsidR="00EB25F3" w:rsidRDefault="00EB25F3" w:rsidP="00EB25F3">
      <w:pPr>
        <w:pStyle w:val="ListParagraph"/>
        <w:spacing w:line="360" w:lineRule="auto"/>
        <w:jc w:val="center"/>
      </w:pPr>
      <w:r>
        <w:object w:dxaOrig="4586" w:dyaOrig="1205">
          <v:shape id="_x0000_i1102" type="#_x0000_t75" style="width:229.5pt;height:60pt" o:ole="">
            <v:imagedata r:id="rId168" o:title=""/>
          </v:shape>
          <o:OLEObject Type="Embed" ProgID="ChemDraw.Document.6.0" ShapeID="_x0000_i1102" DrawAspect="Content" ObjectID="_1531849643" r:id="rId169"/>
        </w:object>
      </w:r>
    </w:p>
    <w:p w:rsidR="00EB25F3" w:rsidRPr="00EB25F3" w:rsidRDefault="00EB25F3" w:rsidP="00EB25F3">
      <w:pPr>
        <w:pStyle w:val="ListParagraph"/>
        <w:spacing w:line="360" w:lineRule="auto"/>
        <w:jc w:val="center"/>
        <w:rPr>
          <w:b/>
          <w:sz w:val="24"/>
          <w:szCs w:val="24"/>
        </w:rPr>
      </w:pPr>
      <w:r w:rsidRPr="00EB25F3">
        <w:rPr>
          <w:b/>
          <w:sz w:val="24"/>
          <w:szCs w:val="24"/>
        </w:rPr>
        <w:t>Scheme 1.70</w:t>
      </w:r>
    </w:p>
    <w:p w:rsidR="00B0010E" w:rsidRDefault="0042589F" w:rsidP="00B0010E">
      <w:pPr>
        <w:pStyle w:val="ListParagraph"/>
        <w:numPr>
          <w:ilvl w:val="0"/>
          <w:numId w:val="7"/>
        </w:numPr>
        <w:spacing w:line="360" w:lineRule="auto"/>
        <w:jc w:val="both"/>
        <w:rPr>
          <w:sz w:val="24"/>
          <w:szCs w:val="24"/>
        </w:rPr>
      </w:pPr>
      <w:r>
        <w:rPr>
          <w:sz w:val="24"/>
          <w:szCs w:val="24"/>
        </w:rPr>
        <w:t>To investigate</w:t>
      </w:r>
      <w:r w:rsidR="00B0010E">
        <w:rPr>
          <w:sz w:val="24"/>
          <w:szCs w:val="24"/>
        </w:rPr>
        <w:t xml:space="preserve"> lanthanide catalysed </w:t>
      </w:r>
      <w:r w:rsidR="00B540B7">
        <w:rPr>
          <w:sz w:val="24"/>
          <w:szCs w:val="24"/>
        </w:rPr>
        <w:t>decomposition</w:t>
      </w:r>
      <w:r w:rsidR="00B0010E">
        <w:rPr>
          <w:sz w:val="24"/>
          <w:szCs w:val="24"/>
        </w:rPr>
        <w:t xml:space="preserve"> reactions of </w:t>
      </w:r>
      <w:r w:rsidR="00B0010E">
        <w:rPr>
          <w:rFonts w:ascii="Symbol" w:hAnsi="Symbol"/>
          <w:sz w:val="24"/>
          <w:szCs w:val="24"/>
        </w:rPr>
        <w:t></w:t>
      </w:r>
      <w:r w:rsidR="00B0010E">
        <w:rPr>
          <w:sz w:val="24"/>
          <w:szCs w:val="24"/>
        </w:rPr>
        <w:t>-diazo-</w:t>
      </w:r>
      <w:r w:rsidR="00B0010E">
        <w:rPr>
          <w:rFonts w:ascii="Symbol" w:hAnsi="Symbol"/>
          <w:sz w:val="24"/>
          <w:szCs w:val="24"/>
        </w:rPr>
        <w:t></w:t>
      </w:r>
      <w:r w:rsidR="00B0010E">
        <w:rPr>
          <w:sz w:val="24"/>
          <w:szCs w:val="24"/>
        </w:rPr>
        <w:t>-ketoesters.</w:t>
      </w:r>
    </w:p>
    <w:p w:rsidR="00B0010E" w:rsidRPr="00B0010E" w:rsidRDefault="00B0010E" w:rsidP="00B0010E">
      <w:pPr>
        <w:spacing w:line="360" w:lineRule="auto"/>
        <w:jc w:val="both"/>
        <w:rPr>
          <w:sz w:val="24"/>
          <w:szCs w:val="24"/>
        </w:rPr>
      </w:pPr>
    </w:p>
    <w:p w:rsidR="0074056F" w:rsidRPr="007D46A6" w:rsidRDefault="0074056F" w:rsidP="007D46A6">
      <w:pPr>
        <w:spacing w:line="360" w:lineRule="auto"/>
        <w:jc w:val="both"/>
        <w:rPr>
          <w:b/>
          <w:sz w:val="24"/>
          <w:szCs w:val="24"/>
        </w:rPr>
      </w:pPr>
      <w:r w:rsidRPr="007D46A6">
        <w:rPr>
          <w:sz w:val="24"/>
          <w:szCs w:val="24"/>
        </w:rPr>
        <w:br w:type="page"/>
      </w:r>
    </w:p>
    <w:p w:rsidR="00F168DA" w:rsidRPr="00F168DA" w:rsidRDefault="0074056F" w:rsidP="009C6875">
      <w:pPr>
        <w:pStyle w:val="Heading1"/>
        <w:rPr>
          <w:rFonts w:ascii="Calibri" w:hAnsi="Calibri" w:cs="Times New Roman"/>
          <w:noProof/>
          <w:sz w:val="20"/>
        </w:rPr>
      </w:pPr>
      <w:bookmarkStart w:id="33" w:name="_Toc446773085"/>
      <w:r>
        <w:lastRenderedPageBreak/>
        <w:t>1.</w:t>
      </w:r>
      <w:r w:rsidR="00B0010E">
        <w:t>8</w:t>
      </w:r>
      <w:r>
        <w:t xml:space="preserve"> References</w:t>
      </w:r>
      <w:bookmarkEnd w:id="33"/>
      <w:r w:rsidR="00F4502C" w:rsidRPr="00AB59FA">
        <w:rPr>
          <w:sz w:val="20"/>
          <w:szCs w:val="20"/>
        </w:rPr>
        <w:fldChar w:fldCharType="begin" w:fldLock="1"/>
      </w:r>
      <w:r w:rsidR="00F4502C" w:rsidRPr="00AB59FA">
        <w:rPr>
          <w:sz w:val="20"/>
          <w:szCs w:val="20"/>
        </w:rPr>
        <w:instrText xml:space="preserve">ADDIN Mendeley Bibliography CSL_BIBLIOGRAPHY </w:instrText>
      </w:r>
      <w:r w:rsidR="00F4502C" w:rsidRPr="00AB59FA">
        <w:rPr>
          <w:sz w:val="20"/>
          <w:szCs w:val="20"/>
        </w:rPr>
        <w:fldChar w:fldCharType="separate"/>
      </w: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w:t>
      </w:r>
      <w:r w:rsidRPr="00F168DA">
        <w:rPr>
          <w:rFonts w:ascii="Calibri" w:hAnsi="Calibri" w:cs="Times New Roman"/>
          <w:noProof/>
          <w:sz w:val="20"/>
          <w:szCs w:val="24"/>
        </w:rPr>
        <w:tab/>
        <w:t xml:space="preserve">R. Paulissen, H. Reimlinger, E. Hayez, A. J. Hubert, P. Teyssie, </w:t>
      </w:r>
      <w:r w:rsidRPr="00F168DA">
        <w:rPr>
          <w:rFonts w:ascii="Calibri" w:hAnsi="Calibri" w:cs="Times New Roman"/>
          <w:i/>
          <w:iCs/>
          <w:noProof/>
          <w:sz w:val="20"/>
          <w:szCs w:val="24"/>
        </w:rPr>
        <w:t>Tetrahedron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1973</w:t>
      </w:r>
      <w:r w:rsidRPr="00F168DA">
        <w:rPr>
          <w:rFonts w:ascii="Calibri" w:hAnsi="Calibri" w:cs="Times New Roman"/>
          <w:noProof/>
          <w:sz w:val="20"/>
          <w:szCs w:val="24"/>
        </w:rPr>
        <w:t>, 2233–2236.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w:t>
      </w:r>
      <w:r w:rsidRPr="00F168DA">
        <w:rPr>
          <w:rFonts w:ascii="Calibri" w:hAnsi="Calibri" w:cs="Times New Roman"/>
          <w:noProof/>
          <w:sz w:val="20"/>
          <w:szCs w:val="24"/>
        </w:rPr>
        <w:tab/>
        <w:t xml:space="preserve">A. J. Hubert, A. F. Noels, A. J. Anciaux, P. Teyssie, </w:t>
      </w:r>
      <w:r w:rsidRPr="00F168DA">
        <w:rPr>
          <w:rFonts w:ascii="Calibri" w:hAnsi="Calibri" w:cs="Times New Roman"/>
          <w:i/>
          <w:iCs/>
          <w:noProof/>
          <w:sz w:val="20"/>
          <w:szCs w:val="24"/>
        </w:rPr>
        <w:t xml:space="preserve">Synthesis </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1976</w:t>
      </w:r>
      <w:r w:rsidRPr="00F168DA">
        <w:rPr>
          <w:rFonts w:ascii="Calibri" w:hAnsi="Calibri" w:cs="Times New Roman"/>
          <w:noProof/>
          <w:sz w:val="20"/>
          <w:szCs w:val="24"/>
        </w:rPr>
        <w:t>, 600–602.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[3]</w:t>
      </w:r>
      <w:r w:rsidRPr="00F168DA">
        <w:rPr>
          <w:rFonts w:ascii="Calibri" w:hAnsi="Calibri" w:cs="Times New Roman"/>
          <w:noProof/>
          <w:sz w:val="20"/>
          <w:szCs w:val="24"/>
        </w:rPr>
        <w:tab/>
        <w:t xml:space="preserve">M. P. Doyle, </w:t>
      </w:r>
      <w:r w:rsidR="008E3A10">
        <w:rPr>
          <w:rFonts w:ascii="Calibri" w:hAnsi="Calibri" w:cs="Times New Roman"/>
          <w:i/>
          <w:iCs/>
          <w:noProof/>
          <w:sz w:val="20"/>
          <w:szCs w:val="24"/>
        </w:rPr>
        <w:t>Chem. Rev.</w:t>
      </w:r>
      <w:r w:rsidRPr="00F168DA">
        <w:rPr>
          <w:rFonts w:ascii="Calibri" w:hAnsi="Calibri" w:cs="Times New Roman"/>
          <w:b/>
          <w:bCs/>
          <w:noProof/>
          <w:sz w:val="20"/>
          <w:szCs w:val="24"/>
        </w:rPr>
        <w:t>1986</w:t>
      </w:r>
      <w:r w:rsidRPr="00F168DA">
        <w:rPr>
          <w:rFonts w:ascii="Calibri" w:hAnsi="Calibri" w:cs="Times New Roman"/>
          <w:noProof/>
          <w:sz w:val="20"/>
          <w:szCs w:val="24"/>
        </w:rPr>
        <w:t xml:space="preserve">, </w:t>
      </w:r>
      <w:r w:rsidRPr="00F168DA">
        <w:rPr>
          <w:rFonts w:ascii="Calibri" w:hAnsi="Calibri" w:cs="Times New Roman"/>
          <w:i/>
          <w:iCs/>
          <w:noProof/>
          <w:sz w:val="20"/>
          <w:szCs w:val="24"/>
        </w:rPr>
        <w:t>86</w:t>
      </w:r>
      <w:r w:rsidRPr="00F168DA">
        <w:rPr>
          <w:rFonts w:ascii="Calibri" w:hAnsi="Calibri" w:cs="Times New Roman"/>
          <w:noProof/>
          <w:sz w:val="20"/>
          <w:szCs w:val="24"/>
        </w:rPr>
        <w:t>, 919–940.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[4]</w:t>
      </w:r>
      <w:r w:rsidRPr="00F168DA">
        <w:rPr>
          <w:rFonts w:ascii="Calibri" w:hAnsi="Calibri" w:cs="Times New Roman"/>
          <w:noProof/>
          <w:sz w:val="20"/>
          <w:szCs w:val="24"/>
        </w:rPr>
        <w:tab/>
        <w:t xml:space="preserve">A. Ford, H. Miel, A. Ring, C. N. Slattery, A. R. Maguire, M. A. McKervey, </w:t>
      </w:r>
      <w:r w:rsidRPr="00F168DA">
        <w:rPr>
          <w:rFonts w:ascii="Calibri" w:hAnsi="Calibri" w:cs="Times New Roman"/>
          <w:i/>
          <w:iCs/>
          <w:noProof/>
          <w:sz w:val="20"/>
          <w:szCs w:val="24"/>
        </w:rPr>
        <w:t xml:space="preserve">Chem. Rev. </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2015</w:t>
      </w:r>
      <w:r w:rsidRPr="00F168DA">
        <w:rPr>
          <w:rFonts w:ascii="Calibri" w:hAnsi="Calibri" w:cs="Times New Roman"/>
          <w:noProof/>
          <w:sz w:val="20"/>
          <w:szCs w:val="24"/>
        </w:rPr>
        <w:t xml:space="preserve">, </w:t>
      </w:r>
      <w:r w:rsidRPr="00F168DA">
        <w:rPr>
          <w:rFonts w:ascii="Calibri" w:hAnsi="Calibri" w:cs="Times New Roman"/>
          <w:i/>
          <w:iCs/>
          <w:noProof/>
          <w:sz w:val="20"/>
          <w:szCs w:val="24"/>
        </w:rPr>
        <w:t>115</w:t>
      </w:r>
      <w:r w:rsidRPr="00F168DA">
        <w:rPr>
          <w:rFonts w:ascii="Calibri" w:hAnsi="Calibri" w:cs="Times New Roman"/>
          <w:noProof/>
          <w:sz w:val="20"/>
          <w:szCs w:val="24"/>
        </w:rPr>
        <w:t>, 9981–10080.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[5]</w:t>
      </w:r>
      <w:r w:rsidRPr="00F168DA">
        <w:rPr>
          <w:rFonts w:ascii="Calibri" w:hAnsi="Calibri" w:cs="Times New Roman"/>
          <w:noProof/>
          <w:sz w:val="20"/>
          <w:szCs w:val="24"/>
        </w:rPr>
        <w:tab/>
        <w:t xml:space="preserve">G. Maas, </w:t>
      </w:r>
      <w:r w:rsidRPr="00F168DA">
        <w:rPr>
          <w:rFonts w:ascii="Calibri" w:hAnsi="Calibri" w:cs="Times New Roman"/>
          <w:i/>
          <w:iCs/>
          <w:noProof/>
          <w:sz w:val="20"/>
          <w:szCs w:val="24"/>
        </w:rPr>
        <w:t>Angew. Chem. Int. Ed. Engl.</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2009</w:t>
      </w:r>
      <w:r w:rsidRPr="00F168DA">
        <w:rPr>
          <w:rFonts w:ascii="Calibri" w:hAnsi="Calibri" w:cs="Times New Roman"/>
          <w:noProof/>
          <w:sz w:val="20"/>
          <w:szCs w:val="24"/>
        </w:rPr>
        <w:t xml:space="preserve">, </w:t>
      </w:r>
      <w:r w:rsidRPr="00F168DA">
        <w:rPr>
          <w:rFonts w:ascii="Calibri" w:hAnsi="Calibri" w:cs="Times New Roman"/>
          <w:i/>
          <w:iCs/>
          <w:noProof/>
          <w:sz w:val="20"/>
          <w:szCs w:val="24"/>
        </w:rPr>
        <w:t>48</w:t>
      </w:r>
      <w:r w:rsidRPr="00F168DA">
        <w:rPr>
          <w:rFonts w:ascii="Calibri" w:hAnsi="Calibri" w:cs="Times New Roman"/>
          <w:noProof/>
          <w:sz w:val="20"/>
          <w:szCs w:val="24"/>
        </w:rPr>
        <w:t>, 8186–95.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[6]</w:t>
      </w:r>
      <w:r w:rsidRPr="00F168DA">
        <w:rPr>
          <w:rFonts w:ascii="Calibri" w:hAnsi="Calibri" w:cs="Times New Roman"/>
          <w:noProof/>
          <w:sz w:val="20"/>
          <w:szCs w:val="24"/>
        </w:rPr>
        <w:tab/>
        <w:t xml:space="preserve">A. Padwa, D. J. Austin, </w:t>
      </w:r>
      <w:r w:rsidRPr="00F168DA">
        <w:rPr>
          <w:rFonts w:ascii="Calibri" w:hAnsi="Calibri" w:cs="Times New Roman"/>
          <w:i/>
          <w:iCs/>
          <w:noProof/>
          <w:sz w:val="20"/>
          <w:szCs w:val="24"/>
        </w:rPr>
        <w:t>Angew. Chemie</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1994</w:t>
      </w:r>
      <w:r w:rsidRPr="00F168DA">
        <w:rPr>
          <w:rFonts w:ascii="Calibri" w:hAnsi="Calibri" w:cs="Times New Roman"/>
          <w:noProof/>
          <w:sz w:val="20"/>
          <w:szCs w:val="24"/>
        </w:rPr>
        <w:t xml:space="preserve">, </w:t>
      </w:r>
      <w:r w:rsidRPr="00F168DA">
        <w:rPr>
          <w:rFonts w:ascii="Calibri" w:hAnsi="Calibri" w:cs="Times New Roman"/>
          <w:i/>
          <w:iCs/>
          <w:noProof/>
          <w:sz w:val="20"/>
          <w:szCs w:val="24"/>
        </w:rPr>
        <w:t>106</w:t>
      </w:r>
      <w:r w:rsidRPr="00F168DA">
        <w:rPr>
          <w:rFonts w:ascii="Calibri" w:hAnsi="Calibri" w:cs="Times New Roman"/>
          <w:noProof/>
          <w:sz w:val="20"/>
          <w:szCs w:val="24"/>
        </w:rPr>
        <w:t>, 1881–1899.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[7]</w:t>
      </w:r>
      <w:r w:rsidRPr="00F168DA">
        <w:rPr>
          <w:rFonts w:ascii="Calibri" w:hAnsi="Calibri" w:cs="Times New Roman"/>
          <w:noProof/>
          <w:sz w:val="20"/>
          <w:szCs w:val="24"/>
        </w:rPr>
        <w:tab/>
        <w:t xml:space="preserve">M. Regitz, G. Maas, </w:t>
      </w:r>
      <w:r w:rsidRPr="00F168DA">
        <w:rPr>
          <w:rFonts w:ascii="Calibri" w:hAnsi="Calibri" w:cs="Times New Roman"/>
          <w:i/>
          <w:iCs/>
          <w:noProof/>
          <w:sz w:val="20"/>
          <w:szCs w:val="24"/>
        </w:rPr>
        <w:t>Diazo Compounds. Properties and Synthesis.</w:t>
      </w:r>
      <w:r w:rsidRPr="00F168DA">
        <w:rPr>
          <w:rFonts w:ascii="Calibri" w:hAnsi="Calibri" w:cs="Times New Roman"/>
          <w:noProof/>
          <w:sz w:val="20"/>
          <w:szCs w:val="24"/>
        </w:rPr>
        <w:t xml:space="preserve">, Academic, </w:t>
      </w:r>
      <w:r w:rsidRPr="00F168DA">
        <w:rPr>
          <w:rFonts w:ascii="Calibri" w:hAnsi="Calibri" w:cs="Times New Roman"/>
          <w:b/>
          <w:bCs/>
          <w:noProof/>
          <w:sz w:val="20"/>
          <w:szCs w:val="24"/>
        </w:rPr>
        <w:t>1986</w:t>
      </w:r>
      <w:r w:rsidRPr="00F168DA">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[8]</w:t>
      </w:r>
      <w:r w:rsidRPr="00F168DA">
        <w:rPr>
          <w:rFonts w:ascii="Calibri" w:hAnsi="Calibri" w:cs="Times New Roman"/>
          <w:noProof/>
          <w:sz w:val="20"/>
          <w:szCs w:val="24"/>
        </w:rPr>
        <w:tab/>
        <w:t xml:space="preserve">T. Ye, M. A. McKervey, </w:t>
      </w:r>
      <w:r w:rsidRPr="00F168DA">
        <w:rPr>
          <w:rFonts w:ascii="Calibri" w:hAnsi="Calibri" w:cs="Times New Roman"/>
          <w:i/>
          <w:iCs/>
          <w:noProof/>
          <w:sz w:val="20"/>
          <w:szCs w:val="24"/>
        </w:rPr>
        <w:t xml:space="preserve">Chem. Rev. </w:t>
      </w:r>
      <w:r w:rsidRPr="00F168DA">
        <w:rPr>
          <w:rFonts w:ascii="Calibri" w:hAnsi="Calibri" w:cs="Times New Roman"/>
          <w:b/>
          <w:bCs/>
          <w:noProof/>
          <w:sz w:val="20"/>
          <w:szCs w:val="24"/>
        </w:rPr>
        <w:t>1994</w:t>
      </w:r>
      <w:r w:rsidRPr="00F168DA">
        <w:rPr>
          <w:rFonts w:ascii="Calibri" w:hAnsi="Calibri" w:cs="Times New Roman"/>
          <w:noProof/>
          <w:sz w:val="20"/>
          <w:szCs w:val="24"/>
        </w:rPr>
        <w:t xml:space="preserve">, </w:t>
      </w:r>
      <w:r w:rsidRPr="00F168DA">
        <w:rPr>
          <w:rFonts w:ascii="Calibri" w:hAnsi="Calibri" w:cs="Times New Roman"/>
          <w:i/>
          <w:iCs/>
          <w:noProof/>
          <w:sz w:val="20"/>
          <w:szCs w:val="24"/>
        </w:rPr>
        <w:t>94</w:t>
      </w:r>
      <w:r w:rsidRPr="00F168DA">
        <w:rPr>
          <w:rFonts w:ascii="Calibri" w:hAnsi="Calibri" w:cs="Times New Roman"/>
          <w:noProof/>
          <w:sz w:val="20"/>
          <w:szCs w:val="24"/>
        </w:rPr>
        <w:t>, 1091–1160.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[9]</w:t>
      </w:r>
      <w:r w:rsidRPr="00F168DA">
        <w:rPr>
          <w:rFonts w:ascii="Calibri" w:hAnsi="Calibri" w:cs="Times New Roman"/>
          <w:noProof/>
          <w:sz w:val="20"/>
          <w:szCs w:val="24"/>
        </w:rPr>
        <w:tab/>
        <w:t>Z. Zhang, J. Wang,</w:t>
      </w:r>
      <w:r w:rsidRPr="008E3A10">
        <w:rPr>
          <w:rFonts w:ascii="Calibri" w:hAnsi="Calibri" w:cs="Times New Roman"/>
          <w:i/>
          <w:noProof/>
          <w:sz w:val="20"/>
          <w:szCs w:val="24"/>
        </w:rPr>
        <w:t xml:space="preserve"> </w:t>
      </w:r>
      <w:r w:rsidR="008E3A10" w:rsidRPr="008E3A10">
        <w:rPr>
          <w:rFonts w:ascii="Calibri" w:hAnsi="Calibri" w:cs="Times New Roman"/>
          <w:i/>
          <w:noProof/>
          <w:sz w:val="20"/>
          <w:szCs w:val="24"/>
        </w:rPr>
        <w:t>Tetrahedron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2008</w:t>
      </w:r>
      <w:r w:rsidR="008E3A10">
        <w:rPr>
          <w:rFonts w:ascii="Calibri" w:hAnsi="Calibri" w:cs="Times New Roman"/>
          <w:b/>
          <w:bCs/>
          <w:noProof/>
          <w:sz w:val="20"/>
          <w:szCs w:val="24"/>
        </w:rPr>
        <w:t xml:space="preserve">, </w:t>
      </w:r>
      <w:r w:rsidR="008E3A10" w:rsidRPr="008E3A10">
        <w:rPr>
          <w:rFonts w:ascii="Calibri" w:hAnsi="Calibri" w:cs="Times New Roman"/>
          <w:bCs/>
          <w:i/>
          <w:noProof/>
          <w:sz w:val="20"/>
          <w:szCs w:val="24"/>
        </w:rPr>
        <w:t>64</w:t>
      </w:r>
      <w:r w:rsidR="008E3A10">
        <w:rPr>
          <w:rFonts w:ascii="Calibri" w:hAnsi="Calibri" w:cs="Times New Roman"/>
          <w:b/>
          <w:bCs/>
          <w:noProof/>
          <w:sz w:val="20"/>
          <w:szCs w:val="24"/>
        </w:rPr>
        <w:t xml:space="preserve">, </w:t>
      </w:r>
      <w:r w:rsidR="008E3A10" w:rsidRPr="008E3A10">
        <w:rPr>
          <w:rFonts w:ascii="Calibri" w:hAnsi="Calibri" w:cs="Times New Roman"/>
          <w:bCs/>
          <w:noProof/>
          <w:sz w:val="20"/>
          <w:szCs w:val="24"/>
        </w:rPr>
        <w:t>6577-6605</w:t>
      </w:r>
      <w:r w:rsidRPr="00F168DA">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[10]</w:t>
      </w:r>
      <w:r w:rsidRPr="00F168DA">
        <w:rPr>
          <w:rFonts w:ascii="Calibri" w:hAnsi="Calibri" w:cs="Times New Roman"/>
          <w:noProof/>
          <w:sz w:val="20"/>
          <w:szCs w:val="24"/>
        </w:rPr>
        <w:tab/>
        <w:t xml:space="preserve">F. W. Bollinger, L. D. Tuma, </w:t>
      </w:r>
      <w:r w:rsidRPr="00F168DA">
        <w:rPr>
          <w:rFonts w:ascii="Calibri" w:hAnsi="Calibri" w:cs="Times New Roman"/>
          <w:i/>
          <w:iCs/>
          <w:noProof/>
          <w:sz w:val="20"/>
          <w:szCs w:val="24"/>
        </w:rPr>
        <w:t>Synlett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1996</w:t>
      </w:r>
      <w:r w:rsidRPr="00F168DA">
        <w:rPr>
          <w:rFonts w:ascii="Calibri" w:hAnsi="Calibri" w:cs="Times New Roman"/>
          <w:noProof/>
          <w:sz w:val="20"/>
          <w:szCs w:val="24"/>
        </w:rPr>
        <w:t>, 407–413.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[11]</w:t>
      </w:r>
      <w:r w:rsidRPr="00F168DA">
        <w:rPr>
          <w:rFonts w:ascii="Calibri" w:hAnsi="Calibri" w:cs="Times New Roman"/>
          <w:noProof/>
          <w:sz w:val="20"/>
          <w:szCs w:val="24"/>
        </w:rPr>
        <w:tab/>
        <w:t xml:space="preserve">G. G. Hazen, L. M. Weinstock, R. Connell, F. W. Bollinger, </w:t>
      </w:r>
      <w:r w:rsidRPr="00F168DA">
        <w:rPr>
          <w:rFonts w:ascii="Calibri" w:hAnsi="Calibri" w:cs="Times New Roman"/>
          <w:i/>
          <w:iCs/>
          <w:noProof/>
          <w:sz w:val="20"/>
          <w:szCs w:val="24"/>
        </w:rPr>
        <w:t>Synth. Commun.</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1981</w:t>
      </w:r>
      <w:r w:rsidRPr="00F168DA">
        <w:rPr>
          <w:rFonts w:ascii="Calibri" w:hAnsi="Calibri" w:cs="Times New Roman"/>
          <w:noProof/>
          <w:sz w:val="20"/>
          <w:szCs w:val="24"/>
        </w:rPr>
        <w:t xml:space="preserve">, </w:t>
      </w:r>
      <w:r w:rsidRPr="00F168DA">
        <w:rPr>
          <w:rFonts w:ascii="Calibri" w:hAnsi="Calibri" w:cs="Times New Roman"/>
          <w:i/>
          <w:iCs/>
          <w:noProof/>
          <w:sz w:val="20"/>
          <w:szCs w:val="24"/>
        </w:rPr>
        <w:t>11</w:t>
      </w:r>
      <w:r w:rsidRPr="00F168DA">
        <w:rPr>
          <w:rFonts w:ascii="Calibri" w:hAnsi="Calibri" w:cs="Times New Roman"/>
          <w:noProof/>
          <w:sz w:val="20"/>
          <w:szCs w:val="24"/>
        </w:rPr>
        <w:t>, 947–956.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[12]</w:t>
      </w:r>
      <w:r w:rsidRPr="00F168DA">
        <w:rPr>
          <w:rFonts w:ascii="Calibri" w:hAnsi="Calibri" w:cs="Times New Roman"/>
          <w:noProof/>
          <w:sz w:val="20"/>
          <w:szCs w:val="24"/>
        </w:rPr>
        <w:tab/>
        <w:t xml:space="preserve">C. C. Nawrat, C. J. Moody, </w:t>
      </w:r>
      <w:r w:rsidRPr="00F168DA">
        <w:rPr>
          <w:rFonts w:ascii="Calibri" w:hAnsi="Calibri" w:cs="Times New Roman"/>
          <w:i/>
          <w:iCs/>
          <w:noProof/>
          <w:sz w:val="20"/>
          <w:szCs w:val="24"/>
        </w:rPr>
        <w:t>Nat. Prod. Rep.</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2011</w:t>
      </w:r>
      <w:r w:rsidRPr="00F168DA">
        <w:rPr>
          <w:rFonts w:ascii="Calibri" w:hAnsi="Calibri" w:cs="Times New Roman"/>
          <w:noProof/>
          <w:sz w:val="20"/>
          <w:szCs w:val="24"/>
        </w:rPr>
        <w:t xml:space="preserve">, </w:t>
      </w:r>
      <w:r w:rsidRPr="00F168DA">
        <w:rPr>
          <w:rFonts w:ascii="Calibri" w:hAnsi="Calibri" w:cs="Times New Roman"/>
          <w:i/>
          <w:iCs/>
          <w:noProof/>
          <w:sz w:val="20"/>
          <w:szCs w:val="24"/>
        </w:rPr>
        <w:t>28</w:t>
      </w:r>
      <w:r w:rsidRPr="00F168DA">
        <w:rPr>
          <w:rFonts w:ascii="Calibri" w:hAnsi="Calibri" w:cs="Times New Roman"/>
          <w:noProof/>
          <w:sz w:val="20"/>
          <w:szCs w:val="24"/>
        </w:rPr>
        <w:t>, 1426–1444.</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[13]</w:t>
      </w:r>
      <w:r w:rsidRPr="00F168DA">
        <w:rPr>
          <w:rFonts w:ascii="Calibri" w:hAnsi="Calibri" w:cs="Times New Roman"/>
          <w:noProof/>
          <w:sz w:val="20"/>
          <w:szCs w:val="24"/>
        </w:rPr>
        <w:tab/>
        <w:t xml:space="preserve">C. C. Stock, H. C. Reilly, S. M. Buckley, D. A. Clarke, C. P. Rhoads, </w:t>
      </w:r>
      <w:r w:rsidRPr="00F168DA">
        <w:rPr>
          <w:rFonts w:ascii="Calibri" w:hAnsi="Calibri" w:cs="Times New Roman"/>
          <w:i/>
          <w:iCs/>
          <w:noProof/>
          <w:sz w:val="20"/>
          <w:szCs w:val="24"/>
        </w:rPr>
        <w:t>Nat</w:t>
      </w:r>
      <w:r w:rsidR="008E3A10">
        <w:rPr>
          <w:rFonts w:ascii="Calibri" w:hAnsi="Calibri" w:cs="Times New Roman"/>
          <w:i/>
          <w:iCs/>
          <w:noProof/>
          <w:sz w:val="20"/>
          <w:szCs w:val="24"/>
        </w:rPr>
        <w:t>ure</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1954</w:t>
      </w:r>
      <w:r w:rsidRPr="00F168DA">
        <w:rPr>
          <w:rFonts w:ascii="Calibri" w:hAnsi="Calibri" w:cs="Times New Roman"/>
          <w:noProof/>
          <w:sz w:val="20"/>
          <w:szCs w:val="24"/>
        </w:rPr>
        <w:t xml:space="preserve">, </w:t>
      </w:r>
      <w:r w:rsidRPr="00F168DA">
        <w:rPr>
          <w:rFonts w:ascii="Calibri" w:hAnsi="Calibri" w:cs="Times New Roman"/>
          <w:i/>
          <w:iCs/>
          <w:noProof/>
          <w:sz w:val="20"/>
          <w:szCs w:val="24"/>
        </w:rPr>
        <w:t>173</w:t>
      </w:r>
      <w:r w:rsidRPr="00F168DA">
        <w:rPr>
          <w:rFonts w:ascii="Calibri" w:hAnsi="Calibri" w:cs="Times New Roman"/>
          <w:noProof/>
          <w:sz w:val="20"/>
          <w:szCs w:val="24"/>
        </w:rPr>
        <w:t>, 71–72.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[14]</w:t>
      </w:r>
      <w:r w:rsidRPr="00F168DA">
        <w:rPr>
          <w:rFonts w:ascii="Calibri" w:hAnsi="Calibri" w:cs="Times New Roman"/>
          <w:noProof/>
          <w:sz w:val="20"/>
          <w:szCs w:val="24"/>
        </w:rPr>
        <w:tab/>
        <w:t xml:space="preserve">J. Ehrlich, L. E. Anderson, G. L. Coffey, A. B. Hillegas, M. P. Knudsen, H. J. Koepsell, D. L. Kohberger, J. E. Oyaas, </w:t>
      </w:r>
      <w:r w:rsidRPr="00F168DA">
        <w:rPr>
          <w:rFonts w:ascii="Calibri" w:hAnsi="Calibri" w:cs="Times New Roman"/>
          <w:i/>
          <w:iCs/>
          <w:noProof/>
          <w:sz w:val="20"/>
          <w:szCs w:val="24"/>
        </w:rPr>
        <w:t>Nat</w:t>
      </w:r>
      <w:r w:rsidR="008E3A10">
        <w:rPr>
          <w:rFonts w:ascii="Calibri" w:hAnsi="Calibri" w:cs="Times New Roman"/>
          <w:i/>
          <w:iCs/>
          <w:noProof/>
          <w:sz w:val="20"/>
          <w:szCs w:val="24"/>
        </w:rPr>
        <w:t>ure</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1954</w:t>
      </w:r>
      <w:r w:rsidRPr="00F168DA">
        <w:rPr>
          <w:rFonts w:ascii="Calibri" w:hAnsi="Calibri" w:cs="Times New Roman"/>
          <w:noProof/>
          <w:sz w:val="20"/>
          <w:szCs w:val="24"/>
        </w:rPr>
        <w:t xml:space="preserve">, </w:t>
      </w:r>
      <w:r w:rsidRPr="00F168DA">
        <w:rPr>
          <w:rFonts w:ascii="Calibri" w:hAnsi="Calibri" w:cs="Times New Roman"/>
          <w:i/>
          <w:iCs/>
          <w:noProof/>
          <w:sz w:val="20"/>
          <w:szCs w:val="24"/>
        </w:rPr>
        <w:t>173</w:t>
      </w:r>
      <w:r w:rsidRPr="00F168DA">
        <w:rPr>
          <w:rFonts w:ascii="Calibri" w:hAnsi="Calibri" w:cs="Times New Roman"/>
          <w:noProof/>
          <w:sz w:val="20"/>
          <w:szCs w:val="24"/>
        </w:rPr>
        <w:t>, 72.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[15]</w:t>
      </w:r>
      <w:r w:rsidRPr="00F168DA">
        <w:rPr>
          <w:rFonts w:ascii="Calibri" w:hAnsi="Calibri" w:cs="Times New Roman"/>
          <w:noProof/>
          <w:sz w:val="20"/>
          <w:szCs w:val="24"/>
        </w:rPr>
        <w:tab/>
        <w:t xml:space="preserve">Q. R. Bartzi, C. C. Elder, R. P. Frohardt, S. A. Fusari, T. H. Haskell, D. W. Johannessen, A. Ryder, </w:t>
      </w:r>
      <w:r w:rsidRPr="00F168DA">
        <w:rPr>
          <w:rFonts w:ascii="Calibri" w:hAnsi="Calibri" w:cs="Times New Roman"/>
          <w:i/>
          <w:iCs/>
          <w:noProof/>
          <w:sz w:val="20"/>
          <w:szCs w:val="24"/>
        </w:rPr>
        <w:t>Nat</w:t>
      </w:r>
      <w:r w:rsidR="008E3A10">
        <w:rPr>
          <w:rFonts w:ascii="Calibri" w:hAnsi="Calibri" w:cs="Times New Roman"/>
          <w:i/>
          <w:iCs/>
          <w:noProof/>
          <w:sz w:val="20"/>
          <w:szCs w:val="24"/>
        </w:rPr>
        <w:t>ure</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1954</w:t>
      </w:r>
      <w:r w:rsidRPr="00F168DA">
        <w:rPr>
          <w:rFonts w:ascii="Calibri" w:hAnsi="Calibri" w:cs="Times New Roman"/>
          <w:noProof/>
          <w:sz w:val="20"/>
          <w:szCs w:val="24"/>
        </w:rPr>
        <w:t xml:space="preserve">, </w:t>
      </w:r>
      <w:r w:rsidRPr="00F168DA">
        <w:rPr>
          <w:rFonts w:ascii="Calibri" w:hAnsi="Calibri" w:cs="Times New Roman"/>
          <w:i/>
          <w:iCs/>
          <w:noProof/>
          <w:sz w:val="20"/>
          <w:szCs w:val="24"/>
        </w:rPr>
        <w:t>173</w:t>
      </w:r>
      <w:r w:rsidRPr="00F168DA">
        <w:rPr>
          <w:rFonts w:ascii="Calibri" w:hAnsi="Calibri" w:cs="Times New Roman"/>
          <w:noProof/>
          <w:sz w:val="20"/>
          <w:szCs w:val="24"/>
        </w:rPr>
        <w:t>, 72–73.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[16]</w:t>
      </w:r>
      <w:r w:rsidRPr="00F168DA">
        <w:rPr>
          <w:rFonts w:ascii="Calibri" w:hAnsi="Calibri" w:cs="Times New Roman"/>
          <w:noProof/>
          <w:sz w:val="20"/>
          <w:szCs w:val="24"/>
        </w:rPr>
        <w:tab/>
        <w:t xml:space="preserve">X. Lei, J. A. Porco  Jr.,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2006</w:t>
      </w:r>
      <w:r w:rsidRPr="00F168DA">
        <w:rPr>
          <w:rFonts w:ascii="Calibri" w:hAnsi="Calibri" w:cs="Times New Roman"/>
          <w:noProof/>
          <w:sz w:val="20"/>
          <w:szCs w:val="24"/>
        </w:rPr>
        <w:t xml:space="preserve">, </w:t>
      </w:r>
      <w:r w:rsidRPr="00F168DA">
        <w:rPr>
          <w:rFonts w:ascii="Calibri" w:hAnsi="Calibri" w:cs="Times New Roman"/>
          <w:i/>
          <w:iCs/>
          <w:noProof/>
          <w:sz w:val="20"/>
          <w:szCs w:val="24"/>
        </w:rPr>
        <w:t>128</w:t>
      </w:r>
      <w:r w:rsidRPr="00F168DA">
        <w:rPr>
          <w:rFonts w:ascii="Calibri" w:hAnsi="Calibri" w:cs="Times New Roman"/>
          <w:noProof/>
          <w:sz w:val="20"/>
          <w:szCs w:val="24"/>
        </w:rPr>
        <w:t>, 14790–14791.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[17]</w:t>
      </w:r>
      <w:r w:rsidRPr="00F168DA">
        <w:rPr>
          <w:rFonts w:ascii="Calibri" w:hAnsi="Calibri" w:cs="Times New Roman"/>
          <w:noProof/>
          <w:sz w:val="20"/>
          <w:szCs w:val="24"/>
        </w:rPr>
        <w:tab/>
        <w:t xml:space="preserve">T. Kumamoto, Y. Kitani, H. Tsuchiya, K. Yamaguchi, H. Seki, T. Ishikawa, </w:t>
      </w:r>
      <w:r w:rsidRPr="00F168DA">
        <w:rPr>
          <w:rFonts w:ascii="Calibri" w:hAnsi="Calibri" w:cs="Times New Roman"/>
          <w:i/>
          <w:iCs/>
          <w:noProof/>
          <w:sz w:val="20"/>
          <w:szCs w:val="24"/>
        </w:rPr>
        <w:t>Tetrahedron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2007</w:t>
      </w:r>
      <w:r w:rsidRPr="00F168DA">
        <w:rPr>
          <w:rFonts w:ascii="Calibri" w:hAnsi="Calibri" w:cs="Times New Roman"/>
          <w:noProof/>
          <w:sz w:val="20"/>
          <w:szCs w:val="24"/>
        </w:rPr>
        <w:t xml:space="preserve">, </w:t>
      </w:r>
      <w:r w:rsidRPr="00F168DA">
        <w:rPr>
          <w:rFonts w:ascii="Calibri" w:hAnsi="Calibri" w:cs="Times New Roman"/>
          <w:i/>
          <w:iCs/>
          <w:noProof/>
          <w:sz w:val="20"/>
          <w:szCs w:val="24"/>
        </w:rPr>
        <w:t>63</w:t>
      </w:r>
      <w:r w:rsidRPr="00F168DA">
        <w:rPr>
          <w:rFonts w:ascii="Calibri" w:hAnsi="Calibri" w:cs="Times New Roman"/>
          <w:noProof/>
          <w:sz w:val="20"/>
          <w:szCs w:val="24"/>
        </w:rPr>
        <w:t>, 5189–5199.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[18]</w:t>
      </w:r>
      <w:r w:rsidRPr="00F168DA">
        <w:rPr>
          <w:rFonts w:ascii="Calibri" w:hAnsi="Calibri" w:cs="Times New Roman"/>
          <w:noProof/>
          <w:sz w:val="20"/>
          <w:szCs w:val="24"/>
        </w:rPr>
        <w:tab/>
        <w:t xml:space="preserve">K. C. Nicolaou, H. Li, A. L. Nold, D. Pappo, A. Lenzen,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2007</w:t>
      </w:r>
      <w:r w:rsidRPr="00F168DA">
        <w:rPr>
          <w:rFonts w:ascii="Calibri" w:hAnsi="Calibri" w:cs="Times New Roman"/>
          <w:noProof/>
          <w:sz w:val="20"/>
          <w:szCs w:val="24"/>
        </w:rPr>
        <w:t xml:space="preserve">, </w:t>
      </w:r>
      <w:r w:rsidRPr="00F168DA">
        <w:rPr>
          <w:rFonts w:ascii="Calibri" w:hAnsi="Calibri" w:cs="Times New Roman"/>
          <w:i/>
          <w:iCs/>
          <w:noProof/>
          <w:sz w:val="20"/>
          <w:szCs w:val="24"/>
        </w:rPr>
        <w:t>129</w:t>
      </w:r>
      <w:r w:rsidRPr="00F168DA">
        <w:rPr>
          <w:rFonts w:ascii="Calibri" w:hAnsi="Calibri" w:cs="Times New Roman"/>
          <w:noProof/>
          <w:sz w:val="20"/>
          <w:szCs w:val="24"/>
        </w:rPr>
        <w:t>, 10356–10357.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lastRenderedPageBreak/>
        <w:t>[19]</w:t>
      </w:r>
      <w:r w:rsidRPr="00F168DA">
        <w:rPr>
          <w:rFonts w:ascii="Calibri" w:hAnsi="Calibri" w:cs="Times New Roman"/>
          <w:noProof/>
          <w:sz w:val="20"/>
          <w:szCs w:val="24"/>
        </w:rPr>
        <w:tab/>
        <w:t xml:space="preserve">T. Curtius, </w:t>
      </w:r>
      <w:r w:rsidRPr="00F168DA">
        <w:rPr>
          <w:rFonts w:ascii="Calibri" w:hAnsi="Calibri" w:cs="Times New Roman"/>
          <w:i/>
          <w:iCs/>
          <w:noProof/>
          <w:sz w:val="20"/>
          <w:szCs w:val="24"/>
        </w:rPr>
        <w:t>Berichte der Dtsch. Chem. Gesellschaft</w:t>
      </w:r>
      <w:r w:rsidRPr="00F168DA">
        <w:rPr>
          <w:rFonts w:ascii="Calibri" w:hAnsi="Calibri" w:cs="Times New Roman"/>
          <w:noProof/>
          <w:sz w:val="20"/>
          <w:szCs w:val="24"/>
        </w:rPr>
        <w:t xml:space="preserve"> </w:t>
      </w:r>
      <w:r w:rsidR="00CE22CF" w:rsidRPr="00CE22CF">
        <w:rPr>
          <w:rFonts w:ascii="Calibri" w:hAnsi="Calibri" w:cs="Times New Roman"/>
          <w:b/>
          <w:noProof/>
          <w:sz w:val="20"/>
          <w:szCs w:val="24"/>
        </w:rPr>
        <w:t>1884</w:t>
      </w:r>
      <w:r w:rsidRPr="00F168DA">
        <w:rPr>
          <w:rFonts w:ascii="Calibri" w:hAnsi="Calibri" w:cs="Times New Roman"/>
          <w:noProof/>
          <w:sz w:val="20"/>
          <w:szCs w:val="24"/>
        </w:rPr>
        <w:t xml:space="preserve">, </w:t>
      </w:r>
      <w:r w:rsidRPr="00F168DA">
        <w:rPr>
          <w:rFonts w:ascii="Calibri" w:hAnsi="Calibri" w:cs="Times New Roman"/>
          <w:i/>
          <w:iCs/>
          <w:noProof/>
          <w:sz w:val="20"/>
          <w:szCs w:val="24"/>
        </w:rPr>
        <w:t>16</w:t>
      </w:r>
      <w:r w:rsidRPr="00F168DA">
        <w:rPr>
          <w:rFonts w:ascii="Calibri" w:hAnsi="Calibri" w:cs="Times New Roman"/>
          <w:noProof/>
          <w:sz w:val="20"/>
          <w:szCs w:val="24"/>
        </w:rPr>
        <w:t>, 2230–2231.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[20]</w:t>
      </w:r>
      <w:r w:rsidRPr="00F168DA">
        <w:rPr>
          <w:rFonts w:ascii="Calibri" w:hAnsi="Calibri" w:cs="Times New Roman"/>
          <w:noProof/>
          <w:sz w:val="20"/>
          <w:szCs w:val="24"/>
        </w:rPr>
        <w:tab/>
        <w:t xml:space="preserve">T. J. Curtius, </w:t>
      </w:r>
      <w:r w:rsidRPr="00F168DA">
        <w:rPr>
          <w:rFonts w:ascii="Calibri" w:hAnsi="Calibri" w:cs="Times New Roman"/>
          <w:i/>
          <w:iCs/>
          <w:noProof/>
          <w:sz w:val="20"/>
          <w:szCs w:val="24"/>
        </w:rPr>
        <w:t>J. Prakt.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1888</w:t>
      </w:r>
      <w:r w:rsidRPr="00F168DA">
        <w:rPr>
          <w:rFonts w:ascii="Calibri" w:hAnsi="Calibri" w:cs="Times New Roman"/>
          <w:noProof/>
          <w:sz w:val="20"/>
          <w:szCs w:val="24"/>
        </w:rPr>
        <w:t xml:space="preserve">, </w:t>
      </w:r>
      <w:r w:rsidRPr="00F168DA">
        <w:rPr>
          <w:rFonts w:ascii="Calibri" w:hAnsi="Calibri" w:cs="Times New Roman"/>
          <w:i/>
          <w:iCs/>
          <w:noProof/>
          <w:sz w:val="20"/>
          <w:szCs w:val="24"/>
        </w:rPr>
        <w:t>38</w:t>
      </w:r>
      <w:r w:rsidRPr="00F168DA">
        <w:rPr>
          <w:rFonts w:ascii="Calibri" w:hAnsi="Calibri" w:cs="Times New Roman"/>
          <w:noProof/>
          <w:sz w:val="20"/>
          <w:szCs w:val="24"/>
        </w:rPr>
        <w:t>, 396–440.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[21]</w:t>
      </w:r>
      <w:r w:rsidRPr="00F168DA">
        <w:rPr>
          <w:rFonts w:ascii="Calibri" w:hAnsi="Calibri" w:cs="Times New Roman"/>
          <w:noProof/>
          <w:sz w:val="20"/>
          <w:szCs w:val="24"/>
        </w:rPr>
        <w:tab/>
        <w:t xml:space="preserve">F. Arndt, J. Amende, </w:t>
      </w:r>
      <w:r w:rsidR="008E3A10" w:rsidRPr="00F168DA">
        <w:rPr>
          <w:rFonts w:ascii="Calibri" w:hAnsi="Calibri" w:cs="Times New Roman"/>
          <w:i/>
          <w:iCs/>
          <w:noProof/>
          <w:sz w:val="20"/>
          <w:szCs w:val="24"/>
        </w:rPr>
        <w:t>Berichte der Dtsch. Chem. Gesellschaft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1928</w:t>
      </w:r>
      <w:r w:rsidRPr="00F168DA">
        <w:rPr>
          <w:rFonts w:ascii="Calibri" w:hAnsi="Calibri" w:cs="Times New Roman"/>
          <w:noProof/>
          <w:sz w:val="20"/>
          <w:szCs w:val="24"/>
        </w:rPr>
        <w:t xml:space="preserve">, </w:t>
      </w:r>
      <w:r w:rsidRPr="00F168DA">
        <w:rPr>
          <w:rFonts w:ascii="Calibri" w:hAnsi="Calibri" w:cs="Times New Roman"/>
          <w:i/>
          <w:iCs/>
          <w:noProof/>
          <w:sz w:val="20"/>
          <w:szCs w:val="24"/>
        </w:rPr>
        <w:t>61B</w:t>
      </w:r>
      <w:r w:rsidRPr="00F168DA">
        <w:rPr>
          <w:rFonts w:ascii="Calibri" w:hAnsi="Calibri" w:cs="Times New Roman"/>
          <w:noProof/>
          <w:sz w:val="20"/>
          <w:szCs w:val="24"/>
        </w:rPr>
        <w:t>, 1122–1124.</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[22]</w:t>
      </w:r>
      <w:r w:rsidRPr="00F168DA">
        <w:rPr>
          <w:rFonts w:ascii="Calibri" w:hAnsi="Calibri" w:cs="Times New Roman"/>
          <w:noProof/>
          <w:sz w:val="20"/>
          <w:szCs w:val="24"/>
        </w:rPr>
        <w:tab/>
        <w:t xml:space="preserve">F. Arndt, B. Eistert, </w:t>
      </w:r>
      <w:r w:rsidR="008E3A10" w:rsidRPr="00F168DA">
        <w:rPr>
          <w:rFonts w:ascii="Calibri" w:hAnsi="Calibri" w:cs="Times New Roman"/>
          <w:i/>
          <w:iCs/>
          <w:noProof/>
          <w:sz w:val="20"/>
          <w:szCs w:val="24"/>
        </w:rPr>
        <w:t>Berichte der Dtsch. Chem. Gesellschaft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1928</w:t>
      </w:r>
      <w:r w:rsidRPr="00F168DA">
        <w:rPr>
          <w:rFonts w:ascii="Calibri" w:hAnsi="Calibri" w:cs="Times New Roman"/>
          <w:noProof/>
          <w:sz w:val="20"/>
          <w:szCs w:val="24"/>
        </w:rPr>
        <w:t xml:space="preserve">, </w:t>
      </w:r>
      <w:r w:rsidRPr="00F168DA">
        <w:rPr>
          <w:rFonts w:ascii="Calibri" w:hAnsi="Calibri" w:cs="Times New Roman"/>
          <w:i/>
          <w:iCs/>
          <w:noProof/>
          <w:sz w:val="20"/>
          <w:szCs w:val="24"/>
        </w:rPr>
        <w:t>61B</w:t>
      </w:r>
      <w:r w:rsidRPr="00F168DA">
        <w:rPr>
          <w:rFonts w:ascii="Calibri" w:hAnsi="Calibri" w:cs="Times New Roman"/>
          <w:noProof/>
          <w:sz w:val="20"/>
          <w:szCs w:val="24"/>
        </w:rPr>
        <w:t>, 1118–1122.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[23]</w:t>
      </w:r>
      <w:r w:rsidRPr="00F168DA">
        <w:rPr>
          <w:rFonts w:ascii="Calibri" w:hAnsi="Calibri" w:cs="Times New Roman"/>
          <w:noProof/>
          <w:sz w:val="20"/>
          <w:szCs w:val="24"/>
        </w:rPr>
        <w:tab/>
        <w:t xml:space="preserve">F. Arndt, B. Eistert, W. Partale, </w:t>
      </w:r>
      <w:r w:rsidR="008E3A10" w:rsidRPr="00F168DA">
        <w:rPr>
          <w:rFonts w:ascii="Calibri" w:hAnsi="Calibri" w:cs="Times New Roman"/>
          <w:i/>
          <w:iCs/>
          <w:noProof/>
          <w:sz w:val="20"/>
          <w:szCs w:val="24"/>
        </w:rPr>
        <w:t>Berichte der Dtsch. Chem. Gesellschaft</w:t>
      </w:r>
      <w:r w:rsidR="008E3A10" w:rsidRPr="00F168DA">
        <w:rPr>
          <w:rFonts w:ascii="Calibri" w:hAnsi="Calibri" w:cs="Times New Roman"/>
          <w:b/>
          <w:bCs/>
          <w:noProof/>
          <w:sz w:val="20"/>
          <w:szCs w:val="24"/>
        </w:rPr>
        <w:t xml:space="preserve"> </w:t>
      </w:r>
      <w:r w:rsidRPr="00F168DA">
        <w:rPr>
          <w:rFonts w:ascii="Calibri" w:hAnsi="Calibri" w:cs="Times New Roman"/>
          <w:b/>
          <w:bCs/>
          <w:noProof/>
          <w:sz w:val="20"/>
          <w:szCs w:val="24"/>
        </w:rPr>
        <w:t>1927</w:t>
      </w:r>
      <w:r w:rsidRPr="00F168DA">
        <w:rPr>
          <w:rFonts w:ascii="Calibri" w:hAnsi="Calibri" w:cs="Times New Roman"/>
          <w:noProof/>
          <w:sz w:val="20"/>
          <w:szCs w:val="24"/>
        </w:rPr>
        <w:t xml:space="preserve">, </w:t>
      </w:r>
      <w:r w:rsidRPr="00F168DA">
        <w:rPr>
          <w:rFonts w:ascii="Calibri" w:hAnsi="Calibri" w:cs="Times New Roman"/>
          <w:i/>
          <w:iCs/>
          <w:noProof/>
          <w:sz w:val="20"/>
          <w:szCs w:val="24"/>
        </w:rPr>
        <w:t>60B</w:t>
      </w:r>
      <w:r w:rsidRPr="00F168DA">
        <w:rPr>
          <w:rFonts w:ascii="Calibri" w:hAnsi="Calibri" w:cs="Times New Roman"/>
          <w:noProof/>
          <w:sz w:val="20"/>
          <w:szCs w:val="24"/>
        </w:rPr>
        <w:t>, 1364–1370.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[24]</w:t>
      </w:r>
      <w:r w:rsidRPr="00F168DA">
        <w:rPr>
          <w:rFonts w:ascii="Calibri" w:hAnsi="Calibri" w:cs="Times New Roman"/>
          <w:noProof/>
          <w:sz w:val="20"/>
          <w:szCs w:val="24"/>
        </w:rPr>
        <w:tab/>
        <w:t xml:space="preserve">F. Arndt, B. Eistert, W. Partale, </w:t>
      </w:r>
      <w:r w:rsidR="008E3A10" w:rsidRPr="00F168DA">
        <w:rPr>
          <w:rFonts w:ascii="Calibri" w:hAnsi="Calibri" w:cs="Times New Roman"/>
          <w:i/>
          <w:iCs/>
          <w:noProof/>
          <w:sz w:val="20"/>
          <w:szCs w:val="24"/>
        </w:rPr>
        <w:t>Berichte der Dtsch. Chem. Gesellschaft</w:t>
      </w:r>
      <w:r w:rsidR="008E3A10" w:rsidRPr="00F168DA">
        <w:rPr>
          <w:rFonts w:ascii="Calibri" w:hAnsi="Calibri" w:cs="Times New Roman"/>
          <w:b/>
          <w:bCs/>
          <w:noProof/>
          <w:sz w:val="20"/>
          <w:szCs w:val="24"/>
        </w:rPr>
        <w:t xml:space="preserve"> </w:t>
      </w:r>
      <w:r w:rsidRPr="00F168DA">
        <w:rPr>
          <w:rFonts w:ascii="Calibri" w:hAnsi="Calibri" w:cs="Times New Roman"/>
          <w:b/>
          <w:bCs/>
          <w:noProof/>
          <w:sz w:val="20"/>
          <w:szCs w:val="24"/>
        </w:rPr>
        <w:t>1928</w:t>
      </w:r>
      <w:r w:rsidRPr="00F168DA">
        <w:rPr>
          <w:rFonts w:ascii="Calibri" w:hAnsi="Calibri" w:cs="Times New Roman"/>
          <w:noProof/>
          <w:sz w:val="20"/>
          <w:szCs w:val="24"/>
        </w:rPr>
        <w:t xml:space="preserve">, </w:t>
      </w:r>
      <w:r w:rsidRPr="00F168DA">
        <w:rPr>
          <w:rFonts w:ascii="Calibri" w:hAnsi="Calibri" w:cs="Times New Roman"/>
          <w:i/>
          <w:iCs/>
          <w:noProof/>
          <w:sz w:val="20"/>
          <w:szCs w:val="24"/>
        </w:rPr>
        <w:t>61B</w:t>
      </w:r>
      <w:r w:rsidRPr="00F168DA">
        <w:rPr>
          <w:rFonts w:ascii="Calibri" w:hAnsi="Calibri" w:cs="Times New Roman"/>
          <w:noProof/>
          <w:sz w:val="20"/>
          <w:szCs w:val="24"/>
        </w:rPr>
        <w:t>, 1107–1118.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[25]</w:t>
      </w:r>
      <w:r w:rsidRPr="00F168DA">
        <w:rPr>
          <w:rFonts w:ascii="Calibri" w:hAnsi="Calibri" w:cs="Times New Roman"/>
          <w:noProof/>
          <w:sz w:val="20"/>
          <w:szCs w:val="24"/>
        </w:rPr>
        <w:tab/>
        <w:t xml:space="preserve">W. Bradley, R. Robinson,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1930</w:t>
      </w:r>
      <w:r w:rsidRPr="00F168DA">
        <w:rPr>
          <w:rFonts w:ascii="Calibri" w:hAnsi="Calibri" w:cs="Times New Roman"/>
          <w:noProof/>
          <w:sz w:val="20"/>
          <w:szCs w:val="24"/>
        </w:rPr>
        <w:t xml:space="preserve">, </w:t>
      </w:r>
      <w:r w:rsidRPr="00F168DA">
        <w:rPr>
          <w:rFonts w:ascii="Calibri" w:hAnsi="Calibri" w:cs="Times New Roman"/>
          <w:i/>
          <w:iCs/>
          <w:noProof/>
          <w:sz w:val="20"/>
          <w:szCs w:val="24"/>
        </w:rPr>
        <w:t>52</w:t>
      </w:r>
      <w:r w:rsidRPr="00F168DA">
        <w:rPr>
          <w:rFonts w:ascii="Calibri" w:hAnsi="Calibri" w:cs="Times New Roman"/>
          <w:noProof/>
          <w:sz w:val="20"/>
          <w:szCs w:val="24"/>
        </w:rPr>
        <w:t>, 1558–1565.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[26]</w:t>
      </w:r>
      <w:r w:rsidRPr="00F168DA">
        <w:rPr>
          <w:rFonts w:ascii="Calibri" w:hAnsi="Calibri" w:cs="Times New Roman"/>
          <w:noProof/>
          <w:sz w:val="20"/>
          <w:szCs w:val="24"/>
        </w:rPr>
        <w:tab/>
        <w:t xml:space="preserve">M. Regitz, </w:t>
      </w:r>
      <w:r w:rsidRPr="00F168DA">
        <w:rPr>
          <w:rFonts w:ascii="Calibri" w:hAnsi="Calibri" w:cs="Times New Roman"/>
          <w:i/>
          <w:iCs/>
          <w:noProof/>
          <w:sz w:val="20"/>
          <w:szCs w:val="24"/>
        </w:rPr>
        <w:t>Angew. Chemie, Int. Ed. English</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1967</w:t>
      </w:r>
      <w:r w:rsidRPr="00F168DA">
        <w:rPr>
          <w:rFonts w:ascii="Calibri" w:hAnsi="Calibri" w:cs="Times New Roman"/>
          <w:noProof/>
          <w:sz w:val="20"/>
          <w:szCs w:val="24"/>
        </w:rPr>
        <w:t xml:space="preserve">, </w:t>
      </w:r>
      <w:r w:rsidRPr="00F168DA">
        <w:rPr>
          <w:rFonts w:ascii="Calibri" w:hAnsi="Calibri" w:cs="Times New Roman"/>
          <w:i/>
          <w:iCs/>
          <w:noProof/>
          <w:sz w:val="20"/>
          <w:szCs w:val="24"/>
        </w:rPr>
        <w:t>6</w:t>
      </w:r>
      <w:r w:rsidRPr="00F168DA">
        <w:rPr>
          <w:rFonts w:ascii="Calibri" w:hAnsi="Calibri" w:cs="Times New Roman"/>
          <w:noProof/>
          <w:sz w:val="20"/>
          <w:szCs w:val="24"/>
        </w:rPr>
        <w:t>, 733–749.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[27]</w:t>
      </w:r>
      <w:r w:rsidRPr="00F168DA">
        <w:rPr>
          <w:rFonts w:ascii="Calibri" w:hAnsi="Calibri" w:cs="Times New Roman"/>
          <w:noProof/>
          <w:sz w:val="20"/>
          <w:szCs w:val="24"/>
        </w:rPr>
        <w:tab/>
        <w:t xml:space="preserve">M. Regitz, </w:t>
      </w:r>
      <w:r w:rsidRPr="00F168DA">
        <w:rPr>
          <w:rFonts w:ascii="Calibri" w:hAnsi="Calibri" w:cs="Times New Roman"/>
          <w:i/>
          <w:iCs/>
          <w:noProof/>
          <w:sz w:val="20"/>
          <w:szCs w:val="24"/>
        </w:rPr>
        <w:t xml:space="preserve">Synthesis </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1972</w:t>
      </w:r>
      <w:r w:rsidRPr="00F168DA">
        <w:rPr>
          <w:rFonts w:ascii="Calibri" w:hAnsi="Calibri" w:cs="Times New Roman"/>
          <w:noProof/>
          <w:sz w:val="20"/>
          <w:szCs w:val="24"/>
        </w:rPr>
        <w:t>, 351–373.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[28]</w:t>
      </w:r>
      <w:r w:rsidRPr="00F168DA">
        <w:rPr>
          <w:rFonts w:ascii="Calibri" w:hAnsi="Calibri" w:cs="Times New Roman"/>
          <w:noProof/>
          <w:sz w:val="20"/>
          <w:szCs w:val="24"/>
        </w:rPr>
        <w:tab/>
        <w:t xml:space="preserve">M. Regitz, F. Menz, </w:t>
      </w:r>
      <w:r w:rsidRPr="00F168DA">
        <w:rPr>
          <w:rFonts w:ascii="Calibri" w:hAnsi="Calibri" w:cs="Times New Roman"/>
          <w:i/>
          <w:iCs/>
          <w:noProof/>
          <w:sz w:val="20"/>
          <w:szCs w:val="24"/>
        </w:rPr>
        <w:t>Chem. Ber.</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1968</w:t>
      </w:r>
      <w:r w:rsidRPr="00F168DA">
        <w:rPr>
          <w:rFonts w:ascii="Calibri" w:hAnsi="Calibri" w:cs="Times New Roman"/>
          <w:noProof/>
          <w:sz w:val="20"/>
          <w:szCs w:val="24"/>
        </w:rPr>
        <w:t xml:space="preserve">, </w:t>
      </w:r>
      <w:r w:rsidRPr="00F168DA">
        <w:rPr>
          <w:rFonts w:ascii="Calibri" w:hAnsi="Calibri" w:cs="Times New Roman"/>
          <w:i/>
          <w:iCs/>
          <w:noProof/>
          <w:sz w:val="20"/>
          <w:szCs w:val="24"/>
        </w:rPr>
        <w:t>101</w:t>
      </w:r>
      <w:r w:rsidRPr="00F168DA">
        <w:rPr>
          <w:rFonts w:ascii="Calibri" w:hAnsi="Calibri" w:cs="Times New Roman"/>
          <w:noProof/>
          <w:sz w:val="20"/>
          <w:szCs w:val="24"/>
        </w:rPr>
        <w:t>, 2622–2632.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[29]</w:t>
      </w:r>
      <w:r w:rsidRPr="00F168DA">
        <w:rPr>
          <w:rFonts w:ascii="Calibri" w:hAnsi="Calibri" w:cs="Times New Roman"/>
          <w:noProof/>
          <w:sz w:val="20"/>
          <w:szCs w:val="24"/>
        </w:rPr>
        <w:tab/>
        <w:t xml:space="preserve">G. Regitz, M.; Maas, </w:t>
      </w:r>
      <w:r w:rsidRPr="00F168DA">
        <w:rPr>
          <w:rFonts w:ascii="Calibri" w:hAnsi="Calibri" w:cs="Times New Roman"/>
          <w:i/>
          <w:iCs/>
          <w:noProof/>
          <w:sz w:val="20"/>
          <w:szCs w:val="24"/>
        </w:rPr>
        <w:t>Diazo Compounds: Properties and Synthesis, Academic Press, Orlando</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1986</w:t>
      </w:r>
      <w:r w:rsidRPr="00F168DA">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[30]</w:t>
      </w:r>
      <w:r w:rsidRPr="00F168DA">
        <w:rPr>
          <w:rFonts w:ascii="Calibri" w:hAnsi="Calibri" w:cs="Times New Roman"/>
          <w:noProof/>
          <w:sz w:val="20"/>
          <w:szCs w:val="24"/>
        </w:rPr>
        <w:tab/>
        <w:t xml:space="preserve">J. B. Hendrickson, W. A. Wolf,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1968</w:t>
      </w:r>
      <w:r w:rsidRPr="00F168DA">
        <w:rPr>
          <w:rFonts w:ascii="Calibri" w:hAnsi="Calibri" w:cs="Times New Roman"/>
          <w:noProof/>
          <w:sz w:val="20"/>
          <w:szCs w:val="24"/>
        </w:rPr>
        <w:t xml:space="preserve">, </w:t>
      </w:r>
      <w:r w:rsidRPr="00F168DA">
        <w:rPr>
          <w:rFonts w:ascii="Calibri" w:hAnsi="Calibri" w:cs="Times New Roman"/>
          <w:i/>
          <w:iCs/>
          <w:noProof/>
          <w:sz w:val="20"/>
          <w:szCs w:val="24"/>
        </w:rPr>
        <w:t>33</w:t>
      </w:r>
      <w:r w:rsidRPr="00F168DA">
        <w:rPr>
          <w:rFonts w:ascii="Calibri" w:hAnsi="Calibri" w:cs="Times New Roman"/>
          <w:noProof/>
          <w:sz w:val="20"/>
          <w:szCs w:val="24"/>
        </w:rPr>
        <w:t>, 3610–3618.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[31]</w:t>
      </w:r>
      <w:r w:rsidRPr="00F168DA">
        <w:rPr>
          <w:rFonts w:ascii="Calibri" w:hAnsi="Calibri" w:cs="Times New Roman"/>
          <w:noProof/>
          <w:sz w:val="20"/>
          <w:szCs w:val="24"/>
        </w:rPr>
        <w:tab/>
        <w:t xml:space="preserve">R. L. Danheiser, R. F. Miller, R. G. Brisbois, </w:t>
      </w:r>
      <w:r w:rsidRPr="00F168DA">
        <w:rPr>
          <w:rFonts w:ascii="Calibri" w:hAnsi="Calibri" w:cs="Times New Roman"/>
          <w:i/>
          <w:iCs/>
          <w:noProof/>
          <w:sz w:val="20"/>
          <w:szCs w:val="24"/>
        </w:rPr>
        <w:t>Org. Synth.</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1996</w:t>
      </w:r>
      <w:r w:rsidRPr="00F168DA">
        <w:rPr>
          <w:rFonts w:ascii="Calibri" w:hAnsi="Calibri" w:cs="Times New Roman"/>
          <w:noProof/>
          <w:sz w:val="20"/>
          <w:szCs w:val="24"/>
        </w:rPr>
        <w:t xml:space="preserve">, </w:t>
      </w:r>
      <w:r w:rsidRPr="00F168DA">
        <w:rPr>
          <w:rFonts w:ascii="Calibri" w:hAnsi="Calibri" w:cs="Times New Roman"/>
          <w:i/>
          <w:iCs/>
          <w:noProof/>
          <w:sz w:val="20"/>
          <w:szCs w:val="24"/>
        </w:rPr>
        <w:t>73</w:t>
      </w:r>
      <w:r w:rsidRPr="00F168DA">
        <w:rPr>
          <w:rFonts w:ascii="Calibri" w:hAnsi="Calibri" w:cs="Times New Roman"/>
          <w:noProof/>
          <w:sz w:val="20"/>
          <w:szCs w:val="24"/>
        </w:rPr>
        <w:t>, 134–143.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[32]</w:t>
      </w:r>
      <w:r w:rsidRPr="00F168DA">
        <w:rPr>
          <w:rFonts w:ascii="Calibri" w:hAnsi="Calibri" w:cs="Times New Roman"/>
          <w:noProof/>
          <w:sz w:val="20"/>
          <w:szCs w:val="24"/>
        </w:rPr>
        <w:tab/>
        <w:t xml:space="preserve">R. L. Danheiser, R. F. Miller, R. G. Brisbois, S. Z. Park,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1990</w:t>
      </w:r>
      <w:r w:rsidRPr="00F168DA">
        <w:rPr>
          <w:rFonts w:ascii="Calibri" w:hAnsi="Calibri" w:cs="Times New Roman"/>
          <w:noProof/>
          <w:sz w:val="20"/>
          <w:szCs w:val="24"/>
        </w:rPr>
        <w:t xml:space="preserve">, </w:t>
      </w:r>
      <w:r w:rsidRPr="00F168DA">
        <w:rPr>
          <w:rFonts w:ascii="Calibri" w:hAnsi="Calibri" w:cs="Times New Roman"/>
          <w:i/>
          <w:iCs/>
          <w:noProof/>
          <w:sz w:val="20"/>
          <w:szCs w:val="24"/>
        </w:rPr>
        <w:t>55</w:t>
      </w:r>
      <w:r w:rsidRPr="00F168DA">
        <w:rPr>
          <w:rFonts w:ascii="Calibri" w:hAnsi="Calibri" w:cs="Times New Roman"/>
          <w:noProof/>
          <w:sz w:val="20"/>
          <w:szCs w:val="24"/>
        </w:rPr>
        <w:t>, 1959–1964.</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[33]</w:t>
      </w:r>
      <w:r w:rsidRPr="00F168DA">
        <w:rPr>
          <w:rFonts w:ascii="Calibri" w:hAnsi="Calibri" w:cs="Times New Roman"/>
          <w:noProof/>
          <w:sz w:val="20"/>
          <w:szCs w:val="24"/>
        </w:rPr>
        <w:tab/>
        <w:t xml:space="preserve">D. F. Taber, R. B. Sheth, P. V Joshi,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2005</w:t>
      </w:r>
      <w:r w:rsidRPr="00F168DA">
        <w:rPr>
          <w:rFonts w:ascii="Calibri" w:hAnsi="Calibri" w:cs="Times New Roman"/>
          <w:noProof/>
          <w:sz w:val="20"/>
          <w:szCs w:val="24"/>
        </w:rPr>
        <w:t xml:space="preserve">, </w:t>
      </w:r>
      <w:r w:rsidRPr="00F168DA">
        <w:rPr>
          <w:rFonts w:ascii="Calibri" w:hAnsi="Calibri" w:cs="Times New Roman"/>
          <w:i/>
          <w:iCs/>
          <w:noProof/>
          <w:sz w:val="20"/>
          <w:szCs w:val="24"/>
        </w:rPr>
        <w:t>70</w:t>
      </w:r>
      <w:r w:rsidRPr="00F168DA">
        <w:rPr>
          <w:rFonts w:ascii="Calibri" w:hAnsi="Calibri" w:cs="Times New Roman"/>
          <w:noProof/>
          <w:sz w:val="20"/>
          <w:szCs w:val="24"/>
        </w:rPr>
        <w:t>, 2851–2854.</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[34]</w:t>
      </w:r>
      <w:r w:rsidRPr="00F168DA">
        <w:rPr>
          <w:rFonts w:ascii="Calibri" w:hAnsi="Calibri" w:cs="Times New Roman"/>
          <w:noProof/>
          <w:sz w:val="20"/>
          <w:szCs w:val="24"/>
        </w:rPr>
        <w:tab/>
        <w:t xml:space="preserve">M. K. Muthyala, S. Choudhary, A. Kumar,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2012</w:t>
      </w:r>
      <w:r w:rsidRPr="00F168DA">
        <w:rPr>
          <w:rFonts w:ascii="Calibri" w:hAnsi="Calibri" w:cs="Times New Roman"/>
          <w:noProof/>
          <w:sz w:val="20"/>
          <w:szCs w:val="24"/>
        </w:rPr>
        <w:t xml:space="preserve">, </w:t>
      </w:r>
      <w:r w:rsidRPr="00F168DA">
        <w:rPr>
          <w:rFonts w:ascii="Calibri" w:hAnsi="Calibri" w:cs="Times New Roman"/>
          <w:i/>
          <w:iCs/>
          <w:noProof/>
          <w:sz w:val="20"/>
          <w:szCs w:val="24"/>
        </w:rPr>
        <w:t>77</w:t>
      </w:r>
      <w:r w:rsidRPr="00F168DA">
        <w:rPr>
          <w:rFonts w:ascii="Calibri" w:hAnsi="Calibri" w:cs="Times New Roman"/>
          <w:noProof/>
          <w:sz w:val="20"/>
          <w:szCs w:val="24"/>
        </w:rPr>
        <w:t>, 8787–8791.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[35]</w:t>
      </w:r>
      <w:r w:rsidRPr="00F168DA">
        <w:rPr>
          <w:rFonts w:ascii="Calibri" w:hAnsi="Calibri" w:cs="Times New Roman"/>
          <w:noProof/>
          <w:sz w:val="20"/>
          <w:szCs w:val="24"/>
        </w:rPr>
        <w:tab/>
        <w:t xml:space="preserve">A. M. Harned, W. M. Sherrill, D. L. Flynn, P. R. Hanson, </w:t>
      </w:r>
      <w:r w:rsidRPr="00F168DA">
        <w:rPr>
          <w:rFonts w:ascii="Calibri" w:hAnsi="Calibri" w:cs="Times New Roman"/>
          <w:i/>
          <w:iCs/>
          <w:noProof/>
          <w:sz w:val="20"/>
          <w:szCs w:val="24"/>
        </w:rPr>
        <w:t>Tetrahedron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2005</w:t>
      </w:r>
      <w:r w:rsidRPr="00F168DA">
        <w:rPr>
          <w:rFonts w:ascii="Calibri" w:hAnsi="Calibri" w:cs="Times New Roman"/>
          <w:noProof/>
          <w:sz w:val="20"/>
          <w:szCs w:val="24"/>
        </w:rPr>
        <w:t xml:space="preserve">, </w:t>
      </w:r>
      <w:r w:rsidRPr="00F168DA">
        <w:rPr>
          <w:rFonts w:ascii="Calibri" w:hAnsi="Calibri" w:cs="Times New Roman"/>
          <w:i/>
          <w:iCs/>
          <w:noProof/>
          <w:sz w:val="20"/>
          <w:szCs w:val="24"/>
        </w:rPr>
        <w:t>61</w:t>
      </w:r>
      <w:r w:rsidRPr="00F168DA">
        <w:rPr>
          <w:rFonts w:ascii="Calibri" w:hAnsi="Calibri" w:cs="Times New Roman"/>
          <w:noProof/>
          <w:sz w:val="20"/>
          <w:szCs w:val="24"/>
        </w:rPr>
        <w:t>, 12093–12099.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[36]</w:t>
      </w:r>
      <w:r w:rsidRPr="00F168DA">
        <w:rPr>
          <w:rFonts w:ascii="Calibri" w:hAnsi="Calibri" w:cs="Times New Roman"/>
          <w:noProof/>
          <w:sz w:val="20"/>
          <w:szCs w:val="24"/>
        </w:rPr>
        <w:tab/>
        <w:t xml:space="preserve">G. M. Green, N. P. Peet, W. A. Metz,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2001</w:t>
      </w:r>
      <w:r w:rsidRPr="00F168DA">
        <w:rPr>
          <w:rFonts w:ascii="Calibri" w:hAnsi="Calibri" w:cs="Times New Roman"/>
          <w:noProof/>
          <w:sz w:val="20"/>
          <w:szCs w:val="24"/>
        </w:rPr>
        <w:t xml:space="preserve">, </w:t>
      </w:r>
      <w:r w:rsidRPr="00F168DA">
        <w:rPr>
          <w:rFonts w:ascii="Calibri" w:hAnsi="Calibri" w:cs="Times New Roman"/>
          <w:i/>
          <w:iCs/>
          <w:noProof/>
          <w:sz w:val="20"/>
          <w:szCs w:val="24"/>
        </w:rPr>
        <w:t>66</w:t>
      </w:r>
      <w:r w:rsidRPr="00F168DA">
        <w:rPr>
          <w:rFonts w:ascii="Calibri" w:hAnsi="Calibri" w:cs="Times New Roman"/>
          <w:noProof/>
          <w:sz w:val="20"/>
          <w:szCs w:val="24"/>
        </w:rPr>
        <w:t>, 2509–2511.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[37]</w:t>
      </w:r>
      <w:r w:rsidRPr="00F168DA">
        <w:rPr>
          <w:rFonts w:ascii="Calibri" w:hAnsi="Calibri" w:cs="Times New Roman"/>
          <w:noProof/>
          <w:sz w:val="20"/>
          <w:szCs w:val="24"/>
        </w:rPr>
        <w:tab/>
        <w:t xml:space="preserve">A. M. P. Koskinen, L. Munoz, </w:t>
      </w:r>
      <w:r w:rsidRPr="00F168DA">
        <w:rPr>
          <w:rFonts w:ascii="Calibri" w:hAnsi="Calibri" w:cs="Times New Roman"/>
          <w:i/>
          <w:iCs/>
          <w:noProof/>
          <w:sz w:val="20"/>
          <w:szCs w:val="24"/>
        </w:rPr>
        <w:t>J. Chem. Soc. Chem. Commun.</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1990</w:t>
      </w:r>
      <w:r w:rsidRPr="00F168DA">
        <w:rPr>
          <w:rFonts w:ascii="Calibri" w:hAnsi="Calibri" w:cs="Times New Roman"/>
          <w:noProof/>
          <w:sz w:val="20"/>
          <w:szCs w:val="24"/>
        </w:rPr>
        <w:t>, 652–653.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[38]</w:t>
      </w:r>
      <w:r w:rsidRPr="00F168DA">
        <w:rPr>
          <w:rFonts w:ascii="Calibri" w:hAnsi="Calibri" w:cs="Times New Roman"/>
          <w:noProof/>
          <w:sz w:val="20"/>
          <w:szCs w:val="24"/>
        </w:rPr>
        <w:tab/>
        <w:t xml:space="preserve">M. Presset, D. Mailhol, Y. Coquerel, J. Rodriguez, </w:t>
      </w:r>
      <w:r w:rsidRPr="00F168DA">
        <w:rPr>
          <w:rFonts w:ascii="Calibri" w:hAnsi="Calibri" w:cs="Times New Roman"/>
          <w:i/>
          <w:iCs/>
          <w:noProof/>
          <w:sz w:val="20"/>
          <w:szCs w:val="24"/>
        </w:rPr>
        <w:t>Synthesis</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2011</w:t>
      </w:r>
      <w:r w:rsidRPr="00F168DA">
        <w:rPr>
          <w:rFonts w:ascii="Calibri" w:hAnsi="Calibri" w:cs="Times New Roman"/>
          <w:noProof/>
          <w:sz w:val="20"/>
          <w:szCs w:val="24"/>
        </w:rPr>
        <w:t>, 2549–2552.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[39]</w:t>
      </w:r>
      <w:r w:rsidRPr="00F168DA">
        <w:rPr>
          <w:rFonts w:ascii="Calibri" w:hAnsi="Calibri" w:cs="Times New Roman"/>
          <w:noProof/>
          <w:sz w:val="20"/>
          <w:szCs w:val="24"/>
        </w:rPr>
        <w:tab/>
        <w:t xml:space="preserve">M. Regitz, in </w:t>
      </w:r>
      <w:r w:rsidRPr="00F168DA">
        <w:rPr>
          <w:rFonts w:ascii="Calibri" w:hAnsi="Calibri" w:cs="Times New Roman"/>
          <w:i/>
          <w:iCs/>
          <w:noProof/>
          <w:sz w:val="20"/>
          <w:szCs w:val="24"/>
        </w:rPr>
        <w:t>Newer Methods Prep.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1971</w:t>
      </w:r>
      <w:r w:rsidRPr="00F168DA">
        <w:rPr>
          <w:rFonts w:ascii="Calibri" w:hAnsi="Calibri" w:cs="Times New Roman"/>
          <w:noProof/>
          <w:sz w:val="20"/>
          <w:szCs w:val="24"/>
        </w:rPr>
        <w:t>, pp. 81–126.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[40]</w:t>
      </w:r>
      <w:r w:rsidRPr="00F168DA">
        <w:rPr>
          <w:rFonts w:ascii="Calibri" w:hAnsi="Calibri" w:cs="Times New Roman"/>
          <w:noProof/>
          <w:sz w:val="20"/>
          <w:szCs w:val="24"/>
        </w:rPr>
        <w:tab/>
        <w:t xml:space="preserve">G. G. Hazen, F. W. Bollinger, F. E. Roberts, W. K. Russ, J. J. Seman, S. Staskiewicz, </w:t>
      </w:r>
      <w:r w:rsidRPr="00F168DA">
        <w:rPr>
          <w:rFonts w:ascii="Calibri" w:hAnsi="Calibri" w:cs="Times New Roman"/>
          <w:i/>
          <w:iCs/>
          <w:noProof/>
          <w:sz w:val="20"/>
          <w:szCs w:val="24"/>
        </w:rPr>
        <w:t>Org. Synth.</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1996</w:t>
      </w:r>
      <w:r w:rsidRPr="00F168DA">
        <w:rPr>
          <w:rFonts w:ascii="Calibri" w:hAnsi="Calibri" w:cs="Times New Roman"/>
          <w:noProof/>
          <w:sz w:val="20"/>
          <w:szCs w:val="24"/>
        </w:rPr>
        <w:t xml:space="preserve">, </w:t>
      </w:r>
      <w:r w:rsidRPr="00F168DA">
        <w:rPr>
          <w:rFonts w:ascii="Calibri" w:hAnsi="Calibri" w:cs="Times New Roman"/>
          <w:i/>
          <w:iCs/>
          <w:noProof/>
          <w:sz w:val="20"/>
          <w:szCs w:val="24"/>
        </w:rPr>
        <w:t>73</w:t>
      </w:r>
      <w:r w:rsidRPr="00F168DA">
        <w:rPr>
          <w:rFonts w:ascii="Calibri" w:hAnsi="Calibri" w:cs="Times New Roman"/>
          <w:noProof/>
          <w:sz w:val="20"/>
          <w:szCs w:val="24"/>
        </w:rPr>
        <w:t>, 144–151.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[41]</w:t>
      </w:r>
      <w:r w:rsidRPr="00F168DA">
        <w:rPr>
          <w:rFonts w:ascii="Calibri" w:hAnsi="Calibri" w:cs="Times New Roman"/>
          <w:noProof/>
          <w:sz w:val="20"/>
          <w:szCs w:val="24"/>
        </w:rPr>
        <w:tab/>
        <w:t xml:space="preserve">A. B. Khare, C. E. McKenna, </w:t>
      </w:r>
      <w:r w:rsidRPr="00F168DA">
        <w:rPr>
          <w:rFonts w:ascii="Calibri" w:hAnsi="Calibri" w:cs="Times New Roman"/>
          <w:i/>
          <w:iCs/>
          <w:noProof/>
          <w:sz w:val="20"/>
          <w:szCs w:val="24"/>
        </w:rPr>
        <w:t>Synthesis</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1991</w:t>
      </w:r>
      <w:r w:rsidRPr="00F168DA">
        <w:rPr>
          <w:rFonts w:ascii="Calibri" w:hAnsi="Calibri" w:cs="Times New Roman"/>
          <w:noProof/>
          <w:sz w:val="20"/>
          <w:szCs w:val="24"/>
        </w:rPr>
        <w:t>, 405–406.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[42]</w:t>
      </w:r>
      <w:r w:rsidRPr="00F168DA">
        <w:rPr>
          <w:rFonts w:ascii="Calibri" w:hAnsi="Calibri" w:cs="Times New Roman"/>
          <w:noProof/>
          <w:sz w:val="20"/>
          <w:szCs w:val="24"/>
        </w:rPr>
        <w:tab/>
        <w:t xml:space="preserve">H. M. L. Davies, W. R. Cantrell  Jr., K. R. Romines, J. S. Baum, </w:t>
      </w:r>
      <w:r w:rsidRPr="00F168DA">
        <w:rPr>
          <w:rFonts w:ascii="Calibri" w:hAnsi="Calibri" w:cs="Times New Roman"/>
          <w:i/>
          <w:iCs/>
          <w:noProof/>
          <w:sz w:val="20"/>
          <w:szCs w:val="24"/>
        </w:rPr>
        <w:t>Org. Synth.</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1992</w:t>
      </w:r>
      <w:r w:rsidRPr="00F168DA">
        <w:rPr>
          <w:rFonts w:ascii="Calibri" w:hAnsi="Calibri" w:cs="Times New Roman"/>
          <w:noProof/>
          <w:sz w:val="20"/>
          <w:szCs w:val="24"/>
        </w:rPr>
        <w:t xml:space="preserve">, </w:t>
      </w:r>
      <w:r w:rsidRPr="00F168DA">
        <w:rPr>
          <w:rFonts w:ascii="Calibri" w:hAnsi="Calibri" w:cs="Times New Roman"/>
          <w:i/>
          <w:iCs/>
          <w:noProof/>
          <w:sz w:val="20"/>
          <w:szCs w:val="24"/>
        </w:rPr>
        <w:t>70</w:t>
      </w:r>
      <w:r w:rsidRPr="00F168DA">
        <w:rPr>
          <w:rFonts w:ascii="Calibri" w:hAnsi="Calibri" w:cs="Times New Roman"/>
          <w:noProof/>
          <w:sz w:val="20"/>
          <w:szCs w:val="24"/>
        </w:rPr>
        <w:t>, 93–100.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[43]</w:t>
      </w:r>
      <w:r w:rsidRPr="00F168DA">
        <w:rPr>
          <w:rFonts w:ascii="Calibri" w:hAnsi="Calibri" w:cs="Times New Roman"/>
          <w:noProof/>
          <w:sz w:val="20"/>
          <w:szCs w:val="24"/>
        </w:rPr>
        <w:tab/>
        <w:t xml:space="preserve">C. E. Hatch  III, J. S. Baum, T. Takashima, K. Kondo,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1980</w:t>
      </w:r>
      <w:r w:rsidRPr="00F168DA">
        <w:rPr>
          <w:rFonts w:ascii="Calibri" w:hAnsi="Calibri" w:cs="Times New Roman"/>
          <w:noProof/>
          <w:sz w:val="20"/>
          <w:szCs w:val="24"/>
        </w:rPr>
        <w:t xml:space="preserve">, </w:t>
      </w:r>
      <w:r w:rsidRPr="00F168DA">
        <w:rPr>
          <w:rFonts w:ascii="Calibri" w:hAnsi="Calibri" w:cs="Times New Roman"/>
          <w:i/>
          <w:iCs/>
          <w:noProof/>
          <w:sz w:val="20"/>
          <w:szCs w:val="24"/>
        </w:rPr>
        <w:t>45</w:t>
      </w:r>
      <w:r w:rsidRPr="00F168DA">
        <w:rPr>
          <w:rFonts w:ascii="Calibri" w:hAnsi="Calibri" w:cs="Times New Roman"/>
          <w:noProof/>
          <w:sz w:val="20"/>
          <w:szCs w:val="24"/>
        </w:rPr>
        <w:t>, 3281–3285.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[44]</w:t>
      </w:r>
      <w:r w:rsidRPr="00F168DA">
        <w:rPr>
          <w:rFonts w:ascii="Calibri" w:hAnsi="Calibri" w:cs="Times New Roman"/>
          <w:noProof/>
          <w:sz w:val="20"/>
          <w:szCs w:val="24"/>
        </w:rPr>
        <w:tab/>
        <w:t xml:space="preserve">T. J. Curphey, </w:t>
      </w:r>
      <w:r w:rsidRPr="00F168DA">
        <w:rPr>
          <w:rFonts w:ascii="Calibri" w:hAnsi="Calibri" w:cs="Times New Roman"/>
          <w:i/>
          <w:iCs/>
          <w:noProof/>
          <w:sz w:val="20"/>
          <w:szCs w:val="24"/>
        </w:rPr>
        <w:t>Org. Prep. Proced. Int.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1981</w:t>
      </w:r>
      <w:r w:rsidRPr="00F168DA">
        <w:rPr>
          <w:rFonts w:ascii="Calibri" w:hAnsi="Calibri" w:cs="Times New Roman"/>
          <w:noProof/>
          <w:sz w:val="20"/>
          <w:szCs w:val="24"/>
        </w:rPr>
        <w:t xml:space="preserve">, </w:t>
      </w:r>
      <w:r w:rsidRPr="00F168DA">
        <w:rPr>
          <w:rFonts w:ascii="Calibri" w:hAnsi="Calibri" w:cs="Times New Roman"/>
          <w:i/>
          <w:iCs/>
          <w:noProof/>
          <w:sz w:val="20"/>
          <w:szCs w:val="24"/>
        </w:rPr>
        <w:t>13</w:t>
      </w:r>
      <w:r w:rsidRPr="00F168DA">
        <w:rPr>
          <w:rFonts w:ascii="Calibri" w:hAnsi="Calibri" w:cs="Times New Roman"/>
          <w:noProof/>
          <w:sz w:val="20"/>
          <w:szCs w:val="24"/>
        </w:rPr>
        <w:t>, 112–115.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[45]</w:t>
      </w:r>
      <w:r w:rsidRPr="00F168DA">
        <w:rPr>
          <w:rFonts w:ascii="Calibri" w:hAnsi="Calibri" w:cs="Times New Roman"/>
          <w:noProof/>
          <w:sz w:val="20"/>
          <w:szCs w:val="24"/>
        </w:rPr>
        <w:tab/>
        <w:t xml:space="preserve">L. D. Tuma, </w:t>
      </w:r>
      <w:r w:rsidRPr="00F168DA">
        <w:rPr>
          <w:rFonts w:ascii="Calibri" w:hAnsi="Calibri" w:cs="Times New Roman"/>
          <w:i/>
          <w:iCs/>
          <w:noProof/>
          <w:sz w:val="20"/>
          <w:szCs w:val="24"/>
        </w:rPr>
        <w:t>Thermochim. Acta</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1994</w:t>
      </w:r>
      <w:r w:rsidRPr="00F168DA">
        <w:rPr>
          <w:rFonts w:ascii="Calibri" w:hAnsi="Calibri" w:cs="Times New Roman"/>
          <w:noProof/>
          <w:sz w:val="20"/>
          <w:szCs w:val="24"/>
        </w:rPr>
        <w:t xml:space="preserve">, </w:t>
      </w:r>
      <w:r w:rsidRPr="00F168DA">
        <w:rPr>
          <w:rFonts w:ascii="Calibri" w:hAnsi="Calibri" w:cs="Times New Roman"/>
          <w:i/>
          <w:iCs/>
          <w:noProof/>
          <w:sz w:val="20"/>
          <w:szCs w:val="24"/>
        </w:rPr>
        <w:t>243</w:t>
      </w:r>
      <w:r w:rsidRPr="00F168DA">
        <w:rPr>
          <w:rFonts w:ascii="Calibri" w:hAnsi="Calibri" w:cs="Times New Roman"/>
          <w:noProof/>
          <w:sz w:val="20"/>
          <w:szCs w:val="24"/>
        </w:rPr>
        <w:t>, 161–167.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[46]</w:t>
      </w:r>
      <w:r w:rsidRPr="00F168DA">
        <w:rPr>
          <w:rFonts w:ascii="Calibri" w:hAnsi="Calibri" w:cs="Times New Roman"/>
          <w:noProof/>
          <w:sz w:val="20"/>
          <w:szCs w:val="24"/>
        </w:rPr>
        <w:tab/>
        <w:t xml:space="preserve">J. B. Hendrickson, W. A. Wolf,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1968</w:t>
      </w:r>
      <w:r w:rsidRPr="00F168DA">
        <w:rPr>
          <w:rFonts w:ascii="Calibri" w:hAnsi="Calibri" w:cs="Times New Roman"/>
          <w:noProof/>
          <w:sz w:val="20"/>
          <w:szCs w:val="24"/>
        </w:rPr>
        <w:t xml:space="preserve">, </w:t>
      </w:r>
      <w:r w:rsidRPr="00F168DA">
        <w:rPr>
          <w:rFonts w:ascii="Calibri" w:hAnsi="Calibri" w:cs="Times New Roman"/>
          <w:i/>
          <w:iCs/>
          <w:noProof/>
          <w:sz w:val="20"/>
          <w:szCs w:val="24"/>
        </w:rPr>
        <w:t>33</w:t>
      </w:r>
      <w:r w:rsidRPr="00F168DA">
        <w:rPr>
          <w:rFonts w:ascii="Calibri" w:hAnsi="Calibri" w:cs="Times New Roman"/>
          <w:noProof/>
          <w:sz w:val="20"/>
          <w:szCs w:val="24"/>
        </w:rPr>
        <w:t>, 3610–3618.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[47]</w:t>
      </w:r>
      <w:r w:rsidRPr="00F168DA">
        <w:rPr>
          <w:rFonts w:ascii="Calibri" w:hAnsi="Calibri" w:cs="Times New Roman"/>
          <w:noProof/>
          <w:sz w:val="20"/>
          <w:szCs w:val="24"/>
        </w:rPr>
        <w:tab/>
        <w:t xml:space="preserve">E. D. Goddard-Borger, R. V Stick, </w:t>
      </w:r>
      <w:r w:rsidRPr="00F168DA">
        <w:rPr>
          <w:rFonts w:ascii="Calibri" w:hAnsi="Calibri" w:cs="Times New Roman"/>
          <w:i/>
          <w:iCs/>
          <w:noProof/>
          <w:sz w:val="20"/>
          <w:szCs w:val="24"/>
        </w:rPr>
        <w:t>Org.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2007</w:t>
      </w:r>
      <w:r w:rsidRPr="00F168DA">
        <w:rPr>
          <w:rFonts w:ascii="Calibri" w:hAnsi="Calibri" w:cs="Times New Roman"/>
          <w:noProof/>
          <w:sz w:val="20"/>
          <w:szCs w:val="24"/>
        </w:rPr>
        <w:t xml:space="preserve">, </w:t>
      </w:r>
      <w:r w:rsidRPr="00F168DA">
        <w:rPr>
          <w:rFonts w:ascii="Calibri" w:hAnsi="Calibri" w:cs="Times New Roman"/>
          <w:i/>
          <w:iCs/>
          <w:noProof/>
          <w:sz w:val="20"/>
          <w:szCs w:val="24"/>
        </w:rPr>
        <w:t>9</w:t>
      </w:r>
      <w:r w:rsidRPr="00F168DA">
        <w:rPr>
          <w:rFonts w:ascii="Calibri" w:hAnsi="Calibri" w:cs="Times New Roman"/>
          <w:noProof/>
          <w:sz w:val="20"/>
          <w:szCs w:val="24"/>
        </w:rPr>
        <w:t>, 3797–3800.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[48]</w:t>
      </w:r>
      <w:r w:rsidRPr="00F168DA">
        <w:rPr>
          <w:rFonts w:ascii="Calibri" w:hAnsi="Calibri" w:cs="Times New Roman"/>
          <w:noProof/>
          <w:sz w:val="20"/>
          <w:szCs w:val="24"/>
        </w:rPr>
        <w:tab/>
        <w:t xml:space="preserve">P. T. Nyffeler, C.-H. Liang, K. M. Koeller, C.-H. Wong,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2002</w:t>
      </w:r>
      <w:r w:rsidRPr="00F168DA">
        <w:rPr>
          <w:rFonts w:ascii="Calibri" w:hAnsi="Calibri" w:cs="Times New Roman"/>
          <w:noProof/>
          <w:sz w:val="20"/>
          <w:szCs w:val="24"/>
        </w:rPr>
        <w:t xml:space="preserve">, </w:t>
      </w:r>
      <w:r w:rsidRPr="00F168DA">
        <w:rPr>
          <w:rFonts w:ascii="Calibri" w:hAnsi="Calibri" w:cs="Times New Roman"/>
          <w:i/>
          <w:iCs/>
          <w:noProof/>
          <w:sz w:val="20"/>
          <w:szCs w:val="24"/>
        </w:rPr>
        <w:t>124</w:t>
      </w:r>
      <w:r w:rsidRPr="00F168DA">
        <w:rPr>
          <w:rFonts w:ascii="Calibri" w:hAnsi="Calibri" w:cs="Times New Roman"/>
          <w:noProof/>
          <w:sz w:val="20"/>
          <w:szCs w:val="24"/>
        </w:rPr>
        <w:t>, 10773–10778.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[49]</w:t>
      </w:r>
      <w:r w:rsidRPr="00F168DA">
        <w:rPr>
          <w:rFonts w:ascii="Calibri" w:hAnsi="Calibri" w:cs="Times New Roman"/>
          <w:noProof/>
          <w:sz w:val="20"/>
          <w:szCs w:val="24"/>
        </w:rPr>
        <w:tab/>
        <w:t xml:space="preserve">H. Ye, R. Liu, D. Li, Y. Liu, H. Yuan, W. Guo, L. Zhou, X. Cao, H. Tian, J. Shen, et al., </w:t>
      </w:r>
      <w:r w:rsidRPr="00F168DA">
        <w:rPr>
          <w:rFonts w:ascii="Calibri" w:hAnsi="Calibri" w:cs="Times New Roman"/>
          <w:i/>
          <w:iCs/>
          <w:noProof/>
          <w:sz w:val="20"/>
          <w:szCs w:val="24"/>
        </w:rPr>
        <w:t>Org.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2013</w:t>
      </w:r>
      <w:r w:rsidRPr="00F168DA">
        <w:rPr>
          <w:rFonts w:ascii="Calibri" w:hAnsi="Calibri" w:cs="Times New Roman"/>
          <w:noProof/>
          <w:sz w:val="20"/>
          <w:szCs w:val="24"/>
        </w:rPr>
        <w:t xml:space="preserve">, </w:t>
      </w:r>
      <w:r w:rsidRPr="00F168DA">
        <w:rPr>
          <w:rFonts w:ascii="Calibri" w:hAnsi="Calibri" w:cs="Times New Roman"/>
          <w:i/>
          <w:iCs/>
          <w:noProof/>
          <w:sz w:val="20"/>
          <w:szCs w:val="24"/>
        </w:rPr>
        <w:t>15</w:t>
      </w:r>
      <w:r w:rsidRPr="00F168DA">
        <w:rPr>
          <w:rFonts w:ascii="Calibri" w:hAnsi="Calibri" w:cs="Times New Roman"/>
          <w:noProof/>
          <w:sz w:val="20"/>
          <w:szCs w:val="24"/>
        </w:rPr>
        <w:t>, 18–21.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[50]</w:t>
      </w:r>
      <w:r w:rsidRPr="00F168DA">
        <w:rPr>
          <w:rFonts w:ascii="Calibri" w:hAnsi="Calibri" w:cs="Times New Roman"/>
          <w:noProof/>
          <w:sz w:val="20"/>
          <w:szCs w:val="24"/>
        </w:rPr>
        <w:tab/>
        <w:t xml:space="preserve">A. R. Katritzky, M. El Khatib, O. Bol’shakov, L. Khelashvili, P. J. Steel, </w:t>
      </w:r>
      <w:r w:rsidR="008E3A10" w:rsidRPr="008E3A10">
        <w:rPr>
          <w:rFonts w:ascii="Calibri" w:hAnsi="Calibri" w:cs="Times New Roman"/>
          <w:i/>
          <w:noProof/>
          <w:sz w:val="20"/>
          <w:szCs w:val="24"/>
        </w:rPr>
        <w:t>J. Org. Chem</w:t>
      </w:r>
      <w:r w:rsidR="008E3A10">
        <w:rPr>
          <w:rFonts w:ascii="Calibri" w:hAnsi="Calibri" w:cs="Times New Roman"/>
          <w:noProof/>
          <w:sz w:val="20"/>
          <w:szCs w:val="24"/>
        </w:rPr>
        <w: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2010</w:t>
      </w:r>
      <w:r w:rsidR="008E3A10">
        <w:rPr>
          <w:rFonts w:ascii="Calibri" w:hAnsi="Calibri" w:cs="Times New Roman"/>
          <w:b/>
          <w:bCs/>
          <w:noProof/>
          <w:sz w:val="20"/>
          <w:szCs w:val="24"/>
        </w:rPr>
        <w:t xml:space="preserve">, </w:t>
      </w:r>
      <w:r w:rsidR="008E3A10" w:rsidRPr="008E3A10">
        <w:rPr>
          <w:rFonts w:ascii="Calibri" w:hAnsi="Calibri" w:cs="Times New Roman"/>
          <w:bCs/>
          <w:i/>
          <w:noProof/>
          <w:sz w:val="20"/>
          <w:szCs w:val="24"/>
        </w:rPr>
        <w:t>75</w:t>
      </w:r>
      <w:r w:rsidR="008E3A10">
        <w:rPr>
          <w:rFonts w:ascii="Calibri" w:hAnsi="Calibri" w:cs="Times New Roman"/>
          <w:b/>
          <w:bCs/>
          <w:noProof/>
          <w:sz w:val="20"/>
          <w:szCs w:val="24"/>
        </w:rPr>
        <w:t xml:space="preserve">, </w:t>
      </w:r>
      <w:r w:rsidR="008E3A10" w:rsidRPr="008E3A10">
        <w:rPr>
          <w:rFonts w:ascii="Calibri" w:hAnsi="Calibri" w:cs="Times New Roman"/>
          <w:bCs/>
          <w:noProof/>
          <w:sz w:val="20"/>
          <w:szCs w:val="24"/>
        </w:rPr>
        <w:t>6532-6539</w:t>
      </w:r>
      <w:r w:rsidRPr="00F168DA">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[51]</w:t>
      </w:r>
      <w:r w:rsidRPr="00F168DA">
        <w:rPr>
          <w:rFonts w:ascii="Calibri" w:hAnsi="Calibri" w:cs="Times New Roman"/>
          <w:noProof/>
          <w:sz w:val="20"/>
          <w:szCs w:val="24"/>
        </w:rPr>
        <w:tab/>
        <w:t xml:space="preserve">G. Laus, V. Adamer, M. Hummel, V. Kahlenberg, K. Wurst, S. Nerdinger, H. Schottenberger, </w:t>
      </w:r>
      <w:r w:rsidRPr="00F168DA">
        <w:rPr>
          <w:rFonts w:ascii="Calibri" w:hAnsi="Calibri" w:cs="Times New Roman"/>
          <w:i/>
          <w:iCs/>
          <w:noProof/>
          <w:sz w:val="20"/>
          <w:szCs w:val="24"/>
        </w:rPr>
        <w:t>Crystals</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2012</w:t>
      </w:r>
      <w:r w:rsidRPr="00F168DA">
        <w:rPr>
          <w:rFonts w:ascii="Calibri" w:hAnsi="Calibri" w:cs="Times New Roman"/>
          <w:noProof/>
          <w:sz w:val="20"/>
          <w:szCs w:val="24"/>
        </w:rPr>
        <w:t xml:space="preserve">, </w:t>
      </w:r>
      <w:r w:rsidRPr="00F168DA">
        <w:rPr>
          <w:rFonts w:ascii="Calibri" w:hAnsi="Calibri" w:cs="Times New Roman"/>
          <w:i/>
          <w:iCs/>
          <w:noProof/>
          <w:sz w:val="20"/>
          <w:szCs w:val="24"/>
        </w:rPr>
        <w:t>2</w:t>
      </w:r>
      <w:r w:rsidRPr="00F168DA">
        <w:rPr>
          <w:rFonts w:ascii="Calibri" w:hAnsi="Calibri" w:cs="Times New Roman"/>
          <w:noProof/>
          <w:sz w:val="20"/>
          <w:szCs w:val="24"/>
        </w:rPr>
        <w:t>, 118–126.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[52]</w:t>
      </w:r>
      <w:r w:rsidRPr="00F168DA">
        <w:rPr>
          <w:rFonts w:ascii="Calibri" w:hAnsi="Calibri" w:cs="Times New Roman"/>
          <w:noProof/>
          <w:sz w:val="20"/>
          <w:szCs w:val="24"/>
        </w:rPr>
        <w:tab/>
        <w:t xml:space="preserve">N. Fischer, E. D. Goddard-Borger, R. Greiner, T. M. Klapoetke, B. W. Skelton, J. Stierstorfer,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2012</w:t>
      </w:r>
      <w:r w:rsidRPr="00F168DA">
        <w:rPr>
          <w:rFonts w:ascii="Calibri" w:hAnsi="Calibri" w:cs="Times New Roman"/>
          <w:noProof/>
          <w:sz w:val="20"/>
          <w:szCs w:val="24"/>
        </w:rPr>
        <w:t xml:space="preserve">, </w:t>
      </w:r>
      <w:r w:rsidRPr="00F168DA">
        <w:rPr>
          <w:rFonts w:ascii="Calibri" w:hAnsi="Calibri" w:cs="Times New Roman"/>
          <w:i/>
          <w:iCs/>
          <w:noProof/>
          <w:sz w:val="20"/>
          <w:szCs w:val="24"/>
        </w:rPr>
        <w:t>77</w:t>
      </w:r>
      <w:r w:rsidRPr="00F168DA">
        <w:rPr>
          <w:rFonts w:ascii="Calibri" w:hAnsi="Calibri" w:cs="Times New Roman"/>
          <w:noProof/>
          <w:sz w:val="20"/>
          <w:szCs w:val="24"/>
        </w:rPr>
        <w:t>, 1760–1764.</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[53]</w:t>
      </w:r>
      <w:r w:rsidRPr="00F168DA">
        <w:rPr>
          <w:rFonts w:ascii="Calibri" w:hAnsi="Calibri" w:cs="Times New Roman"/>
          <w:noProof/>
          <w:sz w:val="20"/>
          <w:szCs w:val="24"/>
        </w:rPr>
        <w:tab/>
        <w:t xml:space="preserve">N. M. Smith, M. J. Greaves, R. Jewell, M. W. D. Perry, M. J. Stocks, J. P. Stonehouse, </w:t>
      </w:r>
      <w:r w:rsidRPr="00F168DA">
        <w:rPr>
          <w:rFonts w:ascii="Calibri" w:hAnsi="Calibri" w:cs="Times New Roman"/>
          <w:i/>
          <w:iCs/>
          <w:noProof/>
          <w:sz w:val="20"/>
          <w:szCs w:val="24"/>
        </w:rPr>
        <w:t>Synlett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2009</w:t>
      </w:r>
      <w:r w:rsidRPr="00F168DA">
        <w:rPr>
          <w:rFonts w:ascii="Calibri" w:hAnsi="Calibri" w:cs="Times New Roman"/>
          <w:noProof/>
          <w:sz w:val="20"/>
          <w:szCs w:val="24"/>
        </w:rPr>
        <w:t>, 1391–1394.</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[54]</w:t>
      </w:r>
      <w:r w:rsidRPr="00F168DA">
        <w:rPr>
          <w:rFonts w:ascii="Calibri" w:hAnsi="Calibri" w:cs="Times New Roman"/>
          <w:noProof/>
          <w:sz w:val="20"/>
          <w:szCs w:val="24"/>
        </w:rPr>
        <w:tab/>
        <w:t xml:space="preserve">M. M. E. Delville, P. J. Nieuwland, P. Janssen, K. Koch, J. C. M. van Hest, F. P. J. T. Rutjes, </w:t>
      </w:r>
      <w:r w:rsidRPr="00F168DA">
        <w:rPr>
          <w:rFonts w:ascii="Calibri" w:hAnsi="Calibri" w:cs="Times New Roman"/>
          <w:i/>
          <w:iCs/>
          <w:noProof/>
          <w:sz w:val="20"/>
          <w:szCs w:val="24"/>
        </w:rPr>
        <w:t xml:space="preserve">Chem. Eng. J. </w:t>
      </w:r>
      <w:r w:rsidRPr="00F168DA">
        <w:rPr>
          <w:rFonts w:ascii="Calibri" w:hAnsi="Calibri" w:cs="Times New Roman"/>
          <w:b/>
          <w:bCs/>
          <w:noProof/>
          <w:sz w:val="20"/>
          <w:szCs w:val="24"/>
        </w:rPr>
        <w:t>2011</w:t>
      </w:r>
      <w:r w:rsidRPr="00F168DA">
        <w:rPr>
          <w:rFonts w:ascii="Calibri" w:hAnsi="Calibri" w:cs="Times New Roman"/>
          <w:noProof/>
          <w:sz w:val="20"/>
          <w:szCs w:val="24"/>
        </w:rPr>
        <w:t xml:space="preserve">, </w:t>
      </w:r>
      <w:r w:rsidRPr="00F168DA">
        <w:rPr>
          <w:rFonts w:ascii="Calibri" w:hAnsi="Calibri" w:cs="Times New Roman"/>
          <w:i/>
          <w:iCs/>
          <w:noProof/>
          <w:sz w:val="20"/>
          <w:szCs w:val="24"/>
        </w:rPr>
        <w:t>167</w:t>
      </w:r>
      <w:r w:rsidRPr="00F168DA">
        <w:rPr>
          <w:rFonts w:ascii="Calibri" w:hAnsi="Calibri" w:cs="Times New Roman"/>
          <w:noProof/>
          <w:sz w:val="20"/>
          <w:szCs w:val="24"/>
        </w:rPr>
        <w:t>, 556–559.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[55]</w:t>
      </w:r>
      <w:r w:rsidRPr="00F168DA">
        <w:rPr>
          <w:rFonts w:ascii="Calibri" w:hAnsi="Calibri" w:cs="Times New Roman"/>
          <w:noProof/>
          <w:sz w:val="20"/>
          <w:szCs w:val="24"/>
        </w:rPr>
        <w:tab/>
        <w:t xml:space="preserve">D. B. Ramachary, V. V Narayana, K. Ramakumar, </w:t>
      </w:r>
      <w:r w:rsidRPr="00F168DA">
        <w:rPr>
          <w:rFonts w:ascii="Calibri" w:hAnsi="Calibri" w:cs="Times New Roman"/>
          <w:i/>
          <w:iCs/>
          <w:noProof/>
          <w:sz w:val="20"/>
          <w:szCs w:val="24"/>
        </w:rPr>
        <w:t>Tetrahedron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2008</w:t>
      </w:r>
      <w:r w:rsidRPr="00F168DA">
        <w:rPr>
          <w:rFonts w:ascii="Calibri" w:hAnsi="Calibri" w:cs="Times New Roman"/>
          <w:noProof/>
          <w:sz w:val="20"/>
          <w:szCs w:val="24"/>
        </w:rPr>
        <w:t xml:space="preserve">, </w:t>
      </w:r>
      <w:r w:rsidRPr="00F168DA">
        <w:rPr>
          <w:rFonts w:ascii="Calibri" w:hAnsi="Calibri" w:cs="Times New Roman"/>
          <w:i/>
          <w:iCs/>
          <w:noProof/>
          <w:sz w:val="20"/>
          <w:szCs w:val="24"/>
        </w:rPr>
        <w:t>49</w:t>
      </w:r>
      <w:r w:rsidRPr="00F168DA">
        <w:rPr>
          <w:rFonts w:ascii="Calibri" w:hAnsi="Calibri" w:cs="Times New Roman"/>
          <w:noProof/>
          <w:sz w:val="20"/>
          <w:szCs w:val="24"/>
        </w:rPr>
        <w:t>, 2704–2709.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[56]</w:t>
      </w:r>
      <w:r w:rsidRPr="00F168DA">
        <w:rPr>
          <w:rFonts w:ascii="Calibri" w:hAnsi="Calibri" w:cs="Times New Roman"/>
          <w:noProof/>
          <w:sz w:val="20"/>
          <w:szCs w:val="24"/>
        </w:rPr>
        <w:tab/>
        <w:t xml:space="preserve">J. C. Anastas, P. T.; Warner, in </w:t>
      </w:r>
      <w:r w:rsidRPr="00F168DA">
        <w:rPr>
          <w:rFonts w:ascii="Calibri" w:hAnsi="Calibri" w:cs="Times New Roman"/>
          <w:i/>
          <w:iCs/>
          <w:noProof/>
          <w:sz w:val="20"/>
          <w:szCs w:val="24"/>
        </w:rPr>
        <w:t>Green Chem. Theory Pract.</w:t>
      </w:r>
      <w:r w:rsidRPr="00F168DA">
        <w:rPr>
          <w:rFonts w:ascii="Calibri" w:hAnsi="Calibri" w:cs="Times New Roman"/>
          <w:noProof/>
          <w:sz w:val="20"/>
          <w:szCs w:val="24"/>
        </w:rPr>
        <w:t xml:space="preserve">, Oxford University Press, </w:t>
      </w:r>
      <w:r w:rsidRPr="00F168DA">
        <w:rPr>
          <w:rFonts w:ascii="Calibri" w:hAnsi="Calibri" w:cs="Times New Roman"/>
          <w:b/>
          <w:bCs/>
          <w:noProof/>
          <w:sz w:val="20"/>
          <w:szCs w:val="24"/>
        </w:rPr>
        <w:t>1998</w:t>
      </w:r>
      <w:r w:rsidRPr="00F168DA">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[57]</w:t>
      </w:r>
      <w:r w:rsidRPr="00F168DA">
        <w:rPr>
          <w:rFonts w:ascii="Calibri" w:hAnsi="Calibri" w:cs="Times New Roman"/>
          <w:noProof/>
          <w:sz w:val="20"/>
          <w:szCs w:val="24"/>
        </w:rPr>
        <w:tab/>
        <w:t xml:space="preserve">S. Kobayashi, Editor, </w:t>
      </w:r>
      <w:r w:rsidRPr="00F168DA">
        <w:rPr>
          <w:rFonts w:ascii="Calibri" w:hAnsi="Calibri" w:cs="Times New Roman"/>
          <w:i/>
          <w:iCs/>
          <w:noProof/>
          <w:sz w:val="20"/>
          <w:szCs w:val="24"/>
        </w:rPr>
        <w:t>Science of Synthesis: Water in Organic Synthesis.</w:t>
      </w:r>
      <w:r w:rsidRPr="00F168DA">
        <w:rPr>
          <w:rFonts w:ascii="Calibri" w:hAnsi="Calibri" w:cs="Times New Roman"/>
          <w:noProof/>
          <w:sz w:val="20"/>
          <w:szCs w:val="24"/>
        </w:rPr>
        <w:t xml:space="preserve">, Georg Thieme Verlag, Stuttgart, Germany, </w:t>
      </w:r>
      <w:r w:rsidRPr="00F168DA">
        <w:rPr>
          <w:rFonts w:ascii="Calibri" w:hAnsi="Calibri" w:cs="Times New Roman"/>
          <w:b/>
          <w:bCs/>
          <w:noProof/>
          <w:sz w:val="20"/>
          <w:szCs w:val="24"/>
        </w:rPr>
        <w:t>2012</w:t>
      </w:r>
      <w:r w:rsidRPr="00F168DA">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[58]</w:t>
      </w:r>
      <w:r w:rsidRPr="00F168DA">
        <w:rPr>
          <w:rFonts w:ascii="Calibri" w:hAnsi="Calibri" w:cs="Times New Roman"/>
          <w:noProof/>
          <w:sz w:val="20"/>
          <w:szCs w:val="24"/>
        </w:rPr>
        <w:tab/>
        <w:t xml:space="preserve">C.-J. Li, </w:t>
      </w:r>
      <w:r w:rsidRPr="00F168DA">
        <w:rPr>
          <w:rFonts w:ascii="Calibri" w:hAnsi="Calibri" w:cs="Times New Roman"/>
          <w:i/>
          <w:iCs/>
          <w:noProof/>
          <w:sz w:val="20"/>
          <w:szCs w:val="24"/>
        </w:rPr>
        <w:t xml:space="preserve">Chem. Rev. </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2005</w:t>
      </w:r>
      <w:r w:rsidRPr="00F168DA">
        <w:rPr>
          <w:rFonts w:ascii="Calibri" w:hAnsi="Calibri" w:cs="Times New Roman"/>
          <w:noProof/>
          <w:sz w:val="20"/>
          <w:szCs w:val="24"/>
        </w:rPr>
        <w:t xml:space="preserve">, </w:t>
      </w:r>
      <w:r w:rsidRPr="00F168DA">
        <w:rPr>
          <w:rFonts w:ascii="Calibri" w:hAnsi="Calibri" w:cs="Times New Roman"/>
          <w:i/>
          <w:iCs/>
          <w:noProof/>
          <w:sz w:val="20"/>
          <w:szCs w:val="24"/>
        </w:rPr>
        <w:t>105</w:t>
      </w:r>
      <w:r w:rsidRPr="00F168DA">
        <w:rPr>
          <w:rFonts w:ascii="Calibri" w:hAnsi="Calibri" w:cs="Times New Roman"/>
          <w:noProof/>
          <w:sz w:val="20"/>
          <w:szCs w:val="24"/>
        </w:rPr>
        <w:t>, 3095–3165.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[59]</w:t>
      </w:r>
      <w:r w:rsidRPr="00F168DA">
        <w:rPr>
          <w:rFonts w:ascii="Calibri" w:hAnsi="Calibri" w:cs="Times New Roman"/>
          <w:noProof/>
          <w:sz w:val="20"/>
          <w:szCs w:val="24"/>
        </w:rPr>
        <w:tab/>
        <w:t xml:space="preserve">C.-J. Li, L. Chen, </w:t>
      </w:r>
      <w:r w:rsidRPr="00F168DA">
        <w:rPr>
          <w:rFonts w:ascii="Calibri" w:hAnsi="Calibri" w:cs="Times New Roman"/>
          <w:i/>
          <w:iCs/>
          <w:noProof/>
          <w:sz w:val="20"/>
          <w:szCs w:val="24"/>
        </w:rPr>
        <w:t>Chem. Soc. Rev.</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2006</w:t>
      </w:r>
      <w:r w:rsidRPr="00F168DA">
        <w:rPr>
          <w:rFonts w:ascii="Calibri" w:hAnsi="Calibri" w:cs="Times New Roman"/>
          <w:noProof/>
          <w:sz w:val="20"/>
          <w:szCs w:val="24"/>
        </w:rPr>
        <w:t xml:space="preserve">, </w:t>
      </w:r>
      <w:r w:rsidRPr="00F168DA">
        <w:rPr>
          <w:rFonts w:ascii="Calibri" w:hAnsi="Calibri" w:cs="Times New Roman"/>
          <w:i/>
          <w:iCs/>
          <w:noProof/>
          <w:sz w:val="20"/>
          <w:szCs w:val="24"/>
        </w:rPr>
        <w:t>35</w:t>
      </w:r>
      <w:r w:rsidRPr="00F168DA">
        <w:rPr>
          <w:rFonts w:ascii="Calibri" w:hAnsi="Calibri" w:cs="Times New Roman"/>
          <w:noProof/>
          <w:sz w:val="20"/>
          <w:szCs w:val="24"/>
        </w:rPr>
        <w:t>, 68–82.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[60]</w:t>
      </w:r>
      <w:r w:rsidRPr="00F168DA">
        <w:rPr>
          <w:rFonts w:ascii="Calibri" w:hAnsi="Calibri" w:cs="Times New Roman"/>
          <w:noProof/>
          <w:sz w:val="20"/>
          <w:szCs w:val="24"/>
        </w:rPr>
        <w:tab/>
        <w:t xml:space="preserve">U. M. Lindstroem, </w:t>
      </w:r>
      <w:r w:rsidRPr="00F168DA">
        <w:rPr>
          <w:rFonts w:ascii="Calibri" w:hAnsi="Calibri" w:cs="Times New Roman"/>
          <w:i/>
          <w:iCs/>
          <w:noProof/>
          <w:sz w:val="20"/>
          <w:szCs w:val="24"/>
        </w:rPr>
        <w:t xml:space="preserve">Chem. Rev. </w:t>
      </w:r>
      <w:r w:rsidRPr="00F168DA">
        <w:rPr>
          <w:rFonts w:ascii="Calibri" w:hAnsi="Calibri" w:cs="Times New Roman"/>
          <w:b/>
          <w:bCs/>
          <w:noProof/>
          <w:sz w:val="20"/>
          <w:szCs w:val="24"/>
        </w:rPr>
        <w:t>2002</w:t>
      </w:r>
      <w:r w:rsidRPr="00F168DA">
        <w:rPr>
          <w:rFonts w:ascii="Calibri" w:hAnsi="Calibri" w:cs="Times New Roman"/>
          <w:noProof/>
          <w:sz w:val="20"/>
          <w:szCs w:val="24"/>
        </w:rPr>
        <w:t xml:space="preserve">, </w:t>
      </w:r>
      <w:r w:rsidRPr="00F168DA">
        <w:rPr>
          <w:rFonts w:ascii="Calibri" w:hAnsi="Calibri" w:cs="Times New Roman"/>
          <w:i/>
          <w:iCs/>
          <w:noProof/>
          <w:sz w:val="20"/>
          <w:szCs w:val="24"/>
        </w:rPr>
        <w:t>102</w:t>
      </w:r>
      <w:r w:rsidRPr="00F168DA">
        <w:rPr>
          <w:rFonts w:ascii="Calibri" w:hAnsi="Calibri" w:cs="Times New Roman"/>
          <w:noProof/>
          <w:sz w:val="20"/>
          <w:szCs w:val="24"/>
        </w:rPr>
        <w:t>, 2751–2771.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[61]</w:t>
      </w:r>
      <w:r w:rsidRPr="00F168DA">
        <w:rPr>
          <w:rFonts w:ascii="Calibri" w:hAnsi="Calibri" w:cs="Times New Roman"/>
          <w:noProof/>
          <w:sz w:val="20"/>
          <w:szCs w:val="24"/>
        </w:rPr>
        <w:tab/>
        <w:t xml:space="preserve">M.-O. Simon, C.-J. Li, in </w:t>
      </w:r>
      <w:r w:rsidRPr="00F168DA">
        <w:rPr>
          <w:rFonts w:ascii="Calibri" w:hAnsi="Calibri" w:cs="Times New Roman"/>
          <w:i/>
          <w:iCs/>
          <w:noProof/>
          <w:sz w:val="20"/>
          <w:szCs w:val="24"/>
        </w:rPr>
        <w:t>Green Tech. Org. Synth. Med. Chem.</w:t>
      </w:r>
      <w:r w:rsidRPr="00F168DA">
        <w:rPr>
          <w:rFonts w:ascii="Calibri" w:hAnsi="Calibri" w:cs="Times New Roman"/>
          <w:noProof/>
          <w:sz w:val="20"/>
          <w:szCs w:val="24"/>
        </w:rPr>
        <w:t xml:space="preserve">, John Wiley &amp; Sons Ltd., </w:t>
      </w:r>
      <w:r w:rsidRPr="00F168DA">
        <w:rPr>
          <w:rFonts w:ascii="Calibri" w:hAnsi="Calibri" w:cs="Times New Roman"/>
          <w:b/>
          <w:bCs/>
          <w:noProof/>
          <w:sz w:val="20"/>
          <w:szCs w:val="24"/>
        </w:rPr>
        <w:t>2012</w:t>
      </w:r>
      <w:r w:rsidRPr="00F168DA">
        <w:rPr>
          <w:rFonts w:ascii="Calibri" w:hAnsi="Calibri" w:cs="Times New Roman"/>
          <w:noProof/>
          <w:sz w:val="20"/>
          <w:szCs w:val="24"/>
        </w:rPr>
        <w:t>, pp. 263–295.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[62]</w:t>
      </w:r>
      <w:r w:rsidRPr="00F168DA">
        <w:rPr>
          <w:rFonts w:ascii="Calibri" w:hAnsi="Calibri" w:cs="Times New Roman"/>
          <w:noProof/>
          <w:sz w:val="20"/>
          <w:szCs w:val="24"/>
        </w:rPr>
        <w:tab/>
        <w:t xml:space="preserve">M.-O. Simon, C.-J. Li, </w:t>
      </w:r>
      <w:r w:rsidRPr="00F168DA">
        <w:rPr>
          <w:rFonts w:ascii="Calibri" w:hAnsi="Calibri" w:cs="Times New Roman"/>
          <w:i/>
          <w:iCs/>
          <w:noProof/>
          <w:sz w:val="20"/>
          <w:szCs w:val="24"/>
        </w:rPr>
        <w:t>Chem. Soc. Rev.</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2012</w:t>
      </w:r>
      <w:r w:rsidRPr="00F168DA">
        <w:rPr>
          <w:rFonts w:ascii="Calibri" w:hAnsi="Calibri" w:cs="Times New Roman"/>
          <w:noProof/>
          <w:sz w:val="20"/>
          <w:szCs w:val="24"/>
        </w:rPr>
        <w:t xml:space="preserve">, </w:t>
      </w:r>
      <w:r w:rsidRPr="00F168DA">
        <w:rPr>
          <w:rFonts w:ascii="Calibri" w:hAnsi="Calibri" w:cs="Times New Roman"/>
          <w:i/>
          <w:iCs/>
          <w:noProof/>
          <w:sz w:val="20"/>
          <w:szCs w:val="24"/>
        </w:rPr>
        <w:t>41</w:t>
      </w:r>
      <w:r w:rsidRPr="00F168DA">
        <w:rPr>
          <w:rFonts w:ascii="Calibri" w:hAnsi="Calibri" w:cs="Times New Roman"/>
          <w:noProof/>
          <w:sz w:val="20"/>
          <w:szCs w:val="24"/>
        </w:rPr>
        <w:t>, 1415–1427.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[63]</w:t>
      </w:r>
      <w:r w:rsidRPr="00F168DA">
        <w:rPr>
          <w:rFonts w:ascii="Calibri" w:hAnsi="Calibri" w:cs="Times New Roman"/>
          <w:noProof/>
          <w:sz w:val="20"/>
          <w:szCs w:val="24"/>
        </w:rPr>
        <w:tab/>
        <w:t xml:space="preserve">W. Wei, C. C. K. Keh, C.-J. Li, R. S. Varma, </w:t>
      </w:r>
      <w:r w:rsidRPr="00F168DA">
        <w:rPr>
          <w:rFonts w:ascii="Calibri" w:hAnsi="Calibri" w:cs="Times New Roman"/>
          <w:i/>
          <w:iCs/>
          <w:noProof/>
          <w:sz w:val="20"/>
          <w:szCs w:val="24"/>
        </w:rPr>
        <w:t>Clean Technol. Environ. Policy</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2005</w:t>
      </w:r>
      <w:r w:rsidRPr="00F168DA">
        <w:rPr>
          <w:rFonts w:ascii="Calibri" w:hAnsi="Calibri" w:cs="Times New Roman"/>
          <w:noProof/>
          <w:sz w:val="20"/>
          <w:szCs w:val="24"/>
        </w:rPr>
        <w:t xml:space="preserve">, </w:t>
      </w:r>
      <w:r w:rsidRPr="00F168DA">
        <w:rPr>
          <w:rFonts w:ascii="Calibri" w:hAnsi="Calibri" w:cs="Times New Roman"/>
          <w:i/>
          <w:iCs/>
          <w:noProof/>
          <w:sz w:val="20"/>
          <w:szCs w:val="24"/>
        </w:rPr>
        <w:t>7</w:t>
      </w:r>
      <w:r w:rsidRPr="00F168DA">
        <w:rPr>
          <w:rFonts w:ascii="Calibri" w:hAnsi="Calibri" w:cs="Times New Roman"/>
          <w:noProof/>
          <w:sz w:val="20"/>
          <w:szCs w:val="24"/>
        </w:rPr>
        <w:t>, 62–69.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[64]</w:t>
      </w:r>
      <w:r w:rsidRPr="00F168DA">
        <w:rPr>
          <w:rFonts w:ascii="Calibri" w:hAnsi="Calibri" w:cs="Times New Roman"/>
          <w:noProof/>
          <w:sz w:val="20"/>
          <w:szCs w:val="24"/>
        </w:rPr>
        <w:tab/>
        <w:t xml:space="preserve">D. C. Rideout, R. Breslow,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1980</w:t>
      </w:r>
      <w:r w:rsidRPr="00F168DA">
        <w:rPr>
          <w:rFonts w:ascii="Calibri" w:hAnsi="Calibri" w:cs="Times New Roman"/>
          <w:noProof/>
          <w:sz w:val="20"/>
          <w:szCs w:val="24"/>
        </w:rPr>
        <w:t xml:space="preserve">, </w:t>
      </w:r>
      <w:r w:rsidRPr="00F168DA">
        <w:rPr>
          <w:rFonts w:ascii="Calibri" w:hAnsi="Calibri" w:cs="Times New Roman"/>
          <w:i/>
          <w:iCs/>
          <w:noProof/>
          <w:sz w:val="20"/>
          <w:szCs w:val="24"/>
        </w:rPr>
        <w:t>102</w:t>
      </w:r>
      <w:r w:rsidRPr="00F168DA">
        <w:rPr>
          <w:rFonts w:ascii="Calibri" w:hAnsi="Calibri" w:cs="Times New Roman"/>
          <w:noProof/>
          <w:sz w:val="20"/>
          <w:szCs w:val="24"/>
        </w:rPr>
        <w:t>, 7816–7817.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[65]</w:t>
      </w:r>
      <w:r w:rsidRPr="00F168DA">
        <w:rPr>
          <w:rFonts w:ascii="Calibri" w:hAnsi="Calibri" w:cs="Times New Roman"/>
          <w:noProof/>
          <w:sz w:val="20"/>
          <w:szCs w:val="24"/>
        </w:rPr>
        <w:tab/>
        <w:t xml:space="preserve">R. Breslow, </w:t>
      </w:r>
      <w:r w:rsidRPr="00F168DA">
        <w:rPr>
          <w:rFonts w:ascii="Calibri" w:hAnsi="Calibri" w:cs="Times New Roman"/>
          <w:i/>
          <w:iCs/>
          <w:noProof/>
          <w:sz w:val="20"/>
          <w:szCs w:val="24"/>
        </w:rPr>
        <w:t>Acc. Chem. Res.</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1991</w:t>
      </w:r>
      <w:r w:rsidRPr="00F168DA">
        <w:rPr>
          <w:rFonts w:ascii="Calibri" w:hAnsi="Calibri" w:cs="Times New Roman"/>
          <w:noProof/>
          <w:sz w:val="20"/>
          <w:szCs w:val="24"/>
        </w:rPr>
        <w:t xml:space="preserve">, </w:t>
      </w:r>
      <w:r w:rsidRPr="00F168DA">
        <w:rPr>
          <w:rFonts w:ascii="Calibri" w:hAnsi="Calibri" w:cs="Times New Roman"/>
          <w:i/>
          <w:iCs/>
          <w:noProof/>
          <w:sz w:val="20"/>
          <w:szCs w:val="24"/>
        </w:rPr>
        <w:t>24</w:t>
      </w:r>
      <w:r w:rsidRPr="00F168DA">
        <w:rPr>
          <w:rFonts w:ascii="Calibri" w:hAnsi="Calibri" w:cs="Times New Roman"/>
          <w:noProof/>
          <w:sz w:val="20"/>
          <w:szCs w:val="24"/>
        </w:rPr>
        <w:t>, 159–164.</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[66]</w:t>
      </w:r>
      <w:r w:rsidRPr="00F168DA">
        <w:rPr>
          <w:rFonts w:ascii="Calibri" w:hAnsi="Calibri" w:cs="Times New Roman"/>
          <w:noProof/>
          <w:sz w:val="20"/>
          <w:szCs w:val="24"/>
        </w:rPr>
        <w:tab/>
        <w:t xml:space="preserve">D. Chandler, </w:t>
      </w:r>
      <w:r w:rsidRPr="00F168DA">
        <w:rPr>
          <w:rFonts w:ascii="Calibri" w:hAnsi="Calibri" w:cs="Times New Roman"/>
          <w:i/>
          <w:iCs/>
          <w:noProof/>
          <w:sz w:val="20"/>
          <w:szCs w:val="24"/>
        </w:rPr>
        <w:t>Nat</w:t>
      </w:r>
      <w:r>
        <w:rPr>
          <w:rFonts w:ascii="Calibri" w:hAnsi="Calibri" w:cs="Times New Roman"/>
          <w:i/>
          <w:iCs/>
          <w:noProof/>
          <w:sz w:val="20"/>
          <w:szCs w:val="24"/>
        </w:rPr>
        <w:t>ure</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2005</w:t>
      </w:r>
      <w:r w:rsidRPr="00F168DA">
        <w:rPr>
          <w:rFonts w:ascii="Calibri" w:hAnsi="Calibri" w:cs="Times New Roman"/>
          <w:noProof/>
          <w:sz w:val="20"/>
          <w:szCs w:val="24"/>
        </w:rPr>
        <w:t xml:space="preserve">, </w:t>
      </w:r>
      <w:r w:rsidRPr="00F168DA">
        <w:rPr>
          <w:rFonts w:ascii="Calibri" w:hAnsi="Calibri" w:cs="Times New Roman"/>
          <w:i/>
          <w:iCs/>
          <w:noProof/>
          <w:sz w:val="20"/>
          <w:szCs w:val="24"/>
        </w:rPr>
        <w:t>437</w:t>
      </w:r>
      <w:r w:rsidRPr="00F168DA">
        <w:rPr>
          <w:rFonts w:ascii="Calibri" w:hAnsi="Calibri" w:cs="Times New Roman"/>
          <w:noProof/>
          <w:sz w:val="20"/>
          <w:szCs w:val="24"/>
        </w:rPr>
        <w:t>, 640–647.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[67]</w:t>
      </w:r>
      <w:r w:rsidRPr="00F168DA">
        <w:rPr>
          <w:rFonts w:ascii="Calibri" w:hAnsi="Calibri" w:cs="Times New Roman"/>
          <w:noProof/>
          <w:sz w:val="20"/>
          <w:szCs w:val="24"/>
        </w:rPr>
        <w:tab/>
        <w:t xml:space="preserve">R. Portmann, </w:t>
      </w:r>
      <w:r w:rsidR="008E3A10" w:rsidRPr="008E3A10">
        <w:rPr>
          <w:rFonts w:ascii="Calibri" w:hAnsi="Calibri" w:cs="Times New Roman"/>
          <w:i/>
          <w:noProof/>
          <w:sz w:val="20"/>
          <w:szCs w:val="24"/>
        </w:rPr>
        <w:t>PCT Int. Appl.</w:t>
      </w:r>
      <w:r w:rsidR="008E3A10">
        <w:rPr>
          <w:rFonts w:ascii="Calibri" w:hAnsi="Calibri" w:cs="Times New Roman"/>
          <w:noProof/>
          <w:sz w:val="20"/>
          <w:szCs w:val="24"/>
        </w:rPr>
        <w:t xml:space="preserve"> </w:t>
      </w:r>
      <w:r w:rsidRPr="00F168DA">
        <w:rPr>
          <w:rFonts w:ascii="Calibri" w:hAnsi="Calibri" w:cs="Times New Roman"/>
          <w:b/>
          <w:bCs/>
          <w:noProof/>
          <w:sz w:val="20"/>
          <w:szCs w:val="24"/>
        </w:rPr>
        <w:t>1998</w:t>
      </w:r>
      <w:r w:rsidR="008E3A10">
        <w:rPr>
          <w:rFonts w:ascii="Calibri" w:hAnsi="Calibri" w:cs="Times New Roman"/>
          <w:b/>
          <w:bCs/>
          <w:noProof/>
          <w:sz w:val="20"/>
          <w:szCs w:val="24"/>
        </w:rPr>
        <w:t xml:space="preserve">, </w:t>
      </w:r>
      <w:r w:rsidR="008E3A10" w:rsidRPr="008E3A10">
        <w:rPr>
          <w:rFonts w:ascii="Calibri" w:hAnsi="Calibri" w:cs="Times New Roman"/>
          <w:bCs/>
          <w:noProof/>
          <w:sz w:val="20"/>
          <w:szCs w:val="24"/>
        </w:rPr>
        <w:t>WO9802423A1</w:t>
      </w:r>
      <w:r w:rsidRPr="00F168DA">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[68]</w:t>
      </w:r>
      <w:r w:rsidRPr="00F168DA">
        <w:rPr>
          <w:rFonts w:ascii="Calibri" w:hAnsi="Calibri" w:cs="Times New Roman"/>
          <w:noProof/>
          <w:sz w:val="20"/>
          <w:szCs w:val="24"/>
        </w:rPr>
        <w:tab/>
        <w:t xml:space="preserve">J. J. Gajewski, </w:t>
      </w:r>
      <w:r w:rsidRPr="00F168DA">
        <w:rPr>
          <w:rFonts w:ascii="Calibri" w:hAnsi="Calibri" w:cs="Times New Roman"/>
          <w:i/>
          <w:iCs/>
          <w:noProof/>
          <w:sz w:val="20"/>
          <w:szCs w:val="24"/>
        </w:rPr>
        <w:t>Acc. Chem. Res.</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1997</w:t>
      </w:r>
      <w:r w:rsidRPr="00F168DA">
        <w:rPr>
          <w:rFonts w:ascii="Calibri" w:hAnsi="Calibri" w:cs="Times New Roman"/>
          <w:noProof/>
          <w:sz w:val="20"/>
          <w:szCs w:val="24"/>
        </w:rPr>
        <w:t xml:space="preserve">, </w:t>
      </w:r>
      <w:r w:rsidRPr="00F168DA">
        <w:rPr>
          <w:rFonts w:ascii="Calibri" w:hAnsi="Calibri" w:cs="Times New Roman"/>
          <w:i/>
          <w:iCs/>
          <w:noProof/>
          <w:sz w:val="20"/>
          <w:szCs w:val="24"/>
        </w:rPr>
        <w:t>30</w:t>
      </w:r>
      <w:r w:rsidRPr="00F168DA">
        <w:rPr>
          <w:rFonts w:ascii="Calibri" w:hAnsi="Calibri" w:cs="Times New Roman"/>
          <w:noProof/>
          <w:sz w:val="20"/>
          <w:szCs w:val="24"/>
        </w:rPr>
        <w:t>, 219–225.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[69]</w:t>
      </w:r>
      <w:r w:rsidRPr="00F168DA">
        <w:rPr>
          <w:rFonts w:ascii="Calibri" w:hAnsi="Calibri" w:cs="Times New Roman"/>
          <w:noProof/>
          <w:sz w:val="20"/>
          <w:szCs w:val="24"/>
        </w:rPr>
        <w:tab/>
        <w:t xml:space="preserve">F. Fringuelli, O. Piermatti, F. Pizzo, in </w:t>
      </w:r>
      <w:r w:rsidRPr="00F168DA">
        <w:rPr>
          <w:rFonts w:ascii="Calibri" w:hAnsi="Calibri" w:cs="Times New Roman"/>
          <w:i/>
          <w:iCs/>
          <w:noProof/>
          <w:sz w:val="20"/>
          <w:szCs w:val="24"/>
        </w:rPr>
        <w:t>Org. Synth. Water</w:t>
      </w:r>
      <w:r w:rsidRPr="00F168DA">
        <w:rPr>
          <w:rFonts w:ascii="Calibri" w:hAnsi="Calibri" w:cs="Times New Roman"/>
          <w:noProof/>
          <w:sz w:val="20"/>
          <w:szCs w:val="24"/>
        </w:rPr>
        <w:t xml:space="preserve">, Blackie, </w:t>
      </w:r>
      <w:r w:rsidRPr="00F168DA">
        <w:rPr>
          <w:rFonts w:ascii="Calibri" w:hAnsi="Calibri" w:cs="Times New Roman"/>
          <w:b/>
          <w:bCs/>
          <w:noProof/>
          <w:sz w:val="20"/>
          <w:szCs w:val="24"/>
        </w:rPr>
        <w:t>1998</w:t>
      </w:r>
      <w:r w:rsidRPr="00F168DA">
        <w:rPr>
          <w:rFonts w:ascii="Calibri" w:hAnsi="Calibri" w:cs="Times New Roman"/>
          <w:noProof/>
          <w:sz w:val="20"/>
          <w:szCs w:val="24"/>
        </w:rPr>
        <w:t>, pp. 223–249.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[70]</w:t>
      </w:r>
      <w:r w:rsidRPr="00F168DA">
        <w:rPr>
          <w:rFonts w:ascii="Calibri" w:hAnsi="Calibri" w:cs="Times New Roman"/>
          <w:noProof/>
          <w:sz w:val="20"/>
          <w:szCs w:val="24"/>
        </w:rPr>
        <w:tab/>
        <w:t xml:space="preserve">W. Lu, T. H. Chan,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2001</w:t>
      </w:r>
      <w:r w:rsidRPr="00F168DA">
        <w:rPr>
          <w:rFonts w:ascii="Calibri" w:hAnsi="Calibri" w:cs="Times New Roman"/>
          <w:noProof/>
          <w:sz w:val="20"/>
          <w:szCs w:val="24"/>
        </w:rPr>
        <w:t xml:space="preserve">, </w:t>
      </w:r>
      <w:r w:rsidRPr="00F168DA">
        <w:rPr>
          <w:rFonts w:ascii="Calibri" w:hAnsi="Calibri" w:cs="Times New Roman"/>
          <w:i/>
          <w:iCs/>
          <w:noProof/>
          <w:sz w:val="20"/>
          <w:szCs w:val="24"/>
        </w:rPr>
        <w:t>66</w:t>
      </w:r>
      <w:r w:rsidRPr="00F168DA">
        <w:rPr>
          <w:rFonts w:ascii="Calibri" w:hAnsi="Calibri" w:cs="Times New Roman"/>
          <w:noProof/>
          <w:sz w:val="20"/>
          <w:szCs w:val="24"/>
        </w:rPr>
        <w:t>, 3467–3473.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[71]</w:t>
      </w:r>
      <w:r w:rsidRPr="00F168DA">
        <w:rPr>
          <w:rFonts w:ascii="Calibri" w:hAnsi="Calibri" w:cs="Times New Roman"/>
          <w:noProof/>
          <w:sz w:val="20"/>
          <w:szCs w:val="24"/>
        </w:rPr>
        <w:tab/>
        <w:t xml:space="preserve">T.-P. Loh, J.-R. Zhou, </w:t>
      </w:r>
      <w:r w:rsidRPr="00F168DA">
        <w:rPr>
          <w:rFonts w:ascii="Calibri" w:hAnsi="Calibri" w:cs="Times New Roman"/>
          <w:i/>
          <w:iCs/>
          <w:noProof/>
          <w:sz w:val="20"/>
          <w:szCs w:val="24"/>
        </w:rPr>
        <w:t>Tetrahedron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1999</w:t>
      </w:r>
      <w:r w:rsidRPr="00F168DA">
        <w:rPr>
          <w:rFonts w:ascii="Calibri" w:hAnsi="Calibri" w:cs="Times New Roman"/>
          <w:noProof/>
          <w:sz w:val="20"/>
          <w:szCs w:val="24"/>
        </w:rPr>
        <w:t xml:space="preserve">, </w:t>
      </w:r>
      <w:r w:rsidRPr="00F168DA">
        <w:rPr>
          <w:rFonts w:ascii="Calibri" w:hAnsi="Calibri" w:cs="Times New Roman"/>
          <w:i/>
          <w:iCs/>
          <w:noProof/>
          <w:sz w:val="20"/>
          <w:szCs w:val="24"/>
        </w:rPr>
        <w:t>40</w:t>
      </w:r>
      <w:r w:rsidRPr="00F168DA">
        <w:rPr>
          <w:rFonts w:ascii="Calibri" w:hAnsi="Calibri" w:cs="Times New Roman"/>
          <w:noProof/>
          <w:sz w:val="20"/>
          <w:szCs w:val="24"/>
        </w:rPr>
        <w:t>, 9115–9118.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[72]</w:t>
      </w:r>
      <w:r w:rsidRPr="00F168DA">
        <w:rPr>
          <w:rFonts w:ascii="Calibri" w:hAnsi="Calibri" w:cs="Times New Roman"/>
          <w:noProof/>
          <w:sz w:val="20"/>
          <w:szCs w:val="24"/>
        </w:rPr>
        <w:tab/>
        <w:t xml:space="preserve">C.-J. Li, T.-H. Chan, </w:t>
      </w:r>
      <w:r w:rsidRPr="00F168DA">
        <w:rPr>
          <w:rFonts w:ascii="Calibri" w:hAnsi="Calibri" w:cs="Times New Roman"/>
          <w:i/>
          <w:iCs/>
          <w:noProof/>
          <w:sz w:val="20"/>
          <w:szCs w:val="24"/>
        </w:rPr>
        <w:t>Tetrahedron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1999</w:t>
      </w:r>
      <w:r w:rsidRPr="00F168DA">
        <w:rPr>
          <w:rFonts w:ascii="Calibri" w:hAnsi="Calibri" w:cs="Times New Roman"/>
          <w:noProof/>
          <w:sz w:val="20"/>
          <w:szCs w:val="24"/>
        </w:rPr>
        <w:t xml:space="preserve">, </w:t>
      </w:r>
      <w:r w:rsidRPr="00F168DA">
        <w:rPr>
          <w:rFonts w:ascii="Calibri" w:hAnsi="Calibri" w:cs="Times New Roman"/>
          <w:i/>
          <w:iCs/>
          <w:noProof/>
          <w:sz w:val="20"/>
          <w:szCs w:val="24"/>
        </w:rPr>
        <w:t>55</w:t>
      </w:r>
      <w:r w:rsidRPr="00F168DA">
        <w:rPr>
          <w:rFonts w:ascii="Calibri" w:hAnsi="Calibri" w:cs="Times New Roman"/>
          <w:noProof/>
          <w:sz w:val="20"/>
          <w:szCs w:val="24"/>
        </w:rPr>
        <w:t>, 11149–11176.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[73]</w:t>
      </w:r>
      <w:r w:rsidRPr="00F168DA">
        <w:rPr>
          <w:rFonts w:ascii="Calibri" w:hAnsi="Calibri" w:cs="Times New Roman"/>
          <w:noProof/>
          <w:sz w:val="20"/>
          <w:szCs w:val="24"/>
        </w:rPr>
        <w:tab/>
        <w:t xml:space="preserve">S. F. M. van Dongen, R. L. M. Teeuwen, M. Nallani, S. S. van Berkel, J. J. L. M. Cornelissen, R. J. M. Nolte, J. C. M. van Hest, </w:t>
      </w:r>
      <w:r w:rsidRPr="00F168DA">
        <w:rPr>
          <w:rFonts w:ascii="Calibri" w:hAnsi="Calibri" w:cs="Times New Roman"/>
          <w:i/>
          <w:iCs/>
          <w:noProof/>
          <w:sz w:val="20"/>
          <w:szCs w:val="24"/>
        </w:rPr>
        <w:t>Bioconjug.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2009</w:t>
      </w:r>
      <w:r w:rsidRPr="00F168DA">
        <w:rPr>
          <w:rFonts w:ascii="Calibri" w:hAnsi="Calibri" w:cs="Times New Roman"/>
          <w:noProof/>
          <w:sz w:val="20"/>
          <w:szCs w:val="24"/>
        </w:rPr>
        <w:t xml:space="preserve">, </w:t>
      </w:r>
      <w:r w:rsidRPr="00F168DA">
        <w:rPr>
          <w:rFonts w:ascii="Calibri" w:hAnsi="Calibri" w:cs="Times New Roman"/>
          <w:i/>
          <w:iCs/>
          <w:noProof/>
          <w:sz w:val="20"/>
          <w:szCs w:val="24"/>
        </w:rPr>
        <w:t>20</w:t>
      </w:r>
      <w:r w:rsidRPr="00F168DA">
        <w:rPr>
          <w:rFonts w:ascii="Calibri" w:hAnsi="Calibri" w:cs="Times New Roman"/>
          <w:noProof/>
          <w:sz w:val="20"/>
          <w:szCs w:val="24"/>
        </w:rPr>
        <w:t>, 20–23.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[74]</w:t>
      </w:r>
      <w:r w:rsidRPr="00F168DA">
        <w:rPr>
          <w:rFonts w:ascii="Calibri" w:hAnsi="Calibri" w:cs="Times New Roman"/>
          <w:noProof/>
          <w:sz w:val="20"/>
          <w:szCs w:val="24"/>
        </w:rPr>
        <w:tab/>
        <w:t xml:space="preserve">B. Gutmann, D. Cantillo, C. O. Kappe, </w:t>
      </w:r>
      <w:r w:rsidRPr="00F168DA">
        <w:rPr>
          <w:rFonts w:ascii="Calibri" w:hAnsi="Calibri" w:cs="Times New Roman"/>
          <w:i/>
          <w:iCs/>
          <w:noProof/>
          <w:sz w:val="20"/>
          <w:szCs w:val="24"/>
        </w:rPr>
        <w:t>Angew. Chemie, Int. Ed.</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2015</w:t>
      </w:r>
      <w:r w:rsidRPr="00F168DA">
        <w:rPr>
          <w:rFonts w:ascii="Calibri" w:hAnsi="Calibri" w:cs="Times New Roman"/>
          <w:noProof/>
          <w:sz w:val="20"/>
          <w:szCs w:val="24"/>
        </w:rPr>
        <w:t xml:space="preserve">, </w:t>
      </w:r>
      <w:r w:rsidRPr="00F168DA">
        <w:rPr>
          <w:rFonts w:ascii="Calibri" w:hAnsi="Calibri" w:cs="Times New Roman"/>
          <w:i/>
          <w:iCs/>
          <w:noProof/>
          <w:sz w:val="20"/>
          <w:szCs w:val="24"/>
        </w:rPr>
        <w:t>54</w:t>
      </w:r>
      <w:r w:rsidRPr="00F168DA">
        <w:rPr>
          <w:rFonts w:ascii="Calibri" w:hAnsi="Calibri" w:cs="Times New Roman"/>
          <w:noProof/>
          <w:sz w:val="20"/>
          <w:szCs w:val="24"/>
        </w:rPr>
        <w:t>, 6688–6728.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[75]</w:t>
      </w:r>
      <w:r w:rsidRPr="00F168DA">
        <w:rPr>
          <w:rFonts w:ascii="Calibri" w:hAnsi="Calibri" w:cs="Times New Roman"/>
          <w:noProof/>
          <w:sz w:val="20"/>
          <w:szCs w:val="24"/>
        </w:rPr>
        <w:tab/>
        <w:t xml:space="preserve">B. J. Deadman, S. G. Collins, A. R. Maguire, </w:t>
      </w:r>
      <w:r w:rsidRPr="00F168DA">
        <w:rPr>
          <w:rFonts w:ascii="Calibri" w:hAnsi="Calibri" w:cs="Times New Roman"/>
          <w:i/>
          <w:iCs/>
          <w:noProof/>
          <w:sz w:val="20"/>
          <w:szCs w:val="24"/>
        </w:rPr>
        <w:t>Chem. - A Eur. J.</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2015</w:t>
      </w:r>
      <w:r w:rsidRPr="00F168DA">
        <w:rPr>
          <w:rFonts w:ascii="Calibri" w:hAnsi="Calibri" w:cs="Times New Roman"/>
          <w:noProof/>
          <w:sz w:val="20"/>
          <w:szCs w:val="24"/>
        </w:rPr>
        <w:t xml:space="preserve">, </w:t>
      </w:r>
      <w:r w:rsidRPr="00F168DA">
        <w:rPr>
          <w:rFonts w:ascii="Calibri" w:hAnsi="Calibri" w:cs="Times New Roman"/>
          <w:i/>
          <w:iCs/>
          <w:noProof/>
          <w:sz w:val="20"/>
          <w:szCs w:val="24"/>
        </w:rPr>
        <w:t>21</w:t>
      </w:r>
      <w:r w:rsidRPr="00F168DA">
        <w:rPr>
          <w:rFonts w:ascii="Calibri" w:hAnsi="Calibri" w:cs="Times New Roman"/>
          <w:noProof/>
          <w:sz w:val="20"/>
          <w:szCs w:val="24"/>
        </w:rPr>
        <w:t>, 2298–2308.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[76]</w:t>
      </w:r>
      <w:r w:rsidRPr="00F168DA">
        <w:rPr>
          <w:rFonts w:ascii="Calibri" w:hAnsi="Calibri" w:cs="Times New Roman"/>
          <w:noProof/>
          <w:sz w:val="20"/>
          <w:szCs w:val="24"/>
        </w:rPr>
        <w:tab/>
        <w:t xml:space="preserve">S. T. R. Mueller, T. Wirth, </w:t>
      </w:r>
      <w:r w:rsidRPr="00F168DA">
        <w:rPr>
          <w:rFonts w:ascii="Calibri" w:hAnsi="Calibri" w:cs="Times New Roman"/>
          <w:i/>
          <w:iCs/>
          <w:noProof/>
          <w:sz w:val="20"/>
          <w:szCs w:val="24"/>
        </w:rPr>
        <w:t>ChemSusChem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2015</w:t>
      </w:r>
      <w:r w:rsidRPr="00F168DA">
        <w:rPr>
          <w:rFonts w:ascii="Calibri" w:hAnsi="Calibri" w:cs="Times New Roman"/>
          <w:noProof/>
          <w:sz w:val="20"/>
          <w:szCs w:val="24"/>
        </w:rPr>
        <w:t xml:space="preserve">, </w:t>
      </w:r>
      <w:r w:rsidRPr="00F168DA">
        <w:rPr>
          <w:rFonts w:ascii="Calibri" w:hAnsi="Calibri" w:cs="Times New Roman"/>
          <w:i/>
          <w:iCs/>
          <w:noProof/>
          <w:sz w:val="20"/>
          <w:szCs w:val="24"/>
        </w:rPr>
        <w:t>8</w:t>
      </w:r>
      <w:r w:rsidRPr="00F168DA">
        <w:rPr>
          <w:rFonts w:ascii="Calibri" w:hAnsi="Calibri" w:cs="Times New Roman"/>
          <w:noProof/>
          <w:sz w:val="20"/>
          <w:szCs w:val="24"/>
        </w:rPr>
        <w:t>, 245–250.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lastRenderedPageBreak/>
        <w:t>[77]</w:t>
      </w:r>
      <w:r w:rsidRPr="00F168DA">
        <w:rPr>
          <w:rFonts w:ascii="Calibri" w:hAnsi="Calibri" w:cs="Times New Roman"/>
          <w:noProof/>
          <w:sz w:val="20"/>
          <w:szCs w:val="24"/>
        </w:rPr>
        <w:tab/>
        <w:t xml:space="preserve">I. R. Baxendale, L. Brocken, C. J. Mallia, </w:t>
      </w:r>
      <w:r w:rsidRPr="00F168DA">
        <w:rPr>
          <w:rFonts w:ascii="Calibri" w:hAnsi="Calibri" w:cs="Times New Roman"/>
          <w:i/>
          <w:iCs/>
          <w:noProof/>
          <w:sz w:val="20"/>
          <w:szCs w:val="24"/>
        </w:rPr>
        <w:t>Green Process. Synth.</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2013</w:t>
      </w:r>
      <w:r w:rsidRPr="00F168DA">
        <w:rPr>
          <w:rFonts w:ascii="Calibri" w:hAnsi="Calibri" w:cs="Times New Roman"/>
          <w:noProof/>
          <w:sz w:val="20"/>
          <w:szCs w:val="24"/>
        </w:rPr>
        <w:t xml:space="preserve">, </w:t>
      </w:r>
      <w:r w:rsidRPr="00F168DA">
        <w:rPr>
          <w:rFonts w:ascii="Calibri" w:hAnsi="Calibri" w:cs="Times New Roman"/>
          <w:i/>
          <w:iCs/>
          <w:noProof/>
          <w:sz w:val="20"/>
          <w:szCs w:val="24"/>
        </w:rPr>
        <w:t>2</w:t>
      </w:r>
      <w:r w:rsidRPr="00F168DA">
        <w:rPr>
          <w:rFonts w:ascii="Calibri" w:hAnsi="Calibri" w:cs="Times New Roman"/>
          <w:noProof/>
          <w:sz w:val="20"/>
          <w:szCs w:val="24"/>
        </w:rPr>
        <w:t>, 211–230.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[78]</w:t>
      </w:r>
      <w:r w:rsidRPr="00F168DA">
        <w:rPr>
          <w:rFonts w:ascii="Calibri" w:hAnsi="Calibri" w:cs="Times New Roman"/>
          <w:noProof/>
          <w:sz w:val="20"/>
          <w:szCs w:val="24"/>
        </w:rPr>
        <w:tab/>
        <w:t xml:space="preserve">T. N. Glasnov, C. O. Kappe, </w:t>
      </w:r>
      <w:r w:rsidRPr="00F168DA">
        <w:rPr>
          <w:rFonts w:ascii="Calibri" w:hAnsi="Calibri" w:cs="Times New Roman"/>
          <w:i/>
          <w:iCs/>
          <w:noProof/>
          <w:sz w:val="20"/>
          <w:szCs w:val="24"/>
        </w:rPr>
        <w:t>Chem. - A Eur. J.</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2011</w:t>
      </w:r>
      <w:r w:rsidRPr="00F168DA">
        <w:rPr>
          <w:rFonts w:ascii="Calibri" w:hAnsi="Calibri" w:cs="Times New Roman"/>
          <w:noProof/>
          <w:sz w:val="20"/>
          <w:szCs w:val="24"/>
        </w:rPr>
        <w:t xml:space="preserve">, </w:t>
      </w:r>
      <w:r w:rsidRPr="00F168DA">
        <w:rPr>
          <w:rFonts w:ascii="Calibri" w:hAnsi="Calibri" w:cs="Times New Roman"/>
          <w:i/>
          <w:iCs/>
          <w:noProof/>
          <w:sz w:val="20"/>
          <w:szCs w:val="24"/>
        </w:rPr>
        <w:t>17</w:t>
      </w:r>
      <w:r w:rsidRPr="00F168DA">
        <w:rPr>
          <w:rFonts w:ascii="Calibri" w:hAnsi="Calibri" w:cs="Times New Roman"/>
          <w:noProof/>
          <w:sz w:val="20"/>
          <w:szCs w:val="24"/>
        </w:rPr>
        <w:t>, 11956–11968.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Default="00F168DA" w:rsidP="008E3A10">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[79]</w:t>
      </w:r>
      <w:r w:rsidRPr="00F168DA">
        <w:rPr>
          <w:rFonts w:ascii="Calibri" w:hAnsi="Calibri" w:cs="Times New Roman"/>
          <w:noProof/>
          <w:sz w:val="20"/>
          <w:szCs w:val="24"/>
        </w:rPr>
        <w:tab/>
        <w:t xml:space="preserve">R. L. Hartman, J. P. McMullen, K. F. Jensen, </w:t>
      </w:r>
      <w:r w:rsidRPr="00F168DA">
        <w:rPr>
          <w:rFonts w:ascii="Calibri" w:hAnsi="Calibri" w:cs="Times New Roman"/>
          <w:i/>
          <w:iCs/>
          <w:noProof/>
          <w:sz w:val="20"/>
          <w:szCs w:val="24"/>
        </w:rPr>
        <w:t>Angew. Chemie, Int. Ed.</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2011</w:t>
      </w:r>
      <w:r w:rsidRPr="00F168DA">
        <w:rPr>
          <w:rFonts w:ascii="Calibri" w:hAnsi="Calibri" w:cs="Times New Roman"/>
          <w:noProof/>
          <w:sz w:val="20"/>
          <w:szCs w:val="24"/>
        </w:rPr>
        <w:t xml:space="preserve">, </w:t>
      </w:r>
      <w:r w:rsidRPr="00F168DA">
        <w:rPr>
          <w:rFonts w:ascii="Calibri" w:hAnsi="Calibri" w:cs="Times New Roman"/>
          <w:i/>
          <w:iCs/>
          <w:noProof/>
          <w:sz w:val="20"/>
          <w:szCs w:val="24"/>
        </w:rPr>
        <w:t>50</w:t>
      </w:r>
      <w:r w:rsidRPr="00F168DA">
        <w:rPr>
          <w:rFonts w:ascii="Calibri" w:hAnsi="Calibri" w:cs="Times New Roman"/>
          <w:noProof/>
          <w:sz w:val="20"/>
          <w:szCs w:val="24"/>
        </w:rPr>
        <w:t>, 7502–7519</w:t>
      </w:r>
      <w:r w:rsidR="008E3A10">
        <w:rPr>
          <w:rFonts w:ascii="Calibri" w:hAnsi="Calibri" w:cs="Times New Roman"/>
          <w:noProof/>
          <w:sz w:val="20"/>
          <w:szCs w:val="24"/>
        </w:rPr>
        <w:t>.</w:t>
      </w:r>
    </w:p>
    <w:p w:rsidR="008E3A10" w:rsidRPr="00F168DA" w:rsidRDefault="008E3A10" w:rsidP="008E3A10">
      <w:pPr>
        <w:widowControl w:val="0"/>
        <w:autoSpaceDE w:val="0"/>
        <w:autoSpaceDN w:val="0"/>
        <w:adjustRightInd w:val="0"/>
        <w:spacing w:after="0" w:line="240" w:lineRule="auto"/>
        <w:ind w:left="640" w:hanging="640"/>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[80]</w:t>
      </w:r>
      <w:r w:rsidRPr="00F168DA">
        <w:rPr>
          <w:rFonts w:ascii="Calibri" w:hAnsi="Calibri" w:cs="Times New Roman"/>
          <w:noProof/>
          <w:sz w:val="20"/>
          <w:szCs w:val="24"/>
        </w:rPr>
        <w:tab/>
        <w:t xml:space="preserve">D. T. McQuade, P. H. Seeberger,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2013</w:t>
      </w:r>
      <w:r w:rsidRPr="00F168DA">
        <w:rPr>
          <w:rFonts w:ascii="Calibri" w:hAnsi="Calibri" w:cs="Times New Roman"/>
          <w:noProof/>
          <w:sz w:val="20"/>
          <w:szCs w:val="24"/>
        </w:rPr>
        <w:t xml:space="preserve">, </w:t>
      </w:r>
      <w:r w:rsidRPr="00F168DA">
        <w:rPr>
          <w:rFonts w:ascii="Calibri" w:hAnsi="Calibri" w:cs="Times New Roman"/>
          <w:i/>
          <w:iCs/>
          <w:noProof/>
          <w:sz w:val="20"/>
          <w:szCs w:val="24"/>
        </w:rPr>
        <w:t>78</w:t>
      </w:r>
      <w:r w:rsidRPr="00F168DA">
        <w:rPr>
          <w:rFonts w:ascii="Calibri" w:hAnsi="Calibri" w:cs="Times New Roman"/>
          <w:noProof/>
          <w:sz w:val="20"/>
          <w:szCs w:val="24"/>
        </w:rPr>
        <w:t>, 6384–6389.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[81]</w:t>
      </w:r>
      <w:r w:rsidRPr="00F168DA">
        <w:rPr>
          <w:rFonts w:ascii="Calibri" w:hAnsi="Calibri" w:cs="Times New Roman"/>
          <w:noProof/>
          <w:sz w:val="20"/>
          <w:szCs w:val="24"/>
        </w:rPr>
        <w:tab/>
        <w:t xml:space="preserve">J. C. Pastre, D. L. Browne, S. V Ley, </w:t>
      </w:r>
      <w:r w:rsidRPr="00F168DA">
        <w:rPr>
          <w:rFonts w:ascii="Calibri" w:hAnsi="Calibri" w:cs="Times New Roman"/>
          <w:i/>
          <w:iCs/>
          <w:noProof/>
          <w:sz w:val="20"/>
          <w:szCs w:val="24"/>
        </w:rPr>
        <w:t>Chem. Soc. Rev.</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2013</w:t>
      </w:r>
      <w:r w:rsidRPr="00F168DA">
        <w:rPr>
          <w:rFonts w:ascii="Calibri" w:hAnsi="Calibri" w:cs="Times New Roman"/>
          <w:noProof/>
          <w:sz w:val="20"/>
          <w:szCs w:val="24"/>
        </w:rPr>
        <w:t xml:space="preserve">, </w:t>
      </w:r>
      <w:r w:rsidRPr="00F168DA">
        <w:rPr>
          <w:rFonts w:ascii="Calibri" w:hAnsi="Calibri" w:cs="Times New Roman"/>
          <w:i/>
          <w:iCs/>
          <w:noProof/>
          <w:sz w:val="20"/>
          <w:szCs w:val="24"/>
        </w:rPr>
        <w:t>42</w:t>
      </w:r>
      <w:r w:rsidRPr="00F168DA">
        <w:rPr>
          <w:rFonts w:ascii="Calibri" w:hAnsi="Calibri" w:cs="Times New Roman"/>
          <w:noProof/>
          <w:sz w:val="20"/>
          <w:szCs w:val="24"/>
        </w:rPr>
        <w:t>, 8849–8869.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[82]</w:t>
      </w:r>
      <w:r w:rsidRPr="00F168DA">
        <w:rPr>
          <w:rFonts w:ascii="Calibri" w:hAnsi="Calibri" w:cs="Times New Roman"/>
          <w:noProof/>
          <w:sz w:val="20"/>
          <w:szCs w:val="24"/>
        </w:rPr>
        <w:tab/>
        <w:t xml:space="preserve">D. Webb, T. F. Jamison, </w:t>
      </w:r>
      <w:r w:rsidRPr="00F168DA">
        <w:rPr>
          <w:rFonts w:ascii="Calibri" w:hAnsi="Calibri" w:cs="Times New Roman"/>
          <w:i/>
          <w:iCs/>
          <w:noProof/>
          <w:sz w:val="20"/>
          <w:szCs w:val="24"/>
        </w:rPr>
        <w:t>Chem. Sci.</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2010</w:t>
      </w:r>
      <w:r w:rsidRPr="00F168DA">
        <w:rPr>
          <w:rFonts w:ascii="Calibri" w:hAnsi="Calibri" w:cs="Times New Roman"/>
          <w:noProof/>
          <w:sz w:val="20"/>
          <w:szCs w:val="24"/>
        </w:rPr>
        <w:t xml:space="preserve">, </w:t>
      </w:r>
      <w:r w:rsidRPr="00F168DA">
        <w:rPr>
          <w:rFonts w:ascii="Calibri" w:hAnsi="Calibri" w:cs="Times New Roman"/>
          <w:i/>
          <w:iCs/>
          <w:noProof/>
          <w:sz w:val="20"/>
          <w:szCs w:val="24"/>
        </w:rPr>
        <w:t>1</w:t>
      </w:r>
      <w:r w:rsidRPr="00F168DA">
        <w:rPr>
          <w:rFonts w:ascii="Calibri" w:hAnsi="Calibri" w:cs="Times New Roman"/>
          <w:noProof/>
          <w:sz w:val="20"/>
          <w:szCs w:val="24"/>
        </w:rPr>
        <w:t>, 675–680.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[83]</w:t>
      </w:r>
      <w:r w:rsidRPr="00F168DA">
        <w:rPr>
          <w:rFonts w:ascii="Calibri" w:hAnsi="Calibri" w:cs="Times New Roman"/>
          <w:noProof/>
          <w:sz w:val="20"/>
          <w:szCs w:val="24"/>
        </w:rPr>
        <w:tab/>
        <w:t xml:space="preserve">J. Wegner, S. Ceylan, A. Kirschning, </w:t>
      </w:r>
      <w:r w:rsidRPr="00F168DA">
        <w:rPr>
          <w:rFonts w:ascii="Calibri" w:hAnsi="Calibri" w:cs="Times New Roman"/>
          <w:i/>
          <w:iCs/>
          <w:noProof/>
          <w:sz w:val="20"/>
          <w:szCs w:val="24"/>
        </w:rPr>
        <w:t>Adv. Synth. Catal.</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2012</w:t>
      </w:r>
      <w:r w:rsidRPr="00F168DA">
        <w:rPr>
          <w:rFonts w:ascii="Calibri" w:hAnsi="Calibri" w:cs="Times New Roman"/>
          <w:noProof/>
          <w:sz w:val="20"/>
          <w:szCs w:val="24"/>
        </w:rPr>
        <w:t xml:space="preserve">, </w:t>
      </w:r>
      <w:r w:rsidRPr="00F168DA">
        <w:rPr>
          <w:rFonts w:ascii="Calibri" w:hAnsi="Calibri" w:cs="Times New Roman"/>
          <w:i/>
          <w:iCs/>
          <w:noProof/>
          <w:sz w:val="20"/>
          <w:szCs w:val="24"/>
        </w:rPr>
        <w:t>354</w:t>
      </w:r>
      <w:r w:rsidRPr="00F168DA">
        <w:rPr>
          <w:rFonts w:ascii="Calibri" w:hAnsi="Calibri" w:cs="Times New Roman"/>
          <w:noProof/>
          <w:sz w:val="20"/>
          <w:szCs w:val="24"/>
        </w:rPr>
        <w:t>, 17–57.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[84]</w:t>
      </w:r>
      <w:r w:rsidRPr="00F168DA">
        <w:rPr>
          <w:rFonts w:ascii="Calibri" w:hAnsi="Calibri" w:cs="Times New Roman"/>
          <w:noProof/>
          <w:sz w:val="20"/>
          <w:szCs w:val="24"/>
        </w:rPr>
        <w:tab/>
        <w:t xml:space="preserve">S. V Ley, D. E. Fitzpatrick, R. M. Myers, C. Battilocchio, R. J. Ingham, </w:t>
      </w:r>
      <w:r w:rsidRPr="00F168DA">
        <w:rPr>
          <w:rFonts w:ascii="Calibri" w:hAnsi="Calibri" w:cs="Times New Roman"/>
          <w:i/>
          <w:iCs/>
          <w:noProof/>
          <w:sz w:val="20"/>
          <w:szCs w:val="24"/>
        </w:rPr>
        <w:t>Angew. Chemie, Int. Ed.</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2015</w:t>
      </w:r>
      <w:r w:rsidRPr="00F168DA">
        <w:rPr>
          <w:rFonts w:ascii="Calibri" w:hAnsi="Calibri" w:cs="Times New Roman"/>
          <w:noProof/>
          <w:sz w:val="20"/>
          <w:szCs w:val="24"/>
        </w:rPr>
        <w:t xml:space="preserve">, </w:t>
      </w:r>
      <w:r w:rsidRPr="00F168DA">
        <w:rPr>
          <w:rFonts w:ascii="Calibri" w:hAnsi="Calibri" w:cs="Times New Roman"/>
          <w:i/>
          <w:iCs/>
          <w:noProof/>
          <w:sz w:val="20"/>
          <w:szCs w:val="24"/>
        </w:rPr>
        <w:t>54</w:t>
      </w:r>
      <w:r w:rsidRPr="00F168DA">
        <w:rPr>
          <w:rFonts w:ascii="Calibri" w:hAnsi="Calibri" w:cs="Times New Roman"/>
          <w:noProof/>
          <w:sz w:val="20"/>
          <w:szCs w:val="24"/>
        </w:rPr>
        <w:t>, 10122–10136.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[85]</w:t>
      </w:r>
      <w:r w:rsidRPr="00F168DA">
        <w:rPr>
          <w:rFonts w:ascii="Calibri" w:hAnsi="Calibri" w:cs="Times New Roman"/>
          <w:noProof/>
          <w:sz w:val="20"/>
          <w:szCs w:val="24"/>
        </w:rPr>
        <w:tab/>
        <w:t xml:space="preserve">V. Hessel, </w:t>
      </w:r>
      <w:r w:rsidRPr="00F168DA">
        <w:rPr>
          <w:rFonts w:ascii="Calibri" w:hAnsi="Calibri" w:cs="Times New Roman"/>
          <w:i/>
          <w:iCs/>
          <w:noProof/>
          <w:sz w:val="20"/>
          <w:szCs w:val="24"/>
        </w:rPr>
        <w:t>Chem. Eng. Technol.</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2009</w:t>
      </w:r>
      <w:r w:rsidRPr="00F168DA">
        <w:rPr>
          <w:rFonts w:ascii="Calibri" w:hAnsi="Calibri" w:cs="Times New Roman"/>
          <w:noProof/>
          <w:sz w:val="20"/>
          <w:szCs w:val="24"/>
        </w:rPr>
        <w:t xml:space="preserve">, </w:t>
      </w:r>
      <w:r w:rsidRPr="00F168DA">
        <w:rPr>
          <w:rFonts w:ascii="Calibri" w:hAnsi="Calibri" w:cs="Times New Roman"/>
          <w:i/>
          <w:iCs/>
          <w:noProof/>
          <w:sz w:val="20"/>
          <w:szCs w:val="24"/>
        </w:rPr>
        <w:t>32</w:t>
      </w:r>
      <w:r w:rsidRPr="00F168DA">
        <w:rPr>
          <w:rFonts w:ascii="Calibri" w:hAnsi="Calibri" w:cs="Times New Roman"/>
          <w:noProof/>
          <w:sz w:val="20"/>
          <w:szCs w:val="24"/>
        </w:rPr>
        <w:t>, 1655–1681.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Default="00F168DA" w:rsidP="008E3A10">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[86]</w:t>
      </w:r>
      <w:r w:rsidRPr="00F168DA">
        <w:rPr>
          <w:rFonts w:ascii="Calibri" w:hAnsi="Calibri" w:cs="Times New Roman"/>
          <w:noProof/>
          <w:sz w:val="20"/>
          <w:szCs w:val="24"/>
        </w:rPr>
        <w:tab/>
        <w:t xml:space="preserve">A. R. Bogdan, S. L. Poe, D. C. Kubis, S. J. Broadwater, D. T. McQuade, </w:t>
      </w:r>
      <w:r w:rsidRPr="00F168DA">
        <w:rPr>
          <w:rFonts w:ascii="Calibri" w:hAnsi="Calibri" w:cs="Times New Roman"/>
          <w:i/>
          <w:iCs/>
          <w:noProof/>
          <w:sz w:val="20"/>
          <w:szCs w:val="24"/>
        </w:rPr>
        <w:t>Angew. Chemie, Int. Ed.</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2009</w:t>
      </w:r>
      <w:r w:rsidRPr="00F168DA">
        <w:rPr>
          <w:rFonts w:ascii="Calibri" w:hAnsi="Calibri" w:cs="Times New Roman"/>
          <w:noProof/>
          <w:sz w:val="20"/>
          <w:szCs w:val="24"/>
        </w:rPr>
        <w:t xml:space="preserve">, </w:t>
      </w:r>
      <w:r w:rsidRPr="00F168DA">
        <w:rPr>
          <w:rFonts w:ascii="Calibri" w:hAnsi="Calibri" w:cs="Times New Roman"/>
          <w:i/>
          <w:iCs/>
          <w:noProof/>
          <w:sz w:val="20"/>
          <w:szCs w:val="24"/>
        </w:rPr>
        <w:t>48</w:t>
      </w:r>
      <w:r w:rsidRPr="00F168DA">
        <w:rPr>
          <w:rFonts w:ascii="Calibri" w:hAnsi="Calibri" w:cs="Times New Roman"/>
          <w:noProof/>
          <w:sz w:val="20"/>
          <w:szCs w:val="24"/>
        </w:rPr>
        <w:t>, 8547–8550</w:t>
      </w:r>
      <w:r w:rsidR="008E3A10">
        <w:rPr>
          <w:rFonts w:ascii="Calibri" w:hAnsi="Calibri" w:cs="Times New Roman"/>
          <w:noProof/>
          <w:sz w:val="20"/>
          <w:szCs w:val="24"/>
        </w:rPr>
        <w:t>.</w:t>
      </w:r>
    </w:p>
    <w:p w:rsidR="008E3A10" w:rsidRPr="00F168DA" w:rsidRDefault="008E3A10" w:rsidP="008E3A10">
      <w:pPr>
        <w:widowControl w:val="0"/>
        <w:autoSpaceDE w:val="0"/>
        <w:autoSpaceDN w:val="0"/>
        <w:adjustRightInd w:val="0"/>
        <w:spacing w:after="0" w:line="240" w:lineRule="auto"/>
        <w:ind w:left="640" w:hanging="640"/>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[87]</w:t>
      </w:r>
      <w:r w:rsidRPr="00F168DA">
        <w:rPr>
          <w:rFonts w:ascii="Calibri" w:hAnsi="Calibri" w:cs="Times New Roman"/>
          <w:noProof/>
          <w:sz w:val="20"/>
          <w:szCs w:val="24"/>
        </w:rPr>
        <w:tab/>
        <w:t xml:space="preserve">R. A. Maurya, C. P. Park, J. H. Lee, D.-P. Kim, </w:t>
      </w:r>
      <w:r w:rsidRPr="00F168DA">
        <w:rPr>
          <w:rFonts w:ascii="Calibri" w:hAnsi="Calibri" w:cs="Times New Roman"/>
          <w:i/>
          <w:iCs/>
          <w:noProof/>
          <w:sz w:val="20"/>
          <w:szCs w:val="24"/>
        </w:rPr>
        <w:t>Angew. Chemie, Int. Ed.</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2011</w:t>
      </w:r>
      <w:r w:rsidRPr="00F168DA">
        <w:rPr>
          <w:rFonts w:ascii="Calibri" w:hAnsi="Calibri" w:cs="Times New Roman"/>
          <w:noProof/>
          <w:sz w:val="20"/>
          <w:szCs w:val="24"/>
        </w:rPr>
        <w:t xml:space="preserve">, </w:t>
      </w:r>
      <w:r w:rsidRPr="00F168DA">
        <w:rPr>
          <w:rFonts w:ascii="Calibri" w:hAnsi="Calibri" w:cs="Times New Roman"/>
          <w:i/>
          <w:iCs/>
          <w:noProof/>
          <w:sz w:val="20"/>
          <w:szCs w:val="24"/>
        </w:rPr>
        <w:t>50</w:t>
      </w:r>
      <w:r w:rsidRPr="00F168DA">
        <w:rPr>
          <w:rFonts w:ascii="Calibri" w:hAnsi="Calibri" w:cs="Times New Roman"/>
          <w:noProof/>
          <w:sz w:val="20"/>
          <w:szCs w:val="24"/>
        </w:rPr>
        <w:t>, 5952–5955</w:t>
      </w:r>
      <w:r w:rsidR="008E3A10">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[88]</w:t>
      </w:r>
      <w:r w:rsidRPr="00F168DA">
        <w:rPr>
          <w:rFonts w:ascii="Calibri" w:hAnsi="Calibri" w:cs="Times New Roman"/>
          <w:noProof/>
          <w:sz w:val="20"/>
          <w:szCs w:val="24"/>
        </w:rPr>
        <w:tab/>
        <w:t xml:space="preserve">E. Rossi, P. Woehl, M. Maggini, </w:t>
      </w:r>
      <w:r w:rsidRPr="00F168DA">
        <w:rPr>
          <w:rFonts w:ascii="Calibri" w:hAnsi="Calibri" w:cs="Times New Roman"/>
          <w:i/>
          <w:iCs/>
          <w:noProof/>
          <w:sz w:val="20"/>
          <w:szCs w:val="24"/>
        </w:rPr>
        <w:t>Org. Process Res. Dev.</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2012</w:t>
      </w:r>
      <w:r w:rsidRPr="00F168DA">
        <w:rPr>
          <w:rFonts w:ascii="Calibri" w:hAnsi="Calibri" w:cs="Times New Roman"/>
          <w:noProof/>
          <w:sz w:val="20"/>
          <w:szCs w:val="24"/>
        </w:rPr>
        <w:t xml:space="preserve">, </w:t>
      </w:r>
      <w:r w:rsidRPr="00F168DA">
        <w:rPr>
          <w:rFonts w:ascii="Calibri" w:hAnsi="Calibri" w:cs="Times New Roman"/>
          <w:i/>
          <w:iCs/>
          <w:noProof/>
          <w:sz w:val="20"/>
          <w:szCs w:val="24"/>
        </w:rPr>
        <w:t>16</w:t>
      </w:r>
      <w:r w:rsidRPr="00F168DA">
        <w:rPr>
          <w:rFonts w:ascii="Calibri" w:hAnsi="Calibri" w:cs="Times New Roman"/>
          <w:noProof/>
          <w:sz w:val="20"/>
          <w:szCs w:val="24"/>
        </w:rPr>
        <w:t>, 1146–1149.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[89]</w:t>
      </w:r>
      <w:r w:rsidRPr="00F168DA">
        <w:rPr>
          <w:rFonts w:ascii="Calibri" w:hAnsi="Calibri" w:cs="Times New Roman"/>
          <w:noProof/>
          <w:sz w:val="20"/>
          <w:szCs w:val="24"/>
        </w:rPr>
        <w:tab/>
        <w:t xml:space="preserve">M. Struempel, B. Ondruschka, R. Daute, A. Stark, </w:t>
      </w:r>
      <w:r w:rsidRPr="00F168DA">
        <w:rPr>
          <w:rFonts w:ascii="Calibri" w:hAnsi="Calibri" w:cs="Times New Roman"/>
          <w:i/>
          <w:iCs/>
          <w:noProof/>
          <w:sz w:val="20"/>
          <w:szCs w:val="24"/>
        </w:rPr>
        <w:t>Green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2008</w:t>
      </w:r>
      <w:r w:rsidRPr="00F168DA">
        <w:rPr>
          <w:rFonts w:ascii="Calibri" w:hAnsi="Calibri" w:cs="Times New Roman"/>
          <w:noProof/>
          <w:sz w:val="20"/>
          <w:szCs w:val="24"/>
        </w:rPr>
        <w:t xml:space="preserve">, </w:t>
      </w:r>
      <w:r w:rsidRPr="00F168DA">
        <w:rPr>
          <w:rFonts w:ascii="Calibri" w:hAnsi="Calibri" w:cs="Times New Roman"/>
          <w:i/>
          <w:iCs/>
          <w:noProof/>
          <w:sz w:val="20"/>
          <w:szCs w:val="24"/>
        </w:rPr>
        <w:t>10</w:t>
      </w:r>
      <w:r w:rsidRPr="00F168DA">
        <w:rPr>
          <w:rFonts w:ascii="Calibri" w:hAnsi="Calibri" w:cs="Times New Roman"/>
          <w:noProof/>
          <w:sz w:val="20"/>
          <w:szCs w:val="24"/>
        </w:rPr>
        <w:t>, 41–43.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[90]</w:t>
      </w:r>
      <w:r w:rsidRPr="00F168DA">
        <w:rPr>
          <w:rFonts w:ascii="Calibri" w:hAnsi="Calibri" w:cs="Times New Roman"/>
          <w:noProof/>
          <w:sz w:val="20"/>
          <w:szCs w:val="24"/>
        </w:rPr>
        <w:tab/>
        <w:t xml:space="preserve">W. F. Ferstl, M. S. Schwarzer, S. L. Loebbecke, </w:t>
      </w:r>
      <w:r w:rsidRPr="00F168DA">
        <w:rPr>
          <w:rFonts w:ascii="Calibri" w:hAnsi="Calibri" w:cs="Times New Roman"/>
          <w:i/>
          <w:iCs/>
          <w:noProof/>
          <w:sz w:val="20"/>
          <w:szCs w:val="24"/>
        </w:rPr>
        <w:t>Chemie Ing. Tech.</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2004</w:t>
      </w:r>
      <w:r w:rsidRPr="00F168DA">
        <w:rPr>
          <w:rFonts w:ascii="Calibri" w:hAnsi="Calibri" w:cs="Times New Roman"/>
          <w:noProof/>
          <w:sz w:val="20"/>
          <w:szCs w:val="24"/>
        </w:rPr>
        <w:t xml:space="preserve">, </w:t>
      </w:r>
      <w:r w:rsidRPr="00F168DA">
        <w:rPr>
          <w:rFonts w:ascii="Calibri" w:hAnsi="Calibri" w:cs="Times New Roman"/>
          <w:i/>
          <w:iCs/>
          <w:noProof/>
          <w:sz w:val="20"/>
          <w:szCs w:val="24"/>
        </w:rPr>
        <w:t>76</w:t>
      </w:r>
      <w:r w:rsidRPr="00F168DA">
        <w:rPr>
          <w:rFonts w:ascii="Calibri" w:hAnsi="Calibri" w:cs="Times New Roman"/>
          <w:noProof/>
          <w:sz w:val="20"/>
          <w:szCs w:val="24"/>
        </w:rPr>
        <w:t>, 1326–1327.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[91]</w:t>
      </w:r>
      <w:r w:rsidRPr="00F168DA">
        <w:rPr>
          <w:rFonts w:ascii="Calibri" w:hAnsi="Calibri" w:cs="Times New Roman"/>
          <w:noProof/>
          <w:sz w:val="20"/>
          <w:szCs w:val="24"/>
        </w:rPr>
        <w:tab/>
        <w:t xml:space="preserve">T. G. Archibald, J. C. Barnard, H. F. Reese, </w:t>
      </w:r>
      <w:r w:rsidR="008E3A10">
        <w:rPr>
          <w:rFonts w:ascii="Calibri" w:hAnsi="Calibri" w:cs="Times New Roman"/>
          <w:i/>
          <w:iCs/>
          <w:noProof/>
          <w:sz w:val="20"/>
          <w:szCs w:val="24"/>
        </w:rPr>
        <w:t>U.S. Patent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1998</w:t>
      </w:r>
      <w:r w:rsidR="008E3A10">
        <w:rPr>
          <w:rFonts w:ascii="Calibri" w:hAnsi="Calibri" w:cs="Times New Roman"/>
          <w:b/>
          <w:bCs/>
          <w:noProof/>
          <w:sz w:val="20"/>
          <w:szCs w:val="24"/>
        </w:rPr>
        <w:t xml:space="preserve"> </w:t>
      </w:r>
      <w:r w:rsidR="008E3A10" w:rsidRPr="008E3A10">
        <w:rPr>
          <w:rFonts w:ascii="Calibri" w:hAnsi="Calibri" w:cs="Times New Roman"/>
          <w:bCs/>
          <w:noProof/>
          <w:sz w:val="20"/>
          <w:szCs w:val="24"/>
        </w:rPr>
        <w:t>US5854405A</w:t>
      </w:r>
      <w:r w:rsidRPr="00F168DA">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[92]</w:t>
      </w:r>
      <w:r w:rsidRPr="00F168DA">
        <w:rPr>
          <w:rFonts w:ascii="Calibri" w:hAnsi="Calibri" w:cs="Times New Roman"/>
          <w:noProof/>
          <w:sz w:val="20"/>
          <w:szCs w:val="24"/>
        </w:rPr>
        <w:tab/>
        <w:t xml:space="preserve">L. D. Proctor, A. J. Warr, </w:t>
      </w:r>
      <w:r w:rsidRPr="00F168DA">
        <w:rPr>
          <w:rFonts w:ascii="Calibri" w:hAnsi="Calibri" w:cs="Times New Roman"/>
          <w:i/>
          <w:iCs/>
          <w:noProof/>
          <w:sz w:val="20"/>
          <w:szCs w:val="24"/>
        </w:rPr>
        <w:t>Org. Process Res. Dev.</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2002</w:t>
      </w:r>
      <w:r w:rsidRPr="00F168DA">
        <w:rPr>
          <w:rFonts w:ascii="Calibri" w:hAnsi="Calibri" w:cs="Times New Roman"/>
          <w:noProof/>
          <w:sz w:val="20"/>
          <w:szCs w:val="24"/>
        </w:rPr>
        <w:t xml:space="preserve">, </w:t>
      </w:r>
      <w:r w:rsidRPr="00F168DA">
        <w:rPr>
          <w:rFonts w:ascii="Calibri" w:hAnsi="Calibri" w:cs="Times New Roman"/>
          <w:i/>
          <w:iCs/>
          <w:noProof/>
          <w:sz w:val="20"/>
          <w:szCs w:val="24"/>
        </w:rPr>
        <w:t>6</w:t>
      </w:r>
      <w:r w:rsidRPr="00F168DA">
        <w:rPr>
          <w:rFonts w:ascii="Calibri" w:hAnsi="Calibri" w:cs="Times New Roman"/>
          <w:noProof/>
          <w:sz w:val="20"/>
          <w:szCs w:val="24"/>
        </w:rPr>
        <w:t>, 884–892.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[93]</w:t>
      </w:r>
      <w:r w:rsidRPr="00F168DA">
        <w:rPr>
          <w:rFonts w:ascii="Calibri" w:hAnsi="Calibri" w:cs="Times New Roman"/>
          <w:noProof/>
          <w:sz w:val="20"/>
          <w:szCs w:val="24"/>
        </w:rPr>
        <w:tab/>
        <w:t xml:space="preserve">M. M. E. Delville, J. C. M. van Hest, F. P. J. T. Rutjes, </w:t>
      </w:r>
      <w:r w:rsidRPr="00F168DA">
        <w:rPr>
          <w:rFonts w:ascii="Calibri" w:hAnsi="Calibri" w:cs="Times New Roman"/>
          <w:i/>
          <w:iCs/>
          <w:noProof/>
          <w:sz w:val="20"/>
          <w:szCs w:val="24"/>
        </w:rPr>
        <w:t>Beilstein 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2013</w:t>
      </w:r>
      <w:r w:rsidRPr="00F168DA">
        <w:rPr>
          <w:rFonts w:ascii="Calibri" w:hAnsi="Calibri" w:cs="Times New Roman"/>
          <w:noProof/>
          <w:sz w:val="20"/>
          <w:szCs w:val="24"/>
        </w:rPr>
        <w:t xml:space="preserve">, </w:t>
      </w:r>
      <w:r w:rsidRPr="00F168DA">
        <w:rPr>
          <w:rFonts w:ascii="Calibri" w:hAnsi="Calibri" w:cs="Times New Roman"/>
          <w:i/>
          <w:iCs/>
          <w:noProof/>
          <w:sz w:val="20"/>
          <w:szCs w:val="24"/>
        </w:rPr>
        <w:t>9</w:t>
      </w:r>
      <w:r w:rsidRPr="00F168DA">
        <w:rPr>
          <w:rFonts w:ascii="Calibri" w:hAnsi="Calibri" w:cs="Times New Roman"/>
          <w:noProof/>
          <w:sz w:val="20"/>
          <w:szCs w:val="24"/>
        </w:rPr>
        <w:t>, 1813–1818.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[94]</w:t>
      </w:r>
      <w:r w:rsidRPr="00F168DA">
        <w:rPr>
          <w:rFonts w:ascii="Calibri" w:hAnsi="Calibri" w:cs="Times New Roman"/>
          <w:noProof/>
          <w:sz w:val="20"/>
          <w:szCs w:val="24"/>
        </w:rPr>
        <w:tab/>
        <w:t xml:space="preserve">R. A. Maurya, K.-I. Min, D.-P. Kim, </w:t>
      </w:r>
      <w:r w:rsidRPr="00F168DA">
        <w:rPr>
          <w:rFonts w:ascii="Calibri" w:hAnsi="Calibri" w:cs="Times New Roman"/>
          <w:i/>
          <w:iCs/>
          <w:noProof/>
          <w:sz w:val="20"/>
          <w:szCs w:val="24"/>
        </w:rPr>
        <w:t>Green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2014</w:t>
      </w:r>
      <w:r w:rsidRPr="00F168DA">
        <w:rPr>
          <w:rFonts w:ascii="Calibri" w:hAnsi="Calibri" w:cs="Times New Roman"/>
          <w:noProof/>
          <w:sz w:val="20"/>
          <w:szCs w:val="24"/>
        </w:rPr>
        <w:t xml:space="preserve">, </w:t>
      </w:r>
      <w:r w:rsidRPr="00F168DA">
        <w:rPr>
          <w:rFonts w:ascii="Calibri" w:hAnsi="Calibri" w:cs="Times New Roman"/>
          <w:i/>
          <w:iCs/>
          <w:noProof/>
          <w:sz w:val="20"/>
          <w:szCs w:val="24"/>
        </w:rPr>
        <w:t>16</w:t>
      </w:r>
      <w:r w:rsidRPr="00F168DA">
        <w:rPr>
          <w:rFonts w:ascii="Calibri" w:hAnsi="Calibri" w:cs="Times New Roman"/>
          <w:noProof/>
          <w:sz w:val="20"/>
          <w:szCs w:val="24"/>
        </w:rPr>
        <w:t>, 116–120.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[95]</w:t>
      </w:r>
      <w:r w:rsidRPr="00F168DA">
        <w:rPr>
          <w:rFonts w:ascii="Calibri" w:hAnsi="Calibri" w:cs="Times New Roman"/>
          <w:noProof/>
          <w:sz w:val="20"/>
          <w:szCs w:val="24"/>
        </w:rPr>
        <w:tab/>
        <w:t xml:space="preserve">S. T. R. Muller, D. Smith, P. Hellier, T. Wirth, </w:t>
      </w:r>
      <w:r w:rsidRPr="00F168DA">
        <w:rPr>
          <w:rFonts w:ascii="Calibri" w:hAnsi="Calibri" w:cs="Times New Roman"/>
          <w:i/>
          <w:iCs/>
          <w:noProof/>
          <w:sz w:val="20"/>
          <w:szCs w:val="24"/>
        </w:rPr>
        <w:t>Synlett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2014</w:t>
      </w:r>
      <w:r w:rsidRPr="00F168DA">
        <w:rPr>
          <w:rFonts w:ascii="Calibri" w:hAnsi="Calibri" w:cs="Times New Roman"/>
          <w:noProof/>
          <w:sz w:val="20"/>
          <w:szCs w:val="24"/>
        </w:rPr>
        <w:t xml:space="preserve">, </w:t>
      </w:r>
      <w:r w:rsidRPr="00F168DA">
        <w:rPr>
          <w:rFonts w:ascii="Calibri" w:hAnsi="Calibri" w:cs="Times New Roman"/>
          <w:i/>
          <w:iCs/>
          <w:noProof/>
          <w:sz w:val="20"/>
          <w:szCs w:val="24"/>
        </w:rPr>
        <w:t>25</w:t>
      </w:r>
      <w:r w:rsidRPr="00F168DA">
        <w:rPr>
          <w:rFonts w:ascii="Calibri" w:hAnsi="Calibri" w:cs="Times New Roman"/>
          <w:noProof/>
          <w:sz w:val="20"/>
          <w:szCs w:val="24"/>
        </w:rPr>
        <w:t>, 871–875.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[96]</w:t>
      </w:r>
      <w:r w:rsidRPr="00F168DA">
        <w:rPr>
          <w:rFonts w:ascii="Calibri" w:hAnsi="Calibri" w:cs="Times New Roman"/>
          <w:noProof/>
          <w:sz w:val="20"/>
          <w:szCs w:val="24"/>
        </w:rPr>
        <w:tab/>
        <w:t xml:space="preserve">P. Poechlauer, S. Braune, B. Dielemans, B. Kaptein, R. Obermueller, M. Thathagar, </w:t>
      </w:r>
      <w:r w:rsidRPr="00F168DA">
        <w:rPr>
          <w:rFonts w:ascii="Calibri" w:hAnsi="Calibri" w:cs="Times New Roman"/>
          <w:i/>
          <w:iCs/>
          <w:noProof/>
          <w:sz w:val="20"/>
          <w:szCs w:val="24"/>
        </w:rPr>
        <w:t>Chim. Oggi</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2012</w:t>
      </w:r>
      <w:r w:rsidRPr="00F168DA">
        <w:rPr>
          <w:rFonts w:ascii="Calibri" w:hAnsi="Calibri" w:cs="Times New Roman"/>
          <w:noProof/>
          <w:sz w:val="20"/>
          <w:szCs w:val="24"/>
        </w:rPr>
        <w:t xml:space="preserve">, </w:t>
      </w:r>
      <w:r w:rsidRPr="00F168DA">
        <w:rPr>
          <w:rFonts w:ascii="Calibri" w:hAnsi="Calibri" w:cs="Times New Roman"/>
          <w:i/>
          <w:iCs/>
          <w:noProof/>
          <w:sz w:val="20"/>
          <w:szCs w:val="24"/>
        </w:rPr>
        <w:t>30</w:t>
      </w:r>
      <w:r w:rsidRPr="00F168DA">
        <w:rPr>
          <w:rFonts w:ascii="Calibri" w:hAnsi="Calibri" w:cs="Times New Roman"/>
          <w:noProof/>
          <w:sz w:val="20"/>
          <w:szCs w:val="24"/>
        </w:rPr>
        <w:t>, 51–54.</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lastRenderedPageBreak/>
        <w:t>[97]</w:t>
      </w:r>
      <w:r w:rsidRPr="00F168DA">
        <w:rPr>
          <w:rFonts w:ascii="Calibri" w:hAnsi="Calibri" w:cs="Times New Roman"/>
          <w:noProof/>
          <w:sz w:val="20"/>
          <w:szCs w:val="24"/>
        </w:rPr>
        <w:tab/>
        <w:t xml:space="preserve">V. D. Filimonov, M. Trusova, P. Postnikov, E. A. Krasnokutskaya, Y. M. Lee, H. Y. Hwang, H. Kim, K.-W. Chi, </w:t>
      </w:r>
      <w:r w:rsidRPr="00F168DA">
        <w:rPr>
          <w:rFonts w:ascii="Calibri" w:hAnsi="Calibri" w:cs="Times New Roman"/>
          <w:i/>
          <w:iCs/>
          <w:noProof/>
          <w:sz w:val="20"/>
          <w:szCs w:val="24"/>
        </w:rPr>
        <w:t>Org.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2008</w:t>
      </w:r>
      <w:r w:rsidRPr="00F168DA">
        <w:rPr>
          <w:rFonts w:ascii="Calibri" w:hAnsi="Calibri" w:cs="Times New Roman"/>
          <w:noProof/>
          <w:sz w:val="20"/>
          <w:szCs w:val="24"/>
        </w:rPr>
        <w:t xml:space="preserve">, </w:t>
      </w:r>
      <w:r w:rsidRPr="00F168DA">
        <w:rPr>
          <w:rFonts w:ascii="Calibri" w:hAnsi="Calibri" w:cs="Times New Roman"/>
          <w:i/>
          <w:iCs/>
          <w:noProof/>
          <w:sz w:val="20"/>
          <w:szCs w:val="24"/>
        </w:rPr>
        <w:t>10</w:t>
      </w:r>
      <w:r w:rsidRPr="00F168DA">
        <w:rPr>
          <w:rFonts w:ascii="Calibri" w:hAnsi="Calibri" w:cs="Times New Roman"/>
          <w:noProof/>
          <w:sz w:val="20"/>
          <w:szCs w:val="24"/>
        </w:rPr>
        <w:t>, 3961–3964.</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[98]</w:t>
      </w:r>
      <w:r w:rsidRPr="00F168DA">
        <w:rPr>
          <w:rFonts w:ascii="Calibri" w:hAnsi="Calibri" w:cs="Times New Roman"/>
          <w:noProof/>
          <w:sz w:val="20"/>
          <w:szCs w:val="24"/>
        </w:rPr>
        <w:tab/>
        <w:t xml:space="preserve">F. Le Callonnec, E. Fouquet, F.-X. Felpin, </w:t>
      </w:r>
      <w:r w:rsidRPr="00F168DA">
        <w:rPr>
          <w:rFonts w:ascii="Calibri" w:hAnsi="Calibri" w:cs="Times New Roman"/>
          <w:i/>
          <w:iCs/>
          <w:noProof/>
          <w:sz w:val="20"/>
          <w:szCs w:val="24"/>
        </w:rPr>
        <w:t>Org.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2011</w:t>
      </w:r>
      <w:r w:rsidRPr="00F168DA">
        <w:rPr>
          <w:rFonts w:ascii="Calibri" w:hAnsi="Calibri" w:cs="Times New Roman"/>
          <w:noProof/>
          <w:sz w:val="20"/>
          <w:szCs w:val="24"/>
        </w:rPr>
        <w:t xml:space="preserve">, </w:t>
      </w:r>
      <w:r w:rsidRPr="00F168DA">
        <w:rPr>
          <w:rFonts w:ascii="Calibri" w:hAnsi="Calibri" w:cs="Times New Roman"/>
          <w:i/>
          <w:iCs/>
          <w:noProof/>
          <w:sz w:val="20"/>
          <w:szCs w:val="24"/>
        </w:rPr>
        <w:t>13</w:t>
      </w:r>
      <w:r w:rsidRPr="00F168DA">
        <w:rPr>
          <w:rFonts w:ascii="Calibri" w:hAnsi="Calibri" w:cs="Times New Roman"/>
          <w:noProof/>
          <w:sz w:val="20"/>
          <w:szCs w:val="24"/>
        </w:rPr>
        <w:t>, 2646–2649.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[99]</w:t>
      </w:r>
      <w:r w:rsidRPr="00F168DA">
        <w:rPr>
          <w:rFonts w:ascii="Calibri" w:hAnsi="Calibri" w:cs="Times New Roman"/>
          <w:noProof/>
          <w:sz w:val="20"/>
          <w:szCs w:val="24"/>
        </w:rPr>
        <w:tab/>
        <w:t xml:space="preserve">R. C. R. Wootton, R. Fortt, A. J. de Mello, </w:t>
      </w:r>
      <w:r w:rsidRPr="00F168DA">
        <w:rPr>
          <w:rFonts w:ascii="Calibri" w:hAnsi="Calibri" w:cs="Times New Roman"/>
          <w:i/>
          <w:iCs/>
          <w:noProof/>
          <w:sz w:val="20"/>
          <w:szCs w:val="24"/>
        </w:rPr>
        <w:t>Lab Chip</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2002</w:t>
      </w:r>
      <w:r w:rsidRPr="00F168DA">
        <w:rPr>
          <w:rFonts w:ascii="Calibri" w:hAnsi="Calibri" w:cs="Times New Roman"/>
          <w:noProof/>
          <w:sz w:val="20"/>
          <w:szCs w:val="24"/>
        </w:rPr>
        <w:t xml:space="preserve">, </w:t>
      </w:r>
      <w:r w:rsidRPr="00F168DA">
        <w:rPr>
          <w:rFonts w:ascii="Calibri" w:hAnsi="Calibri" w:cs="Times New Roman"/>
          <w:i/>
          <w:iCs/>
          <w:noProof/>
          <w:sz w:val="20"/>
          <w:szCs w:val="24"/>
        </w:rPr>
        <w:t>2</w:t>
      </w:r>
      <w:r w:rsidRPr="00F168DA">
        <w:rPr>
          <w:rFonts w:ascii="Calibri" w:hAnsi="Calibri" w:cs="Times New Roman"/>
          <w:noProof/>
          <w:sz w:val="20"/>
          <w:szCs w:val="24"/>
        </w:rPr>
        <w:t>, 5–7.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[100]</w:t>
      </w:r>
      <w:r w:rsidRPr="00F168DA">
        <w:rPr>
          <w:rFonts w:ascii="Calibri" w:hAnsi="Calibri" w:cs="Times New Roman"/>
          <w:noProof/>
          <w:sz w:val="20"/>
          <w:szCs w:val="24"/>
        </w:rPr>
        <w:tab/>
        <w:t xml:space="preserve">R. Fortt, R. C. R. Wootton, A. J. de Mello, </w:t>
      </w:r>
      <w:r w:rsidRPr="00F168DA">
        <w:rPr>
          <w:rFonts w:ascii="Calibri" w:hAnsi="Calibri" w:cs="Times New Roman"/>
          <w:i/>
          <w:iCs/>
          <w:noProof/>
          <w:sz w:val="20"/>
          <w:szCs w:val="24"/>
        </w:rPr>
        <w:t>Org. Process Res. Dev.</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2003</w:t>
      </w:r>
      <w:r w:rsidRPr="00F168DA">
        <w:rPr>
          <w:rFonts w:ascii="Calibri" w:hAnsi="Calibri" w:cs="Times New Roman"/>
          <w:noProof/>
          <w:sz w:val="20"/>
          <w:szCs w:val="24"/>
        </w:rPr>
        <w:t xml:space="preserve">, </w:t>
      </w:r>
      <w:r w:rsidRPr="00F168DA">
        <w:rPr>
          <w:rFonts w:ascii="Calibri" w:hAnsi="Calibri" w:cs="Times New Roman"/>
          <w:i/>
          <w:iCs/>
          <w:noProof/>
          <w:sz w:val="20"/>
          <w:szCs w:val="24"/>
        </w:rPr>
        <w:t>7</w:t>
      </w:r>
      <w:r w:rsidRPr="00F168DA">
        <w:rPr>
          <w:rFonts w:ascii="Calibri" w:hAnsi="Calibri" w:cs="Times New Roman"/>
          <w:noProof/>
          <w:sz w:val="20"/>
          <w:szCs w:val="24"/>
        </w:rPr>
        <w:t>, 762–768.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[101]</w:t>
      </w:r>
      <w:r w:rsidRPr="00F168DA">
        <w:rPr>
          <w:rFonts w:ascii="Calibri" w:hAnsi="Calibri" w:cs="Times New Roman"/>
          <w:noProof/>
          <w:sz w:val="20"/>
          <w:szCs w:val="24"/>
        </w:rPr>
        <w:tab/>
        <w:t xml:space="preserve">B. Ahmed-Omer, D. A. Barrow, T. Wirth, </w:t>
      </w:r>
      <w:r w:rsidRPr="00F168DA">
        <w:rPr>
          <w:rFonts w:ascii="Calibri" w:hAnsi="Calibri" w:cs="Times New Roman"/>
          <w:i/>
          <w:iCs/>
          <w:noProof/>
          <w:sz w:val="20"/>
          <w:szCs w:val="24"/>
        </w:rPr>
        <w:t>Tetrahedron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2009</w:t>
      </w:r>
      <w:r w:rsidRPr="00F168DA">
        <w:rPr>
          <w:rFonts w:ascii="Calibri" w:hAnsi="Calibri" w:cs="Times New Roman"/>
          <w:noProof/>
          <w:sz w:val="20"/>
          <w:szCs w:val="24"/>
        </w:rPr>
        <w:t xml:space="preserve">, </w:t>
      </w:r>
      <w:r w:rsidRPr="00F168DA">
        <w:rPr>
          <w:rFonts w:ascii="Calibri" w:hAnsi="Calibri" w:cs="Times New Roman"/>
          <w:i/>
          <w:iCs/>
          <w:noProof/>
          <w:sz w:val="20"/>
          <w:szCs w:val="24"/>
        </w:rPr>
        <w:t>50</w:t>
      </w:r>
      <w:r w:rsidRPr="00F168DA">
        <w:rPr>
          <w:rFonts w:ascii="Calibri" w:hAnsi="Calibri" w:cs="Times New Roman"/>
          <w:noProof/>
          <w:sz w:val="20"/>
          <w:szCs w:val="24"/>
        </w:rPr>
        <w:t>, 3352–3355.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[102]</w:t>
      </w:r>
      <w:r w:rsidRPr="00F168DA">
        <w:rPr>
          <w:rFonts w:ascii="Calibri" w:hAnsi="Calibri" w:cs="Times New Roman"/>
          <w:noProof/>
          <w:sz w:val="20"/>
          <w:szCs w:val="24"/>
        </w:rPr>
        <w:tab/>
        <w:t xml:space="preserve">B. Ahmed, D. Barrow, T. Wirth, </w:t>
      </w:r>
      <w:r w:rsidRPr="00F168DA">
        <w:rPr>
          <w:rFonts w:ascii="Calibri" w:hAnsi="Calibri" w:cs="Times New Roman"/>
          <w:i/>
          <w:iCs/>
          <w:noProof/>
          <w:sz w:val="20"/>
          <w:szCs w:val="24"/>
        </w:rPr>
        <w:t>Adv. Synth. Catal.</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2006</w:t>
      </w:r>
      <w:r w:rsidRPr="00F168DA">
        <w:rPr>
          <w:rFonts w:ascii="Calibri" w:hAnsi="Calibri" w:cs="Times New Roman"/>
          <w:noProof/>
          <w:sz w:val="20"/>
          <w:szCs w:val="24"/>
        </w:rPr>
        <w:t xml:space="preserve">, </w:t>
      </w:r>
      <w:r w:rsidRPr="00F168DA">
        <w:rPr>
          <w:rFonts w:ascii="Calibri" w:hAnsi="Calibri" w:cs="Times New Roman"/>
          <w:i/>
          <w:iCs/>
          <w:noProof/>
          <w:sz w:val="20"/>
          <w:szCs w:val="24"/>
        </w:rPr>
        <w:t>348</w:t>
      </w:r>
      <w:r w:rsidRPr="00F168DA">
        <w:rPr>
          <w:rFonts w:ascii="Calibri" w:hAnsi="Calibri" w:cs="Times New Roman"/>
          <w:noProof/>
          <w:sz w:val="20"/>
          <w:szCs w:val="24"/>
        </w:rPr>
        <w:t>, 1043–1048.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[103]</w:t>
      </w:r>
      <w:r w:rsidRPr="00F168DA">
        <w:rPr>
          <w:rFonts w:ascii="Calibri" w:hAnsi="Calibri" w:cs="Times New Roman"/>
          <w:noProof/>
          <w:sz w:val="20"/>
          <w:szCs w:val="24"/>
        </w:rPr>
        <w:tab/>
        <w:t xml:space="preserve">Z. Yu, Y. Lv, C. Yu, W. Su, </w:t>
      </w:r>
      <w:r w:rsidRPr="00F168DA">
        <w:rPr>
          <w:rFonts w:ascii="Calibri" w:hAnsi="Calibri" w:cs="Times New Roman"/>
          <w:i/>
          <w:iCs/>
          <w:noProof/>
          <w:sz w:val="20"/>
          <w:szCs w:val="24"/>
        </w:rPr>
        <w:t>Tetrahedron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2013</w:t>
      </w:r>
      <w:r w:rsidRPr="00F168DA">
        <w:rPr>
          <w:rFonts w:ascii="Calibri" w:hAnsi="Calibri" w:cs="Times New Roman"/>
          <w:noProof/>
          <w:sz w:val="20"/>
          <w:szCs w:val="24"/>
        </w:rPr>
        <w:t xml:space="preserve">, </w:t>
      </w:r>
      <w:r w:rsidRPr="00F168DA">
        <w:rPr>
          <w:rFonts w:ascii="Calibri" w:hAnsi="Calibri" w:cs="Times New Roman"/>
          <w:i/>
          <w:iCs/>
          <w:noProof/>
          <w:sz w:val="20"/>
          <w:szCs w:val="24"/>
        </w:rPr>
        <w:t>54</w:t>
      </w:r>
      <w:r w:rsidRPr="00F168DA">
        <w:rPr>
          <w:rFonts w:ascii="Calibri" w:hAnsi="Calibri" w:cs="Times New Roman"/>
          <w:noProof/>
          <w:sz w:val="20"/>
          <w:szCs w:val="24"/>
        </w:rPr>
        <w:t>, 1261–1263.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[104]</w:t>
      </w:r>
      <w:r w:rsidRPr="00F168DA">
        <w:rPr>
          <w:rFonts w:ascii="Calibri" w:hAnsi="Calibri" w:cs="Times New Roman"/>
          <w:noProof/>
          <w:sz w:val="20"/>
          <w:szCs w:val="24"/>
        </w:rPr>
        <w:tab/>
        <w:t xml:space="preserve">Z. Yu, Y. Lv, C. Yu, </w:t>
      </w:r>
      <w:r w:rsidRPr="00F168DA">
        <w:rPr>
          <w:rFonts w:ascii="Calibri" w:hAnsi="Calibri" w:cs="Times New Roman"/>
          <w:i/>
          <w:iCs/>
          <w:noProof/>
          <w:sz w:val="20"/>
          <w:szCs w:val="24"/>
        </w:rPr>
        <w:t>Org. Process Res. Dev.</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2012</w:t>
      </w:r>
      <w:r w:rsidRPr="00F168DA">
        <w:rPr>
          <w:rFonts w:ascii="Calibri" w:hAnsi="Calibri" w:cs="Times New Roman"/>
          <w:noProof/>
          <w:sz w:val="20"/>
          <w:szCs w:val="24"/>
        </w:rPr>
        <w:t xml:space="preserve">, </w:t>
      </w:r>
      <w:r w:rsidRPr="00F168DA">
        <w:rPr>
          <w:rFonts w:ascii="Calibri" w:hAnsi="Calibri" w:cs="Times New Roman"/>
          <w:i/>
          <w:iCs/>
          <w:noProof/>
          <w:sz w:val="20"/>
          <w:szCs w:val="24"/>
        </w:rPr>
        <w:t>16</w:t>
      </w:r>
      <w:r w:rsidRPr="00F168DA">
        <w:rPr>
          <w:rFonts w:ascii="Calibri" w:hAnsi="Calibri" w:cs="Times New Roman"/>
          <w:noProof/>
          <w:sz w:val="20"/>
          <w:szCs w:val="24"/>
        </w:rPr>
        <w:t>, 1669–1672.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[105]</w:t>
      </w:r>
      <w:r w:rsidRPr="00F168DA">
        <w:rPr>
          <w:rFonts w:ascii="Calibri" w:hAnsi="Calibri" w:cs="Times New Roman"/>
          <w:noProof/>
          <w:sz w:val="20"/>
          <w:szCs w:val="24"/>
        </w:rPr>
        <w:tab/>
        <w:t xml:space="preserve">L. Malet-Sanz, J. Madrzak, S. V Ley, I. R. Baxendale, </w:t>
      </w:r>
      <w:r w:rsidRPr="00F168DA">
        <w:rPr>
          <w:rFonts w:ascii="Calibri" w:hAnsi="Calibri" w:cs="Times New Roman"/>
          <w:i/>
          <w:iCs/>
          <w:noProof/>
          <w:sz w:val="20"/>
          <w:szCs w:val="24"/>
        </w:rPr>
        <w:t>Org. Biomol.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2010</w:t>
      </w:r>
      <w:r w:rsidRPr="00F168DA">
        <w:rPr>
          <w:rFonts w:ascii="Calibri" w:hAnsi="Calibri" w:cs="Times New Roman"/>
          <w:noProof/>
          <w:sz w:val="20"/>
          <w:szCs w:val="24"/>
        </w:rPr>
        <w:t xml:space="preserve">, </w:t>
      </w:r>
      <w:r w:rsidRPr="00F168DA">
        <w:rPr>
          <w:rFonts w:ascii="Calibri" w:hAnsi="Calibri" w:cs="Times New Roman"/>
          <w:i/>
          <w:iCs/>
          <w:noProof/>
          <w:sz w:val="20"/>
          <w:szCs w:val="24"/>
        </w:rPr>
        <w:t>8</w:t>
      </w:r>
      <w:r w:rsidRPr="00F168DA">
        <w:rPr>
          <w:rFonts w:ascii="Calibri" w:hAnsi="Calibri" w:cs="Times New Roman"/>
          <w:noProof/>
          <w:sz w:val="20"/>
          <w:szCs w:val="24"/>
        </w:rPr>
        <w:t>, 5324–5332.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[106]</w:t>
      </w:r>
      <w:r w:rsidRPr="00F168DA">
        <w:rPr>
          <w:rFonts w:ascii="Calibri" w:hAnsi="Calibri" w:cs="Times New Roman"/>
          <w:noProof/>
          <w:sz w:val="20"/>
          <w:szCs w:val="24"/>
        </w:rPr>
        <w:tab/>
        <w:t xml:space="preserve">H. Meerwein, G. Dittmar, R. Gollner, K. Hafner, F. Mensch, O. Steinfort, </w:t>
      </w:r>
      <w:r w:rsidRPr="00F168DA">
        <w:rPr>
          <w:rFonts w:ascii="Calibri" w:hAnsi="Calibri" w:cs="Times New Roman"/>
          <w:i/>
          <w:iCs/>
          <w:noProof/>
          <w:sz w:val="20"/>
          <w:szCs w:val="24"/>
        </w:rPr>
        <w:t>Chem. Ber.</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1957</w:t>
      </w:r>
      <w:r w:rsidRPr="00F168DA">
        <w:rPr>
          <w:rFonts w:ascii="Calibri" w:hAnsi="Calibri" w:cs="Times New Roman"/>
          <w:noProof/>
          <w:sz w:val="20"/>
          <w:szCs w:val="24"/>
        </w:rPr>
        <w:t xml:space="preserve">, </w:t>
      </w:r>
      <w:r w:rsidRPr="00F168DA">
        <w:rPr>
          <w:rFonts w:ascii="Calibri" w:hAnsi="Calibri" w:cs="Times New Roman"/>
          <w:i/>
          <w:iCs/>
          <w:noProof/>
          <w:sz w:val="20"/>
          <w:szCs w:val="24"/>
        </w:rPr>
        <w:t>90</w:t>
      </w:r>
      <w:r w:rsidRPr="00F168DA">
        <w:rPr>
          <w:rFonts w:ascii="Calibri" w:hAnsi="Calibri" w:cs="Times New Roman"/>
          <w:noProof/>
          <w:sz w:val="20"/>
          <w:szCs w:val="24"/>
        </w:rPr>
        <w:t>, 841–852.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[107]</w:t>
      </w:r>
      <w:r w:rsidRPr="00F168DA">
        <w:rPr>
          <w:rFonts w:ascii="Calibri" w:hAnsi="Calibri" w:cs="Times New Roman"/>
          <w:noProof/>
          <w:sz w:val="20"/>
          <w:szCs w:val="24"/>
        </w:rPr>
        <w:tab/>
        <w:t xml:space="preserve">J. Jacq, P. Pasau, </w:t>
      </w:r>
      <w:r w:rsidRPr="00F168DA">
        <w:rPr>
          <w:rFonts w:ascii="Calibri" w:hAnsi="Calibri" w:cs="Times New Roman"/>
          <w:i/>
          <w:iCs/>
          <w:noProof/>
          <w:sz w:val="20"/>
          <w:szCs w:val="24"/>
        </w:rPr>
        <w:t>Chem. - A Eur. J.</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2014</w:t>
      </w:r>
      <w:r w:rsidRPr="00F168DA">
        <w:rPr>
          <w:rFonts w:ascii="Calibri" w:hAnsi="Calibri" w:cs="Times New Roman"/>
          <w:noProof/>
          <w:sz w:val="20"/>
          <w:szCs w:val="24"/>
        </w:rPr>
        <w:t xml:space="preserve">, </w:t>
      </w:r>
      <w:r w:rsidRPr="00F168DA">
        <w:rPr>
          <w:rFonts w:ascii="Calibri" w:hAnsi="Calibri" w:cs="Times New Roman"/>
          <w:i/>
          <w:iCs/>
          <w:noProof/>
          <w:sz w:val="20"/>
          <w:szCs w:val="24"/>
        </w:rPr>
        <w:t>20</w:t>
      </w:r>
      <w:r w:rsidRPr="00F168DA">
        <w:rPr>
          <w:rFonts w:ascii="Calibri" w:hAnsi="Calibri" w:cs="Times New Roman"/>
          <w:noProof/>
          <w:sz w:val="20"/>
          <w:szCs w:val="24"/>
        </w:rPr>
        <w:t>, 12223–12233.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[108]</w:t>
      </w:r>
      <w:r w:rsidRPr="00F168DA">
        <w:rPr>
          <w:rFonts w:ascii="Calibri" w:hAnsi="Calibri" w:cs="Times New Roman"/>
          <w:noProof/>
          <w:sz w:val="20"/>
          <w:szCs w:val="24"/>
        </w:rPr>
        <w:tab/>
        <w:t xml:space="preserve">H. E. Bartrum, D. C. Blakemore, C. J. Moody, C. J. Hayes,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2010</w:t>
      </w:r>
      <w:r w:rsidRPr="00F168DA">
        <w:rPr>
          <w:rFonts w:ascii="Calibri" w:hAnsi="Calibri" w:cs="Times New Roman"/>
          <w:noProof/>
          <w:sz w:val="20"/>
          <w:szCs w:val="24"/>
        </w:rPr>
        <w:t xml:space="preserve">, </w:t>
      </w:r>
      <w:r w:rsidRPr="00F168DA">
        <w:rPr>
          <w:rFonts w:ascii="Calibri" w:hAnsi="Calibri" w:cs="Times New Roman"/>
          <w:i/>
          <w:iCs/>
          <w:noProof/>
          <w:sz w:val="20"/>
          <w:szCs w:val="24"/>
        </w:rPr>
        <w:t>75</w:t>
      </w:r>
      <w:r w:rsidRPr="00F168DA">
        <w:rPr>
          <w:rFonts w:ascii="Calibri" w:hAnsi="Calibri" w:cs="Times New Roman"/>
          <w:noProof/>
          <w:sz w:val="20"/>
          <w:szCs w:val="24"/>
        </w:rPr>
        <w:t>, 8674–8676.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[109]</w:t>
      </w:r>
      <w:r w:rsidRPr="00F168DA">
        <w:rPr>
          <w:rFonts w:ascii="Calibri" w:hAnsi="Calibri" w:cs="Times New Roman"/>
          <w:noProof/>
          <w:sz w:val="20"/>
          <w:szCs w:val="24"/>
        </w:rPr>
        <w:tab/>
        <w:t xml:space="preserve">L. J. Martin, A. L. Marzinzik, S. V Ley, I. R. Baxendale, </w:t>
      </w:r>
      <w:r w:rsidRPr="00F168DA">
        <w:rPr>
          <w:rFonts w:ascii="Calibri" w:hAnsi="Calibri" w:cs="Times New Roman"/>
          <w:i/>
          <w:iCs/>
          <w:noProof/>
          <w:sz w:val="20"/>
          <w:szCs w:val="24"/>
        </w:rPr>
        <w:t>Org.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2011</w:t>
      </w:r>
      <w:r w:rsidRPr="00F168DA">
        <w:rPr>
          <w:rFonts w:ascii="Calibri" w:hAnsi="Calibri" w:cs="Times New Roman"/>
          <w:noProof/>
          <w:sz w:val="20"/>
          <w:szCs w:val="24"/>
        </w:rPr>
        <w:t xml:space="preserve">, </w:t>
      </w:r>
      <w:r w:rsidRPr="00F168DA">
        <w:rPr>
          <w:rFonts w:ascii="Calibri" w:hAnsi="Calibri" w:cs="Times New Roman"/>
          <w:i/>
          <w:iCs/>
          <w:noProof/>
          <w:sz w:val="20"/>
          <w:szCs w:val="24"/>
        </w:rPr>
        <w:t>13</w:t>
      </w:r>
      <w:r w:rsidRPr="00F168DA">
        <w:rPr>
          <w:rFonts w:ascii="Calibri" w:hAnsi="Calibri" w:cs="Times New Roman"/>
          <w:noProof/>
          <w:sz w:val="20"/>
          <w:szCs w:val="24"/>
        </w:rPr>
        <w:t>, 320–323.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[110]</w:t>
      </w:r>
      <w:r w:rsidRPr="00F168DA">
        <w:rPr>
          <w:rFonts w:ascii="Calibri" w:hAnsi="Calibri" w:cs="Times New Roman"/>
          <w:noProof/>
          <w:sz w:val="20"/>
          <w:szCs w:val="24"/>
        </w:rPr>
        <w:tab/>
        <w:t xml:space="preserve">H. E. Bartrum, D. C. Blakemore, C. J. Moody, C. J. Hayes, </w:t>
      </w:r>
      <w:r w:rsidRPr="00F168DA">
        <w:rPr>
          <w:rFonts w:ascii="Calibri" w:hAnsi="Calibri" w:cs="Times New Roman"/>
          <w:i/>
          <w:iCs/>
          <w:noProof/>
          <w:sz w:val="20"/>
          <w:szCs w:val="24"/>
        </w:rPr>
        <w:t>Chem. - A Eur. J.</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2011</w:t>
      </w:r>
      <w:r w:rsidRPr="00F168DA">
        <w:rPr>
          <w:rFonts w:ascii="Calibri" w:hAnsi="Calibri" w:cs="Times New Roman"/>
          <w:noProof/>
          <w:sz w:val="20"/>
          <w:szCs w:val="24"/>
        </w:rPr>
        <w:t xml:space="preserve">, </w:t>
      </w:r>
      <w:r w:rsidRPr="00F168DA">
        <w:rPr>
          <w:rFonts w:ascii="Calibri" w:hAnsi="Calibri" w:cs="Times New Roman"/>
          <w:i/>
          <w:iCs/>
          <w:noProof/>
          <w:sz w:val="20"/>
          <w:szCs w:val="24"/>
        </w:rPr>
        <w:t>17</w:t>
      </w:r>
      <w:r w:rsidRPr="00F168DA">
        <w:rPr>
          <w:rFonts w:ascii="Calibri" w:hAnsi="Calibri" w:cs="Times New Roman"/>
          <w:noProof/>
          <w:sz w:val="20"/>
          <w:szCs w:val="24"/>
        </w:rPr>
        <w:t>, 9586–9589.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[111]</w:t>
      </w:r>
      <w:r w:rsidRPr="00F168DA">
        <w:rPr>
          <w:rFonts w:ascii="Calibri" w:hAnsi="Calibri" w:cs="Times New Roman"/>
          <w:noProof/>
          <w:sz w:val="20"/>
          <w:szCs w:val="24"/>
        </w:rPr>
        <w:tab/>
        <w:t xml:space="preserve">H. E. Bartrum, D. C. Blakemore, C. J. Moody, C. J. Hayes, </w:t>
      </w:r>
      <w:r w:rsidRPr="00F168DA">
        <w:rPr>
          <w:rFonts w:ascii="Calibri" w:hAnsi="Calibri" w:cs="Times New Roman"/>
          <w:i/>
          <w:iCs/>
          <w:noProof/>
          <w:sz w:val="20"/>
          <w:szCs w:val="24"/>
        </w:rPr>
        <w:t>Tetrahedron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2013</w:t>
      </w:r>
      <w:r w:rsidRPr="00F168DA">
        <w:rPr>
          <w:rFonts w:ascii="Calibri" w:hAnsi="Calibri" w:cs="Times New Roman"/>
          <w:noProof/>
          <w:sz w:val="20"/>
          <w:szCs w:val="24"/>
        </w:rPr>
        <w:t xml:space="preserve">, </w:t>
      </w:r>
      <w:r w:rsidRPr="00F168DA">
        <w:rPr>
          <w:rFonts w:ascii="Calibri" w:hAnsi="Calibri" w:cs="Times New Roman"/>
          <w:i/>
          <w:iCs/>
          <w:noProof/>
          <w:sz w:val="20"/>
          <w:szCs w:val="24"/>
        </w:rPr>
        <w:t>69</w:t>
      </w:r>
      <w:r w:rsidRPr="00F168DA">
        <w:rPr>
          <w:rFonts w:ascii="Calibri" w:hAnsi="Calibri" w:cs="Times New Roman"/>
          <w:noProof/>
          <w:sz w:val="20"/>
          <w:szCs w:val="24"/>
        </w:rPr>
        <w:t>, 2276–2282.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[112]</w:t>
      </w:r>
      <w:r w:rsidRPr="00F168DA">
        <w:rPr>
          <w:rFonts w:ascii="Calibri" w:hAnsi="Calibri" w:cs="Times New Roman"/>
          <w:noProof/>
          <w:sz w:val="20"/>
          <w:szCs w:val="24"/>
        </w:rPr>
        <w:tab/>
        <w:t xml:space="preserve">S. T. R. Muller, A. Murat, P. Hellier, T. Wirth, </w:t>
      </w:r>
      <w:r w:rsidRPr="00F168DA">
        <w:rPr>
          <w:rFonts w:ascii="Calibri" w:hAnsi="Calibri" w:cs="Times New Roman"/>
          <w:i/>
          <w:iCs/>
          <w:noProof/>
          <w:sz w:val="20"/>
          <w:szCs w:val="24"/>
        </w:rPr>
        <w:t>Org. Process Res. Dev.</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2016</w:t>
      </w:r>
      <w:r w:rsidRPr="00F168DA">
        <w:rPr>
          <w:rFonts w:ascii="Calibri" w:hAnsi="Calibri" w:cs="Times New Roman"/>
          <w:noProof/>
          <w:sz w:val="20"/>
          <w:szCs w:val="24"/>
        </w:rPr>
        <w:t xml:space="preserve">, </w:t>
      </w:r>
      <w:r w:rsidRPr="00F168DA">
        <w:rPr>
          <w:rFonts w:ascii="Calibri" w:hAnsi="Calibri" w:cs="Times New Roman"/>
          <w:i/>
          <w:iCs/>
          <w:noProof/>
          <w:sz w:val="20"/>
          <w:szCs w:val="24"/>
        </w:rPr>
        <w:t>20</w:t>
      </w:r>
      <w:r w:rsidRPr="00F168DA">
        <w:rPr>
          <w:rFonts w:ascii="Calibri" w:hAnsi="Calibri" w:cs="Times New Roman"/>
          <w:noProof/>
          <w:sz w:val="20"/>
          <w:szCs w:val="24"/>
        </w:rPr>
        <w:t>, 495–502.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[113]</w:t>
      </w:r>
      <w:r w:rsidRPr="00F168DA">
        <w:rPr>
          <w:rFonts w:ascii="Calibri" w:hAnsi="Calibri" w:cs="Times New Roman"/>
          <w:noProof/>
          <w:sz w:val="20"/>
          <w:szCs w:val="24"/>
        </w:rPr>
        <w:tab/>
        <w:t xml:space="preserve">M. P. Doyle, in </w:t>
      </w:r>
      <w:r w:rsidRPr="00F168DA">
        <w:rPr>
          <w:rFonts w:ascii="Calibri" w:hAnsi="Calibri" w:cs="Times New Roman"/>
          <w:i/>
          <w:iCs/>
          <w:noProof/>
          <w:sz w:val="20"/>
          <w:szCs w:val="24"/>
        </w:rPr>
        <w:t>Organomet. Chem. II Vol 12</w:t>
      </w:r>
      <w:r w:rsidRPr="00F168DA">
        <w:rPr>
          <w:rFonts w:ascii="Calibri" w:hAnsi="Calibri" w:cs="Times New Roman"/>
          <w:noProof/>
          <w:sz w:val="20"/>
          <w:szCs w:val="24"/>
        </w:rPr>
        <w:t xml:space="preserve">, Pergamon Press, New York, </w:t>
      </w:r>
      <w:r w:rsidRPr="00F168DA">
        <w:rPr>
          <w:rFonts w:ascii="Calibri" w:hAnsi="Calibri" w:cs="Times New Roman"/>
          <w:b/>
          <w:bCs/>
          <w:noProof/>
          <w:sz w:val="20"/>
          <w:szCs w:val="24"/>
        </w:rPr>
        <w:t>1995</w:t>
      </w:r>
      <w:r w:rsidRPr="00F168DA">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[114]</w:t>
      </w:r>
      <w:r w:rsidRPr="00F168DA">
        <w:rPr>
          <w:rFonts w:ascii="Calibri" w:hAnsi="Calibri" w:cs="Times New Roman"/>
          <w:noProof/>
          <w:sz w:val="20"/>
          <w:szCs w:val="24"/>
        </w:rPr>
        <w:tab/>
        <w:t xml:space="preserve">H. M. L. Davies, </w:t>
      </w:r>
      <w:r w:rsidRPr="00F168DA">
        <w:rPr>
          <w:rFonts w:ascii="Calibri" w:hAnsi="Calibri" w:cs="Times New Roman"/>
          <w:i/>
          <w:iCs/>
          <w:noProof/>
          <w:sz w:val="20"/>
          <w:szCs w:val="24"/>
        </w:rPr>
        <w:t>Tetrahedron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1993</w:t>
      </w:r>
      <w:r w:rsidRPr="00F168DA">
        <w:rPr>
          <w:rFonts w:ascii="Calibri" w:hAnsi="Calibri" w:cs="Times New Roman"/>
          <w:noProof/>
          <w:sz w:val="20"/>
          <w:szCs w:val="24"/>
        </w:rPr>
        <w:t xml:space="preserve">, </w:t>
      </w:r>
      <w:r w:rsidRPr="00F168DA">
        <w:rPr>
          <w:rFonts w:ascii="Calibri" w:hAnsi="Calibri" w:cs="Times New Roman"/>
          <w:i/>
          <w:iCs/>
          <w:noProof/>
          <w:sz w:val="20"/>
          <w:szCs w:val="24"/>
        </w:rPr>
        <w:t>49</w:t>
      </w:r>
      <w:r w:rsidRPr="00F168DA">
        <w:rPr>
          <w:rFonts w:ascii="Calibri" w:hAnsi="Calibri" w:cs="Times New Roman"/>
          <w:noProof/>
          <w:sz w:val="20"/>
          <w:szCs w:val="24"/>
        </w:rPr>
        <w:t>, 5203–5223.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[115]</w:t>
      </w:r>
      <w:r w:rsidRPr="00F168DA">
        <w:rPr>
          <w:rFonts w:ascii="Calibri" w:hAnsi="Calibri" w:cs="Times New Roman"/>
          <w:noProof/>
          <w:sz w:val="20"/>
          <w:szCs w:val="24"/>
        </w:rPr>
        <w:tab/>
        <w:t xml:space="preserve">E. Nakamura, N. Yoshikai, M. Yamanaka,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2002</w:t>
      </w:r>
      <w:r w:rsidRPr="00F168DA">
        <w:rPr>
          <w:rFonts w:ascii="Calibri" w:hAnsi="Calibri" w:cs="Times New Roman"/>
          <w:noProof/>
          <w:sz w:val="20"/>
          <w:szCs w:val="24"/>
        </w:rPr>
        <w:t xml:space="preserve">, </w:t>
      </w:r>
      <w:r w:rsidRPr="00F168DA">
        <w:rPr>
          <w:rFonts w:ascii="Calibri" w:hAnsi="Calibri" w:cs="Times New Roman"/>
          <w:i/>
          <w:iCs/>
          <w:noProof/>
          <w:sz w:val="20"/>
          <w:szCs w:val="24"/>
        </w:rPr>
        <w:t>124</w:t>
      </w:r>
      <w:r w:rsidRPr="00F168DA">
        <w:rPr>
          <w:rFonts w:ascii="Calibri" w:hAnsi="Calibri" w:cs="Times New Roman"/>
          <w:noProof/>
          <w:sz w:val="20"/>
          <w:szCs w:val="24"/>
        </w:rPr>
        <w:t>, 7181–7192.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[116]</w:t>
      </w:r>
      <w:r w:rsidRPr="00F168DA">
        <w:rPr>
          <w:rFonts w:ascii="Calibri" w:hAnsi="Calibri" w:cs="Times New Roman"/>
          <w:noProof/>
          <w:sz w:val="20"/>
          <w:szCs w:val="24"/>
        </w:rPr>
        <w:tab/>
        <w:t xml:space="preserve">T. R. Felthouse, </w:t>
      </w:r>
      <w:r w:rsidRPr="00F168DA">
        <w:rPr>
          <w:rFonts w:ascii="Calibri" w:hAnsi="Calibri" w:cs="Times New Roman"/>
          <w:i/>
          <w:iCs/>
          <w:noProof/>
          <w:sz w:val="20"/>
          <w:szCs w:val="24"/>
        </w:rPr>
        <w:t>Prog. Inorg.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1982</w:t>
      </w:r>
      <w:r w:rsidRPr="00F168DA">
        <w:rPr>
          <w:rFonts w:ascii="Calibri" w:hAnsi="Calibri" w:cs="Times New Roman"/>
          <w:noProof/>
          <w:sz w:val="20"/>
          <w:szCs w:val="24"/>
        </w:rPr>
        <w:t xml:space="preserve">, </w:t>
      </w:r>
      <w:r w:rsidRPr="00F168DA">
        <w:rPr>
          <w:rFonts w:ascii="Calibri" w:hAnsi="Calibri" w:cs="Times New Roman"/>
          <w:i/>
          <w:iCs/>
          <w:noProof/>
          <w:sz w:val="20"/>
          <w:szCs w:val="24"/>
        </w:rPr>
        <w:t>29</w:t>
      </w:r>
      <w:r w:rsidRPr="00F168DA">
        <w:rPr>
          <w:rFonts w:ascii="Calibri" w:hAnsi="Calibri" w:cs="Times New Roman"/>
          <w:noProof/>
          <w:sz w:val="20"/>
          <w:szCs w:val="24"/>
        </w:rPr>
        <w:t>, 73–166.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lastRenderedPageBreak/>
        <w:t>[117]</w:t>
      </w:r>
      <w:r w:rsidRPr="00F168DA">
        <w:rPr>
          <w:rFonts w:ascii="Calibri" w:hAnsi="Calibri" w:cs="Times New Roman"/>
          <w:noProof/>
          <w:sz w:val="20"/>
          <w:szCs w:val="24"/>
        </w:rPr>
        <w:tab/>
        <w:t xml:space="preserve">E. B. Boyar, S. D. Robinson, </w:t>
      </w:r>
      <w:r w:rsidRPr="00F168DA">
        <w:rPr>
          <w:rFonts w:ascii="Calibri" w:hAnsi="Calibri" w:cs="Times New Roman"/>
          <w:i/>
          <w:iCs/>
          <w:noProof/>
          <w:sz w:val="20"/>
          <w:szCs w:val="24"/>
        </w:rPr>
        <w:t>Coord. Chem. Rev.</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1983</w:t>
      </w:r>
      <w:r w:rsidRPr="00F168DA">
        <w:rPr>
          <w:rFonts w:ascii="Calibri" w:hAnsi="Calibri" w:cs="Times New Roman"/>
          <w:noProof/>
          <w:sz w:val="20"/>
          <w:szCs w:val="24"/>
        </w:rPr>
        <w:t xml:space="preserve">, </w:t>
      </w:r>
      <w:r w:rsidRPr="00F168DA">
        <w:rPr>
          <w:rFonts w:ascii="Calibri" w:hAnsi="Calibri" w:cs="Times New Roman"/>
          <w:i/>
          <w:iCs/>
          <w:noProof/>
          <w:sz w:val="20"/>
          <w:szCs w:val="24"/>
        </w:rPr>
        <w:t>50</w:t>
      </w:r>
      <w:r w:rsidRPr="00F168DA">
        <w:rPr>
          <w:rFonts w:ascii="Calibri" w:hAnsi="Calibri" w:cs="Times New Roman"/>
          <w:noProof/>
          <w:sz w:val="20"/>
          <w:szCs w:val="24"/>
        </w:rPr>
        <w:t>, 109–208.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[118]</w:t>
      </w:r>
      <w:r w:rsidRPr="00F168DA">
        <w:rPr>
          <w:rFonts w:ascii="Calibri" w:hAnsi="Calibri" w:cs="Times New Roman"/>
          <w:noProof/>
          <w:sz w:val="20"/>
          <w:szCs w:val="24"/>
        </w:rPr>
        <w:tab/>
        <w:t xml:space="preserve">L. Wolff, </w:t>
      </w:r>
      <w:r w:rsidRPr="00F168DA">
        <w:rPr>
          <w:rFonts w:ascii="Calibri" w:hAnsi="Calibri" w:cs="Times New Roman"/>
          <w:i/>
          <w:iCs/>
          <w:noProof/>
          <w:sz w:val="20"/>
          <w:szCs w:val="24"/>
        </w:rPr>
        <w:t>Justus Liebigs Ann.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1912</w:t>
      </w:r>
      <w:r w:rsidRPr="00F168DA">
        <w:rPr>
          <w:rFonts w:ascii="Calibri" w:hAnsi="Calibri" w:cs="Times New Roman"/>
          <w:noProof/>
          <w:sz w:val="20"/>
          <w:szCs w:val="24"/>
        </w:rPr>
        <w:t xml:space="preserve">, </w:t>
      </w:r>
      <w:r w:rsidRPr="00F168DA">
        <w:rPr>
          <w:rFonts w:ascii="Calibri" w:hAnsi="Calibri" w:cs="Times New Roman"/>
          <w:i/>
          <w:iCs/>
          <w:noProof/>
          <w:sz w:val="20"/>
          <w:szCs w:val="24"/>
        </w:rPr>
        <w:t>394</w:t>
      </w:r>
      <w:r w:rsidRPr="00F168DA">
        <w:rPr>
          <w:rFonts w:ascii="Calibri" w:hAnsi="Calibri" w:cs="Times New Roman"/>
          <w:noProof/>
          <w:sz w:val="20"/>
          <w:szCs w:val="24"/>
        </w:rPr>
        <w:t>, 23–108.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[119]</w:t>
      </w:r>
      <w:r w:rsidRPr="00F168DA">
        <w:rPr>
          <w:rFonts w:ascii="Calibri" w:hAnsi="Calibri" w:cs="Times New Roman"/>
          <w:noProof/>
          <w:sz w:val="20"/>
          <w:szCs w:val="24"/>
        </w:rPr>
        <w:tab/>
        <w:t xml:space="preserve">N. R. Candeias, A. F. Trindade, P. M. P. Gois, C. A. M. Afonso, in </w:t>
      </w:r>
      <w:r w:rsidRPr="00F168DA">
        <w:rPr>
          <w:rFonts w:ascii="Calibri" w:hAnsi="Calibri" w:cs="Times New Roman"/>
          <w:i/>
          <w:iCs/>
          <w:noProof/>
          <w:sz w:val="20"/>
          <w:szCs w:val="24"/>
        </w:rPr>
        <w:t>Compr. Org. Synth. (2nd Ed.)</w:t>
      </w:r>
      <w:r w:rsidRPr="00F168DA">
        <w:rPr>
          <w:rFonts w:ascii="Calibri" w:hAnsi="Calibri" w:cs="Times New Roman"/>
          <w:noProof/>
          <w:sz w:val="20"/>
          <w:szCs w:val="24"/>
        </w:rPr>
        <w:t xml:space="preserve">, Elsevier B.V., </w:t>
      </w:r>
      <w:r w:rsidRPr="00F168DA">
        <w:rPr>
          <w:rFonts w:ascii="Calibri" w:hAnsi="Calibri" w:cs="Times New Roman"/>
          <w:b/>
          <w:bCs/>
          <w:noProof/>
          <w:sz w:val="20"/>
          <w:szCs w:val="24"/>
        </w:rPr>
        <w:t>2014</w:t>
      </w:r>
      <w:r w:rsidRPr="00F168DA">
        <w:rPr>
          <w:rFonts w:ascii="Calibri" w:hAnsi="Calibri" w:cs="Times New Roman"/>
          <w:noProof/>
          <w:sz w:val="20"/>
          <w:szCs w:val="24"/>
        </w:rPr>
        <w:t>, pp. 944–991.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[120]</w:t>
      </w:r>
      <w:r w:rsidRPr="00F168DA">
        <w:rPr>
          <w:rFonts w:ascii="Calibri" w:hAnsi="Calibri" w:cs="Times New Roman"/>
          <w:noProof/>
          <w:sz w:val="20"/>
          <w:szCs w:val="24"/>
        </w:rPr>
        <w:tab/>
        <w:t xml:space="preserve">R. R. Kumar, M. Balasubramanian, in </w:t>
      </w:r>
      <w:r w:rsidRPr="00F168DA">
        <w:rPr>
          <w:rFonts w:ascii="Calibri" w:hAnsi="Calibri" w:cs="Times New Roman"/>
          <w:i/>
          <w:iCs/>
          <w:noProof/>
          <w:sz w:val="20"/>
          <w:szCs w:val="24"/>
        </w:rPr>
        <w:t>Name React. Homol.</w:t>
      </w:r>
      <w:r w:rsidRPr="00F168DA">
        <w:rPr>
          <w:rFonts w:ascii="Calibri" w:hAnsi="Calibri" w:cs="Times New Roman"/>
          <w:noProof/>
          <w:sz w:val="20"/>
          <w:szCs w:val="24"/>
        </w:rPr>
        <w:t xml:space="preserve">, John Wiley &amp; Sons, Inc., </w:t>
      </w:r>
      <w:r w:rsidRPr="00F168DA">
        <w:rPr>
          <w:rFonts w:ascii="Calibri" w:hAnsi="Calibri" w:cs="Times New Roman"/>
          <w:b/>
          <w:bCs/>
          <w:noProof/>
          <w:sz w:val="20"/>
          <w:szCs w:val="24"/>
        </w:rPr>
        <w:t>2009</w:t>
      </w:r>
      <w:r w:rsidRPr="00F168DA">
        <w:rPr>
          <w:rFonts w:ascii="Calibri" w:hAnsi="Calibri" w:cs="Times New Roman"/>
          <w:noProof/>
          <w:sz w:val="20"/>
          <w:szCs w:val="24"/>
        </w:rPr>
        <w:t>, pp. 257–273.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[121]</w:t>
      </w:r>
      <w:r w:rsidRPr="00F168DA">
        <w:rPr>
          <w:rFonts w:ascii="Calibri" w:hAnsi="Calibri" w:cs="Times New Roman"/>
          <w:noProof/>
          <w:sz w:val="20"/>
          <w:szCs w:val="24"/>
        </w:rPr>
        <w:tab/>
        <w:t xml:space="preserve">H. Meier, K. P. Zeller, </w:t>
      </w:r>
      <w:r w:rsidRPr="00F168DA">
        <w:rPr>
          <w:rFonts w:ascii="Calibri" w:hAnsi="Calibri" w:cs="Times New Roman"/>
          <w:i/>
          <w:iCs/>
          <w:noProof/>
          <w:sz w:val="20"/>
          <w:szCs w:val="24"/>
        </w:rPr>
        <w:t>Angew. Chemie</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1975</w:t>
      </w:r>
      <w:r w:rsidRPr="00F168DA">
        <w:rPr>
          <w:rFonts w:ascii="Calibri" w:hAnsi="Calibri" w:cs="Times New Roman"/>
          <w:noProof/>
          <w:sz w:val="20"/>
          <w:szCs w:val="24"/>
        </w:rPr>
        <w:t xml:space="preserve">, </w:t>
      </w:r>
      <w:r w:rsidRPr="00F168DA">
        <w:rPr>
          <w:rFonts w:ascii="Calibri" w:hAnsi="Calibri" w:cs="Times New Roman"/>
          <w:i/>
          <w:iCs/>
          <w:noProof/>
          <w:sz w:val="20"/>
          <w:szCs w:val="24"/>
        </w:rPr>
        <w:t>87</w:t>
      </w:r>
      <w:r w:rsidRPr="00F168DA">
        <w:rPr>
          <w:rFonts w:ascii="Calibri" w:hAnsi="Calibri" w:cs="Times New Roman"/>
          <w:noProof/>
          <w:sz w:val="20"/>
          <w:szCs w:val="24"/>
        </w:rPr>
        <w:t>, 52–63.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[122]</w:t>
      </w:r>
      <w:r w:rsidRPr="00F168DA">
        <w:rPr>
          <w:rFonts w:ascii="Calibri" w:hAnsi="Calibri" w:cs="Times New Roman"/>
          <w:noProof/>
          <w:sz w:val="20"/>
          <w:szCs w:val="24"/>
        </w:rPr>
        <w:tab/>
        <w:t xml:space="preserve">L. L. Rodina, I. K. Korobitsyna, </w:t>
      </w:r>
      <w:r w:rsidRPr="00F168DA">
        <w:rPr>
          <w:rFonts w:ascii="Calibri" w:hAnsi="Calibri" w:cs="Times New Roman"/>
          <w:i/>
          <w:iCs/>
          <w:noProof/>
          <w:sz w:val="20"/>
          <w:szCs w:val="24"/>
        </w:rPr>
        <w:t>Usp. Khim.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1967</w:t>
      </w:r>
      <w:r w:rsidRPr="00F168DA">
        <w:rPr>
          <w:rFonts w:ascii="Calibri" w:hAnsi="Calibri" w:cs="Times New Roman"/>
          <w:noProof/>
          <w:sz w:val="20"/>
          <w:szCs w:val="24"/>
        </w:rPr>
        <w:t xml:space="preserve">, </w:t>
      </w:r>
      <w:r w:rsidRPr="00F168DA">
        <w:rPr>
          <w:rFonts w:ascii="Calibri" w:hAnsi="Calibri" w:cs="Times New Roman"/>
          <w:i/>
          <w:iCs/>
          <w:noProof/>
          <w:sz w:val="20"/>
          <w:szCs w:val="24"/>
        </w:rPr>
        <w:t>36</w:t>
      </w:r>
      <w:r w:rsidRPr="00F168DA">
        <w:rPr>
          <w:rFonts w:ascii="Calibri" w:hAnsi="Calibri" w:cs="Times New Roman"/>
          <w:noProof/>
          <w:sz w:val="20"/>
          <w:szCs w:val="24"/>
        </w:rPr>
        <w:t>, 611–635.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[123]</w:t>
      </w:r>
      <w:r w:rsidRPr="00F168DA">
        <w:rPr>
          <w:rFonts w:ascii="Calibri" w:hAnsi="Calibri" w:cs="Times New Roman"/>
          <w:noProof/>
          <w:sz w:val="20"/>
          <w:szCs w:val="24"/>
        </w:rPr>
        <w:tab/>
        <w:t xml:space="preserve">W. Kirmse, </w:t>
      </w:r>
      <w:r w:rsidRPr="00F168DA">
        <w:rPr>
          <w:rFonts w:ascii="Calibri" w:hAnsi="Calibri" w:cs="Times New Roman"/>
          <w:i/>
          <w:iCs/>
          <w:noProof/>
          <w:sz w:val="20"/>
          <w:szCs w:val="24"/>
        </w:rPr>
        <w:t>European 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2002</w:t>
      </w:r>
      <w:r w:rsidRPr="00F168DA">
        <w:rPr>
          <w:rFonts w:ascii="Calibri" w:hAnsi="Calibri" w:cs="Times New Roman"/>
          <w:noProof/>
          <w:sz w:val="20"/>
          <w:szCs w:val="24"/>
        </w:rPr>
        <w:t>, 2193–2256.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[124]</w:t>
      </w:r>
      <w:r w:rsidRPr="00F168DA">
        <w:rPr>
          <w:rFonts w:ascii="Calibri" w:hAnsi="Calibri" w:cs="Times New Roman"/>
          <w:noProof/>
          <w:sz w:val="20"/>
          <w:szCs w:val="24"/>
        </w:rPr>
        <w:tab/>
        <w:t xml:space="preserve">P. Visser, R. Zuhse, M. W. Wong, C. Wentrup,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1996</w:t>
      </w:r>
      <w:r w:rsidRPr="00F168DA">
        <w:rPr>
          <w:rFonts w:ascii="Calibri" w:hAnsi="Calibri" w:cs="Times New Roman"/>
          <w:noProof/>
          <w:sz w:val="20"/>
          <w:szCs w:val="24"/>
        </w:rPr>
        <w:t xml:space="preserve">, </w:t>
      </w:r>
      <w:r w:rsidRPr="00F168DA">
        <w:rPr>
          <w:rFonts w:ascii="Calibri" w:hAnsi="Calibri" w:cs="Times New Roman"/>
          <w:i/>
          <w:iCs/>
          <w:noProof/>
          <w:sz w:val="20"/>
          <w:szCs w:val="24"/>
        </w:rPr>
        <w:t>118</w:t>
      </w:r>
      <w:r w:rsidRPr="00F168DA">
        <w:rPr>
          <w:rFonts w:ascii="Calibri" w:hAnsi="Calibri" w:cs="Times New Roman"/>
          <w:noProof/>
          <w:sz w:val="20"/>
          <w:szCs w:val="24"/>
        </w:rPr>
        <w:t>, 12598–12602.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[125]</w:t>
      </w:r>
      <w:r w:rsidRPr="00F168DA">
        <w:rPr>
          <w:rFonts w:ascii="Calibri" w:hAnsi="Calibri" w:cs="Times New Roman"/>
          <w:noProof/>
          <w:sz w:val="20"/>
          <w:szCs w:val="24"/>
        </w:rPr>
        <w:tab/>
        <w:t xml:space="preserve">G. Burdzinski, Y. Zhang, J. Wang, M. S. Platz, </w:t>
      </w:r>
      <w:r w:rsidRPr="00F168DA">
        <w:rPr>
          <w:rFonts w:ascii="Calibri" w:hAnsi="Calibri" w:cs="Times New Roman"/>
          <w:i/>
          <w:iCs/>
          <w:noProof/>
          <w:sz w:val="20"/>
          <w:szCs w:val="24"/>
        </w:rPr>
        <w:t>J. Phys. Chem. A</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2010</w:t>
      </w:r>
      <w:r w:rsidRPr="00F168DA">
        <w:rPr>
          <w:rFonts w:ascii="Calibri" w:hAnsi="Calibri" w:cs="Times New Roman"/>
          <w:noProof/>
          <w:sz w:val="20"/>
          <w:szCs w:val="24"/>
        </w:rPr>
        <w:t xml:space="preserve">, </w:t>
      </w:r>
      <w:r w:rsidRPr="00F168DA">
        <w:rPr>
          <w:rFonts w:ascii="Calibri" w:hAnsi="Calibri" w:cs="Times New Roman"/>
          <w:i/>
          <w:iCs/>
          <w:noProof/>
          <w:sz w:val="20"/>
          <w:szCs w:val="24"/>
        </w:rPr>
        <w:t>114</w:t>
      </w:r>
      <w:r w:rsidRPr="00F168DA">
        <w:rPr>
          <w:rFonts w:ascii="Calibri" w:hAnsi="Calibri" w:cs="Times New Roman"/>
          <w:noProof/>
          <w:sz w:val="20"/>
          <w:szCs w:val="24"/>
        </w:rPr>
        <w:t>, 13065–13068.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[126]</w:t>
      </w:r>
      <w:r w:rsidRPr="00F168DA">
        <w:rPr>
          <w:rFonts w:ascii="Calibri" w:hAnsi="Calibri" w:cs="Times New Roman"/>
          <w:noProof/>
          <w:sz w:val="20"/>
          <w:szCs w:val="24"/>
        </w:rPr>
        <w:tab/>
        <w:t xml:space="preserve">G. Burdzinski, J. Rehault, J. Wang, M. S. Platz, </w:t>
      </w:r>
      <w:r w:rsidRPr="00F168DA">
        <w:rPr>
          <w:rFonts w:ascii="Calibri" w:hAnsi="Calibri" w:cs="Times New Roman"/>
          <w:i/>
          <w:iCs/>
          <w:noProof/>
          <w:sz w:val="20"/>
          <w:szCs w:val="24"/>
        </w:rPr>
        <w:t>J. Phys. Chem. A</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2008</w:t>
      </w:r>
      <w:r w:rsidRPr="00F168DA">
        <w:rPr>
          <w:rFonts w:ascii="Calibri" w:hAnsi="Calibri" w:cs="Times New Roman"/>
          <w:noProof/>
          <w:sz w:val="20"/>
          <w:szCs w:val="24"/>
        </w:rPr>
        <w:t xml:space="preserve">, </w:t>
      </w:r>
      <w:r w:rsidRPr="00F168DA">
        <w:rPr>
          <w:rFonts w:ascii="Calibri" w:hAnsi="Calibri" w:cs="Times New Roman"/>
          <w:i/>
          <w:iCs/>
          <w:noProof/>
          <w:sz w:val="20"/>
          <w:szCs w:val="24"/>
        </w:rPr>
        <w:t>112</w:t>
      </w:r>
      <w:r w:rsidRPr="00F168DA">
        <w:rPr>
          <w:rFonts w:ascii="Calibri" w:hAnsi="Calibri" w:cs="Times New Roman"/>
          <w:noProof/>
          <w:sz w:val="20"/>
          <w:szCs w:val="24"/>
        </w:rPr>
        <w:t>, 10108–10112.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[127]</w:t>
      </w:r>
      <w:r w:rsidRPr="00F168DA">
        <w:rPr>
          <w:rFonts w:ascii="Calibri" w:hAnsi="Calibri" w:cs="Times New Roman"/>
          <w:noProof/>
          <w:sz w:val="20"/>
          <w:szCs w:val="24"/>
        </w:rPr>
        <w:tab/>
        <w:t xml:space="preserve">J. Wang, G. Burdzinski, J. Kubicki, T. L. Gustafson, M. S. Platz,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2008</w:t>
      </w:r>
      <w:r w:rsidRPr="00F168DA">
        <w:rPr>
          <w:rFonts w:ascii="Calibri" w:hAnsi="Calibri" w:cs="Times New Roman"/>
          <w:noProof/>
          <w:sz w:val="20"/>
          <w:szCs w:val="24"/>
        </w:rPr>
        <w:t xml:space="preserve">, </w:t>
      </w:r>
      <w:r w:rsidRPr="00F168DA">
        <w:rPr>
          <w:rFonts w:ascii="Calibri" w:hAnsi="Calibri" w:cs="Times New Roman"/>
          <w:i/>
          <w:iCs/>
          <w:noProof/>
          <w:sz w:val="20"/>
          <w:szCs w:val="24"/>
        </w:rPr>
        <w:t>130</w:t>
      </w:r>
      <w:r w:rsidRPr="00F168DA">
        <w:rPr>
          <w:rFonts w:ascii="Calibri" w:hAnsi="Calibri" w:cs="Times New Roman"/>
          <w:noProof/>
          <w:sz w:val="20"/>
          <w:szCs w:val="24"/>
        </w:rPr>
        <w:t>, 5418–5419.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[128]</w:t>
      </w:r>
      <w:r w:rsidRPr="00F168DA">
        <w:rPr>
          <w:rFonts w:ascii="Calibri" w:hAnsi="Calibri" w:cs="Times New Roman"/>
          <w:noProof/>
          <w:sz w:val="20"/>
          <w:szCs w:val="24"/>
        </w:rPr>
        <w:tab/>
        <w:t xml:space="preserve">Y. Wang, T. Yuzawa, H. Hamaguchi, J. P. Toscano,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1999</w:t>
      </w:r>
      <w:r w:rsidRPr="00F168DA">
        <w:rPr>
          <w:rFonts w:ascii="Calibri" w:hAnsi="Calibri" w:cs="Times New Roman"/>
          <w:noProof/>
          <w:sz w:val="20"/>
          <w:szCs w:val="24"/>
        </w:rPr>
        <w:t xml:space="preserve">, </w:t>
      </w:r>
      <w:r w:rsidRPr="00F168DA">
        <w:rPr>
          <w:rFonts w:ascii="Calibri" w:hAnsi="Calibri" w:cs="Times New Roman"/>
          <w:i/>
          <w:iCs/>
          <w:noProof/>
          <w:sz w:val="20"/>
          <w:szCs w:val="24"/>
        </w:rPr>
        <w:t>121</w:t>
      </w:r>
      <w:r w:rsidRPr="00F168DA">
        <w:rPr>
          <w:rFonts w:ascii="Calibri" w:hAnsi="Calibri" w:cs="Times New Roman"/>
          <w:noProof/>
          <w:sz w:val="20"/>
          <w:szCs w:val="24"/>
        </w:rPr>
        <w:t>, 2875–2882.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[129]</w:t>
      </w:r>
      <w:r w:rsidRPr="00F168DA">
        <w:rPr>
          <w:rFonts w:ascii="Calibri" w:hAnsi="Calibri" w:cs="Times New Roman"/>
          <w:noProof/>
          <w:sz w:val="20"/>
          <w:szCs w:val="24"/>
        </w:rPr>
        <w:tab/>
        <w:t xml:space="preserve">Y. Chiang, A. J. Kresge, V. V Popik,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1999</w:t>
      </w:r>
      <w:r w:rsidRPr="00F168DA">
        <w:rPr>
          <w:rFonts w:ascii="Calibri" w:hAnsi="Calibri" w:cs="Times New Roman"/>
          <w:noProof/>
          <w:sz w:val="20"/>
          <w:szCs w:val="24"/>
        </w:rPr>
        <w:t xml:space="preserve">, </w:t>
      </w:r>
      <w:r w:rsidRPr="00F168DA">
        <w:rPr>
          <w:rFonts w:ascii="Calibri" w:hAnsi="Calibri" w:cs="Times New Roman"/>
          <w:i/>
          <w:iCs/>
          <w:noProof/>
          <w:sz w:val="20"/>
          <w:szCs w:val="24"/>
        </w:rPr>
        <w:t>121</w:t>
      </w:r>
      <w:r w:rsidRPr="00F168DA">
        <w:rPr>
          <w:rFonts w:ascii="Calibri" w:hAnsi="Calibri" w:cs="Times New Roman"/>
          <w:noProof/>
          <w:sz w:val="20"/>
          <w:szCs w:val="24"/>
        </w:rPr>
        <w:t>, 5930–5932.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[130]</w:t>
      </w:r>
      <w:r w:rsidRPr="00F168DA">
        <w:rPr>
          <w:rFonts w:ascii="Calibri" w:hAnsi="Calibri" w:cs="Times New Roman"/>
          <w:noProof/>
          <w:sz w:val="20"/>
          <w:szCs w:val="24"/>
        </w:rPr>
        <w:tab/>
        <w:t xml:space="preserve">F. Arndt, B. Eistert, </w:t>
      </w:r>
      <w:r w:rsidR="008E3A10" w:rsidRPr="00F168DA">
        <w:rPr>
          <w:rFonts w:ascii="Calibri" w:hAnsi="Calibri" w:cs="Times New Roman"/>
          <w:i/>
          <w:iCs/>
          <w:noProof/>
          <w:sz w:val="20"/>
          <w:szCs w:val="24"/>
        </w:rPr>
        <w:t>Berichte der Dtsch. Chem. Gesellschaft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1935</w:t>
      </w:r>
      <w:r w:rsidRPr="00F168DA">
        <w:rPr>
          <w:rFonts w:ascii="Calibri" w:hAnsi="Calibri" w:cs="Times New Roman"/>
          <w:noProof/>
          <w:sz w:val="20"/>
          <w:szCs w:val="24"/>
        </w:rPr>
        <w:t xml:space="preserve">, </w:t>
      </w:r>
      <w:r w:rsidRPr="00F168DA">
        <w:rPr>
          <w:rFonts w:ascii="Calibri" w:hAnsi="Calibri" w:cs="Times New Roman"/>
          <w:i/>
          <w:iCs/>
          <w:noProof/>
          <w:sz w:val="20"/>
          <w:szCs w:val="24"/>
        </w:rPr>
        <w:t>68B</w:t>
      </w:r>
      <w:r w:rsidRPr="00F168DA">
        <w:rPr>
          <w:rFonts w:ascii="Calibri" w:hAnsi="Calibri" w:cs="Times New Roman"/>
          <w:noProof/>
          <w:sz w:val="20"/>
          <w:szCs w:val="24"/>
        </w:rPr>
        <w:t>, 200–208.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[131]</w:t>
      </w:r>
      <w:r w:rsidRPr="00F168DA">
        <w:rPr>
          <w:rFonts w:ascii="Calibri" w:hAnsi="Calibri" w:cs="Times New Roman"/>
          <w:noProof/>
          <w:sz w:val="20"/>
          <w:szCs w:val="24"/>
        </w:rPr>
        <w:tab/>
        <w:t xml:space="preserve">S. Zrig, B. Andrioletti, E. Rose, J. Colin, </w:t>
      </w:r>
      <w:r w:rsidRPr="00F168DA">
        <w:rPr>
          <w:rFonts w:ascii="Calibri" w:hAnsi="Calibri" w:cs="Times New Roman"/>
          <w:i/>
          <w:iCs/>
          <w:noProof/>
          <w:sz w:val="20"/>
          <w:szCs w:val="24"/>
        </w:rPr>
        <w:t>Tetrahedron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2005</w:t>
      </w:r>
      <w:r w:rsidRPr="00F168DA">
        <w:rPr>
          <w:rFonts w:ascii="Calibri" w:hAnsi="Calibri" w:cs="Times New Roman"/>
          <w:noProof/>
          <w:sz w:val="20"/>
          <w:szCs w:val="24"/>
        </w:rPr>
        <w:t xml:space="preserve">, </w:t>
      </w:r>
      <w:r w:rsidRPr="00F168DA">
        <w:rPr>
          <w:rFonts w:ascii="Calibri" w:hAnsi="Calibri" w:cs="Times New Roman"/>
          <w:i/>
          <w:iCs/>
          <w:noProof/>
          <w:sz w:val="20"/>
          <w:szCs w:val="24"/>
        </w:rPr>
        <w:t>46</w:t>
      </w:r>
      <w:r w:rsidRPr="00F168DA">
        <w:rPr>
          <w:rFonts w:ascii="Calibri" w:hAnsi="Calibri" w:cs="Times New Roman"/>
          <w:noProof/>
          <w:sz w:val="20"/>
          <w:szCs w:val="24"/>
        </w:rPr>
        <w:t>, 1103–1105.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[132]</w:t>
      </w:r>
      <w:r w:rsidRPr="00F168DA">
        <w:rPr>
          <w:rFonts w:ascii="Calibri" w:hAnsi="Calibri" w:cs="Times New Roman"/>
          <w:noProof/>
          <w:sz w:val="20"/>
          <w:szCs w:val="24"/>
        </w:rPr>
        <w:tab/>
        <w:t xml:space="preserve">C. Thommen, C. K. Jana, M. Neuburger, K. Gademann, </w:t>
      </w:r>
      <w:r w:rsidRPr="00F168DA">
        <w:rPr>
          <w:rFonts w:ascii="Calibri" w:hAnsi="Calibri" w:cs="Times New Roman"/>
          <w:i/>
          <w:iCs/>
          <w:noProof/>
          <w:sz w:val="20"/>
          <w:szCs w:val="24"/>
        </w:rPr>
        <w:t>Org.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2013</w:t>
      </w:r>
      <w:r w:rsidRPr="00F168DA">
        <w:rPr>
          <w:rFonts w:ascii="Calibri" w:hAnsi="Calibri" w:cs="Times New Roman"/>
          <w:noProof/>
          <w:sz w:val="20"/>
          <w:szCs w:val="24"/>
        </w:rPr>
        <w:t xml:space="preserve">, </w:t>
      </w:r>
      <w:r w:rsidRPr="00F168DA">
        <w:rPr>
          <w:rFonts w:ascii="Calibri" w:hAnsi="Calibri" w:cs="Times New Roman"/>
          <w:i/>
          <w:iCs/>
          <w:noProof/>
          <w:sz w:val="20"/>
          <w:szCs w:val="24"/>
        </w:rPr>
        <w:t>15</w:t>
      </w:r>
      <w:r w:rsidRPr="00F168DA">
        <w:rPr>
          <w:rFonts w:ascii="Calibri" w:hAnsi="Calibri" w:cs="Times New Roman"/>
          <w:noProof/>
          <w:sz w:val="20"/>
          <w:szCs w:val="24"/>
        </w:rPr>
        <w:t>, 1390–1393.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[133]</w:t>
      </w:r>
      <w:r w:rsidRPr="00F168DA">
        <w:rPr>
          <w:rFonts w:ascii="Calibri" w:hAnsi="Calibri" w:cs="Times New Roman"/>
          <w:noProof/>
          <w:sz w:val="20"/>
          <w:szCs w:val="24"/>
        </w:rPr>
        <w:tab/>
        <w:t xml:space="preserve">C. N. Slattery, A. Ford, A. R. Maguire, </w:t>
      </w:r>
      <w:r w:rsidRPr="00F168DA">
        <w:rPr>
          <w:rFonts w:ascii="Calibri" w:hAnsi="Calibri" w:cs="Times New Roman"/>
          <w:i/>
          <w:iCs/>
          <w:noProof/>
          <w:sz w:val="20"/>
          <w:szCs w:val="24"/>
        </w:rPr>
        <w:t>Tetrahedron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2010</w:t>
      </w:r>
      <w:r w:rsidRPr="00F168DA">
        <w:rPr>
          <w:rFonts w:ascii="Calibri" w:hAnsi="Calibri" w:cs="Times New Roman"/>
          <w:noProof/>
          <w:sz w:val="20"/>
          <w:szCs w:val="24"/>
        </w:rPr>
        <w:t xml:space="preserve">, </w:t>
      </w:r>
      <w:r w:rsidRPr="00F168DA">
        <w:rPr>
          <w:rFonts w:ascii="Calibri" w:hAnsi="Calibri" w:cs="Times New Roman"/>
          <w:i/>
          <w:iCs/>
          <w:noProof/>
          <w:sz w:val="20"/>
          <w:szCs w:val="24"/>
        </w:rPr>
        <w:t>66</w:t>
      </w:r>
      <w:r w:rsidRPr="00F168DA">
        <w:rPr>
          <w:rFonts w:ascii="Calibri" w:hAnsi="Calibri" w:cs="Times New Roman"/>
          <w:noProof/>
          <w:sz w:val="20"/>
          <w:szCs w:val="24"/>
        </w:rPr>
        <w:t>, 6681–6705.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[134]</w:t>
      </w:r>
      <w:r w:rsidRPr="00F168DA">
        <w:rPr>
          <w:rFonts w:ascii="Calibri" w:hAnsi="Calibri" w:cs="Times New Roman"/>
          <w:noProof/>
          <w:sz w:val="20"/>
          <w:szCs w:val="24"/>
        </w:rPr>
        <w:tab/>
        <w:t xml:space="preserve">M. P. Doyle, M. Ratnikov, Y. Liu, </w:t>
      </w:r>
      <w:r w:rsidRPr="00F168DA">
        <w:rPr>
          <w:rFonts w:ascii="Calibri" w:hAnsi="Calibri" w:cs="Times New Roman"/>
          <w:i/>
          <w:iCs/>
          <w:noProof/>
          <w:sz w:val="20"/>
          <w:szCs w:val="24"/>
        </w:rPr>
        <w:t>Org. Biomol.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2011</w:t>
      </w:r>
      <w:r w:rsidRPr="00F168DA">
        <w:rPr>
          <w:rFonts w:ascii="Calibri" w:hAnsi="Calibri" w:cs="Times New Roman"/>
          <w:noProof/>
          <w:sz w:val="20"/>
          <w:szCs w:val="24"/>
        </w:rPr>
        <w:t xml:space="preserve">, </w:t>
      </w:r>
      <w:r w:rsidRPr="00F168DA">
        <w:rPr>
          <w:rFonts w:ascii="Calibri" w:hAnsi="Calibri" w:cs="Times New Roman"/>
          <w:i/>
          <w:iCs/>
          <w:noProof/>
          <w:sz w:val="20"/>
          <w:szCs w:val="24"/>
        </w:rPr>
        <w:t>9</w:t>
      </w:r>
      <w:r w:rsidRPr="00F168DA">
        <w:rPr>
          <w:rFonts w:ascii="Calibri" w:hAnsi="Calibri" w:cs="Times New Roman"/>
          <w:noProof/>
          <w:sz w:val="20"/>
          <w:szCs w:val="24"/>
        </w:rPr>
        <w:t>, 4007–4016.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[135]</w:t>
      </w:r>
      <w:r w:rsidRPr="00F168DA">
        <w:rPr>
          <w:rFonts w:ascii="Calibri" w:hAnsi="Calibri" w:cs="Times New Roman"/>
          <w:noProof/>
          <w:sz w:val="20"/>
          <w:szCs w:val="24"/>
        </w:rPr>
        <w:tab/>
        <w:t xml:space="preserve">H. Meerwein, H. Rathjen, H. Werner, </w:t>
      </w:r>
      <w:r w:rsidR="008E3A10" w:rsidRPr="00F168DA">
        <w:rPr>
          <w:rFonts w:ascii="Calibri" w:hAnsi="Calibri" w:cs="Times New Roman"/>
          <w:i/>
          <w:iCs/>
          <w:noProof/>
          <w:sz w:val="20"/>
          <w:szCs w:val="24"/>
        </w:rPr>
        <w:t>Berichte der Dtsch. Chem. Gesellschaft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1942</w:t>
      </w:r>
      <w:r w:rsidRPr="00F168DA">
        <w:rPr>
          <w:rFonts w:ascii="Calibri" w:hAnsi="Calibri" w:cs="Times New Roman"/>
          <w:noProof/>
          <w:sz w:val="20"/>
          <w:szCs w:val="24"/>
        </w:rPr>
        <w:t xml:space="preserve">, </w:t>
      </w:r>
      <w:r w:rsidRPr="00F168DA">
        <w:rPr>
          <w:rFonts w:ascii="Calibri" w:hAnsi="Calibri" w:cs="Times New Roman"/>
          <w:i/>
          <w:iCs/>
          <w:noProof/>
          <w:sz w:val="20"/>
          <w:szCs w:val="24"/>
        </w:rPr>
        <w:t>75B</w:t>
      </w:r>
      <w:r w:rsidRPr="00F168DA">
        <w:rPr>
          <w:rFonts w:ascii="Calibri" w:hAnsi="Calibri" w:cs="Times New Roman"/>
          <w:noProof/>
          <w:sz w:val="20"/>
          <w:szCs w:val="24"/>
        </w:rPr>
        <w:t>, 1610–1622.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[136]</w:t>
      </w:r>
      <w:r w:rsidRPr="00F168DA">
        <w:rPr>
          <w:rFonts w:ascii="Calibri" w:hAnsi="Calibri" w:cs="Times New Roman"/>
          <w:noProof/>
          <w:sz w:val="20"/>
          <w:szCs w:val="24"/>
        </w:rPr>
        <w:tab/>
        <w:t xml:space="preserve">F. Greuter, J. Kalvoda, O. Jeger, </w:t>
      </w:r>
      <w:r w:rsidRPr="00F168DA">
        <w:rPr>
          <w:rFonts w:ascii="Calibri" w:hAnsi="Calibri" w:cs="Times New Roman"/>
          <w:i/>
          <w:iCs/>
          <w:noProof/>
          <w:sz w:val="20"/>
          <w:szCs w:val="24"/>
        </w:rPr>
        <w:t>Proc. Chem. Soc. London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1958</w:t>
      </w:r>
      <w:r w:rsidRPr="00F168DA">
        <w:rPr>
          <w:rFonts w:ascii="Calibri" w:hAnsi="Calibri" w:cs="Times New Roman"/>
          <w:noProof/>
          <w:sz w:val="20"/>
          <w:szCs w:val="24"/>
        </w:rPr>
        <w:t>, 349.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lastRenderedPageBreak/>
        <w:t>[137]</w:t>
      </w:r>
      <w:r w:rsidRPr="00F168DA">
        <w:rPr>
          <w:rFonts w:ascii="Calibri" w:hAnsi="Calibri" w:cs="Times New Roman"/>
          <w:noProof/>
          <w:sz w:val="20"/>
          <w:szCs w:val="24"/>
        </w:rPr>
        <w:tab/>
        <w:t xml:space="preserve">A. Demonceau, A. F. Noels, A. J. Hubert, P. Teyssie, </w:t>
      </w:r>
      <w:r w:rsidRPr="00F168DA">
        <w:rPr>
          <w:rFonts w:ascii="Calibri" w:hAnsi="Calibri" w:cs="Times New Roman"/>
          <w:i/>
          <w:iCs/>
          <w:noProof/>
          <w:sz w:val="20"/>
          <w:szCs w:val="24"/>
        </w:rPr>
        <w:t>J. Chem. Soc. Chem. Commun.</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1981</w:t>
      </w:r>
      <w:r w:rsidRPr="00F168DA">
        <w:rPr>
          <w:rFonts w:ascii="Calibri" w:hAnsi="Calibri" w:cs="Times New Roman"/>
          <w:noProof/>
          <w:sz w:val="20"/>
          <w:szCs w:val="24"/>
        </w:rPr>
        <w:t>, 688–689.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[138]</w:t>
      </w:r>
      <w:r w:rsidRPr="00F168DA">
        <w:rPr>
          <w:rFonts w:ascii="Calibri" w:hAnsi="Calibri" w:cs="Times New Roman"/>
          <w:noProof/>
          <w:sz w:val="20"/>
          <w:szCs w:val="24"/>
        </w:rPr>
        <w:tab/>
        <w:t xml:space="preserve">J. D. White, P. Hrnciar, F. Stappenbeck,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1997</w:t>
      </w:r>
      <w:r w:rsidRPr="00F168DA">
        <w:rPr>
          <w:rFonts w:ascii="Calibri" w:hAnsi="Calibri" w:cs="Times New Roman"/>
          <w:noProof/>
          <w:sz w:val="20"/>
          <w:szCs w:val="24"/>
        </w:rPr>
        <w:t xml:space="preserve">, </w:t>
      </w:r>
      <w:r w:rsidRPr="00F168DA">
        <w:rPr>
          <w:rFonts w:ascii="Calibri" w:hAnsi="Calibri" w:cs="Times New Roman"/>
          <w:i/>
          <w:iCs/>
          <w:noProof/>
          <w:sz w:val="20"/>
          <w:szCs w:val="24"/>
        </w:rPr>
        <w:t>62</w:t>
      </w:r>
      <w:r w:rsidRPr="00F168DA">
        <w:rPr>
          <w:rFonts w:ascii="Calibri" w:hAnsi="Calibri" w:cs="Times New Roman"/>
          <w:noProof/>
          <w:sz w:val="20"/>
          <w:szCs w:val="24"/>
        </w:rPr>
        <w:t>, 5250–5251.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[139]</w:t>
      </w:r>
      <w:r w:rsidRPr="00F168DA">
        <w:rPr>
          <w:rFonts w:ascii="Calibri" w:hAnsi="Calibri" w:cs="Times New Roman"/>
          <w:noProof/>
          <w:sz w:val="20"/>
          <w:szCs w:val="24"/>
        </w:rPr>
        <w:tab/>
        <w:t xml:space="preserve">M. G. Lloyd, M. D’Acunto, R. J. K. Taylor, W. P. Unsworth, </w:t>
      </w:r>
      <w:r w:rsidRPr="00F168DA">
        <w:rPr>
          <w:rFonts w:ascii="Calibri" w:hAnsi="Calibri" w:cs="Times New Roman"/>
          <w:i/>
          <w:iCs/>
          <w:noProof/>
          <w:sz w:val="20"/>
          <w:szCs w:val="24"/>
        </w:rPr>
        <w:t>Org. Biomol.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2016</w:t>
      </w:r>
      <w:r w:rsidRPr="00F168DA">
        <w:rPr>
          <w:rFonts w:ascii="Calibri" w:hAnsi="Calibri" w:cs="Times New Roman"/>
          <w:noProof/>
          <w:sz w:val="20"/>
          <w:szCs w:val="24"/>
        </w:rPr>
        <w:t xml:space="preserve">, </w:t>
      </w:r>
      <w:r w:rsidRPr="00F168DA">
        <w:rPr>
          <w:rFonts w:ascii="Calibri" w:hAnsi="Calibri" w:cs="Times New Roman"/>
          <w:i/>
          <w:iCs/>
          <w:noProof/>
          <w:sz w:val="20"/>
          <w:szCs w:val="24"/>
        </w:rPr>
        <w:t>14</w:t>
      </w:r>
      <w:r w:rsidRPr="00F168DA">
        <w:rPr>
          <w:rFonts w:ascii="Calibri" w:hAnsi="Calibri" w:cs="Times New Roman"/>
          <w:noProof/>
          <w:sz w:val="20"/>
          <w:szCs w:val="24"/>
        </w:rPr>
        <w:t>, 1641–1645.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[140]</w:t>
      </w:r>
      <w:r w:rsidRPr="00F168DA">
        <w:rPr>
          <w:rFonts w:ascii="Calibri" w:hAnsi="Calibri" w:cs="Times New Roman"/>
          <w:noProof/>
          <w:sz w:val="20"/>
          <w:szCs w:val="24"/>
        </w:rPr>
        <w:tab/>
        <w:t xml:space="preserve">N. T. M. Wilsmore, </w:t>
      </w:r>
      <w:r w:rsidRPr="00F168DA">
        <w:rPr>
          <w:rFonts w:ascii="Calibri" w:hAnsi="Calibri" w:cs="Times New Roman"/>
          <w:i/>
          <w:iCs/>
          <w:noProof/>
          <w:sz w:val="20"/>
          <w:szCs w:val="24"/>
        </w:rPr>
        <w:t>J. Chem. Soc. Trans.</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1907</w:t>
      </w:r>
      <w:r w:rsidRPr="00F168DA">
        <w:rPr>
          <w:rFonts w:ascii="Calibri" w:hAnsi="Calibri" w:cs="Times New Roman"/>
          <w:noProof/>
          <w:sz w:val="20"/>
          <w:szCs w:val="24"/>
        </w:rPr>
        <w:t xml:space="preserve">, </w:t>
      </w:r>
      <w:r w:rsidRPr="00F168DA">
        <w:rPr>
          <w:rFonts w:ascii="Calibri" w:hAnsi="Calibri" w:cs="Times New Roman"/>
          <w:i/>
          <w:iCs/>
          <w:noProof/>
          <w:sz w:val="20"/>
          <w:szCs w:val="24"/>
        </w:rPr>
        <w:t>91</w:t>
      </w:r>
      <w:r w:rsidRPr="00F168DA">
        <w:rPr>
          <w:rFonts w:ascii="Calibri" w:hAnsi="Calibri" w:cs="Times New Roman"/>
          <w:noProof/>
          <w:sz w:val="20"/>
          <w:szCs w:val="24"/>
        </w:rPr>
        <w:t>, 1938–1941.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[141]</w:t>
      </w:r>
      <w:r w:rsidRPr="00F168DA">
        <w:rPr>
          <w:rFonts w:ascii="Calibri" w:hAnsi="Calibri" w:cs="Times New Roman"/>
          <w:noProof/>
          <w:sz w:val="20"/>
          <w:szCs w:val="24"/>
        </w:rPr>
        <w:tab/>
        <w:t xml:space="preserve">M. F. Carroll, A. R. Bader,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1952</w:t>
      </w:r>
      <w:r w:rsidRPr="00F168DA">
        <w:rPr>
          <w:rFonts w:ascii="Calibri" w:hAnsi="Calibri" w:cs="Times New Roman"/>
          <w:noProof/>
          <w:sz w:val="20"/>
          <w:szCs w:val="24"/>
        </w:rPr>
        <w:t xml:space="preserve">, </w:t>
      </w:r>
      <w:r w:rsidRPr="00F168DA">
        <w:rPr>
          <w:rFonts w:ascii="Calibri" w:hAnsi="Calibri" w:cs="Times New Roman"/>
          <w:i/>
          <w:iCs/>
          <w:noProof/>
          <w:sz w:val="20"/>
          <w:szCs w:val="24"/>
        </w:rPr>
        <w:t>74</w:t>
      </w:r>
      <w:r w:rsidRPr="00F168DA">
        <w:rPr>
          <w:rFonts w:ascii="Calibri" w:hAnsi="Calibri" w:cs="Times New Roman"/>
          <w:noProof/>
          <w:sz w:val="20"/>
          <w:szCs w:val="24"/>
        </w:rPr>
        <w:t>, 6305.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[142]</w:t>
      </w:r>
      <w:r w:rsidRPr="00F168DA">
        <w:rPr>
          <w:rFonts w:ascii="Calibri" w:hAnsi="Calibri" w:cs="Times New Roman"/>
          <w:noProof/>
          <w:sz w:val="20"/>
          <w:szCs w:val="24"/>
        </w:rPr>
        <w:tab/>
        <w:t xml:space="preserve">M. F. Carroll, A. R. Bader,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1953</w:t>
      </w:r>
      <w:r w:rsidRPr="00F168DA">
        <w:rPr>
          <w:rFonts w:ascii="Calibri" w:hAnsi="Calibri" w:cs="Times New Roman"/>
          <w:noProof/>
          <w:sz w:val="20"/>
          <w:szCs w:val="24"/>
        </w:rPr>
        <w:t xml:space="preserve">, </w:t>
      </w:r>
      <w:r w:rsidRPr="00F168DA">
        <w:rPr>
          <w:rFonts w:ascii="Calibri" w:hAnsi="Calibri" w:cs="Times New Roman"/>
          <w:i/>
          <w:iCs/>
          <w:noProof/>
          <w:sz w:val="20"/>
          <w:szCs w:val="24"/>
        </w:rPr>
        <w:t>75</w:t>
      </w:r>
      <w:r w:rsidRPr="00F168DA">
        <w:rPr>
          <w:rFonts w:ascii="Calibri" w:hAnsi="Calibri" w:cs="Times New Roman"/>
          <w:noProof/>
          <w:sz w:val="20"/>
          <w:szCs w:val="24"/>
        </w:rPr>
        <w:t>, 5400–5402.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[143]</w:t>
      </w:r>
      <w:r w:rsidRPr="00F168DA">
        <w:rPr>
          <w:rFonts w:ascii="Calibri" w:hAnsi="Calibri" w:cs="Times New Roman"/>
          <w:noProof/>
          <w:sz w:val="20"/>
          <w:szCs w:val="24"/>
        </w:rPr>
        <w:tab/>
        <w:t xml:space="preserve">A. R. Bader, H. S. Gutowsky, J. P. Heeschen,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1956</w:t>
      </w:r>
      <w:r w:rsidRPr="00F168DA">
        <w:rPr>
          <w:rFonts w:ascii="Calibri" w:hAnsi="Calibri" w:cs="Times New Roman"/>
          <w:noProof/>
          <w:sz w:val="20"/>
          <w:szCs w:val="24"/>
        </w:rPr>
        <w:t xml:space="preserve">, </w:t>
      </w:r>
      <w:r w:rsidRPr="00F168DA">
        <w:rPr>
          <w:rFonts w:ascii="Calibri" w:hAnsi="Calibri" w:cs="Times New Roman"/>
          <w:i/>
          <w:iCs/>
          <w:noProof/>
          <w:sz w:val="20"/>
          <w:szCs w:val="24"/>
        </w:rPr>
        <w:t>21</w:t>
      </w:r>
      <w:r w:rsidRPr="00F168DA">
        <w:rPr>
          <w:rFonts w:ascii="Calibri" w:hAnsi="Calibri" w:cs="Times New Roman"/>
          <w:noProof/>
          <w:sz w:val="20"/>
          <w:szCs w:val="24"/>
        </w:rPr>
        <w:t>, 821–822.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[144]</w:t>
      </w:r>
      <w:r w:rsidRPr="00F168DA">
        <w:rPr>
          <w:rFonts w:ascii="Calibri" w:hAnsi="Calibri" w:cs="Times New Roman"/>
          <w:noProof/>
          <w:sz w:val="20"/>
          <w:szCs w:val="24"/>
        </w:rPr>
        <w:tab/>
        <w:t xml:space="preserve">C. Kaneko, M. Sato, J. Sakaki, Y. Abe, </w:t>
      </w:r>
      <w:r w:rsidRPr="00F168DA">
        <w:rPr>
          <w:rFonts w:ascii="Calibri" w:hAnsi="Calibri" w:cs="Times New Roman"/>
          <w:i/>
          <w:iCs/>
          <w:noProof/>
          <w:sz w:val="20"/>
          <w:szCs w:val="24"/>
        </w:rPr>
        <w:t>J. Heterocycl.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1990</w:t>
      </w:r>
      <w:r w:rsidRPr="00F168DA">
        <w:rPr>
          <w:rFonts w:ascii="Calibri" w:hAnsi="Calibri" w:cs="Times New Roman"/>
          <w:noProof/>
          <w:sz w:val="20"/>
          <w:szCs w:val="24"/>
        </w:rPr>
        <w:t xml:space="preserve">, </w:t>
      </w:r>
      <w:r w:rsidRPr="00F168DA">
        <w:rPr>
          <w:rFonts w:ascii="Calibri" w:hAnsi="Calibri" w:cs="Times New Roman"/>
          <w:i/>
          <w:iCs/>
          <w:noProof/>
          <w:sz w:val="20"/>
          <w:szCs w:val="24"/>
        </w:rPr>
        <w:t>27</w:t>
      </w:r>
      <w:r w:rsidRPr="00F168DA">
        <w:rPr>
          <w:rFonts w:ascii="Calibri" w:hAnsi="Calibri" w:cs="Times New Roman"/>
          <w:noProof/>
          <w:sz w:val="20"/>
          <w:szCs w:val="24"/>
        </w:rPr>
        <w:t>, 25–30.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[145]</w:t>
      </w:r>
      <w:r w:rsidRPr="00F168DA">
        <w:rPr>
          <w:rFonts w:ascii="Calibri" w:hAnsi="Calibri" w:cs="Times New Roman"/>
          <w:noProof/>
          <w:sz w:val="20"/>
          <w:szCs w:val="24"/>
        </w:rPr>
        <w:tab/>
        <w:t xml:space="preserve">M. Sato, K. Iwamoto, </w:t>
      </w:r>
      <w:r w:rsidRPr="00F168DA">
        <w:rPr>
          <w:rFonts w:ascii="Calibri" w:hAnsi="Calibri" w:cs="Times New Roman"/>
          <w:i/>
          <w:iCs/>
          <w:noProof/>
          <w:sz w:val="20"/>
          <w:szCs w:val="24"/>
        </w:rPr>
        <w:t>Yuki Gosei Kagaku Kyokaishi</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1999</w:t>
      </w:r>
      <w:r w:rsidRPr="00F168DA">
        <w:rPr>
          <w:rFonts w:ascii="Calibri" w:hAnsi="Calibri" w:cs="Times New Roman"/>
          <w:noProof/>
          <w:sz w:val="20"/>
          <w:szCs w:val="24"/>
        </w:rPr>
        <w:t xml:space="preserve">, </w:t>
      </w:r>
      <w:r w:rsidRPr="00F168DA">
        <w:rPr>
          <w:rFonts w:ascii="Calibri" w:hAnsi="Calibri" w:cs="Times New Roman"/>
          <w:i/>
          <w:iCs/>
          <w:noProof/>
          <w:sz w:val="20"/>
          <w:szCs w:val="24"/>
        </w:rPr>
        <w:t>57</w:t>
      </w:r>
      <w:r w:rsidRPr="00F168DA">
        <w:rPr>
          <w:rFonts w:ascii="Calibri" w:hAnsi="Calibri" w:cs="Times New Roman"/>
          <w:noProof/>
          <w:sz w:val="20"/>
          <w:szCs w:val="24"/>
        </w:rPr>
        <w:t>, 76–83.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[146]</w:t>
      </w:r>
      <w:r w:rsidRPr="00F168DA">
        <w:rPr>
          <w:rFonts w:ascii="Calibri" w:hAnsi="Calibri" w:cs="Times New Roman"/>
          <w:noProof/>
          <w:sz w:val="20"/>
          <w:szCs w:val="24"/>
        </w:rPr>
        <w:tab/>
        <w:t xml:space="preserve">R. H. Tale, R. N. Adude, </w:t>
      </w:r>
      <w:r w:rsidRPr="00F168DA">
        <w:rPr>
          <w:rFonts w:ascii="Calibri" w:hAnsi="Calibri" w:cs="Times New Roman"/>
          <w:i/>
          <w:iCs/>
          <w:noProof/>
          <w:sz w:val="20"/>
          <w:szCs w:val="24"/>
        </w:rPr>
        <w:t>Tetrahedron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2006</w:t>
      </w:r>
      <w:r w:rsidRPr="00F168DA">
        <w:rPr>
          <w:rFonts w:ascii="Calibri" w:hAnsi="Calibri" w:cs="Times New Roman"/>
          <w:noProof/>
          <w:sz w:val="20"/>
          <w:szCs w:val="24"/>
        </w:rPr>
        <w:t xml:space="preserve">, </w:t>
      </w:r>
      <w:r w:rsidRPr="00F168DA">
        <w:rPr>
          <w:rFonts w:ascii="Calibri" w:hAnsi="Calibri" w:cs="Times New Roman"/>
          <w:i/>
          <w:iCs/>
          <w:noProof/>
          <w:sz w:val="20"/>
          <w:szCs w:val="24"/>
        </w:rPr>
        <w:t>47</w:t>
      </w:r>
      <w:r w:rsidRPr="00F168DA">
        <w:rPr>
          <w:rFonts w:ascii="Calibri" w:hAnsi="Calibri" w:cs="Times New Roman"/>
          <w:noProof/>
          <w:sz w:val="20"/>
          <w:szCs w:val="24"/>
        </w:rPr>
        <w:t>, 7263–7265.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[147]</w:t>
      </w:r>
      <w:r w:rsidRPr="00F168DA">
        <w:rPr>
          <w:rFonts w:ascii="Calibri" w:hAnsi="Calibri" w:cs="Times New Roman"/>
          <w:noProof/>
          <w:sz w:val="20"/>
          <w:szCs w:val="24"/>
        </w:rPr>
        <w:tab/>
        <w:t xml:space="preserve">D. D. Nekrasov, </w:t>
      </w:r>
      <w:r w:rsidRPr="00F168DA">
        <w:rPr>
          <w:rFonts w:ascii="Calibri" w:hAnsi="Calibri" w:cs="Times New Roman"/>
          <w:i/>
          <w:iCs/>
          <w:noProof/>
          <w:sz w:val="20"/>
          <w:szCs w:val="24"/>
        </w:rPr>
        <w:t xml:space="preserve">Chem. Heterocycl. Compd. </w:t>
      </w:r>
      <w:r w:rsidRPr="00F168DA">
        <w:rPr>
          <w:rFonts w:ascii="Calibri" w:hAnsi="Calibri" w:cs="Times New Roman"/>
          <w:b/>
          <w:bCs/>
          <w:noProof/>
          <w:sz w:val="20"/>
          <w:szCs w:val="24"/>
        </w:rPr>
        <w:t>2001</w:t>
      </w:r>
      <w:r w:rsidRPr="00F168DA">
        <w:rPr>
          <w:rFonts w:ascii="Calibri" w:hAnsi="Calibri" w:cs="Times New Roman"/>
          <w:noProof/>
          <w:sz w:val="20"/>
          <w:szCs w:val="24"/>
        </w:rPr>
        <w:t xml:space="preserve">, </w:t>
      </w:r>
      <w:r w:rsidRPr="00F168DA">
        <w:rPr>
          <w:rFonts w:ascii="Calibri" w:hAnsi="Calibri" w:cs="Times New Roman"/>
          <w:i/>
          <w:iCs/>
          <w:noProof/>
          <w:sz w:val="20"/>
          <w:szCs w:val="24"/>
        </w:rPr>
        <w:t>37</w:t>
      </w:r>
      <w:r w:rsidRPr="00F168DA">
        <w:rPr>
          <w:rFonts w:ascii="Calibri" w:hAnsi="Calibri" w:cs="Times New Roman"/>
          <w:noProof/>
          <w:sz w:val="20"/>
          <w:szCs w:val="24"/>
        </w:rPr>
        <w:t>, 925–938.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[148]</w:t>
      </w:r>
      <w:r w:rsidRPr="00F168DA">
        <w:rPr>
          <w:rFonts w:ascii="Calibri" w:hAnsi="Calibri" w:cs="Times New Roman"/>
          <w:noProof/>
          <w:sz w:val="20"/>
          <w:szCs w:val="24"/>
        </w:rPr>
        <w:tab/>
        <w:t xml:space="preserve">M. Sato, </w:t>
      </w:r>
      <w:r w:rsidRPr="00F168DA">
        <w:rPr>
          <w:rFonts w:ascii="Calibri" w:hAnsi="Calibri" w:cs="Times New Roman"/>
          <w:i/>
          <w:iCs/>
          <w:noProof/>
          <w:sz w:val="20"/>
          <w:szCs w:val="24"/>
        </w:rPr>
        <w:t>Yakugaku Zasshi</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1988</w:t>
      </w:r>
      <w:r w:rsidRPr="00F168DA">
        <w:rPr>
          <w:rFonts w:ascii="Calibri" w:hAnsi="Calibri" w:cs="Times New Roman"/>
          <w:noProof/>
          <w:sz w:val="20"/>
          <w:szCs w:val="24"/>
        </w:rPr>
        <w:t xml:space="preserve">, </w:t>
      </w:r>
      <w:r w:rsidRPr="00F168DA">
        <w:rPr>
          <w:rFonts w:ascii="Calibri" w:hAnsi="Calibri" w:cs="Times New Roman"/>
          <w:i/>
          <w:iCs/>
          <w:noProof/>
          <w:sz w:val="20"/>
          <w:szCs w:val="24"/>
        </w:rPr>
        <w:t>108</w:t>
      </w:r>
      <w:r w:rsidRPr="00F168DA">
        <w:rPr>
          <w:rFonts w:ascii="Calibri" w:hAnsi="Calibri" w:cs="Times New Roman"/>
          <w:noProof/>
          <w:sz w:val="20"/>
          <w:szCs w:val="24"/>
        </w:rPr>
        <w:t>, 805–823.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[149]</w:t>
      </w:r>
      <w:r w:rsidRPr="00F168DA">
        <w:rPr>
          <w:rFonts w:ascii="Calibri" w:hAnsi="Calibri" w:cs="Times New Roman"/>
          <w:noProof/>
          <w:sz w:val="20"/>
          <w:szCs w:val="24"/>
        </w:rPr>
        <w:tab/>
        <w:t xml:space="preserve">R. Cookson, T. N. Barrett, A. G. M. Barrett, </w:t>
      </w:r>
      <w:r w:rsidRPr="00F168DA">
        <w:rPr>
          <w:rFonts w:ascii="Calibri" w:hAnsi="Calibri" w:cs="Times New Roman"/>
          <w:i/>
          <w:iCs/>
          <w:noProof/>
          <w:sz w:val="20"/>
          <w:szCs w:val="24"/>
        </w:rPr>
        <w:t>Acc. Chem. Res.</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2015</w:t>
      </w:r>
      <w:r w:rsidRPr="00F168DA">
        <w:rPr>
          <w:rFonts w:ascii="Calibri" w:hAnsi="Calibri" w:cs="Times New Roman"/>
          <w:noProof/>
          <w:sz w:val="20"/>
          <w:szCs w:val="24"/>
        </w:rPr>
        <w:t xml:space="preserve">, </w:t>
      </w:r>
      <w:r w:rsidRPr="00F168DA">
        <w:rPr>
          <w:rFonts w:ascii="Calibri" w:hAnsi="Calibri" w:cs="Times New Roman"/>
          <w:i/>
          <w:iCs/>
          <w:noProof/>
          <w:sz w:val="20"/>
          <w:szCs w:val="24"/>
        </w:rPr>
        <w:t>48</w:t>
      </w:r>
      <w:r w:rsidRPr="00F168DA">
        <w:rPr>
          <w:rFonts w:ascii="Calibri" w:hAnsi="Calibri" w:cs="Times New Roman"/>
          <w:noProof/>
          <w:sz w:val="20"/>
          <w:szCs w:val="24"/>
        </w:rPr>
        <w:t>, 628–642.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[150]</w:t>
      </w:r>
      <w:r w:rsidRPr="00F168DA">
        <w:rPr>
          <w:rFonts w:ascii="Calibri" w:hAnsi="Calibri" w:cs="Times New Roman"/>
          <w:noProof/>
          <w:sz w:val="20"/>
          <w:szCs w:val="24"/>
        </w:rPr>
        <w:tab/>
        <w:t xml:space="preserve">B. Kunze, F. Sasse, H. Wieczorek, M. Huss, </w:t>
      </w:r>
      <w:r w:rsidRPr="00F168DA">
        <w:rPr>
          <w:rFonts w:ascii="Calibri" w:hAnsi="Calibri" w:cs="Times New Roman"/>
          <w:i/>
          <w:iCs/>
          <w:noProof/>
          <w:sz w:val="20"/>
          <w:szCs w:val="24"/>
        </w:rPr>
        <w:t>FEBS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2007</w:t>
      </w:r>
      <w:r w:rsidRPr="00F168DA">
        <w:rPr>
          <w:rFonts w:ascii="Calibri" w:hAnsi="Calibri" w:cs="Times New Roman"/>
          <w:noProof/>
          <w:sz w:val="20"/>
          <w:szCs w:val="24"/>
        </w:rPr>
        <w:t xml:space="preserve">, </w:t>
      </w:r>
      <w:r w:rsidRPr="00F168DA">
        <w:rPr>
          <w:rFonts w:ascii="Calibri" w:hAnsi="Calibri" w:cs="Times New Roman"/>
          <w:i/>
          <w:iCs/>
          <w:noProof/>
          <w:sz w:val="20"/>
          <w:szCs w:val="24"/>
        </w:rPr>
        <w:t>581</w:t>
      </w:r>
      <w:r w:rsidRPr="00F168DA">
        <w:rPr>
          <w:rFonts w:ascii="Calibri" w:hAnsi="Calibri" w:cs="Times New Roman"/>
          <w:noProof/>
          <w:sz w:val="20"/>
          <w:szCs w:val="24"/>
        </w:rPr>
        <w:t>, 3523–3527.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[151]</w:t>
      </w:r>
      <w:r w:rsidRPr="00F168DA">
        <w:rPr>
          <w:rFonts w:ascii="Calibri" w:hAnsi="Calibri" w:cs="Times New Roman"/>
          <w:noProof/>
          <w:sz w:val="20"/>
          <w:szCs w:val="24"/>
        </w:rPr>
        <w:tab/>
        <w:t xml:space="preserve">K. A. Choquette, R. A. Flowers, in </w:t>
      </w:r>
      <w:r w:rsidRPr="00F168DA">
        <w:rPr>
          <w:rFonts w:ascii="Calibri" w:hAnsi="Calibri" w:cs="Times New Roman"/>
          <w:i/>
          <w:iCs/>
          <w:noProof/>
          <w:sz w:val="20"/>
          <w:szCs w:val="24"/>
        </w:rPr>
        <w:t>Compr. Org. Synth. (2nd Ed.)</w:t>
      </w:r>
      <w:r w:rsidRPr="00F168DA">
        <w:rPr>
          <w:rFonts w:ascii="Calibri" w:hAnsi="Calibri" w:cs="Times New Roman"/>
          <w:noProof/>
          <w:sz w:val="20"/>
          <w:szCs w:val="24"/>
        </w:rPr>
        <w:t xml:space="preserve">, Elsevier B.V., </w:t>
      </w:r>
      <w:r w:rsidRPr="00F168DA">
        <w:rPr>
          <w:rFonts w:ascii="Calibri" w:hAnsi="Calibri" w:cs="Times New Roman"/>
          <w:b/>
          <w:bCs/>
          <w:noProof/>
          <w:sz w:val="20"/>
          <w:szCs w:val="24"/>
        </w:rPr>
        <w:t>2014</w:t>
      </w:r>
      <w:r w:rsidRPr="00F168DA">
        <w:rPr>
          <w:rFonts w:ascii="Calibri" w:hAnsi="Calibri" w:cs="Times New Roman"/>
          <w:noProof/>
          <w:sz w:val="20"/>
          <w:szCs w:val="24"/>
        </w:rPr>
        <w:t>, pp. 278–343.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[152]</w:t>
      </w:r>
      <w:r w:rsidRPr="00F168DA">
        <w:rPr>
          <w:rFonts w:ascii="Calibri" w:hAnsi="Calibri" w:cs="Times New Roman"/>
          <w:noProof/>
          <w:sz w:val="20"/>
          <w:szCs w:val="24"/>
        </w:rPr>
        <w:tab/>
        <w:t xml:space="preserve">T. Imamoto, </w:t>
      </w:r>
      <w:r w:rsidRPr="00F168DA">
        <w:rPr>
          <w:rFonts w:ascii="Calibri" w:hAnsi="Calibri" w:cs="Times New Roman"/>
          <w:i/>
          <w:iCs/>
          <w:noProof/>
          <w:sz w:val="20"/>
          <w:szCs w:val="24"/>
        </w:rPr>
        <w:t>Kagaku, Zokan (Kyoto)</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1995</w:t>
      </w:r>
      <w:r w:rsidRPr="00F168DA">
        <w:rPr>
          <w:rFonts w:ascii="Calibri" w:hAnsi="Calibri" w:cs="Times New Roman"/>
          <w:noProof/>
          <w:sz w:val="20"/>
          <w:szCs w:val="24"/>
        </w:rPr>
        <w:t xml:space="preserve">, </w:t>
      </w:r>
      <w:r w:rsidRPr="00F168DA">
        <w:rPr>
          <w:rFonts w:ascii="Calibri" w:hAnsi="Calibri" w:cs="Times New Roman"/>
          <w:i/>
          <w:iCs/>
          <w:noProof/>
          <w:sz w:val="20"/>
          <w:szCs w:val="24"/>
        </w:rPr>
        <w:t>124</w:t>
      </w:r>
      <w:r w:rsidRPr="00F168DA">
        <w:rPr>
          <w:rFonts w:ascii="Calibri" w:hAnsi="Calibri" w:cs="Times New Roman"/>
          <w:noProof/>
          <w:sz w:val="20"/>
          <w:szCs w:val="24"/>
        </w:rPr>
        <w:t>, 55–61.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[153]</w:t>
      </w:r>
      <w:r w:rsidRPr="00F168DA">
        <w:rPr>
          <w:rFonts w:ascii="Calibri" w:hAnsi="Calibri" w:cs="Times New Roman"/>
          <w:noProof/>
          <w:sz w:val="20"/>
          <w:szCs w:val="24"/>
        </w:rPr>
        <w:tab/>
        <w:t xml:space="preserve">T. Imamoto, </w:t>
      </w:r>
      <w:r w:rsidRPr="00F168DA">
        <w:rPr>
          <w:rFonts w:ascii="Calibri" w:hAnsi="Calibri" w:cs="Times New Roman"/>
          <w:i/>
          <w:iCs/>
          <w:noProof/>
          <w:sz w:val="20"/>
          <w:szCs w:val="24"/>
        </w:rPr>
        <w:t>Kidorui</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1995</w:t>
      </w:r>
      <w:r w:rsidRPr="00F168DA">
        <w:rPr>
          <w:rFonts w:ascii="Calibri" w:hAnsi="Calibri" w:cs="Times New Roman"/>
          <w:noProof/>
          <w:sz w:val="20"/>
          <w:szCs w:val="24"/>
        </w:rPr>
        <w:t xml:space="preserve">, </w:t>
      </w:r>
      <w:r w:rsidRPr="00F168DA">
        <w:rPr>
          <w:rFonts w:ascii="Calibri" w:hAnsi="Calibri" w:cs="Times New Roman"/>
          <w:i/>
          <w:iCs/>
          <w:noProof/>
          <w:sz w:val="20"/>
          <w:szCs w:val="24"/>
        </w:rPr>
        <w:t>27</w:t>
      </w:r>
      <w:r w:rsidRPr="00F168DA">
        <w:rPr>
          <w:rFonts w:ascii="Calibri" w:hAnsi="Calibri" w:cs="Times New Roman"/>
          <w:noProof/>
          <w:sz w:val="20"/>
          <w:szCs w:val="24"/>
        </w:rPr>
        <w:t>, 79–95.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[154]</w:t>
      </w:r>
      <w:r w:rsidRPr="00F168DA">
        <w:rPr>
          <w:rFonts w:ascii="Calibri" w:hAnsi="Calibri" w:cs="Times New Roman"/>
          <w:noProof/>
          <w:sz w:val="20"/>
          <w:szCs w:val="24"/>
        </w:rPr>
        <w:tab/>
        <w:t xml:space="preserve">H. B. Kagan, J. L. Namy, </w:t>
      </w:r>
      <w:r w:rsidRPr="00F168DA">
        <w:rPr>
          <w:rFonts w:ascii="Calibri" w:hAnsi="Calibri" w:cs="Times New Roman"/>
          <w:i/>
          <w:iCs/>
          <w:noProof/>
          <w:sz w:val="20"/>
          <w:szCs w:val="24"/>
        </w:rPr>
        <w:t>Tetrahedron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1986</w:t>
      </w:r>
      <w:r w:rsidRPr="00F168DA">
        <w:rPr>
          <w:rFonts w:ascii="Calibri" w:hAnsi="Calibri" w:cs="Times New Roman"/>
          <w:noProof/>
          <w:sz w:val="20"/>
          <w:szCs w:val="24"/>
        </w:rPr>
        <w:t xml:space="preserve">, </w:t>
      </w:r>
      <w:r w:rsidRPr="00F168DA">
        <w:rPr>
          <w:rFonts w:ascii="Calibri" w:hAnsi="Calibri" w:cs="Times New Roman"/>
          <w:i/>
          <w:iCs/>
          <w:noProof/>
          <w:sz w:val="20"/>
          <w:szCs w:val="24"/>
        </w:rPr>
        <w:t>42</w:t>
      </w:r>
      <w:r w:rsidRPr="00F168DA">
        <w:rPr>
          <w:rFonts w:ascii="Calibri" w:hAnsi="Calibri" w:cs="Times New Roman"/>
          <w:noProof/>
          <w:sz w:val="20"/>
          <w:szCs w:val="24"/>
        </w:rPr>
        <w:t>, 6573–6614.</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[155]</w:t>
      </w:r>
      <w:r w:rsidRPr="00F168DA">
        <w:rPr>
          <w:rFonts w:ascii="Calibri" w:hAnsi="Calibri" w:cs="Times New Roman"/>
          <w:noProof/>
          <w:sz w:val="20"/>
          <w:szCs w:val="24"/>
        </w:rPr>
        <w:tab/>
        <w:t xml:space="preserve">H. B. Kagan, </w:t>
      </w:r>
      <w:r w:rsidRPr="00F168DA">
        <w:rPr>
          <w:rFonts w:ascii="Calibri" w:hAnsi="Calibri" w:cs="Times New Roman"/>
          <w:i/>
          <w:iCs/>
          <w:noProof/>
          <w:sz w:val="20"/>
          <w:szCs w:val="24"/>
        </w:rPr>
        <w:t xml:space="preserve">Chem. Rev. </w:t>
      </w:r>
      <w:r w:rsidRPr="00F168DA">
        <w:rPr>
          <w:rFonts w:ascii="Calibri" w:hAnsi="Calibri" w:cs="Times New Roman"/>
          <w:b/>
          <w:bCs/>
          <w:noProof/>
          <w:sz w:val="20"/>
          <w:szCs w:val="24"/>
        </w:rPr>
        <w:t>2002</w:t>
      </w:r>
      <w:r w:rsidRPr="00F168DA">
        <w:rPr>
          <w:rFonts w:ascii="Calibri" w:hAnsi="Calibri" w:cs="Times New Roman"/>
          <w:noProof/>
          <w:sz w:val="20"/>
          <w:szCs w:val="24"/>
        </w:rPr>
        <w:t xml:space="preserve">, </w:t>
      </w:r>
      <w:r w:rsidRPr="00F168DA">
        <w:rPr>
          <w:rFonts w:ascii="Calibri" w:hAnsi="Calibri" w:cs="Times New Roman"/>
          <w:i/>
          <w:iCs/>
          <w:noProof/>
          <w:sz w:val="20"/>
          <w:szCs w:val="24"/>
        </w:rPr>
        <w:t>102</w:t>
      </w:r>
      <w:r w:rsidRPr="00F168DA">
        <w:rPr>
          <w:rFonts w:ascii="Calibri" w:hAnsi="Calibri" w:cs="Times New Roman"/>
          <w:noProof/>
          <w:sz w:val="20"/>
          <w:szCs w:val="24"/>
        </w:rPr>
        <w:t>, 1805–1806.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[156]</w:t>
      </w:r>
      <w:r w:rsidRPr="00F168DA">
        <w:rPr>
          <w:rFonts w:ascii="Calibri" w:hAnsi="Calibri" w:cs="Times New Roman"/>
          <w:noProof/>
          <w:sz w:val="20"/>
          <w:szCs w:val="24"/>
        </w:rPr>
        <w:tab/>
        <w:t xml:space="preserve">H. B. Kagan, M. Sasaki, J. Collin, </w:t>
      </w:r>
      <w:r w:rsidRPr="00F168DA">
        <w:rPr>
          <w:rFonts w:ascii="Calibri" w:hAnsi="Calibri" w:cs="Times New Roman"/>
          <w:i/>
          <w:iCs/>
          <w:noProof/>
          <w:sz w:val="20"/>
          <w:szCs w:val="24"/>
        </w:rPr>
        <w:t>Pure Appl.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1988</w:t>
      </w:r>
      <w:r w:rsidRPr="00F168DA">
        <w:rPr>
          <w:rFonts w:ascii="Calibri" w:hAnsi="Calibri" w:cs="Times New Roman"/>
          <w:noProof/>
          <w:sz w:val="20"/>
          <w:szCs w:val="24"/>
        </w:rPr>
        <w:t xml:space="preserve">, </w:t>
      </w:r>
      <w:r w:rsidRPr="00F168DA">
        <w:rPr>
          <w:rFonts w:ascii="Calibri" w:hAnsi="Calibri" w:cs="Times New Roman"/>
          <w:i/>
          <w:iCs/>
          <w:noProof/>
          <w:sz w:val="20"/>
          <w:szCs w:val="24"/>
        </w:rPr>
        <w:t>60</w:t>
      </w:r>
      <w:r w:rsidRPr="00F168DA">
        <w:rPr>
          <w:rFonts w:ascii="Calibri" w:hAnsi="Calibri" w:cs="Times New Roman"/>
          <w:noProof/>
          <w:sz w:val="20"/>
          <w:szCs w:val="24"/>
        </w:rPr>
        <w:t>, 1725–1730.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[157]</w:t>
      </w:r>
      <w:r w:rsidRPr="00F168DA">
        <w:rPr>
          <w:rFonts w:ascii="Calibri" w:hAnsi="Calibri" w:cs="Times New Roman"/>
          <w:noProof/>
          <w:sz w:val="20"/>
          <w:szCs w:val="24"/>
        </w:rPr>
        <w:tab/>
        <w:t xml:space="preserve">S. Kobayashi, </w:t>
      </w:r>
      <w:r w:rsidRPr="00F168DA">
        <w:rPr>
          <w:rFonts w:ascii="Calibri" w:hAnsi="Calibri" w:cs="Times New Roman"/>
          <w:i/>
          <w:iCs/>
          <w:noProof/>
          <w:sz w:val="20"/>
          <w:szCs w:val="24"/>
        </w:rPr>
        <w:t>European 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1999</w:t>
      </w:r>
      <w:r w:rsidRPr="00F168DA">
        <w:rPr>
          <w:rFonts w:ascii="Calibri" w:hAnsi="Calibri" w:cs="Times New Roman"/>
          <w:noProof/>
          <w:sz w:val="20"/>
          <w:szCs w:val="24"/>
        </w:rPr>
        <w:t>, 15–27.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[158]</w:t>
      </w:r>
      <w:r w:rsidRPr="00F168DA">
        <w:rPr>
          <w:rFonts w:ascii="Calibri" w:hAnsi="Calibri" w:cs="Times New Roman"/>
          <w:noProof/>
          <w:sz w:val="20"/>
          <w:szCs w:val="24"/>
        </w:rPr>
        <w:tab/>
        <w:t xml:space="preserve">S. Kobayashi, </w:t>
      </w:r>
      <w:r w:rsidRPr="00F168DA">
        <w:rPr>
          <w:rFonts w:ascii="Calibri" w:hAnsi="Calibri" w:cs="Times New Roman"/>
          <w:i/>
          <w:iCs/>
          <w:noProof/>
          <w:sz w:val="20"/>
          <w:szCs w:val="24"/>
        </w:rPr>
        <w:t>Top. Organomet.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1999</w:t>
      </w:r>
      <w:r w:rsidRPr="00F168DA">
        <w:rPr>
          <w:rFonts w:ascii="Calibri" w:hAnsi="Calibri" w:cs="Times New Roman"/>
          <w:noProof/>
          <w:sz w:val="20"/>
          <w:szCs w:val="24"/>
        </w:rPr>
        <w:t xml:space="preserve">, </w:t>
      </w:r>
      <w:r w:rsidRPr="00F168DA">
        <w:rPr>
          <w:rFonts w:ascii="Calibri" w:hAnsi="Calibri" w:cs="Times New Roman"/>
          <w:i/>
          <w:iCs/>
          <w:noProof/>
          <w:sz w:val="20"/>
          <w:szCs w:val="24"/>
        </w:rPr>
        <w:t>2</w:t>
      </w:r>
      <w:r w:rsidRPr="00F168DA">
        <w:rPr>
          <w:rFonts w:ascii="Calibri" w:hAnsi="Calibri" w:cs="Times New Roman"/>
          <w:noProof/>
          <w:sz w:val="20"/>
          <w:szCs w:val="24"/>
        </w:rPr>
        <w:t>, 63–118.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[159]</w:t>
      </w:r>
      <w:r w:rsidRPr="00F168DA">
        <w:rPr>
          <w:rFonts w:ascii="Calibri" w:hAnsi="Calibri" w:cs="Times New Roman"/>
          <w:noProof/>
          <w:sz w:val="20"/>
          <w:szCs w:val="24"/>
        </w:rPr>
        <w:tab/>
        <w:t xml:space="preserve">S. Kobayashi, in </w:t>
      </w:r>
      <w:r w:rsidRPr="00F168DA">
        <w:rPr>
          <w:rFonts w:ascii="Calibri" w:hAnsi="Calibri" w:cs="Times New Roman"/>
          <w:i/>
          <w:iCs/>
          <w:noProof/>
          <w:sz w:val="20"/>
          <w:szCs w:val="24"/>
        </w:rPr>
        <w:t>Handb. Phys. Chem. Rare Earths</w:t>
      </w:r>
      <w:r w:rsidRPr="00F168DA">
        <w:rPr>
          <w:rFonts w:ascii="Calibri" w:hAnsi="Calibri" w:cs="Times New Roman"/>
          <w:noProof/>
          <w:sz w:val="20"/>
          <w:szCs w:val="24"/>
        </w:rPr>
        <w:t xml:space="preserve">, Elsevier, </w:t>
      </w:r>
      <w:r w:rsidRPr="00F168DA">
        <w:rPr>
          <w:rFonts w:ascii="Calibri" w:hAnsi="Calibri" w:cs="Times New Roman"/>
          <w:b/>
          <w:bCs/>
          <w:noProof/>
          <w:sz w:val="20"/>
          <w:szCs w:val="24"/>
        </w:rPr>
        <w:t>2000</w:t>
      </w:r>
      <w:r w:rsidRPr="00F168DA">
        <w:rPr>
          <w:rFonts w:ascii="Calibri" w:hAnsi="Calibri" w:cs="Times New Roman"/>
          <w:noProof/>
          <w:sz w:val="20"/>
          <w:szCs w:val="24"/>
        </w:rPr>
        <w:t>, pp. 315–375.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[160]</w:t>
      </w:r>
      <w:r w:rsidRPr="00F168DA">
        <w:rPr>
          <w:rFonts w:ascii="Calibri" w:hAnsi="Calibri" w:cs="Times New Roman"/>
          <w:noProof/>
          <w:sz w:val="20"/>
          <w:szCs w:val="24"/>
        </w:rPr>
        <w:tab/>
        <w:t xml:space="preserve">S. Kobayashi, in </w:t>
      </w:r>
      <w:r w:rsidRPr="00F168DA">
        <w:rPr>
          <w:rFonts w:ascii="Calibri" w:hAnsi="Calibri" w:cs="Times New Roman"/>
          <w:i/>
          <w:iCs/>
          <w:noProof/>
          <w:sz w:val="20"/>
          <w:szCs w:val="24"/>
        </w:rPr>
        <w:t>Aqueous-Phase Organomet. Catal. (2nd Ed.)</w:t>
      </w:r>
      <w:r w:rsidRPr="00F168DA">
        <w:rPr>
          <w:rFonts w:ascii="Calibri" w:hAnsi="Calibri" w:cs="Times New Roman"/>
          <w:noProof/>
          <w:sz w:val="20"/>
          <w:szCs w:val="24"/>
        </w:rPr>
        <w:t xml:space="preserve">, Wiley-VCH Verlag GmbH &amp; Co. KGaA, </w:t>
      </w:r>
      <w:r w:rsidRPr="00F168DA">
        <w:rPr>
          <w:rFonts w:ascii="Calibri" w:hAnsi="Calibri" w:cs="Times New Roman"/>
          <w:b/>
          <w:bCs/>
          <w:noProof/>
          <w:sz w:val="20"/>
          <w:szCs w:val="24"/>
        </w:rPr>
        <w:t>2004</w:t>
      </w:r>
      <w:r w:rsidRPr="00F168DA">
        <w:rPr>
          <w:rFonts w:ascii="Calibri" w:hAnsi="Calibri" w:cs="Times New Roman"/>
          <w:noProof/>
          <w:sz w:val="20"/>
          <w:szCs w:val="24"/>
        </w:rPr>
        <w:t>, pp. 88–99.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[161]</w:t>
      </w:r>
      <w:r w:rsidRPr="00F168DA">
        <w:rPr>
          <w:rFonts w:ascii="Calibri" w:hAnsi="Calibri" w:cs="Times New Roman"/>
          <w:noProof/>
          <w:sz w:val="20"/>
          <w:szCs w:val="24"/>
        </w:rPr>
        <w:tab/>
        <w:t xml:space="preserve">G. A. Molander, </w:t>
      </w:r>
      <w:r w:rsidRPr="00F168DA">
        <w:rPr>
          <w:rFonts w:ascii="Calibri" w:hAnsi="Calibri" w:cs="Times New Roman"/>
          <w:i/>
          <w:iCs/>
          <w:noProof/>
          <w:sz w:val="20"/>
          <w:szCs w:val="24"/>
        </w:rPr>
        <w:t xml:space="preserve">Chem. Rev. </w:t>
      </w:r>
      <w:r w:rsidRPr="00F168DA">
        <w:rPr>
          <w:rFonts w:ascii="Calibri" w:hAnsi="Calibri" w:cs="Times New Roman"/>
          <w:b/>
          <w:bCs/>
          <w:noProof/>
          <w:sz w:val="20"/>
          <w:szCs w:val="24"/>
        </w:rPr>
        <w:t>1992</w:t>
      </w:r>
      <w:r w:rsidRPr="00F168DA">
        <w:rPr>
          <w:rFonts w:ascii="Calibri" w:hAnsi="Calibri" w:cs="Times New Roman"/>
          <w:noProof/>
          <w:sz w:val="20"/>
          <w:szCs w:val="24"/>
        </w:rPr>
        <w:t xml:space="preserve">, </w:t>
      </w:r>
      <w:r w:rsidRPr="00F168DA">
        <w:rPr>
          <w:rFonts w:ascii="Calibri" w:hAnsi="Calibri" w:cs="Times New Roman"/>
          <w:i/>
          <w:iCs/>
          <w:noProof/>
          <w:sz w:val="20"/>
          <w:szCs w:val="24"/>
        </w:rPr>
        <w:t>92</w:t>
      </w:r>
      <w:r w:rsidRPr="00F168DA">
        <w:rPr>
          <w:rFonts w:ascii="Calibri" w:hAnsi="Calibri" w:cs="Times New Roman"/>
          <w:noProof/>
          <w:sz w:val="20"/>
          <w:szCs w:val="24"/>
        </w:rPr>
        <w:t>, 29–68.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[162]</w:t>
      </w:r>
      <w:r w:rsidRPr="00F168DA">
        <w:rPr>
          <w:rFonts w:ascii="Calibri" w:hAnsi="Calibri" w:cs="Times New Roman"/>
          <w:noProof/>
          <w:sz w:val="20"/>
          <w:szCs w:val="24"/>
        </w:rPr>
        <w:tab/>
        <w:t xml:space="preserve">G. A. Molander, in </w:t>
      </w:r>
      <w:r w:rsidRPr="00F168DA">
        <w:rPr>
          <w:rFonts w:ascii="Calibri" w:hAnsi="Calibri" w:cs="Times New Roman"/>
          <w:i/>
          <w:iCs/>
          <w:noProof/>
          <w:sz w:val="20"/>
          <w:szCs w:val="24"/>
        </w:rPr>
        <w:t>Chem. Met.-Carbon Bond</w:t>
      </w:r>
      <w:r w:rsidRPr="00F168DA">
        <w:rPr>
          <w:rFonts w:ascii="Calibri" w:hAnsi="Calibri" w:cs="Times New Roman"/>
          <w:noProof/>
          <w:sz w:val="20"/>
          <w:szCs w:val="24"/>
        </w:rPr>
        <w:t xml:space="preserve">, Wiley, </w:t>
      </w:r>
      <w:r w:rsidRPr="00F168DA">
        <w:rPr>
          <w:rFonts w:ascii="Calibri" w:hAnsi="Calibri" w:cs="Times New Roman"/>
          <w:b/>
          <w:bCs/>
          <w:noProof/>
          <w:sz w:val="20"/>
          <w:szCs w:val="24"/>
        </w:rPr>
        <w:t>1989</w:t>
      </w:r>
      <w:r w:rsidRPr="00F168DA">
        <w:rPr>
          <w:rFonts w:ascii="Calibri" w:hAnsi="Calibri" w:cs="Times New Roman"/>
          <w:noProof/>
          <w:sz w:val="20"/>
          <w:szCs w:val="24"/>
        </w:rPr>
        <w:t>, pp. 319–396.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[163]</w:t>
      </w:r>
      <w:r w:rsidRPr="00F168DA">
        <w:rPr>
          <w:rFonts w:ascii="Calibri" w:hAnsi="Calibri" w:cs="Times New Roman"/>
          <w:noProof/>
          <w:sz w:val="20"/>
          <w:szCs w:val="24"/>
        </w:rPr>
        <w:tab/>
        <w:t xml:space="preserve">P. G. Steel, </w:t>
      </w:r>
      <w:r w:rsidRPr="00F168DA">
        <w:rPr>
          <w:rFonts w:ascii="Calibri" w:hAnsi="Calibri" w:cs="Times New Roman"/>
          <w:i/>
          <w:iCs/>
          <w:noProof/>
          <w:sz w:val="20"/>
          <w:szCs w:val="24"/>
        </w:rPr>
        <w:t>J. Chem. Soc. Perkin Trans. 1</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2001</w:t>
      </w:r>
      <w:r w:rsidRPr="00F168DA">
        <w:rPr>
          <w:rFonts w:ascii="Calibri" w:hAnsi="Calibri" w:cs="Times New Roman"/>
          <w:noProof/>
          <w:sz w:val="20"/>
          <w:szCs w:val="24"/>
        </w:rPr>
        <w:t>, 2727–2751.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[164]</w:t>
      </w:r>
      <w:r w:rsidRPr="00F168DA">
        <w:rPr>
          <w:rFonts w:ascii="Calibri" w:hAnsi="Calibri" w:cs="Times New Roman"/>
          <w:noProof/>
          <w:sz w:val="20"/>
          <w:szCs w:val="24"/>
        </w:rPr>
        <w:tab/>
        <w:t xml:space="preserve">T.-L. Ho, </w:t>
      </w:r>
      <w:r w:rsidRPr="00F168DA">
        <w:rPr>
          <w:rFonts w:ascii="Calibri" w:hAnsi="Calibri" w:cs="Times New Roman"/>
          <w:i/>
          <w:iCs/>
          <w:noProof/>
          <w:sz w:val="20"/>
          <w:szCs w:val="24"/>
        </w:rPr>
        <w:t xml:space="preserve">Synthesis </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1973</w:t>
      </w:r>
      <w:r w:rsidRPr="00F168DA">
        <w:rPr>
          <w:rFonts w:ascii="Calibri" w:hAnsi="Calibri" w:cs="Times New Roman"/>
          <w:noProof/>
          <w:sz w:val="20"/>
          <w:szCs w:val="24"/>
        </w:rPr>
        <w:t>, 347–354.</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[165]</w:t>
      </w:r>
      <w:r w:rsidRPr="00F168DA">
        <w:rPr>
          <w:rFonts w:ascii="Calibri" w:hAnsi="Calibri" w:cs="Times New Roman"/>
          <w:noProof/>
          <w:sz w:val="20"/>
          <w:szCs w:val="24"/>
        </w:rPr>
        <w:tab/>
        <w:t xml:space="preserve">A. C. Apolinario, A. M. T. Silva, B. F. Machado, H. T. Gomes, P. P. Araujo, J. L. Figueiredo, J. L. Faria, </w:t>
      </w:r>
      <w:r w:rsidRPr="00F168DA">
        <w:rPr>
          <w:rFonts w:ascii="Calibri" w:hAnsi="Calibri" w:cs="Times New Roman"/>
          <w:i/>
          <w:iCs/>
          <w:noProof/>
          <w:sz w:val="20"/>
          <w:szCs w:val="24"/>
        </w:rPr>
        <w:t>Appl. Catal. B Environ.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2008</w:t>
      </w:r>
      <w:r w:rsidRPr="00F168DA">
        <w:rPr>
          <w:rFonts w:ascii="Calibri" w:hAnsi="Calibri" w:cs="Times New Roman"/>
          <w:noProof/>
          <w:sz w:val="20"/>
          <w:szCs w:val="24"/>
        </w:rPr>
        <w:t xml:space="preserve">, </w:t>
      </w:r>
      <w:r w:rsidRPr="00F168DA">
        <w:rPr>
          <w:rFonts w:ascii="Calibri" w:hAnsi="Calibri" w:cs="Times New Roman"/>
          <w:i/>
          <w:iCs/>
          <w:noProof/>
          <w:sz w:val="20"/>
          <w:szCs w:val="24"/>
        </w:rPr>
        <w:t>84</w:t>
      </w:r>
      <w:r w:rsidRPr="00F168DA">
        <w:rPr>
          <w:rFonts w:ascii="Calibri" w:hAnsi="Calibri" w:cs="Times New Roman"/>
          <w:noProof/>
          <w:sz w:val="20"/>
          <w:szCs w:val="24"/>
        </w:rPr>
        <w:t>, 75–86.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[166]</w:t>
      </w:r>
      <w:r w:rsidRPr="00F168DA">
        <w:rPr>
          <w:rFonts w:ascii="Calibri" w:hAnsi="Calibri" w:cs="Times New Roman"/>
          <w:noProof/>
          <w:sz w:val="20"/>
          <w:szCs w:val="24"/>
        </w:rPr>
        <w:tab/>
        <w:t>B. Saha, S. Deka, D. Gupta, K. J. Deori,</w:t>
      </w:r>
      <w:r w:rsidRPr="008E3A10">
        <w:rPr>
          <w:rFonts w:ascii="Calibri" w:hAnsi="Calibri" w:cs="Times New Roman"/>
          <w:noProof/>
          <w:sz w:val="20"/>
          <w:szCs w:val="24"/>
        </w:rPr>
        <w:t xml:space="preserve"> </w:t>
      </w:r>
      <w:r w:rsidR="008E3A10" w:rsidRPr="008E3A10">
        <w:rPr>
          <w:rFonts w:ascii="Calibri" w:hAnsi="Calibri"/>
        </w:rPr>
        <w:t>Indian Patent. Appl</w:t>
      </w:r>
      <w:r w:rsidR="008E3A10">
        <w: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2014</w:t>
      </w:r>
      <w:r w:rsidR="008E3A10">
        <w:rPr>
          <w:rFonts w:ascii="Calibri" w:hAnsi="Calibri" w:cs="Times New Roman"/>
          <w:b/>
          <w:bCs/>
          <w:noProof/>
          <w:sz w:val="20"/>
          <w:szCs w:val="24"/>
        </w:rPr>
        <w:t xml:space="preserve">, </w:t>
      </w:r>
      <w:r w:rsidR="008E3A10" w:rsidRPr="008E3A10">
        <w:rPr>
          <w:rFonts w:ascii="Calibri" w:hAnsi="Calibri" w:cs="Times New Roman"/>
          <w:bCs/>
          <w:noProof/>
          <w:sz w:val="20"/>
          <w:szCs w:val="24"/>
        </w:rPr>
        <w:t>IN2013DE01346A</w:t>
      </w:r>
      <w:r w:rsidRPr="00F168DA">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[167]</w:t>
      </w:r>
      <w:r w:rsidRPr="00F168DA">
        <w:rPr>
          <w:rFonts w:ascii="Calibri" w:hAnsi="Calibri" w:cs="Times New Roman"/>
          <w:noProof/>
          <w:sz w:val="20"/>
          <w:szCs w:val="24"/>
        </w:rPr>
        <w:tab/>
        <w:t xml:space="preserve">M. Paul, S. Shirase, Y. Morimoto, L. Mathey, M. Balasubramanian, S. Tanaka, S. Itoh, H. Tsurugi, K. Mashima, </w:t>
      </w:r>
      <w:r w:rsidRPr="00F168DA">
        <w:rPr>
          <w:rFonts w:ascii="Calibri" w:hAnsi="Calibri" w:cs="Times New Roman"/>
          <w:i/>
          <w:iCs/>
          <w:noProof/>
          <w:sz w:val="20"/>
          <w:szCs w:val="24"/>
        </w:rPr>
        <w:t>Chem. - A Eur. J.</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2016</w:t>
      </w:r>
      <w:r w:rsidR="000E3284">
        <w:rPr>
          <w:rFonts w:ascii="Calibri" w:hAnsi="Calibri" w:cs="Times New Roman"/>
          <w:noProof/>
          <w:sz w:val="20"/>
          <w:szCs w:val="24"/>
        </w:rPr>
        <w:t>,</w:t>
      </w:r>
      <w:r w:rsidR="000E3284" w:rsidRPr="000E3284">
        <w:rPr>
          <w:rFonts w:ascii="Calibri" w:hAnsi="Calibri" w:cs="Times New Roman"/>
          <w:i/>
          <w:noProof/>
          <w:sz w:val="20"/>
          <w:szCs w:val="24"/>
        </w:rPr>
        <w:t xml:space="preserve"> 22</w:t>
      </w:r>
      <w:r w:rsidR="000E3284">
        <w:rPr>
          <w:rFonts w:ascii="Calibri" w:hAnsi="Calibri" w:cs="Times New Roman"/>
          <w:noProof/>
          <w:sz w:val="20"/>
          <w:szCs w:val="24"/>
        </w:rPr>
        <w:t>, 3897.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[168]</w:t>
      </w:r>
      <w:r w:rsidRPr="00F168DA">
        <w:rPr>
          <w:rFonts w:ascii="Calibri" w:hAnsi="Calibri" w:cs="Times New Roman"/>
          <w:noProof/>
          <w:sz w:val="20"/>
          <w:szCs w:val="24"/>
        </w:rPr>
        <w:tab/>
        <w:t>L. Yu, F. Chen, W. Ji, C. Yang,</w:t>
      </w:r>
      <w:r w:rsidRPr="000E3284">
        <w:rPr>
          <w:rFonts w:ascii="Calibri" w:hAnsi="Calibri" w:cs="Times New Roman"/>
          <w:i/>
          <w:noProof/>
          <w:sz w:val="20"/>
          <w:szCs w:val="20"/>
        </w:rPr>
        <w:t xml:space="preserve"> </w:t>
      </w:r>
      <w:r w:rsidR="000E3284" w:rsidRPr="000E3284">
        <w:rPr>
          <w:i/>
          <w:sz w:val="20"/>
          <w:szCs w:val="20"/>
        </w:rPr>
        <w:t>Faming Zhuanli Shenqing</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2015</w:t>
      </w:r>
      <w:r w:rsidR="000E3284">
        <w:rPr>
          <w:rFonts w:ascii="Calibri" w:hAnsi="Calibri" w:cs="Times New Roman"/>
          <w:b/>
          <w:bCs/>
          <w:noProof/>
          <w:sz w:val="20"/>
          <w:szCs w:val="24"/>
        </w:rPr>
        <w:t xml:space="preserve">, </w:t>
      </w:r>
      <w:r w:rsidR="000E3284" w:rsidRPr="000E3284">
        <w:rPr>
          <w:rFonts w:ascii="Calibri" w:hAnsi="Calibri" w:cs="Times New Roman"/>
          <w:bCs/>
          <w:noProof/>
          <w:sz w:val="20"/>
          <w:szCs w:val="24"/>
        </w:rPr>
        <w:t>CN105152829A</w:t>
      </w:r>
      <w:r w:rsidRPr="00F168DA">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[169]</w:t>
      </w:r>
      <w:r w:rsidRPr="00F168DA">
        <w:rPr>
          <w:rFonts w:ascii="Calibri" w:hAnsi="Calibri" w:cs="Times New Roman"/>
          <w:noProof/>
          <w:sz w:val="20"/>
          <w:szCs w:val="24"/>
        </w:rPr>
        <w:tab/>
        <w:t xml:space="preserve">M.-Y. Chang, C.-Y. Tsai, </w:t>
      </w:r>
      <w:r w:rsidRPr="00F168DA">
        <w:rPr>
          <w:rFonts w:ascii="Calibri" w:hAnsi="Calibri" w:cs="Times New Roman"/>
          <w:i/>
          <w:iCs/>
          <w:noProof/>
          <w:sz w:val="20"/>
          <w:szCs w:val="24"/>
        </w:rPr>
        <w:t>Tetrahedron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2014</w:t>
      </w:r>
      <w:r w:rsidRPr="00F168DA">
        <w:rPr>
          <w:rFonts w:ascii="Calibri" w:hAnsi="Calibri" w:cs="Times New Roman"/>
          <w:noProof/>
          <w:sz w:val="20"/>
          <w:szCs w:val="24"/>
        </w:rPr>
        <w:t xml:space="preserve">, </w:t>
      </w:r>
      <w:r w:rsidRPr="00F168DA">
        <w:rPr>
          <w:rFonts w:ascii="Calibri" w:hAnsi="Calibri" w:cs="Times New Roman"/>
          <w:i/>
          <w:iCs/>
          <w:noProof/>
          <w:sz w:val="20"/>
          <w:szCs w:val="24"/>
        </w:rPr>
        <w:t>55</w:t>
      </w:r>
      <w:r w:rsidRPr="00F168DA">
        <w:rPr>
          <w:rFonts w:ascii="Calibri" w:hAnsi="Calibri" w:cs="Times New Roman"/>
          <w:noProof/>
          <w:sz w:val="20"/>
          <w:szCs w:val="24"/>
        </w:rPr>
        <w:t>, 5548–5550.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[170]</w:t>
      </w:r>
      <w:r w:rsidRPr="00F168DA">
        <w:rPr>
          <w:rFonts w:ascii="Calibri" w:hAnsi="Calibri" w:cs="Times New Roman"/>
          <w:noProof/>
          <w:sz w:val="20"/>
          <w:szCs w:val="24"/>
        </w:rPr>
        <w:tab/>
        <w:t xml:space="preserve">F. Khan, U. Kushwaha, </w:t>
      </w:r>
      <w:r w:rsidRPr="00F168DA">
        <w:rPr>
          <w:rFonts w:ascii="Calibri" w:hAnsi="Calibri" w:cs="Times New Roman"/>
          <w:i/>
          <w:iCs/>
          <w:noProof/>
          <w:sz w:val="20"/>
          <w:szCs w:val="24"/>
        </w:rPr>
        <w:t>Res. J. Pharm. Biol. Chem. Sci.</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2013</w:t>
      </w:r>
      <w:r w:rsidRPr="00F168DA">
        <w:rPr>
          <w:rFonts w:ascii="Calibri" w:hAnsi="Calibri" w:cs="Times New Roman"/>
          <w:noProof/>
          <w:sz w:val="20"/>
          <w:szCs w:val="24"/>
        </w:rPr>
        <w:t xml:space="preserve">, </w:t>
      </w:r>
      <w:r w:rsidRPr="00F168DA">
        <w:rPr>
          <w:rFonts w:ascii="Calibri" w:hAnsi="Calibri" w:cs="Times New Roman"/>
          <w:i/>
          <w:iCs/>
          <w:noProof/>
          <w:sz w:val="20"/>
          <w:szCs w:val="24"/>
        </w:rPr>
        <w:t>4</w:t>
      </w:r>
      <w:r w:rsidRPr="00F168DA">
        <w:rPr>
          <w:rFonts w:ascii="Calibri" w:hAnsi="Calibri" w:cs="Times New Roman"/>
          <w:noProof/>
          <w:sz w:val="20"/>
          <w:szCs w:val="24"/>
        </w:rPr>
        <w:t>, 444–457.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[171]</w:t>
      </w:r>
      <w:r w:rsidRPr="00F168DA">
        <w:rPr>
          <w:rFonts w:ascii="Calibri" w:hAnsi="Calibri" w:cs="Times New Roman"/>
          <w:noProof/>
          <w:sz w:val="20"/>
          <w:szCs w:val="24"/>
        </w:rPr>
        <w:tab/>
        <w:t xml:space="preserve">F. Khan, U. Kushwaha, A. K. Singh, </w:t>
      </w:r>
      <w:r w:rsidRPr="00F168DA">
        <w:rPr>
          <w:rFonts w:ascii="Calibri" w:hAnsi="Calibri" w:cs="Times New Roman"/>
          <w:i/>
          <w:iCs/>
          <w:noProof/>
          <w:sz w:val="20"/>
          <w:szCs w:val="24"/>
        </w:rPr>
        <w:t>J. Chem. Pharm. Res.</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2012</w:t>
      </w:r>
      <w:r w:rsidRPr="00F168DA">
        <w:rPr>
          <w:rFonts w:ascii="Calibri" w:hAnsi="Calibri" w:cs="Times New Roman"/>
          <w:noProof/>
          <w:sz w:val="20"/>
          <w:szCs w:val="24"/>
        </w:rPr>
        <w:t xml:space="preserve">, </w:t>
      </w:r>
      <w:r w:rsidRPr="00F168DA">
        <w:rPr>
          <w:rFonts w:ascii="Calibri" w:hAnsi="Calibri" w:cs="Times New Roman"/>
          <w:i/>
          <w:iCs/>
          <w:noProof/>
          <w:sz w:val="20"/>
          <w:szCs w:val="24"/>
        </w:rPr>
        <w:t>4</w:t>
      </w:r>
      <w:r w:rsidRPr="00F168DA">
        <w:rPr>
          <w:rFonts w:ascii="Calibri" w:hAnsi="Calibri" w:cs="Times New Roman"/>
          <w:noProof/>
          <w:sz w:val="20"/>
          <w:szCs w:val="24"/>
        </w:rPr>
        <w:t>, 3715–3726.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[172]</w:t>
      </w:r>
      <w:r w:rsidRPr="00F168DA">
        <w:rPr>
          <w:rFonts w:ascii="Calibri" w:hAnsi="Calibri" w:cs="Times New Roman"/>
          <w:noProof/>
          <w:sz w:val="20"/>
          <w:szCs w:val="24"/>
        </w:rPr>
        <w:tab/>
        <w:t xml:space="preserve">T. Ogata, Y. Sugiyama, S. Ito, K. Nakano, E. Torii, A. Nishiuchi, T. Kimachi, </w:t>
      </w:r>
      <w:r w:rsidRPr="00F168DA">
        <w:rPr>
          <w:rFonts w:ascii="Calibri" w:hAnsi="Calibri" w:cs="Times New Roman"/>
          <w:i/>
          <w:iCs/>
          <w:noProof/>
          <w:sz w:val="20"/>
          <w:szCs w:val="24"/>
        </w:rPr>
        <w:t>Tetrahedron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2013</w:t>
      </w:r>
      <w:r w:rsidRPr="00F168DA">
        <w:rPr>
          <w:rFonts w:ascii="Calibri" w:hAnsi="Calibri" w:cs="Times New Roman"/>
          <w:noProof/>
          <w:sz w:val="20"/>
          <w:szCs w:val="24"/>
        </w:rPr>
        <w:t xml:space="preserve">, </w:t>
      </w:r>
      <w:r w:rsidRPr="00F168DA">
        <w:rPr>
          <w:rFonts w:ascii="Calibri" w:hAnsi="Calibri" w:cs="Times New Roman"/>
          <w:i/>
          <w:iCs/>
          <w:noProof/>
          <w:sz w:val="20"/>
          <w:szCs w:val="24"/>
        </w:rPr>
        <w:t>69</w:t>
      </w:r>
      <w:r w:rsidRPr="00F168DA">
        <w:rPr>
          <w:rFonts w:ascii="Calibri" w:hAnsi="Calibri" w:cs="Times New Roman"/>
          <w:noProof/>
          <w:sz w:val="20"/>
          <w:szCs w:val="24"/>
        </w:rPr>
        <w:t>, 10470–10476.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[173]</w:t>
      </w:r>
      <w:r w:rsidRPr="00F168DA">
        <w:rPr>
          <w:rFonts w:ascii="Calibri" w:hAnsi="Calibri" w:cs="Times New Roman"/>
          <w:noProof/>
          <w:sz w:val="20"/>
          <w:szCs w:val="24"/>
        </w:rPr>
        <w:tab/>
        <w:t xml:space="preserve">K.-I. Hayashi, F.-R. Chang, Y. Nakanishi, K. F. Bastow, G. Cragg, A. T. McPhail, H. Nozaki, K.-H. Lee, </w:t>
      </w:r>
      <w:r w:rsidRPr="00F168DA">
        <w:rPr>
          <w:rFonts w:ascii="Calibri" w:hAnsi="Calibri" w:cs="Times New Roman"/>
          <w:i/>
          <w:iCs/>
          <w:noProof/>
          <w:sz w:val="20"/>
          <w:szCs w:val="24"/>
        </w:rPr>
        <w:t>J. Nat. Prod.</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2004</w:t>
      </w:r>
      <w:r w:rsidRPr="00F168DA">
        <w:rPr>
          <w:rFonts w:ascii="Calibri" w:hAnsi="Calibri" w:cs="Times New Roman"/>
          <w:noProof/>
          <w:sz w:val="20"/>
          <w:szCs w:val="24"/>
        </w:rPr>
        <w:t xml:space="preserve">, </w:t>
      </w:r>
      <w:r w:rsidRPr="00F168DA">
        <w:rPr>
          <w:rFonts w:ascii="Calibri" w:hAnsi="Calibri" w:cs="Times New Roman"/>
          <w:i/>
          <w:iCs/>
          <w:noProof/>
          <w:sz w:val="20"/>
          <w:szCs w:val="24"/>
        </w:rPr>
        <w:t>67</w:t>
      </w:r>
      <w:r w:rsidRPr="00F168DA">
        <w:rPr>
          <w:rFonts w:ascii="Calibri" w:hAnsi="Calibri" w:cs="Times New Roman"/>
          <w:noProof/>
          <w:sz w:val="20"/>
          <w:szCs w:val="24"/>
        </w:rPr>
        <w:t>, 990–993.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[174]</w:t>
      </w:r>
      <w:r w:rsidRPr="00F168DA">
        <w:rPr>
          <w:rFonts w:ascii="Calibri" w:hAnsi="Calibri" w:cs="Times New Roman"/>
          <w:noProof/>
          <w:sz w:val="20"/>
          <w:szCs w:val="24"/>
        </w:rPr>
        <w:tab/>
        <w:t xml:space="preserve">J. D. White, G. L. Larson,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1978</w:t>
      </w:r>
      <w:r w:rsidRPr="00F168DA">
        <w:rPr>
          <w:rFonts w:ascii="Calibri" w:hAnsi="Calibri" w:cs="Times New Roman"/>
          <w:noProof/>
          <w:sz w:val="20"/>
          <w:szCs w:val="24"/>
        </w:rPr>
        <w:t xml:space="preserve">, </w:t>
      </w:r>
      <w:r w:rsidRPr="00F168DA">
        <w:rPr>
          <w:rFonts w:ascii="Calibri" w:hAnsi="Calibri" w:cs="Times New Roman"/>
          <w:i/>
          <w:iCs/>
          <w:noProof/>
          <w:sz w:val="20"/>
          <w:szCs w:val="24"/>
        </w:rPr>
        <w:t>43</w:t>
      </w:r>
      <w:r w:rsidRPr="00F168DA">
        <w:rPr>
          <w:rFonts w:ascii="Calibri" w:hAnsi="Calibri" w:cs="Times New Roman"/>
          <w:noProof/>
          <w:sz w:val="20"/>
          <w:szCs w:val="24"/>
        </w:rPr>
        <w:t>, 4555–4556.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[175]</w:t>
      </w:r>
      <w:r w:rsidRPr="00F168DA">
        <w:rPr>
          <w:rFonts w:ascii="Calibri" w:hAnsi="Calibri" w:cs="Times New Roman"/>
          <w:noProof/>
          <w:sz w:val="20"/>
          <w:szCs w:val="24"/>
        </w:rPr>
        <w:tab/>
        <w:t xml:space="preserve">J. L. Luche,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1978</w:t>
      </w:r>
      <w:r w:rsidRPr="00F168DA">
        <w:rPr>
          <w:rFonts w:ascii="Calibri" w:hAnsi="Calibri" w:cs="Times New Roman"/>
          <w:noProof/>
          <w:sz w:val="20"/>
          <w:szCs w:val="24"/>
        </w:rPr>
        <w:t xml:space="preserve">, </w:t>
      </w:r>
      <w:r w:rsidRPr="00F168DA">
        <w:rPr>
          <w:rFonts w:ascii="Calibri" w:hAnsi="Calibri" w:cs="Times New Roman"/>
          <w:i/>
          <w:iCs/>
          <w:noProof/>
          <w:sz w:val="20"/>
          <w:szCs w:val="24"/>
        </w:rPr>
        <w:t>100</w:t>
      </w:r>
      <w:r w:rsidRPr="00F168DA">
        <w:rPr>
          <w:rFonts w:ascii="Calibri" w:hAnsi="Calibri" w:cs="Times New Roman"/>
          <w:noProof/>
          <w:sz w:val="20"/>
          <w:szCs w:val="24"/>
        </w:rPr>
        <w:t>, 2226–2227.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lastRenderedPageBreak/>
        <w:t>[176]</w:t>
      </w:r>
      <w:r w:rsidRPr="00F168DA">
        <w:rPr>
          <w:rFonts w:ascii="Calibri" w:hAnsi="Calibri" w:cs="Times New Roman"/>
          <w:noProof/>
          <w:sz w:val="20"/>
          <w:szCs w:val="24"/>
        </w:rPr>
        <w:tab/>
        <w:t xml:space="preserve">J. L. Luche, L. Rodriguez-Hahn, P. Crabbe, </w:t>
      </w:r>
      <w:r w:rsidRPr="00F168DA">
        <w:rPr>
          <w:rFonts w:ascii="Calibri" w:hAnsi="Calibri" w:cs="Times New Roman"/>
          <w:i/>
          <w:iCs/>
          <w:noProof/>
          <w:sz w:val="20"/>
          <w:szCs w:val="24"/>
        </w:rPr>
        <w:t>J. Chem. Soc. Chem. Commun.</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1978</w:t>
      </w:r>
      <w:r w:rsidRPr="00F168DA">
        <w:rPr>
          <w:rFonts w:ascii="Calibri" w:hAnsi="Calibri" w:cs="Times New Roman"/>
          <w:noProof/>
          <w:sz w:val="20"/>
          <w:szCs w:val="24"/>
        </w:rPr>
        <w:t>, 601–602.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[177]</w:t>
      </w:r>
      <w:r w:rsidRPr="00F168DA">
        <w:rPr>
          <w:rFonts w:ascii="Calibri" w:hAnsi="Calibri" w:cs="Times New Roman"/>
          <w:noProof/>
          <w:sz w:val="20"/>
          <w:szCs w:val="24"/>
        </w:rPr>
        <w:tab/>
        <w:t xml:space="preserve">A. L. Gemal, J. L. Luche,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1981</w:t>
      </w:r>
      <w:r w:rsidRPr="00F168DA">
        <w:rPr>
          <w:rFonts w:ascii="Calibri" w:hAnsi="Calibri" w:cs="Times New Roman"/>
          <w:noProof/>
          <w:sz w:val="20"/>
          <w:szCs w:val="24"/>
        </w:rPr>
        <w:t xml:space="preserve">, </w:t>
      </w:r>
      <w:r w:rsidRPr="00F168DA">
        <w:rPr>
          <w:rFonts w:ascii="Calibri" w:hAnsi="Calibri" w:cs="Times New Roman"/>
          <w:i/>
          <w:iCs/>
          <w:noProof/>
          <w:sz w:val="20"/>
          <w:szCs w:val="24"/>
        </w:rPr>
        <w:t>103</w:t>
      </w:r>
      <w:r w:rsidRPr="00F168DA">
        <w:rPr>
          <w:rFonts w:ascii="Calibri" w:hAnsi="Calibri" w:cs="Times New Roman"/>
          <w:noProof/>
          <w:sz w:val="20"/>
          <w:szCs w:val="24"/>
        </w:rPr>
        <w:t>, 5454–5459.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[178]</w:t>
      </w:r>
      <w:r w:rsidRPr="00F168DA">
        <w:rPr>
          <w:rFonts w:ascii="Calibri" w:hAnsi="Calibri" w:cs="Times New Roman"/>
          <w:noProof/>
          <w:sz w:val="20"/>
          <w:szCs w:val="24"/>
        </w:rPr>
        <w:tab/>
        <w:t xml:space="preserve">D. K. Mohapatra, S. Maity, S. Banoth, R. G. Gonnade, J. S. Yadav, </w:t>
      </w:r>
      <w:r w:rsidRPr="00F168DA">
        <w:rPr>
          <w:rFonts w:ascii="Calibri" w:hAnsi="Calibri" w:cs="Times New Roman"/>
          <w:i/>
          <w:iCs/>
          <w:noProof/>
          <w:sz w:val="20"/>
          <w:szCs w:val="24"/>
        </w:rPr>
        <w:t>Tetrahedron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2016</w:t>
      </w:r>
      <w:r w:rsidRPr="00F168DA">
        <w:rPr>
          <w:rFonts w:ascii="Calibri" w:hAnsi="Calibri" w:cs="Times New Roman"/>
          <w:noProof/>
          <w:sz w:val="20"/>
          <w:szCs w:val="24"/>
        </w:rPr>
        <w:t xml:space="preserve">, </w:t>
      </w:r>
      <w:r w:rsidRPr="00F168DA">
        <w:rPr>
          <w:rFonts w:ascii="Calibri" w:hAnsi="Calibri" w:cs="Times New Roman"/>
          <w:i/>
          <w:iCs/>
          <w:noProof/>
          <w:sz w:val="20"/>
          <w:szCs w:val="24"/>
        </w:rPr>
        <w:t>57</w:t>
      </w:r>
      <w:r w:rsidRPr="00F168DA">
        <w:rPr>
          <w:rFonts w:ascii="Calibri" w:hAnsi="Calibri" w:cs="Times New Roman"/>
          <w:noProof/>
          <w:sz w:val="20"/>
          <w:szCs w:val="24"/>
        </w:rPr>
        <w:t>, 53–55.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[179]</w:t>
      </w:r>
      <w:r w:rsidRPr="00F168DA">
        <w:rPr>
          <w:rFonts w:ascii="Calibri" w:hAnsi="Calibri" w:cs="Times New Roman"/>
          <w:noProof/>
          <w:sz w:val="20"/>
          <w:szCs w:val="24"/>
        </w:rPr>
        <w:tab/>
        <w:t xml:space="preserve">M. Szostak, M. Spain, D. J. Procter, </w:t>
      </w:r>
      <w:r w:rsidRPr="00F168DA">
        <w:rPr>
          <w:rFonts w:ascii="Calibri" w:hAnsi="Calibri" w:cs="Times New Roman"/>
          <w:i/>
          <w:iCs/>
          <w:noProof/>
          <w:sz w:val="20"/>
          <w:szCs w:val="24"/>
        </w:rPr>
        <w:t>Chem. Soc. Rev.</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2013</w:t>
      </w:r>
      <w:r w:rsidRPr="00F168DA">
        <w:rPr>
          <w:rFonts w:ascii="Calibri" w:hAnsi="Calibri" w:cs="Times New Roman"/>
          <w:noProof/>
          <w:sz w:val="20"/>
          <w:szCs w:val="24"/>
        </w:rPr>
        <w:t xml:space="preserve">, </w:t>
      </w:r>
      <w:r w:rsidRPr="00F168DA">
        <w:rPr>
          <w:rFonts w:ascii="Calibri" w:hAnsi="Calibri" w:cs="Times New Roman"/>
          <w:i/>
          <w:iCs/>
          <w:noProof/>
          <w:sz w:val="20"/>
          <w:szCs w:val="24"/>
        </w:rPr>
        <w:t>42</w:t>
      </w:r>
      <w:r w:rsidRPr="00F168DA">
        <w:rPr>
          <w:rFonts w:ascii="Calibri" w:hAnsi="Calibri" w:cs="Times New Roman"/>
          <w:noProof/>
          <w:sz w:val="20"/>
          <w:szCs w:val="24"/>
        </w:rPr>
        <w:t>, 9155–9183.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[180]</w:t>
      </w:r>
      <w:r w:rsidRPr="00F168DA">
        <w:rPr>
          <w:rFonts w:ascii="Calibri" w:hAnsi="Calibri" w:cs="Times New Roman"/>
          <w:noProof/>
          <w:sz w:val="20"/>
          <w:szCs w:val="24"/>
        </w:rPr>
        <w:tab/>
        <w:t xml:space="preserve">M. Szostak, M. Spain, D. J. Procter, </w:t>
      </w:r>
      <w:r w:rsidRPr="00F168DA">
        <w:rPr>
          <w:rFonts w:ascii="Calibri" w:hAnsi="Calibri" w:cs="Times New Roman"/>
          <w:i/>
          <w:iCs/>
          <w:noProof/>
          <w:sz w:val="20"/>
          <w:szCs w:val="24"/>
        </w:rPr>
        <w:t>Chem. - A Eur. J.</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2014</w:t>
      </w:r>
      <w:r w:rsidRPr="00F168DA">
        <w:rPr>
          <w:rFonts w:ascii="Calibri" w:hAnsi="Calibri" w:cs="Times New Roman"/>
          <w:noProof/>
          <w:sz w:val="20"/>
          <w:szCs w:val="24"/>
        </w:rPr>
        <w:t xml:space="preserve">, </w:t>
      </w:r>
      <w:r w:rsidRPr="00F168DA">
        <w:rPr>
          <w:rFonts w:ascii="Calibri" w:hAnsi="Calibri" w:cs="Times New Roman"/>
          <w:i/>
          <w:iCs/>
          <w:noProof/>
          <w:sz w:val="20"/>
          <w:szCs w:val="24"/>
        </w:rPr>
        <w:t>20</w:t>
      </w:r>
      <w:r w:rsidRPr="00F168DA">
        <w:rPr>
          <w:rFonts w:ascii="Calibri" w:hAnsi="Calibri" w:cs="Times New Roman"/>
          <w:noProof/>
          <w:sz w:val="20"/>
          <w:szCs w:val="24"/>
        </w:rPr>
        <w:t>, 4222–4226.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[181]</w:t>
      </w:r>
      <w:r w:rsidRPr="00F168DA">
        <w:rPr>
          <w:rFonts w:ascii="Calibri" w:hAnsi="Calibri" w:cs="Times New Roman"/>
          <w:noProof/>
          <w:sz w:val="20"/>
          <w:szCs w:val="24"/>
        </w:rPr>
        <w:tab/>
        <w:t xml:space="preserve">T. V Chciuk, R. A. Flowers,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2015</w:t>
      </w:r>
      <w:r w:rsidRPr="00F168DA">
        <w:rPr>
          <w:rFonts w:ascii="Calibri" w:hAnsi="Calibri" w:cs="Times New Roman"/>
          <w:noProof/>
          <w:sz w:val="20"/>
          <w:szCs w:val="24"/>
        </w:rPr>
        <w:t xml:space="preserve">, </w:t>
      </w:r>
      <w:r w:rsidRPr="00F168DA">
        <w:rPr>
          <w:rFonts w:ascii="Calibri" w:hAnsi="Calibri" w:cs="Times New Roman"/>
          <w:i/>
          <w:iCs/>
          <w:noProof/>
          <w:sz w:val="20"/>
          <w:szCs w:val="24"/>
        </w:rPr>
        <w:t>137</w:t>
      </w:r>
      <w:r w:rsidRPr="00F168DA">
        <w:rPr>
          <w:rFonts w:ascii="Calibri" w:hAnsi="Calibri" w:cs="Times New Roman"/>
          <w:noProof/>
          <w:sz w:val="20"/>
          <w:szCs w:val="24"/>
        </w:rPr>
        <w:t>, 11526–11531.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[182]</w:t>
      </w:r>
      <w:r w:rsidRPr="00F168DA">
        <w:rPr>
          <w:rFonts w:ascii="Calibri" w:hAnsi="Calibri" w:cs="Times New Roman"/>
          <w:noProof/>
          <w:sz w:val="20"/>
          <w:szCs w:val="24"/>
        </w:rPr>
        <w:tab/>
        <w:t xml:space="preserve">S. Maity, S. Hoz, </w:t>
      </w:r>
      <w:r w:rsidRPr="00F168DA">
        <w:rPr>
          <w:rFonts w:ascii="Calibri" w:hAnsi="Calibri" w:cs="Times New Roman"/>
          <w:i/>
          <w:iCs/>
          <w:noProof/>
          <w:sz w:val="20"/>
          <w:szCs w:val="24"/>
        </w:rPr>
        <w:t>Chem. - A Eur. J.</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2015</w:t>
      </w:r>
      <w:r w:rsidRPr="00F168DA">
        <w:rPr>
          <w:rFonts w:ascii="Calibri" w:hAnsi="Calibri" w:cs="Times New Roman"/>
          <w:noProof/>
          <w:sz w:val="20"/>
          <w:szCs w:val="24"/>
        </w:rPr>
        <w:t xml:space="preserve">, </w:t>
      </w:r>
      <w:r w:rsidRPr="00F168DA">
        <w:rPr>
          <w:rFonts w:ascii="Calibri" w:hAnsi="Calibri" w:cs="Times New Roman"/>
          <w:i/>
          <w:iCs/>
          <w:noProof/>
          <w:sz w:val="20"/>
          <w:szCs w:val="24"/>
        </w:rPr>
        <w:t>21</w:t>
      </w:r>
      <w:r w:rsidRPr="00F168DA">
        <w:rPr>
          <w:rFonts w:ascii="Calibri" w:hAnsi="Calibri" w:cs="Times New Roman"/>
          <w:noProof/>
          <w:sz w:val="20"/>
          <w:szCs w:val="24"/>
        </w:rPr>
        <w:t>, 18394–18400.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[183]</w:t>
      </w:r>
      <w:r w:rsidRPr="00F168DA">
        <w:rPr>
          <w:rFonts w:ascii="Calibri" w:hAnsi="Calibri" w:cs="Times New Roman"/>
          <w:noProof/>
          <w:sz w:val="20"/>
          <w:szCs w:val="24"/>
        </w:rPr>
        <w:tab/>
        <w:t xml:space="preserve">M. Szostak, M. Spain, D. J. Procter, </w:t>
      </w:r>
      <w:r w:rsidRPr="00F168DA">
        <w:rPr>
          <w:rFonts w:ascii="Calibri" w:hAnsi="Calibri" w:cs="Times New Roman"/>
          <w:i/>
          <w:iCs/>
          <w:noProof/>
          <w:sz w:val="20"/>
          <w:szCs w:val="24"/>
        </w:rPr>
        <w:t>Org.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2014</w:t>
      </w:r>
      <w:r w:rsidRPr="00F168DA">
        <w:rPr>
          <w:rFonts w:ascii="Calibri" w:hAnsi="Calibri" w:cs="Times New Roman"/>
          <w:noProof/>
          <w:sz w:val="20"/>
          <w:szCs w:val="24"/>
        </w:rPr>
        <w:t xml:space="preserve">, </w:t>
      </w:r>
      <w:r w:rsidRPr="00F168DA">
        <w:rPr>
          <w:rFonts w:ascii="Calibri" w:hAnsi="Calibri" w:cs="Times New Roman"/>
          <w:i/>
          <w:iCs/>
          <w:noProof/>
          <w:sz w:val="20"/>
          <w:szCs w:val="24"/>
        </w:rPr>
        <w:t>16</w:t>
      </w:r>
      <w:r w:rsidRPr="00F168DA">
        <w:rPr>
          <w:rFonts w:ascii="Calibri" w:hAnsi="Calibri" w:cs="Times New Roman"/>
          <w:noProof/>
          <w:sz w:val="20"/>
          <w:szCs w:val="24"/>
        </w:rPr>
        <w:t>, 5052–5055.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[184]</w:t>
      </w:r>
      <w:r w:rsidRPr="00F168DA">
        <w:rPr>
          <w:rFonts w:ascii="Calibri" w:hAnsi="Calibri" w:cs="Times New Roman"/>
          <w:noProof/>
          <w:sz w:val="20"/>
          <w:szCs w:val="24"/>
        </w:rPr>
        <w:tab/>
        <w:t xml:space="preserve">J. A. Ferreira Ramos, C. S. Araujo, T. J. Nagem, J. G. Taylor, </w:t>
      </w:r>
      <w:r w:rsidRPr="00F168DA">
        <w:rPr>
          <w:rFonts w:ascii="Calibri" w:hAnsi="Calibri" w:cs="Times New Roman"/>
          <w:i/>
          <w:iCs/>
          <w:noProof/>
          <w:sz w:val="20"/>
          <w:szCs w:val="24"/>
        </w:rPr>
        <w:t>J. Heterocycl.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2015</w:t>
      </w:r>
      <w:r w:rsidRPr="00F168DA">
        <w:rPr>
          <w:rFonts w:ascii="Calibri" w:hAnsi="Calibri" w:cs="Times New Roman"/>
          <w:noProof/>
          <w:sz w:val="20"/>
          <w:szCs w:val="24"/>
        </w:rPr>
        <w:t xml:space="preserve">, </w:t>
      </w:r>
      <w:r w:rsidRPr="00F168DA">
        <w:rPr>
          <w:rFonts w:ascii="Calibri" w:hAnsi="Calibri" w:cs="Times New Roman"/>
          <w:i/>
          <w:iCs/>
          <w:noProof/>
          <w:sz w:val="20"/>
          <w:szCs w:val="24"/>
        </w:rPr>
        <w:t>52</w:t>
      </w:r>
      <w:r w:rsidRPr="00F168DA">
        <w:rPr>
          <w:rFonts w:ascii="Calibri" w:hAnsi="Calibri" w:cs="Times New Roman"/>
          <w:noProof/>
          <w:sz w:val="20"/>
          <w:szCs w:val="24"/>
        </w:rPr>
        <w:t>, 54–58.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[185]</w:t>
      </w:r>
      <w:r w:rsidRPr="00F168DA">
        <w:rPr>
          <w:rFonts w:ascii="Calibri" w:hAnsi="Calibri" w:cs="Times New Roman"/>
          <w:noProof/>
          <w:sz w:val="20"/>
          <w:szCs w:val="24"/>
        </w:rPr>
        <w:tab/>
        <w:t xml:space="preserve">J. Inanaga, M. Ishikawa, M. Yamaguchi, </w:t>
      </w:r>
      <w:r w:rsidRPr="00F168DA">
        <w:rPr>
          <w:rFonts w:ascii="Calibri" w:hAnsi="Calibri" w:cs="Times New Roman"/>
          <w:i/>
          <w:iCs/>
          <w:noProof/>
          <w:sz w:val="20"/>
          <w:szCs w:val="24"/>
        </w:rPr>
        <w:t>Chem.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1987</w:t>
      </w:r>
      <w:r w:rsidRPr="00F168DA">
        <w:rPr>
          <w:rFonts w:ascii="Calibri" w:hAnsi="Calibri" w:cs="Times New Roman"/>
          <w:noProof/>
          <w:sz w:val="20"/>
          <w:szCs w:val="24"/>
        </w:rPr>
        <w:t>, 1485–1486.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[186]</w:t>
      </w:r>
      <w:r w:rsidRPr="00F168DA">
        <w:rPr>
          <w:rFonts w:ascii="Calibri" w:hAnsi="Calibri" w:cs="Times New Roman"/>
          <w:noProof/>
          <w:sz w:val="20"/>
          <w:szCs w:val="24"/>
        </w:rPr>
        <w:tab/>
        <w:t xml:space="preserve">S. Halder, S. Hoz,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2014</w:t>
      </w:r>
      <w:r w:rsidRPr="00F168DA">
        <w:rPr>
          <w:rFonts w:ascii="Calibri" w:hAnsi="Calibri" w:cs="Times New Roman"/>
          <w:noProof/>
          <w:sz w:val="20"/>
          <w:szCs w:val="24"/>
        </w:rPr>
        <w:t xml:space="preserve">, </w:t>
      </w:r>
      <w:r w:rsidRPr="00F168DA">
        <w:rPr>
          <w:rFonts w:ascii="Calibri" w:hAnsi="Calibri" w:cs="Times New Roman"/>
          <w:i/>
          <w:iCs/>
          <w:noProof/>
          <w:sz w:val="20"/>
          <w:szCs w:val="24"/>
        </w:rPr>
        <w:t>79</w:t>
      </w:r>
      <w:r w:rsidRPr="00F168DA">
        <w:rPr>
          <w:rFonts w:ascii="Calibri" w:hAnsi="Calibri" w:cs="Times New Roman"/>
          <w:noProof/>
          <w:sz w:val="20"/>
          <w:szCs w:val="24"/>
        </w:rPr>
        <w:t>, 2682–2687.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[187]</w:t>
      </w:r>
      <w:r w:rsidRPr="00F168DA">
        <w:rPr>
          <w:rFonts w:ascii="Calibri" w:hAnsi="Calibri" w:cs="Times New Roman"/>
          <w:noProof/>
          <w:sz w:val="20"/>
          <w:szCs w:val="24"/>
        </w:rPr>
        <w:tab/>
        <w:t xml:space="preserve">C. E. McDonald, J. R. Ramsey, D. G. Sampsell, L. A. Anderson, J. E. Krebs, S. N. Smith, </w:t>
      </w:r>
      <w:r w:rsidRPr="00F168DA">
        <w:rPr>
          <w:rFonts w:ascii="Calibri" w:hAnsi="Calibri" w:cs="Times New Roman"/>
          <w:i/>
          <w:iCs/>
          <w:noProof/>
          <w:sz w:val="20"/>
          <w:szCs w:val="24"/>
        </w:rPr>
        <w:t>Tetrahedron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2013</w:t>
      </w:r>
      <w:r w:rsidRPr="00F168DA">
        <w:rPr>
          <w:rFonts w:ascii="Calibri" w:hAnsi="Calibri" w:cs="Times New Roman"/>
          <w:noProof/>
          <w:sz w:val="20"/>
          <w:szCs w:val="24"/>
        </w:rPr>
        <w:t xml:space="preserve">, </w:t>
      </w:r>
      <w:r w:rsidRPr="00F168DA">
        <w:rPr>
          <w:rFonts w:ascii="Calibri" w:hAnsi="Calibri" w:cs="Times New Roman"/>
          <w:i/>
          <w:iCs/>
          <w:noProof/>
          <w:sz w:val="20"/>
          <w:szCs w:val="24"/>
        </w:rPr>
        <w:t>69</w:t>
      </w:r>
      <w:r w:rsidRPr="00F168DA">
        <w:rPr>
          <w:rFonts w:ascii="Calibri" w:hAnsi="Calibri" w:cs="Times New Roman"/>
          <w:noProof/>
          <w:sz w:val="20"/>
          <w:szCs w:val="24"/>
        </w:rPr>
        <w:t>, 2947–2953.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[188]</w:t>
      </w:r>
      <w:r w:rsidRPr="00F168DA">
        <w:rPr>
          <w:rFonts w:ascii="Calibri" w:hAnsi="Calibri" w:cs="Times New Roman"/>
          <w:noProof/>
          <w:sz w:val="20"/>
          <w:szCs w:val="24"/>
        </w:rPr>
        <w:tab/>
        <w:t xml:space="preserve">E. Marcantoni, L. Sambri, in </w:t>
      </w:r>
      <w:r w:rsidRPr="00F168DA">
        <w:rPr>
          <w:rFonts w:ascii="Calibri" w:hAnsi="Calibri" w:cs="Times New Roman"/>
          <w:i/>
          <w:iCs/>
          <w:noProof/>
          <w:sz w:val="20"/>
          <w:szCs w:val="24"/>
        </w:rPr>
        <w:t>Compr. Org. Synth. (2nd Ed.)</w:t>
      </w:r>
      <w:r w:rsidRPr="00F168DA">
        <w:rPr>
          <w:rFonts w:ascii="Calibri" w:hAnsi="Calibri" w:cs="Times New Roman"/>
          <w:noProof/>
          <w:sz w:val="20"/>
          <w:szCs w:val="24"/>
        </w:rPr>
        <w:t xml:space="preserve">, Elsevier B.V., </w:t>
      </w:r>
      <w:r w:rsidRPr="00F168DA">
        <w:rPr>
          <w:rFonts w:ascii="Calibri" w:hAnsi="Calibri" w:cs="Times New Roman"/>
          <w:b/>
          <w:bCs/>
          <w:noProof/>
          <w:sz w:val="20"/>
          <w:szCs w:val="24"/>
        </w:rPr>
        <w:t>2014</w:t>
      </w:r>
      <w:r w:rsidRPr="00F168DA">
        <w:rPr>
          <w:rFonts w:ascii="Calibri" w:hAnsi="Calibri" w:cs="Times New Roman"/>
          <w:noProof/>
          <w:sz w:val="20"/>
          <w:szCs w:val="24"/>
        </w:rPr>
        <w:t>, pp. 267–277.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[189]</w:t>
      </w:r>
      <w:r w:rsidRPr="00F168DA">
        <w:rPr>
          <w:rFonts w:ascii="Calibri" w:hAnsi="Calibri" w:cs="Times New Roman"/>
          <w:noProof/>
          <w:sz w:val="20"/>
          <w:szCs w:val="24"/>
        </w:rPr>
        <w:tab/>
        <w:t xml:space="preserve">T. Imamoto, T. Kusumoto, M. Yokoyama, </w:t>
      </w:r>
      <w:r w:rsidRPr="00F168DA">
        <w:rPr>
          <w:rFonts w:ascii="Calibri" w:hAnsi="Calibri" w:cs="Times New Roman"/>
          <w:i/>
          <w:iCs/>
          <w:noProof/>
          <w:sz w:val="20"/>
          <w:szCs w:val="24"/>
        </w:rPr>
        <w:t>J. Chem. Soc. Chem. Commun.</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1982</w:t>
      </w:r>
      <w:r w:rsidRPr="00F168DA">
        <w:rPr>
          <w:rFonts w:ascii="Calibri" w:hAnsi="Calibri" w:cs="Times New Roman"/>
          <w:noProof/>
          <w:sz w:val="20"/>
          <w:szCs w:val="24"/>
        </w:rPr>
        <w:t>, 1042–1044.</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[190]</w:t>
      </w:r>
      <w:r w:rsidRPr="00F168DA">
        <w:rPr>
          <w:rFonts w:ascii="Calibri" w:hAnsi="Calibri" w:cs="Times New Roman"/>
          <w:noProof/>
          <w:sz w:val="20"/>
          <w:szCs w:val="24"/>
        </w:rPr>
        <w:tab/>
        <w:t xml:space="preserve">T. Imamoto, T. Kusumoto, Y. Tawarayama, Y. Sugiura, T. Mita, Y. Hatanaka, M. Yokoyama,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1984</w:t>
      </w:r>
      <w:r w:rsidRPr="00F168DA">
        <w:rPr>
          <w:rFonts w:ascii="Calibri" w:hAnsi="Calibri" w:cs="Times New Roman"/>
          <w:noProof/>
          <w:sz w:val="20"/>
          <w:szCs w:val="24"/>
        </w:rPr>
        <w:t xml:space="preserve">, </w:t>
      </w:r>
      <w:r w:rsidRPr="00F168DA">
        <w:rPr>
          <w:rFonts w:ascii="Calibri" w:hAnsi="Calibri" w:cs="Times New Roman"/>
          <w:i/>
          <w:iCs/>
          <w:noProof/>
          <w:sz w:val="20"/>
          <w:szCs w:val="24"/>
        </w:rPr>
        <w:t>49</w:t>
      </w:r>
      <w:r w:rsidRPr="00F168DA">
        <w:rPr>
          <w:rFonts w:ascii="Calibri" w:hAnsi="Calibri" w:cs="Times New Roman"/>
          <w:noProof/>
          <w:sz w:val="20"/>
          <w:szCs w:val="24"/>
        </w:rPr>
        <w:t>, 3904–3912.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[191]</w:t>
      </w:r>
      <w:r w:rsidRPr="00F168DA">
        <w:rPr>
          <w:rFonts w:ascii="Calibri" w:hAnsi="Calibri" w:cs="Times New Roman"/>
          <w:noProof/>
          <w:sz w:val="20"/>
          <w:szCs w:val="24"/>
        </w:rPr>
        <w:tab/>
        <w:t xml:space="preserve">T. Imamoto, Y. Sugiura, N. Takiyama, </w:t>
      </w:r>
      <w:r w:rsidRPr="00F168DA">
        <w:rPr>
          <w:rFonts w:ascii="Calibri" w:hAnsi="Calibri" w:cs="Times New Roman"/>
          <w:i/>
          <w:iCs/>
          <w:noProof/>
          <w:sz w:val="20"/>
          <w:szCs w:val="24"/>
        </w:rPr>
        <w:t>Tetrahedron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1984</w:t>
      </w:r>
      <w:r w:rsidRPr="00F168DA">
        <w:rPr>
          <w:rFonts w:ascii="Calibri" w:hAnsi="Calibri" w:cs="Times New Roman"/>
          <w:noProof/>
          <w:sz w:val="20"/>
          <w:szCs w:val="24"/>
        </w:rPr>
        <w:t xml:space="preserve">, </w:t>
      </w:r>
      <w:r w:rsidRPr="00F168DA">
        <w:rPr>
          <w:rFonts w:ascii="Calibri" w:hAnsi="Calibri" w:cs="Times New Roman"/>
          <w:i/>
          <w:iCs/>
          <w:noProof/>
          <w:sz w:val="20"/>
          <w:szCs w:val="24"/>
        </w:rPr>
        <w:t>25</w:t>
      </w:r>
      <w:r w:rsidRPr="00F168DA">
        <w:rPr>
          <w:rFonts w:ascii="Calibri" w:hAnsi="Calibri" w:cs="Times New Roman"/>
          <w:noProof/>
          <w:sz w:val="20"/>
          <w:szCs w:val="24"/>
        </w:rPr>
        <w:t>, 4233–4236.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[192]</w:t>
      </w:r>
      <w:r w:rsidRPr="00F168DA">
        <w:rPr>
          <w:rFonts w:ascii="Calibri" w:hAnsi="Calibri" w:cs="Times New Roman"/>
          <w:noProof/>
          <w:sz w:val="20"/>
          <w:szCs w:val="24"/>
        </w:rPr>
        <w:tab/>
        <w:t xml:space="preserve">T. Imamoto, Y. Sugiura, </w:t>
      </w:r>
      <w:r w:rsidRPr="00F168DA">
        <w:rPr>
          <w:rFonts w:ascii="Calibri" w:hAnsi="Calibri" w:cs="Times New Roman"/>
          <w:i/>
          <w:iCs/>
          <w:noProof/>
          <w:sz w:val="20"/>
          <w:szCs w:val="24"/>
        </w:rPr>
        <w:t>J. Organomet.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1985</w:t>
      </w:r>
      <w:r w:rsidRPr="00F168DA">
        <w:rPr>
          <w:rFonts w:ascii="Calibri" w:hAnsi="Calibri" w:cs="Times New Roman"/>
          <w:noProof/>
          <w:sz w:val="20"/>
          <w:szCs w:val="24"/>
        </w:rPr>
        <w:t xml:space="preserve">, </w:t>
      </w:r>
      <w:r w:rsidRPr="00F168DA">
        <w:rPr>
          <w:rFonts w:ascii="Calibri" w:hAnsi="Calibri" w:cs="Times New Roman"/>
          <w:i/>
          <w:iCs/>
          <w:noProof/>
          <w:sz w:val="20"/>
          <w:szCs w:val="24"/>
        </w:rPr>
        <w:t>285</w:t>
      </w:r>
      <w:r w:rsidRPr="00F168DA">
        <w:rPr>
          <w:rFonts w:ascii="Calibri" w:hAnsi="Calibri" w:cs="Times New Roman"/>
          <w:noProof/>
          <w:sz w:val="20"/>
          <w:szCs w:val="24"/>
        </w:rPr>
        <w:t>, C21–C23.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[193]</w:t>
      </w:r>
      <w:r w:rsidRPr="00F168DA">
        <w:rPr>
          <w:rFonts w:ascii="Calibri" w:hAnsi="Calibri" w:cs="Times New Roman"/>
          <w:noProof/>
          <w:sz w:val="20"/>
          <w:szCs w:val="24"/>
        </w:rPr>
        <w:tab/>
        <w:t xml:space="preserve">T. Imamoto, N. Takiyama, K. Nakamura, </w:t>
      </w:r>
      <w:r w:rsidRPr="00F168DA">
        <w:rPr>
          <w:rFonts w:ascii="Calibri" w:hAnsi="Calibri" w:cs="Times New Roman"/>
          <w:i/>
          <w:iCs/>
          <w:noProof/>
          <w:sz w:val="20"/>
          <w:szCs w:val="24"/>
        </w:rPr>
        <w:t>Tetrahedron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1985</w:t>
      </w:r>
      <w:r w:rsidRPr="00F168DA">
        <w:rPr>
          <w:rFonts w:ascii="Calibri" w:hAnsi="Calibri" w:cs="Times New Roman"/>
          <w:noProof/>
          <w:sz w:val="20"/>
          <w:szCs w:val="24"/>
        </w:rPr>
        <w:t xml:space="preserve">, </w:t>
      </w:r>
      <w:r w:rsidRPr="00F168DA">
        <w:rPr>
          <w:rFonts w:ascii="Calibri" w:hAnsi="Calibri" w:cs="Times New Roman"/>
          <w:i/>
          <w:iCs/>
          <w:noProof/>
          <w:sz w:val="20"/>
          <w:szCs w:val="24"/>
        </w:rPr>
        <w:t>26</w:t>
      </w:r>
      <w:r w:rsidRPr="00F168DA">
        <w:rPr>
          <w:rFonts w:ascii="Calibri" w:hAnsi="Calibri" w:cs="Times New Roman"/>
          <w:noProof/>
          <w:sz w:val="20"/>
          <w:szCs w:val="24"/>
        </w:rPr>
        <w:t>, 4763–4766.</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[194]</w:t>
      </w:r>
      <w:r w:rsidRPr="00F168DA">
        <w:rPr>
          <w:rFonts w:ascii="Calibri" w:hAnsi="Calibri" w:cs="Times New Roman"/>
          <w:noProof/>
          <w:sz w:val="20"/>
          <w:szCs w:val="24"/>
        </w:rPr>
        <w:tab/>
        <w:t xml:space="preserve">G. B. Dudley, D. A. Engel, I. Ghiviriga, H. Lam, K. W. C. Poon, J. A. Singletary, </w:t>
      </w:r>
      <w:r w:rsidRPr="00F168DA">
        <w:rPr>
          <w:rFonts w:ascii="Calibri" w:hAnsi="Calibri" w:cs="Times New Roman"/>
          <w:i/>
          <w:iCs/>
          <w:noProof/>
          <w:sz w:val="20"/>
          <w:szCs w:val="24"/>
        </w:rPr>
        <w:t>Org.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2007</w:t>
      </w:r>
      <w:r w:rsidRPr="00F168DA">
        <w:rPr>
          <w:rFonts w:ascii="Calibri" w:hAnsi="Calibri" w:cs="Times New Roman"/>
          <w:noProof/>
          <w:sz w:val="20"/>
          <w:szCs w:val="24"/>
        </w:rPr>
        <w:t xml:space="preserve">, </w:t>
      </w:r>
      <w:r w:rsidRPr="00F168DA">
        <w:rPr>
          <w:rFonts w:ascii="Calibri" w:hAnsi="Calibri" w:cs="Times New Roman"/>
          <w:i/>
          <w:iCs/>
          <w:noProof/>
          <w:sz w:val="20"/>
          <w:szCs w:val="24"/>
        </w:rPr>
        <w:t>9</w:t>
      </w:r>
      <w:r w:rsidRPr="00F168DA">
        <w:rPr>
          <w:rFonts w:ascii="Calibri" w:hAnsi="Calibri" w:cs="Times New Roman"/>
          <w:noProof/>
          <w:sz w:val="20"/>
          <w:szCs w:val="24"/>
        </w:rPr>
        <w:t>, 2839–2842.</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[195]</w:t>
      </w:r>
      <w:r w:rsidRPr="00F168DA">
        <w:rPr>
          <w:rFonts w:ascii="Calibri" w:hAnsi="Calibri" w:cs="Times New Roman"/>
          <w:noProof/>
          <w:sz w:val="20"/>
          <w:szCs w:val="24"/>
        </w:rPr>
        <w:tab/>
        <w:t xml:space="preserve">S. Kobayashi, I. Hachiya, H. Ishitani, M. Araki, </w:t>
      </w:r>
      <w:r w:rsidRPr="00F168DA">
        <w:rPr>
          <w:rFonts w:ascii="Calibri" w:hAnsi="Calibri" w:cs="Times New Roman"/>
          <w:i/>
          <w:iCs/>
          <w:noProof/>
          <w:sz w:val="20"/>
          <w:szCs w:val="24"/>
        </w:rPr>
        <w:t>Synlett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1993</w:t>
      </w:r>
      <w:r w:rsidRPr="00F168DA">
        <w:rPr>
          <w:rFonts w:ascii="Calibri" w:hAnsi="Calibri" w:cs="Times New Roman"/>
          <w:noProof/>
          <w:sz w:val="20"/>
          <w:szCs w:val="24"/>
        </w:rPr>
        <w:t>, 472–474.</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[196]</w:t>
      </w:r>
      <w:r w:rsidRPr="00F168DA">
        <w:rPr>
          <w:rFonts w:ascii="Calibri" w:hAnsi="Calibri" w:cs="Times New Roman"/>
          <w:noProof/>
          <w:sz w:val="20"/>
          <w:szCs w:val="24"/>
        </w:rPr>
        <w:tab/>
        <w:t xml:space="preserve">S. Kobayashi, </w:t>
      </w:r>
      <w:r w:rsidRPr="00F168DA">
        <w:rPr>
          <w:rFonts w:ascii="Calibri" w:hAnsi="Calibri" w:cs="Times New Roman"/>
          <w:i/>
          <w:iCs/>
          <w:noProof/>
          <w:sz w:val="20"/>
          <w:szCs w:val="24"/>
        </w:rPr>
        <w:t>Synlett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1994</w:t>
      </w:r>
      <w:r w:rsidRPr="00F168DA">
        <w:rPr>
          <w:rFonts w:ascii="Calibri" w:hAnsi="Calibri" w:cs="Times New Roman"/>
          <w:noProof/>
          <w:sz w:val="20"/>
          <w:szCs w:val="24"/>
        </w:rPr>
        <w:t>, 689–701.</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[197]</w:t>
      </w:r>
      <w:r w:rsidRPr="00F168DA">
        <w:rPr>
          <w:rFonts w:ascii="Calibri" w:hAnsi="Calibri" w:cs="Times New Roman"/>
          <w:noProof/>
          <w:sz w:val="20"/>
          <w:szCs w:val="24"/>
        </w:rPr>
        <w:tab/>
        <w:t xml:space="preserve">Y. Mei, P. Dissanayake, M. J. Allen,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2010</w:t>
      </w:r>
      <w:r w:rsidRPr="00F168DA">
        <w:rPr>
          <w:rFonts w:ascii="Calibri" w:hAnsi="Calibri" w:cs="Times New Roman"/>
          <w:noProof/>
          <w:sz w:val="20"/>
          <w:szCs w:val="24"/>
        </w:rPr>
        <w:t xml:space="preserve">, </w:t>
      </w:r>
      <w:r w:rsidRPr="00F168DA">
        <w:rPr>
          <w:rFonts w:ascii="Calibri" w:hAnsi="Calibri" w:cs="Times New Roman"/>
          <w:i/>
          <w:iCs/>
          <w:noProof/>
          <w:sz w:val="20"/>
          <w:szCs w:val="24"/>
        </w:rPr>
        <w:t>132</w:t>
      </w:r>
      <w:r w:rsidRPr="00F168DA">
        <w:rPr>
          <w:rFonts w:ascii="Calibri" w:hAnsi="Calibri" w:cs="Times New Roman"/>
          <w:noProof/>
          <w:sz w:val="20"/>
          <w:szCs w:val="24"/>
        </w:rPr>
        <w:t>, 12871–12873.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[198]</w:t>
      </w:r>
      <w:r w:rsidRPr="00F168DA">
        <w:rPr>
          <w:rFonts w:ascii="Calibri" w:hAnsi="Calibri" w:cs="Times New Roman"/>
          <w:noProof/>
          <w:sz w:val="20"/>
          <w:szCs w:val="24"/>
        </w:rPr>
        <w:tab/>
        <w:t xml:space="preserve">S. Kobayashi, K. Manabe, </w:t>
      </w:r>
      <w:r w:rsidRPr="00F168DA">
        <w:rPr>
          <w:rFonts w:ascii="Calibri" w:hAnsi="Calibri" w:cs="Times New Roman"/>
          <w:i/>
          <w:iCs/>
          <w:noProof/>
          <w:sz w:val="20"/>
          <w:szCs w:val="24"/>
        </w:rPr>
        <w:t>Acc. Chem. Res.</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2002</w:t>
      </w:r>
      <w:r w:rsidRPr="00F168DA">
        <w:rPr>
          <w:rFonts w:ascii="Calibri" w:hAnsi="Calibri" w:cs="Times New Roman"/>
          <w:noProof/>
          <w:sz w:val="20"/>
          <w:szCs w:val="24"/>
        </w:rPr>
        <w:t xml:space="preserve">, </w:t>
      </w:r>
      <w:r w:rsidRPr="00F168DA">
        <w:rPr>
          <w:rFonts w:ascii="Calibri" w:hAnsi="Calibri" w:cs="Times New Roman"/>
          <w:i/>
          <w:iCs/>
          <w:noProof/>
          <w:sz w:val="20"/>
          <w:szCs w:val="24"/>
        </w:rPr>
        <w:t>35</w:t>
      </w:r>
      <w:r w:rsidRPr="00F168DA">
        <w:rPr>
          <w:rFonts w:ascii="Calibri" w:hAnsi="Calibri" w:cs="Times New Roman"/>
          <w:noProof/>
          <w:sz w:val="20"/>
          <w:szCs w:val="24"/>
        </w:rPr>
        <w:t>, 209–217.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[199]</w:t>
      </w:r>
      <w:r w:rsidRPr="00F168DA">
        <w:rPr>
          <w:rFonts w:ascii="Calibri" w:hAnsi="Calibri" w:cs="Times New Roman"/>
          <w:noProof/>
          <w:sz w:val="20"/>
          <w:szCs w:val="24"/>
        </w:rPr>
        <w:tab/>
        <w:t xml:space="preserve">S. Kobayashi, </w:t>
      </w:r>
      <w:r w:rsidRPr="00F168DA">
        <w:rPr>
          <w:rFonts w:ascii="Calibri" w:hAnsi="Calibri" w:cs="Times New Roman"/>
          <w:i/>
          <w:iCs/>
          <w:noProof/>
          <w:sz w:val="20"/>
          <w:szCs w:val="24"/>
        </w:rPr>
        <w:t>European 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1999</w:t>
      </w:r>
      <w:r w:rsidRPr="00F168DA">
        <w:rPr>
          <w:rFonts w:ascii="Calibri" w:hAnsi="Calibri" w:cs="Times New Roman"/>
          <w:noProof/>
          <w:sz w:val="20"/>
          <w:szCs w:val="24"/>
        </w:rPr>
        <w:t>, 15–27.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[200]</w:t>
      </w:r>
      <w:r w:rsidRPr="00F168DA">
        <w:rPr>
          <w:rFonts w:ascii="Calibri" w:hAnsi="Calibri" w:cs="Times New Roman"/>
          <w:noProof/>
          <w:sz w:val="20"/>
          <w:szCs w:val="24"/>
        </w:rPr>
        <w:tab/>
        <w:t xml:space="preserve">S. Kobayashi, </w:t>
      </w:r>
      <w:r w:rsidRPr="00F168DA">
        <w:rPr>
          <w:rFonts w:ascii="Calibri" w:hAnsi="Calibri" w:cs="Times New Roman"/>
          <w:i/>
          <w:iCs/>
          <w:noProof/>
          <w:sz w:val="20"/>
          <w:szCs w:val="24"/>
        </w:rPr>
        <w:t>Chem.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1991</w:t>
      </w:r>
      <w:r w:rsidRPr="00F168DA">
        <w:rPr>
          <w:rFonts w:ascii="Calibri" w:hAnsi="Calibri" w:cs="Times New Roman"/>
          <w:noProof/>
          <w:sz w:val="20"/>
          <w:szCs w:val="24"/>
        </w:rPr>
        <w:t>, 2187–2190.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[201]</w:t>
      </w:r>
      <w:r w:rsidRPr="00F168DA">
        <w:rPr>
          <w:rFonts w:ascii="Calibri" w:hAnsi="Calibri" w:cs="Times New Roman"/>
          <w:noProof/>
          <w:sz w:val="20"/>
          <w:szCs w:val="24"/>
        </w:rPr>
        <w:tab/>
        <w:t xml:space="preserve">S. Kobayashi, K. Manabe, </w:t>
      </w:r>
      <w:r w:rsidRPr="00F168DA">
        <w:rPr>
          <w:rFonts w:ascii="Calibri" w:hAnsi="Calibri" w:cs="Times New Roman"/>
          <w:i/>
          <w:iCs/>
          <w:noProof/>
          <w:sz w:val="20"/>
          <w:szCs w:val="24"/>
        </w:rPr>
        <w:t>Acc. Chem. Res.</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2002</w:t>
      </w:r>
      <w:r w:rsidRPr="00F168DA">
        <w:rPr>
          <w:rFonts w:ascii="Calibri" w:hAnsi="Calibri" w:cs="Times New Roman"/>
          <w:noProof/>
          <w:sz w:val="20"/>
          <w:szCs w:val="24"/>
        </w:rPr>
        <w:t xml:space="preserve">, </w:t>
      </w:r>
      <w:r w:rsidRPr="00F168DA">
        <w:rPr>
          <w:rFonts w:ascii="Calibri" w:hAnsi="Calibri" w:cs="Times New Roman"/>
          <w:i/>
          <w:iCs/>
          <w:noProof/>
          <w:sz w:val="20"/>
          <w:szCs w:val="24"/>
        </w:rPr>
        <w:t>35</w:t>
      </w:r>
      <w:r w:rsidRPr="00F168DA">
        <w:rPr>
          <w:rFonts w:ascii="Calibri" w:hAnsi="Calibri" w:cs="Times New Roman"/>
          <w:noProof/>
          <w:sz w:val="20"/>
          <w:szCs w:val="24"/>
        </w:rPr>
        <w:t>, 209–217.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[202]</w:t>
      </w:r>
      <w:r w:rsidRPr="00F168DA">
        <w:rPr>
          <w:rFonts w:ascii="Calibri" w:hAnsi="Calibri" w:cs="Times New Roman"/>
          <w:noProof/>
          <w:sz w:val="20"/>
          <w:szCs w:val="24"/>
        </w:rPr>
        <w:tab/>
        <w:t xml:space="preserve">W. Xie, J. Fang, J. Li, P. G. Wang, </w:t>
      </w:r>
      <w:r w:rsidRPr="00F168DA">
        <w:rPr>
          <w:rFonts w:ascii="Calibri" w:hAnsi="Calibri" w:cs="Times New Roman"/>
          <w:i/>
          <w:iCs/>
          <w:noProof/>
          <w:sz w:val="20"/>
          <w:szCs w:val="24"/>
        </w:rPr>
        <w:t>Tetrahedron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1999</w:t>
      </w:r>
      <w:r w:rsidRPr="00F168DA">
        <w:rPr>
          <w:rFonts w:ascii="Calibri" w:hAnsi="Calibri" w:cs="Times New Roman"/>
          <w:noProof/>
          <w:sz w:val="20"/>
          <w:szCs w:val="24"/>
        </w:rPr>
        <w:t xml:space="preserve">, </w:t>
      </w:r>
      <w:r w:rsidRPr="00F168DA">
        <w:rPr>
          <w:rFonts w:ascii="Calibri" w:hAnsi="Calibri" w:cs="Times New Roman"/>
          <w:i/>
          <w:iCs/>
          <w:noProof/>
          <w:sz w:val="20"/>
          <w:szCs w:val="24"/>
        </w:rPr>
        <w:t>55</w:t>
      </w:r>
      <w:r w:rsidRPr="00F168DA">
        <w:rPr>
          <w:rFonts w:ascii="Calibri" w:hAnsi="Calibri" w:cs="Times New Roman"/>
          <w:noProof/>
          <w:sz w:val="20"/>
          <w:szCs w:val="24"/>
        </w:rPr>
        <w:t>, 12929–12938.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[203]</w:t>
      </w:r>
      <w:r w:rsidRPr="00F168DA">
        <w:rPr>
          <w:rFonts w:ascii="Calibri" w:hAnsi="Calibri" w:cs="Times New Roman"/>
          <w:noProof/>
          <w:sz w:val="20"/>
          <w:szCs w:val="24"/>
        </w:rPr>
        <w:tab/>
        <w:t xml:space="preserve">P. Yates, P. Eaton,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1960</w:t>
      </w:r>
      <w:r w:rsidRPr="00F168DA">
        <w:rPr>
          <w:rFonts w:ascii="Calibri" w:hAnsi="Calibri" w:cs="Times New Roman"/>
          <w:noProof/>
          <w:sz w:val="20"/>
          <w:szCs w:val="24"/>
        </w:rPr>
        <w:t xml:space="preserve">, </w:t>
      </w:r>
      <w:r w:rsidRPr="00F168DA">
        <w:rPr>
          <w:rFonts w:ascii="Calibri" w:hAnsi="Calibri" w:cs="Times New Roman"/>
          <w:i/>
          <w:iCs/>
          <w:noProof/>
          <w:sz w:val="20"/>
          <w:szCs w:val="24"/>
        </w:rPr>
        <w:t>82</w:t>
      </w:r>
      <w:r w:rsidRPr="00F168DA">
        <w:rPr>
          <w:rFonts w:ascii="Calibri" w:hAnsi="Calibri" w:cs="Times New Roman"/>
          <w:noProof/>
          <w:sz w:val="20"/>
          <w:szCs w:val="24"/>
        </w:rPr>
        <w:t>, 4436–4437.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[204]</w:t>
      </w:r>
      <w:r w:rsidRPr="00F168DA">
        <w:rPr>
          <w:rFonts w:ascii="Calibri" w:hAnsi="Calibri" w:cs="Times New Roman"/>
          <w:noProof/>
          <w:sz w:val="20"/>
          <w:szCs w:val="24"/>
        </w:rPr>
        <w:tab/>
        <w:t xml:space="preserve">S. Kobayashi, I. Hachiya, M. Araki, H. Ishitani, </w:t>
      </w:r>
      <w:r w:rsidRPr="00F168DA">
        <w:rPr>
          <w:rFonts w:ascii="Calibri" w:hAnsi="Calibri" w:cs="Times New Roman"/>
          <w:i/>
          <w:iCs/>
          <w:noProof/>
          <w:sz w:val="20"/>
          <w:szCs w:val="24"/>
        </w:rPr>
        <w:t>Tetrahedron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1993</w:t>
      </w:r>
      <w:r w:rsidRPr="00F168DA">
        <w:rPr>
          <w:rFonts w:ascii="Calibri" w:hAnsi="Calibri" w:cs="Times New Roman"/>
          <w:noProof/>
          <w:sz w:val="20"/>
          <w:szCs w:val="24"/>
        </w:rPr>
        <w:t xml:space="preserve">, </w:t>
      </w:r>
      <w:r w:rsidRPr="00F168DA">
        <w:rPr>
          <w:rFonts w:ascii="Calibri" w:hAnsi="Calibri" w:cs="Times New Roman"/>
          <w:i/>
          <w:iCs/>
          <w:noProof/>
          <w:sz w:val="20"/>
          <w:szCs w:val="24"/>
        </w:rPr>
        <w:t>34</w:t>
      </w:r>
      <w:r w:rsidRPr="00F168DA">
        <w:rPr>
          <w:rFonts w:ascii="Calibri" w:hAnsi="Calibri" w:cs="Times New Roman"/>
          <w:noProof/>
          <w:sz w:val="20"/>
          <w:szCs w:val="24"/>
        </w:rPr>
        <w:t>, 3755–3758.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[205]</w:t>
      </w:r>
      <w:r w:rsidRPr="00F168DA">
        <w:rPr>
          <w:rFonts w:ascii="Calibri" w:hAnsi="Calibri" w:cs="Times New Roman"/>
          <w:noProof/>
          <w:sz w:val="20"/>
          <w:szCs w:val="24"/>
        </w:rPr>
        <w:tab/>
        <w:t xml:space="preserve">P. S. Tiseni, R. Peters, </w:t>
      </w:r>
      <w:r w:rsidRPr="00F168DA">
        <w:rPr>
          <w:rFonts w:ascii="Calibri" w:hAnsi="Calibri" w:cs="Times New Roman"/>
          <w:i/>
          <w:iCs/>
          <w:noProof/>
          <w:sz w:val="20"/>
          <w:szCs w:val="24"/>
        </w:rPr>
        <w:t>Chem. - A Eur. J.</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2010</w:t>
      </w:r>
      <w:r w:rsidRPr="00F168DA">
        <w:rPr>
          <w:rFonts w:ascii="Calibri" w:hAnsi="Calibri" w:cs="Times New Roman"/>
          <w:noProof/>
          <w:sz w:val="20"/>
          <w:szCs w:val="24"/>
        </w:rPr>
        <w:t xml:space="preserve">, </w:t>
      </w:r>
      <w:r w:rsidRPr="00F168DA">
        <w:rPr>
          <w:rFonts w:ascii="Calibri" w:hAnsi="Calibri" w:cs="Times New Roman"/>
          <w:i/>
          <w:iCs/>
          <w:noProof/>
          <w:sz w:val="20"/>
          <w:szCs w:val="24"/>
        </w:rPr>
        <w:t>16</w:t>
      </w:r>
      <w:r w:rsidRPr="00F168DA">
        <w:rPr>
          <w:rFonts w:ascii="Calibri" w:hAnsi="Calibri" w:cs="Times New Roman"/>
          <w:noProof/>
          <w:sz w:val="20"/>
          <w:szCs w:val="24"/>
        </w:rPr>
        <w:t>, 2503–2517</w:t>
      </w:r>
      <w:r w:rsidR="000E3284">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[206]</w:t>
      </w:r>
      <w:r w:rsidRPr="00F168DA">
        <w:rPr>
          <w:rFonts w:ascii="Calibri" w:hAnsi="Calibri" w:cs="Times New Roman"/>
          <w:noProof/>
          <w:sz w:val="20"/>
          <w:szCs w:val="24"/>
        </w:rPr>
        <w:tab/>
        <w:t xml:space="preserve">D. A. Evans, M. T. Bilodeau, M. M. Faul,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1994</w:t>
      </w:r>
      <w:r w:rsidRPr="00F168DA">
        <w:rPr>
          <w:rFonts w:ascii="Calibri" w:hAnsi="Calibri" w:cs="Times New Roman"/>
          <w:noProof/>
          <w:sz w:val="20"/>
          <w:szCs w:val="24"/>
        </w:rPr>
        <w:t xml:space="preserve">, </w:t>
      </w:r>
      <w:r w:rsidRPr="00F168DA">
        <w:rPr>
          <w:rFonts w:ascii="Calibri" w:hAnsi="Calibri" w:cs="Times New Roman"/>
          <w:i/>
          <w:iCs/>
          <w:noProof/>
          <w:sz w:val="20"/>
          <w:szCs w:val="24"/>
        </w:rPr>
        <w:t>116</w:t>
      </w:r>
      <w:r w:rsidRPr="00F168DA">
        <w:rPr>
          <w:rFonts w:ascii="Calibri" w:hAnsi="Calibri" w:cs="Times New Roman"/>
          <w:noProof/>
          <w:sz w:val="20"/>
          <w:szCs w:val="24"/>
        </w:rPr>
        <w:t>, 2742–2753.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[207]</w:t>
      </w:r>
      <w:r w:rsidRPr="00F168DA">
        <w:rPr>
          <w:rFonts w:ascii="Calibri" w:hAnsi="Calibri" w:cs="Times New Roman"/>
          <w:noProof/>
          <w:sz w:val="20"/>
          <w:szCs w:val="24"/>
        </w:rPr>
        <w:tab/>
        <w:t xml:space="preserve">D. A. Evans, M. M. Faul, M. T. Bilodeau, B. A. Anderson, D. M. Barnes,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1993</w:t>
      </w:r>
      <w:r w:rsidRPr="00F168DA">
        <w:rPr>
          <w:rFonts w:ascii="Calibri" w:hAnsi="Calibri" w:cs="Times New Roman"/>
          <w:noProof/>
          <w:sz w:val="20"/>
          <w:szCs w:val="24"/>
        </w:rPr>
        <w:t xml:space="preserve">, </w:t>
      </w:r>
      <w:r w:rsidRPr="00F168DA">
        <w:rPr>
          <w:rFonts w:ascii="Calibri" w:hAnsi="Calibri" w:cs="Times New Roman"/>
          <w:i/>
          <w:iCs/>
          <w:noProof/>
          <w:sz w:val="20"/>
          <w:szCs w:val="24"/>
        </w:rPr>
        <w:t>115</w:t>
      </w:r>
      <w:r w:rsidRPr="00F168DA">
        <w:rPr>
          <w:rFonts w:ascii="Calibri" w:hAnsi="Calibri" w:cs="Times New Roman"/>
          <w:noProof/>
          <w:sz w:val="20"/>
          <w:szCs w:val="24"/>
        </w:rPr>
        <w:t>, 5328–5329.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[208]</w:t>
      </w:r>
      <w:r w:rsidRPr="00F168DA">
        <w:rPr>
          <w:rFonts w:ascii="Calibri" w:hAnsi="Calibri" w:cs="Times New Roman"/>
          <w:noProof/>
          <w:sz w:val="20"/>
          <w:szCs w:val="24"/>
        </w:rPr>
        <w:tab/>
        <w:t xml:space="preserve">Z. Li, K. R. Conser, E. N. Jacobsen,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1993</w:t>
      </w:r>
      <w:r w:rsidRPr="00F168DA">
        <w:rPr>
          <w:rFonts w:ascii="Calibri" w:hAnsi="Calibri" w:cs="Times New Roman"/>
          <w:noProof/>
          <w:sz w:val="20"/>
          <w:szCs w:val="24"/>
        </w:rPr>
        <w:t xml:space="preserve">, </w:t>
      </w:r>
      <w:r w:rsidRPr="00F168DA">
        <w:rPr>
          <w:rFonts w:ascii="Calibri" w:hAnsi="Calibri" w:cs="Times New Roman"/>
          <w:i/>
          <w:iCs/>
          <w:noProof/>
          <w:sz w:val="20"/>
          <w:szCs w:val="24"/>
        </w:rPr>
        <w:t>115</w:t>
      </w:r>
      <w:r w:rsidRPr="00F168DA">
        <w:rPr>
          <w:rFonts w:ascii="Calibri" w:hAnsi="Calibri" w:cs="Times New Roman"/>
          <w:noProof/>
          <w:sz w:val="20"/>
          <w:szCs w:val="24"/>
        </w:rPr>
        <w:t>, 5326–5327.</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[209]</w:t>
      </w:r>
      <w:r w:rsidRPr="00F168DA">
        <w:rPr>
          <w:rFonts w:ascii="Calibri" w:hAnsi="Calibri" w:cs="Times New Roman"/>
          <w:noProof/>
          <w:sz w:val="20"/>
          <w:szCs w:val="24"/>
        </w:rPr>
        <w:tab/>
        <w:t xml:space="preserve">Z. Li, R. W. Quan, E. N. Jacobsen,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1995</w:t>
      </w:r>
      <w:r w:rsidRPr="00F168DA">
        <w:rPr>
          <w:rFonts w:ascii="Calibri" w:hAnsi="Calibri" w:cs="Times New Roman"/>
          <w:noProof/>
          <w:sz w:val="20"/>
          <w:szCs w:val="24"/>
        </w:rPr>
        <w:t xml:space="preserve">, </w:t>
      </w:r>
      <w:r w:rsidRPr="00F168DA">
        <w:rPr>
          <w:rFonts w:ascii="Calibri" w:hAnsi="Calibri" w:cs="Times New Roman"/>
          <w:i/>
          <w:iCs/>
          <w:noProof/>
          <w:sz w:val="20"/>
          <w:szCs w:val="24"/>
        </w:rPr>
        <w:t>117</w:t>
      </w:r>
      <w:r w:rsidRPr="00F168DA">
        <w:rPr>
          <w:rFonts w:ascii="Calibri" w:hAnsi="Calibri" w:cs="Times New Roman"/>
          <w:noProof/>
          <w:sz w:val="20"/>
          <w:szCs w:val="24"/>
        </w:rPr>
        <w:t>, 5889–5890.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[210]</w:t>
      </w:r>
      <w:r w:rsidRPr="00F168DA">
        <w:rPr>
          <w:rFonts w:ascii="Calibri" w:hAnsi="Calibri" w:cs="Times New Roman"/>
          <w:noProof/>
          <w:sz w:val="20"/>
          <w:szCs w:val="24"/>
        </w:rPr>
        <w:tab/>
        <w:t xml:space="preserve">J. M. Mohan, B. S. Uphade, V. R. Choudhary, T. Ravindranathan, A. Sudalai, </w:t>
      </w:r>
      <w:r w:rsidRPr="00F168DA">
        <w:rPr>
          <w:rFonts w:ascii="Calibri" w:hAnsi="Calibri" w:cs="Times New Roman"/>
          <w:i/>
          <w:iCs/>
          <w:noProof/>
          <w:sz w:val="20"/>
          <w:szCs w:val="24"/>
        </w:rPr>
        <w:t>Chem. Commun.</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1997</w:t>
      </w:r>
      <w:r w:rsidRPr="00F168DA">
        <w:rPr>
          <w:rFonts w:ascii="Calibri" w:hAnsi="Calibri" w:cs="Times New Roman"/>
          <w:noProof/>
          <w:sz w:val="20"/>
          <w:szCs w:val="24"/>
        </w:rPr>
        <w:t>, 1429–1430.</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[211]</w:t>
      </w:r>
      <w:r w:rsidRPr="00F168DA">
        <w:rPr>
          <w:rFonts w:ascii="Calibri" w:hAnsi="Calibri" w:cs="Times New Roman"/>
          <w:noProof/>
          <w:sz w:val="20"/>
          <w:szCs w:val="24"/>
        </w:rPr>
        <w:tab/>
        <w:t xml:space="preserve">W. Xie, J. Fang, J. Li, P. G. Wang, </w:t>
      </w:r>
      <w:r w:rsidRPr="00F168DA">
        <w:rPr>
          <w:rFonts w:ascii="Calibri" w:hAnsi="Calibri" w:cs="Times New Roman"/>
          <w:i/>
          <w:iCs/>
          <w:noProof/>
          <w:sz w:val="20"/>
          <w:szCs w:val="24"/>
        </w:rPr>
        <w:t>Tetrahedron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1999</w:t>
      </w:r>
      <w:r w:rsidRPr="00F168DA">
        <w:rPr>
          <w:rFonts w:ascii="Calibri" w:hAnsi="Calibri" w:cs="Times New Roman"/>
          <w:noProof/>
          <w:sz w:val="20"/>
          <w:szCs w:val="24"/>
        </w:rPr>
        <w:t xml:space="preserve">, </w:t>
      </w:r>
      <w:r w:rsidRPr="00F168DA">
        <w:rPr>
          <w:rFonts w:ascii="Calibri" w:hAnsi="Calibri" w:cs="Times New Roman"/>
          <w:i/>
          <w:iCs/>
          <w:noProof/>
          <w:sz w:val="20"/>
          <w:szCs w:val="24"/>
        </w:rPr>
        <w:t>55</w:t>
      </w:r>
      <w:r w:rsidRPr="00F168DA">
        <w:rPr>
          <w:rFonts w:ascii="Calibri" w:hAnsi="Calibri" w:cs="Times New Roman"/>
          <w:noProof/>
          <w:sz w:val="20"/>
          <w:szCs w:val="24"/>
        </w:rPr>
        <w:t>, 12929–12938.</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[212]</w:t>
      </w:r>
      <w:r w:rsidRPr="00F168DA">
        <w:rPr>
          <w:rFonts w:ascii="Calibri" w:hAnsi="Calibri" w:cs="Times New Roman"/>
          <w:noProof/>
          <w:sz w:val="20"/>
          <w:szCs w:val="24"/>
        </w:rPr>
        <w:tab/>
        <w:t xml:space="preserve">L. Casarrubios, J. A. Perez, M. Brookhart, J. L. Templeton, </w:t>
      </w:r>
      <w:r w:rsidRPr="00F168DA">
        <w:rPr>
          <w:rFonts w:ascii="Calibri" w:hAnsi="Calibri" w:cs="Times New Roman"/>
          <w:i/>
          <w:iCs/>
          <w:noProof/>
          <w:sz w:val="20"/>
          <w:szCs w:val="24"/>
        </w:rPr>
        <w:t>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1996</w:t>
      </w:r>
      <w:r w:rsidRPr="00F168DA">
        <w:rPr>
          <w:rFonts w:ascii="Calibri" w:hAnsi="Calibri" w:cs="Times New Roman"/>
          <w:noProof/>
          <w:sz w:val="20"/>
          <w:szCs w:val="24"/>
        </w:rPr>
        <w:t xml:space="preserve">, </w:t>
      </w:r>
      <w:r w:rsidRPr="00F168DA">
        <w:rPr>
          <w:rFonts w:ascii="Calibri" w:hAnsi="Calibri" w:cs="Times New Roman"/>
          <w:i/>
          <w:iCs/>
          <w:noProof/>
          <w:sz w:val="20"/>
          <w:szCs w:val="24"/>
        </w:rPr>
        <w:t>61</w:t>
      </w:r>
      <w:r w:rsidRPr="00F168DA">
        <w:rPr>
          <w:rFonts w:ascii="Calibri" w:hAnsi="Calibri" w:cs="Times New Roman"/>
          <w:noProof/>
          <w:sz w:val="20"/>
          <w:szCs w:val="24"/>
        </w:rPr>
        <w:t>, 8358–8359.</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[213]</w:t>
      </w:r>
      <w:r w:rsidRPr="00F168DA">
        <w:rPr>
          <w:rFonts w:ascii="Calibri" w:hAnsi="Calibri" w:cs="Times New Roman"/>
          <w:noProof/>
          <w:sz w:val="20"/>
          <w:szCs w:val="24"/>
        </w:rPr>
        <w:tab/>
        <w:t xml:space="preserve">M. Curini, F. Epifano, M. C. Marcotullio, O. Rosati, </w:t>
      </w:r>
      <w:r w:rsidRPr="00F168DA">
        <w:rPr>
          <w:rFonts w:ascii="Calibri" w:hAnsi="Calibri" w:cs="Times New Roman"/>
          <w:i/>
          <w:iCs/>
          <w:noProof/>
          <w:sz w:val="20"/>
          <w:szCs w:val="24"/>
        </w:rPr>
        <w:t>European J. Org. Chem.</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2002</w:t>
      </w:r>
      <w:r w:rsidRPr="00F168DA">
        <w:rPr>
          <w:rFonts w:ascii="Calibri" w:hAnsi="Calibri" w:cs="Times New Roman"/>
          <w:noProof/>
          <w:sz w:val="20"/>
          <w:szCs w:val="24"/>
        </w:rPr>
        <w:t>, 1562–1565.</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[214]</w:t>
      </w:r>
      <w:r w:rsidRPr="00F168DA">
        <w:rPr>
          <w:rFonts w:ascii="Calibri" w:hAnsi="Calibri" w:cs="Times New Roman"/>
          <w:noProof/>
          <w:sz w:val="20"/>
          <w:szCs w:val="24"/>
        </w:rPr>
        <w:tab/>
        <w:t xml:space="preserve">T. Doyle, M. P.; McKervey, M. A.; Ye, </w:t>
      </w:r>
      <w:r w:rsidRPr="00F168DA">
        <w:rPr>
          <w:rFonts w:ascii="Calibri" w:hAnsi="Calibri" w:cs="Times New Roman"/>
          <w:i/>
          <w:iCs/>
          <w:noProof/>
          <w:sz w:val="20"/>
          <w:szCs w:val="24"/>
        </w:rPr>
        <w:t>Modern Catalytic Methods in Organic Synthesis with Diazo Compunds, from Cyclopropanes to Ylides</w:t>
      </w:r>
      <w:r w:rsidRPr="00F168DA">
        <w:rPr>
          <w:rFonts w:ascii="Calibri" w:hAnsi="Calibri" w:cs="Times New Roman"/>
          <w:noProof/>
          <w:sz w:val="20"/>
          <w:szCs w:val="24"/>
        </w:rPr>
        <w:t xml:space="preserve">, John Wiley And Sons Inc.: New York, </w:t>
      </w:r>
      <w:r w:rsidRPr="00F168DA">
        <w:rPr>
          <w:rFonts w:ascii="Calibri" w:hAnsi="Calibri" w:cs="Times New Roman"/>
          <w:b/>
          <w:bCs/>
          <w:noProof/>
          <w:sz w:val="20"/>
          <w:szCs w:val="24"/>
        </w:rPr>
        <w:t>1998</w:t>
      </w:r>
      <w:r w:rsidRPr="00F168DA">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lastRenderedPageBreak/>
        <w:t>[215]</w:t>
      </w:r>
      <w:r w:rsidRPr="00F168DA">
        <w:rPr>
          <w:rFonts w:ascii="Calibri" w:hAnsi="Calibri" w:cs="Times New Roman"/>
          <w:noProof/>
          <w:sz w:val="20"/>
          <w:szCs w:val="24"/>
        </w:rPr>
        <w:tab/>
        <w:t>Z. Zhang, J. Wang,</w:t>
      </w:r>
      <w:r w:rsidRPr="000E3284">
        <w:rPr>
          <w:rFonts w:ascii="Calibri" w:hAnsi="Calibri" w:cs="Times New Roman"/>
          <w:i/>
          <w:noProof/>
          <w:sz w:val="20"/>
          <w:szCs w:val="24"/>
        </w:rPr>
        <w:t xml:space="preserve"> </w:t>
      </w:r>
      <w:r w:rsidR="000E3284" w:rsidRPr="000E3284">
        <w:rPr>
          <w:rFonts w:ascii="Calibri" w:hAnsi="Calibri" w:cs="Times New Roman"/>
          <w:i/>
          <w:noProof/>
          <w:sz w:val="20"/>
          <w:szCs w:val="24"/>
        </w:rPr>
        <w:t>Tetrahedron</w:t>
      </w:r>
      <w:r w:rsidRPr="00F168DA">
        <w:rPr>
          <w:rFonts w:ascii="Calibri" w:hAnsi="Calibri" w:cs="Times New Roman"/>
          <w:noProof/>
          <w:sz w:val="20"/>
          <w:szCs w:val="24"/>
        </w:rPr>
        <w:t xml:space="preserve"> </w:t>
      </w:r>
      <w:r w:rsidRPr="00F168DA">
        <w:rPr>
          <w:rFonts w:ascii="Calibri" w:hAnsi="Calibri" w:cs="Times New Roman"/>
          <w:b/>
          <w:bCs/>
          <w:noProof/>
          <w:sz w:val="20"/>
          <w:szCs w:val="24"/>
        </w:rPr>
        <w:t>2008</w:t>
      </w:r>
      <w:r w:rsidR="000E3284">
        <w:rPr>
          <w:rFonts w:ascii="Calibri" w:hAnsi="Calibri" w:cs="Times New Roman"/>
          <w:b/>
          <w:bCs/>
          <w:noProof/>
          <w:sz w:val="20"/>
          <w:szCs w:val="24"/>
        </w:rPr>
        <w:t>,</w:t>
      </w:r>
      <w:r w:rsidR="000E3284" w:rsidRPr="000E3284">
        <w:rPr>
          <w:rFonts w:ascii="Calibri" w:hAnsi="Calibri" w:cs="Times New Roman"/>
          <w:bCs/>
          <w:i/>
          <w:noProof/>
          <w:sz w:val="20"/>
          <w:szCs w:val="24"/>
        </w:rPr>
        <w:t xml:space="preserve"> 64</w:t>
      </w:r>
      <w:r w:rsidR="000E3284" w:rsidRPr="000E3284">
        <w:rPr>
          <w:rFonts w:ascii="Calibri" w:hAnsi="Calibri" w:cs="Times New Roman"/>
          <w:bCs/>
          <w:noProof/>
          <w:sz w:val="20"/>
          <w:szCs w:val="24"/>
        </w:rPr>
        <w:t>, 6577-6605</w:t>
      </w:r>
      <w:r w:rsidRPr="000E3284">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[216]</w:t>
      </w:r>
      <w:r w:rsidRPr="00F168DA">
        <w:rPr>
          <w:rFonts w:ascii="Calibri" w:hAnsi="Calibri" w:cs="Times New Roman"/>
          <w:noProof/>
          <w:sz w:val="20"/>
          <w:szCs w:val="24"/>
        </w:rPr>
        <w:tab/>
        <w:t>D. Gillingham, N. Fei,</w:t>
      </w:r>
      <w:r w:rsidR="000E3284" w:rsidRPr="000E3284">
        <w:rPr>
          <w:rFonts w:ascii="Calibri" w:hAnsi="Calibri" w:cs="Times New Roman"/>
          <w:i/>
          <w:noProof/>
          <w:sz w:val="20"/>
          <w:szCs w:val="24"/>
        </w:rPr>
        <w:t xml:space="preserve"> Chem. Soc. Rev</w:t>
      </w:r>
      <w:r w:rsidR="000E3284">
        <w:rPr>
          <w:rFonts w:ascii="Calibri" w:hAnsi="Calibri" w:cs="Times New Roman"/>
          <w:noProof/>
          <w:sz w:val="20"/>
          <w:szCs w:val="24"/>
        </w:rPr>
        <w:t xml:space="preserve">. </w:t>
      </w:r>
      <w:r w:rsidRPr="00F168DA">
        <w:rPr>
          <w:rFonts w:ascii="Calibri" w:hAnsi="Calibri" w:cs="Times New Roman"/>
          <w:b/>
          <w:bCs/>
          <w:noProof/>
          <w:sz w:val="20"/>
          <w:szCs w:val="24"/>
        </w:rPr>
        <w:t>2013</w:t>
      </w:r>
      <w:r w:rsidR="000E3284" w:rsidRPr="000E3284">
        <w:rPr>
          <w:rFonts w:ascii="Calibri" w:hAnsi="Calibri" w:cs="Times New Roman"/>
          <w:bCs/>
          <w:noProof/>
          <w:sz w:val="20"/>
          <w:szCs w:val="24"/>
        </w:rPr>
        <w:t xml:space="preserve">, </w:t>
      </w:r>
      <w:r w:rsidR="000E3284" w:rsidRPr="000E3284">
        <w:rPr>
          <w:rFonts w:ascii="Calibri" w:hAnsi="Calibri" w:cs="Times New Roman"/>
          <w:bCs/>
          <w:i/>
          <w:noProof/>
          <w:sz w:val="20"/>
          <w:szCs w:val="24"/>
        </w:rPr>
        <w:t>42</w:t>
      </w:r>
      <w:r w:rsidR="000E3284" w:rsidRPr="000E3284">
        <w:rPr>
          <w:rFonts w:ascii="Calibri" w:hAnsi="Calibri" w:cs="Times New Roman"/>
          <w:bCs/>
          <w:noProof/>
          <w:sz w:val="20"/>
          <w:szCs w:val="24"/>
        </w:rPr>
        <w:t>, 4918-4931</w:t>
      </w:r>
      <w:r w:rsidRPr="00F168DA">
        <w:rPr>
          <w:rFonts w:ascii="Calibri" w:hAnsi="Calibri" w:cs="Times New Roman"/>
          <w:noProof/>
          <w:sz w:val="20"/>
          <w:szCs w:val="24"/>
        </w:rPr>
        <w:t>.</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cs="Times New Roman"/>
          <w:noProof/>
          <w:sz w:val="20"/>
          <w:szCs w:val="24"/>
        </w:rPr>
      </w:pPr>
      <w:r w:rsidRPr="00F168DA">
        <w:rPr>
          <w:rFonts w:ascii="Calibri" w:hAnsi="Calibri" w:cs="Times New Roman"/>
          <w:noProof/>
          <w:sz w:val="20"/>
          <w:szCs w:val="24"/>
        </w:rPr>
        <w:t>[217]</w:t>
      </w:r>
      <w:r w:rsidRPr="00F168DA">
        <w:rPr>
          <w:rFonts w:ascii="Calibri" w:hAnsi="Calibri" w:cs="Times New Roman"/>
          <w:noProof/>
          <w:sz w:val="20"/>
          <w:szCs w:val="24"/>
        </w:rPr>
        <w:tab/>
        <w:t xml:space="preserve">T. N. Salzmann, R. W. Ratcliffe, B. G. Christensen, F. A. Bouffard, </w:t>
      </w:r>
      <w:r w:rsidRPr="00F168DA">
        <w:rPr>
          <w:rFonts w:ascii="Calibri" w:hAnsi="Calibri" w:cs="Times New Roman"/>
          <w:i/>
          <w:iCs/>
          <w:noProof/>
          <w:sz w:val="20"/>
          <w:szCs w:val="24"/>
        </w:rPr>
        <w:t>J. Am. Chem. Soc.</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1980</w:t>
      </w:r>
      <w:r w:rsidRPr="00F168DA">
        <w:rPr>
          <w:rFonts w:ascii="Calibri" w:hAnsi="Calibri" w:cs="Times New Roman"/>
          <w:noProof/>
          <w:sz w:val="20"/>
          <w:szCs w:val="24"/>
        </w:rPr>
        <w:t xml:space="preserve">, </w:t>
      </w:r>
      <w:r w:rsidRPr="00F168DA">
        <w:rPr>
          <w:rFonts w:ascii="Calibri" w:hAnsi="Calibri" w:cs="Times New Roman"/>
          <w:i/>
          <w:iCs/>
          <w:noProof/>
          <w:sz w:val="20"/>
          <w:szCs w:val="24"/>
        </w:rPr>
        <w:t>102</w:t>
      </w:r>
      <w:r w:rsidRPr="00F168DA">
        <w:rPr>
          <w:rFonts w:ascii="Calibri" w:hAnsi="Calibri" w:cs="Times New Roman"/>
          <w:noProof/>
          <w:sz w:val="20"/>
          <w:szCs w:val="24"/>
        </w:rPr>
        <w:t>, 6161–6163.</w:t>
      </w:r>
    </w:p>
    <w:p w:rsidR="00F168DA" w:rsidRPr="00F168DA" w:rsidRDefault="00F168DA">
      <w:pPr>
        <w:widowControl w:val="0"/>
        <w:autoSpaceDE w:val="0"/>
        <w:autoSpaceDN w:val="0"/>
        <w:adjustRightInd w:val="0"/>
        <w:spacing w:after="140" w:line="288" w:lineRule="auto"/>
        <w:rPr>
          <w:rFonts w:ascii="Calibri" w:hAnsi="Calibri" w:cs="Times New Roman"/>
          <w:noProof/>
          <w:sz w:val="20"/>
          <w:szCs w:val="24"/>
        </w:rPr>
      </w:pPr>
    </w:p>
    <w:p w:rsidR="00F168DA" w:rsidRPr="00F168DA" w:rsidRDefault="00F168DA">
      <w:pPr>
        <w:widowControl w:val="0"/>
        <w:autoSpaceDE w:val="0"/>
        <w:autoSpaceDN w:val="0"/>
        <w:adjustRightInd w:val="0"/>
        <w:spacing w:after="0" w:line="240" w:lineRule="auto"/>
        <w:ind w:left="640" w:hanging="640"/>
        <w:rPr>
          <w:rFonts w:ascii="Calibri" w:hAnsi="Calibri"/>
          <w:noProof/>
          <w:sz w:val="20"/>
        </w:rPr>
      </w:pPr>
      <w:r w:rsidRPr="00F168DA">
        <w:rPr>
          <w:rFonts w:ascii="Calibri" w:hAnsi="Calibri" w:cs="Times New Roman"/>
          <w:noProof/>
          <w:sz w:val="20"/>
          <w:szCs w:val="24"/>
        </w:rPr>
        <w:t>[218]</w:t>
      </w:r>
      <w:r w:rsidRPr="00F168DA">
        <w:rPr>
          <w:rFonts w:ascii="Calibri" w:hAnsi="Calibri" w:cs="Times New Roman"/>
          <w:noProof/>
          <w:sz w:val="20"/>
          <w:szCs w:val="24"/>
        </w:rPr>
        <w:tab/>
        <w:t xml:space="preserve">S. V Pansare, R. P. Jain, A. Bhattacharyya, </w:t>
      </w:r>
      <w:r w:rsidRPr="00F168DA">
        <w:rPr>
          <w:rFonts w:ascii="Calibri" w:hAnsi="Calibri" w:cs="Times New Roman"/>
          <w:i/>
          <w:iCs/>
          <w:noProof/>
          <w:sz w:val="20"/>
          <w:szCs w:val="24"/>
        </w:rPr>
        <w:t>Tetrahedron Lett.</w:t>
      </w:r>
      <w:r w:rsidRPr="00F168DA">
        <w:rPr>
          <w:rFonts w:ascii="Calibri" w:hAnsi="Calibri" w:cs="Times New Roman"/>
          <w:noProof/>
          <w:sz w:val="20"/>
          <w:szCs w:val="24"/>
        </w:rPr>
        <w:t xml:space="preserve"> </w:t>
      </w:r>
      <w:r w:rsidRPr="00F168DA">
        <w:rPr>
          <w:rFonts w:ascii="Calibri" w:hAnsi="Calibri" w:cs="Times New Roman"/>
          <w:b/>
          <w:bCs/>
          <w:noProof/>
          <w:sz w:val="20"/>
          <w:szCs w:val="24"/>
        </w:rPr>
        <w:t>1999</w:t>
      </w:r>
      <w:r w:rsidRPr="00F168DA">
        <w:rPr>
          <w:rFonts w:ascii="Calibri" w:hAnsi="Calibri" w:cs="Times New Roman"/>
          <w:noProof/>
          <w:sz w:val="20"/>
          <w:szCs w:val="24"/>
        </w:rPr>
        <w:t xml:space="preserve">, </w:t>
      </w:r>
      <w:r w:rsidRPr="00F168DA">
        <w:rPr>
          <w:rFonts w:ascii="Calibri" w:hAnsi="Calibri" w:cs="Times New Roman"/>
          <w:i/>
          <w:iCs/>
          <w:noProof/>
          <w:sz w:val="20"/>
          <w:szCs w:val="24"/>
        </w:rPr>
        <w:t>40</w:t>
      </w:r>
      <w:r w:rsidRPr="00F168DA">
        <w:rPr>
          <w:rFonts w:ascii="Calibri" w:hAnsi="Calibri" w:cs="Times New Roman"/>
          <w:noProof/>
          <w:sz w:val="20"/>
          <w:szCs w:val="24"/>
        </w:rPr>
        <w:t>, 5255–5258.</w:t>
      </w:r>
    </w:p>
    <w:p w:rsidR="00F4502C" w:rsidRPr="00AB59FA" w:rsidRDefault="00F4502C" w:rsidP="00AB59FA">
      <w:pPr>
        <w:spacing w:line="240" w:lineRule="auto"/>
        <w:jc w:val="both"/>
        <w:rPr>
          <w:sz w:val="20"/>
          <w:szCs w:val="20"/>
        </w:rPr>
      </w:pPr>
      <w:r w:rsidRPr="00AB59FA">
        <w:rPr>
          <w:sz w:val="20"/>
          <w:szCs w:val="20"/>
        </w:rPr>
        <w:fldChar w:fldCharType="end"/>
      </w:r>
    </w:p>
    <w:p w:rsidR="00AB59FA" w:rsidRPr="00AB59FA" w:rsidRDefault="00AB59FA">
      <w:pPr>
        <w:spacing w:line="276" w:lineRule="auto"/>
        <w:jc w:val="both"/>
        <w:rPr>
          <w:sz w:val="20"/>
          <w:szCs w:val="20"/>
        </w:rPr>
      </w:pPr>
    </w:p>
    <w:p w:rsidR="00C31410" w:rsidRPr="00AB59FA" w:rsidRDefault="00C31410">
      <w:pPr>
        <w:spacing w:line="276" w:lineRule="auto"/>
        <w:jc w:val="both"/>
        <w:rPr>
          <w:sz w:val="20"/>
          <w:szCs w:val="20"/>
        </w:rPr>
      </w:pPr>
    </w:p>
    <w:sectPr w:rsidR="00C31410" w:rsidRPr="00AB59FA">
      <w:headerReference w:type="default" r:id="rId170"/>
      <w:footerReference w:type="default" r:id="rId1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B3D" w:rsidRDefault="00605B3D" w:rsidP="002E68DE">
      <w:pPr>
        <w:spacing w:after="0" w:line="240" w:lineRule="auto"/>
      </w:pPr>
      <w:r>
        <w:separator/>
      </w:r>
    </w:p>
  </w:endnote>
  <w:endnote w:type="continuationSeparator" w:id="0">
    <w:p w:rsidR="00605B3D" w:rsidRDefault="00605B3D" w:rsidP="002E6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dvOT999035f4">
    <w:panose1 w:val="00000000000000000000"/>
    <w:charset w:val="00"/>
    <w:family w:val="auto"/>
    <w:notTrueType/>
    <w:pitch w:val="default"/>
    <w:sig w:usb0="00000003" w:usb1="00000000" w:usb2="00000000" w:usb3="00000000" w:csb0="00000001" w:csb1="00000000"/>
  </w:font>
  <w:font w:name="DGMetaSerifScience">
    <w:panose1 w:val="00000000000000000000"/>
    <w:charset w:val="00"/>
    <w:family w:val="auto"/>
    <w:notTrueType/>
    <w:pitch w:val="default"/>
    <w:sig w:usb0="00000003" w:usb1="00000000" w:usb2="00000000" w:usb3="00000000" w:csb0="00000001" w:csb1="00000000"/>
  </w:font>
  <w:font w:name="AdvPS497E2">
    <w:panose1 w:val="00000000000000000000"/>
    <w:charset w:val="00"/>
    <w:family w:val="roman"/>
    <w:notTrueType/>
    <w:pitch w:val="default"/>
    <w:sig w:usb0="00000003" w:usb1="00000000" w:usb2="00000000" w:usb3="00000000" w:csb0="00000001" w:csb1="00000000"/>
  </w:font>
  <w:font w:name="AdvPS497E3">
    <w:panose1 w:val="00000000000000000000"/>
    <w:charset w:val="00"/>
    <w:family w:val="roman"/>
    <w:notTrueType/>
    <w:pitch w:val="default"/>
    <w:sig w:usb0="00000003" w:usb1="00000000" w:usb2="00000000" w:usb3="00000000" w:csb0="00000001" w:csb1="00000000"/>
  </w:font>
  <w:font w:name="AdvTT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884" w:rsidRDefault="00AF1884" w:rsidP="00114DCE">
    <w:pPr>
      <w:pStyle w:val="Footer"/>
    </w:pPr>
  </w:p>
  <w:p w:rsidR="00AF1884" w:rsidRDefault="00AF18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622425"/>
      <w:docPartObj>
        <w:docPartGallery w:val="Page Numbers (Bottom of Page)"/>
        <w:docPartUnique/>
      </w:docPartObj>
    </w:sdtPr>
    <w:sdtEndPr>
      <w:rPr>
        <w:noProof/>
      </w:rPr>
    </w:sdtEndPr>
    <w:sdtContent>
      <w:p w:rsidR="00AF1884" w:rsidRDefault="00AF1884">
        <w:pPr>
          <w:pStyle w:val="Footer"/>
          <w:jc w:val="center"/>
        </w:pPr>
        <w:r>
          <w:fldChar w:fldCharType="begin"/>
        </w:r>
        <w:r>
          <w:instrText xml:space="preserve"> PAGE   \* MERGEFORMAT </w:instrText>
        </w:r>
        <w:r>
          <w:fldChar w:fldCharType="separate"/>
        </w:r>
        <w:r w:rsidR="009C68EE">
          <w:rPr>
            <w:noProof/>
          </w:rPr>
          <w:t>31</w:t>
        </w:r>
        <w:r>
          <w:rPr>
            <w:noProof/>
          </w:rPr>
          <w:fldChar w:fldCharType="end"/>
        </w:r>
      </w:p>
    </w:sdtContent>
  </w:sdt>
  <w:p w:rsidR="00AF1884" w:rsidRDefault="00AF18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B3D" w:rsidRDefault="00605B3D" w:rsidP="002E68DE">
      <w:pPr>
        <w:spacing w:after="0" w:line="240" w:lineRule="auto"/>
      </w:pPr>
      <w:r>
        <w:separator/>
      </w:r>
    </w:p>
  </w:footnote>
  <w:footnote w:type="continuationSeparator" w:id="0">
    <w:p w:rsidR="00605B3D" w:rsidRDefault="00605B3D" w:rsidP="002E68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884" w:rsidRDefault="00AF1884" w:rsidP="007724A5">
    <w:pPr>
      <w:pStyle w:val="Header"/>
      <w:jc w:val="right"/>
    </w:pPr>
    <w:r>
      <w:t>Chapter 1: Introduction</w:t>
    </w:r>
  </w:p>
  <w:p w:rsidR="00AF1884" w:rsidRDefault="00AF18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A2070"/>
    <w:multiLevelType w:val="hybridMultilevel"/>
    <w:tmpl w:val="1C6A71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1B973B9"/>
    <w:multiLevelType w:val="multilevel"/>
    <w:tmpl w:val="A2EC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EF5F03"/>
    <w:multiLevelType w:val="hybridMultilevel"/>
    <w:tmpl w:val="9DD0BA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1E43750"/>
    <w:multiLevelType w:val="multilevel"/>
    <w:tmpl w:val="5ECC13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560619F"/>
    <w:multiLevelType w:val="hybridMultilevel"/>
    <w:tmpl w:val="DC80C07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415D4D71"/>
    <w:multiLevelType w:val="hybridMultilevel"/>
    <w:tmpl w:val="677C67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34C6E11"/>
    <w:multiLevelType w:val="hybridMultilevel"/>
    <w:tmpl w:val="B50293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6"/>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2EB"/>
    <w:rsid w:val="000137E5"/>
    <w:rsid w:val="00016375"/>
    <w:rsid w:val="000252D8"/>
    <w:rsid w:val="00044631"/>
    <w:rsid w:val="00045374"/>
    <w:rsid w:val="00045D43"/>
    <w:rsid w:val="000474C8"/>
    <w:rsid w:val="000517EC"/>
    <w:rsid w:val="00057CE0"/>
    <w:rsid w:val="00063883"/>
    <w:rsid w:val="00070B1D"/>
    <w:rsid w:val="00072BF7"/>
    <w:rsid w:val="000828C5"/>
    <w:rsid w:val="00086003"/>
    <w:rsid w:val="000911EB"/>
    <w:rsid w:val="00094CC1"/>
    <w:rsid w:val="000A1370"/>
    <w:rsid w:val="000A23D4"/>
    <w:rsid w:val="000A2A66"/>
    <w:rsid w:val="000B7226"/>
    <w:rsid w:val="000C10A2"/>
    <w:rsid w:val="000C2874"/>
    <w:rsid w:val="000D309B"/>
    <w:rsid w:val="000D64FB"/>
    <w:rsid w:val="000E3284"/>
    <w:rsid w:val="000E3979"/>
    <w:rsid w:val="000F2A7E"/>
    <w:rsid w:val="000F35A2"/>
    <w:rsid w:val="000F36CB"/>
    <w:rsid w:val="000F602B"/>
    <w:rsid w:val="00110C9D"/>
    <w:rsid w:val="00114DCE"/>
    <w:rsid w:val="001158FC"/>
    <w:rsid w:val="00117A33"/>
    <w:rsid w:val="001224E7"/>
    <w:rsid w:val="0012439E"/>
    <w:rsid w:val="0012474C"/>
    <w:rsid w:val="00126BCB"/>
    <w:rsid w:val="001306EB"/>
    <w:rsid w:val="00130F7B"/>
    <w:rsid w:val="0013654F"/>
    <w:rsid w:val="00136D99"/>
    <w:rsid w:val="001412A4"/>
    <w:rsid w:val="00146F94"/>
    <w:rsid w:val="00152173"/>
    <w:rsid w:val="00155EE7"/>
    <w:rsid w:val="00157D3F"/>
    <w:rsid w:val="001629CF"/>
    <w:rsid w:val="001676D8"/>
    <w:rsid w:val="00176963"/>
    <w:rsid w:val="001803E7"/>
    <w:rsid w:val="00180C03"/>
    <w:rsid w:val="00182C32"/>
    <w:rsid w:val="00184A0E"/>
    <w:rsid w:val="00191D1A"/>
    <w:rsid w:val="00192703"/>
    <w:rsid w:val="001934EF"/>
    <w:rsid w:val="00195B0C"/>
    <w:rsid w:val="001965F8"/>
    <w:rsid w:val="00197FDD"/>
    <w:rsid w:val="001A4487"/>
    <w:rsid w:val="001C4093"/>
    <w:rsid w:val="001C6BD0"/>
    <w:rsid w:val="001D0C74"/>
    <w:rsid w:val="001D23ED"/>
    <w:rsid w:val="001D29AC"/>
    <w:rsid w:val="001D42E6"/>
    <w:rsid w:val="001D4791"/>
    <w:rsid w:val="001E19E8"/>
    <w:rsid w:val="001E3CC3"/>
    <w:rsid w:val="001E55BD"/>
    <w:rsid w:val="001F738F"/>
    <w:rsid w:val="00205D0C"/>
    <w:rsid w:val="00212935"/>
    <w:rsid w:val="002206F9"/>
    <w:rsid w:val="002255A5"/>
    <w:rsid w:val="002313BB"/>
    <w:rsid w:val="00232ACB"/>
    <w:rsid w:val="00233CE0"/>
    <w:rsid w:val="00240337"/>
    <w:rsid w:val="00240AB2"/>
    <w:rsid w:val="00256B3B"/>
    <w:rsid w:val="00257598"/>
    <w:rsid w:val="002620E1"/>
    <w:rsid w:val="00270F50"/>
    <w:rsid w:val="0027214A"/>
    <w:rsid w:val="00272E45"/>
    <w:rsid w:val="00273678"/>
    <w:rsid w:val="002831D0"/>
    <w:rsid w:val="002935B8"/>
    <w:rsid w:val="002A5052"/>
    <w:rsid w:val="002A5DFB"/>
    <w:rsid w:val="002B307F"/>
    <w:rsid w:val="002B67D0"/>
    <w:rsid w:val="002B7F06"/>
    <w:rsid w:val="002C22E2"/>
    <w:rsid w:val="002C4DBF"/>
    <w:rsid w:val="002C5AF5"/>
    <w:rsid w:val="002D2A7D"/>
    <w:rsid w:val="002D2EAA"/>
    <w:rsid w:val="002D5152"/>
    <w:rsid w:val="002E68DE"/>
    <w:rsid w:val="002E755A"/>
    <w:rsid w:val="002E79FE"/>
    <w:rsid w:val="002F1E21"/>
    <w:rsid w:val="002F2F0F"/>
    <w:rsid w:val="002F69F4"/>
    <w:rsid w:val="00302715"/>
    <w:rsid w:val="003055B5"/>
    <w:rsid w:val="00307B96"/>
    <w:rsid w:val="00311D67"/>
    <w:rsid w:val="003122E6"/>
    <w:rsid w:val="00315017"/>
    <w:rsid w:val="00316D1B"/>
    <w:rsid w:val="00323BBC"/>
    <w:rsid w:val="00324037"/>
    <w:rsid w:val="0032493C"/>
    <w:rsid w:val="00331B20"/>
    <w:rsid w:val="003339C9"/>
    <w:rsid w:val="003421F4"/>
    <w:rsid w:val="003454E5"/>
    <w:rsid w:val="003613F6"/>
    <w:rsid w:val="00362B87"/>
    <w:rsid w:val="00366B28"/>
    <w:rsid w:val="003732A8"/>
    <w:rsid w:val="00376C3A"/>
    <w:rsid w:val="003804D7"/>
    <w:rsid w:val="00384F09"/>
    <w:rsid w:val="00386817"/>
    <w:rsid w:val="00393045"/>
    <w:rsid w:val="0039536F"/>
    <w:rsid w:val="003A4CF1"/>
    <w:rsid w:val="003A4DF2"/>
    <w:rsid w:val="003A5A3C"/>
    <w:rsid w:val="003A5F1A"/>
    <w:rsid w:val="003A7FD4"/>
    <w:rsid w:val="003B3D4D"/>
    <w:rsid w:val="003B7A79"/>
    <w:rsid w:val="003B7D89"/>
    <w:rsid w:val="003C083E"/>
    <w:rsid w:val="003C5633"/>
    <w:rsid w:val="003C5DAE"/>
    <w:rsid w:val="003F2051"/>
    <w:rsid w:val="003F2926"/>
    <w:rsid w:val="00403998"/>
    <w:rsid w:val="00405ACE"/>
    <w:rsid w:val="00406B63"/>
    <w:rsid w:val="00412A42"/>
    <w:rsid w:val="00412D6F"/>
    <w:rsid w:val="00414EC1"/>
    <w:rsid w:val="00416FAA"/>
    <w:rsid w:val="00417B41"/>
    <w:rsid w:val="0042406C"/>
    <w:rsid w:val="0042589F"/>
    <w:rsid w:val="00425F63"/>
    <w:rsid w:val="00442486"/>
    <w:rsid w:val="00442B0E"/>
    <w:rsid w:val="00444A7B"/>
    <w:rsid w:val="004465FA"/>
    <w:rsid w:val="00451339"/>
    <w:rsid w:val="00454681"/>
    <w:rsid w:val="00454707"/>
    <w:rsid w:val="004811DA"/>
    <w:rsid w:val="0049609A"/>
    <w:rsid w:val="0049645F"/>
    <w:rsid w:val="004B038E"/>
    <w:rsid w:val="004C1810"/>
    <w:rsid w:val="004C5215"/>
    <w:rsid w:val="004C6284"/>
    <w:rsid w:val="004D7E19"/>
    <w:rsid w:val="004D7FA0"/>
    <w:rsid w:val="004E43A2"/>
    <w:rsid w:val="004E5B0C"/>
    <w:rsid w:val="004F14E4"/>
    <w:rsid w:val="004F3C42"/>
    <w:rsid w:val="005049C1"/>
    <w:rsid w:val="005058C6"/>
    <w:rsid w:val="00507499"/>
    <w:rsid w:val="00512B10"/>
    <w:rsid w:val="00517DFD"/>
    <w:rsid w:val="005217A9"/>
    <w:rsid w:val="00524754"/>
    <w:rsid w:val="0052531A"/>
    <w:rsid w:val="005306D1"/>
    <w:rsid w:val="005401EE"/>
    <w:rsid w:val="00545DDD"/>
    <w:rsid w:val="00546421"/>
    <w:rsid w:val="0055300D"/>
    <w:rsid w:val="005564E7"/>
    <w:rsid w:val="005608EE"/>
    <w:rsid w:val="0056713D"/>
    <w:rsid w:val="0057119D"/>
    <w:rsid w:val="005802FE"/>
    <w:rsid w:val="0058308A"/>
    <w:rsid w:val="00591EF1"/>
    <w:rsid w:val="0059458B"/>
    <w:rsid w:val="005961BD"/>
    <w:rsid w:val="005A7DEA"/>
    <w:rsid w:val="005B125E"/>
    <w:rsid w:val="005C38BE"/>
    <w:rsid w:val="005C3CB2"/>
    <w:rsid w:val="005C6761"/>
    <w:rsid w:val="005D2008"/>
    <w:rsid w:val="005D597E"/>
    <w:rsid w:val="005F3FC6"/>
    <w:rsid w:val="005F7692"/>
    <w:rsid w:val="00605B3D"/>
    <w:rsid w:val="00610612"/>
    <w:rsid w:val="0061075E"/>
    <w:rsid w:val="006119B2"/>
    <w:rsid w:val="006236C3"/>
    <w:rsid w:val="006318C7"/>
    <w:rsid w:val="00632295"/>
    <w:rsid w:val="00645C99"/>
    <w:rsid w:val="006471CE"/>
    <w:rsid w:val="006502EB"/>
    <w:rsid w:val="0066631A"/>
    <w:rsid w:val="00687782"/>
    <w:rsid w:val="00690D77"/>
    <w:rsid w:val="00692239"/>
    <w:rsid w:val="00694A9D"/>
    <w:rsid w:val="00695B8A"/>
    <w:rsid w:val="006A2A70"/>
    <w:rsid w:val="006B2F79"/>
    <w:rsid w:val="006C3F52"/>
    <w:rsid w:val="006C63C9"/>
    <w:rsid w:val="006D4611"/>
    <w:rsid w:val="006D6B1E"/>
    <w:rsid w:val="006D7154"/>
    <w:rsid w:val="006E524B"/>
    <w:rsid w:val="006E75DB"/>
    <w:rsid w:val="006F25EC"/>
    <w:rsid w:val="006F318D"/>
    <w:rsid w:val="006F37A2"/>
    <w:rsid w:val="006F661F"/>
    <w:rsid w:val="00706975"/>
    <w:rsid w:val="007140C1"/>
    <w:rsid w:val="00715A71"/>
    <w:rsid w:val="00725F16"/>
    <w:rsid w:val="00735347"/>
    <w:rsid w:val="00735F39"/>
    <w:rsid w:val="007369B2"/>
    <w:rsid w:val="0074056F"/>
    <w:rsid w:val="00753A8D"/>
    <w:rsid w:val="00756067"/>
    <w:rsid w:val="00761CA2"/>
    <w:rsid w:val="007623BD"/>
    <w:rsid w:val="00770BCC"/>
    <w:rsid w:val="007724A5"/>
    <w:rsid w:val="0077593C"/>
    <w:rsid w:val="00783696"/>
    <w:rsid w:val="0078497E"/>
    <w:rsid w:val="00787373"/>
    <w:rsid w:val="00787DC0"/>
    <w:rsid w:val="00790A09"/>
    <w:rsid w:val="0079360D"/>
    <w:rsid w:val="00794221"/>
    <w:rsid w:val="007A2A52"/>
    <w:rsid w:val="007A4FB7"/>
    <w:rsid w:val="007B4B38"/>
    <w:rsid w:val="007B4C1C"/>
    <w:rsid w:val="007C4761"/>
    <w:rsid w:val="007D46A6"/>
    <w:rsid w:val="007F5B50"/>
    <w:rsid w:val="00800144"/>
    <w:rsid w:val="00800AC7"/>
    <w:rsid w:val="00801FFD"/>
    <w:rsid w:val="00804A77"/>
    <w:rsid w:val="00811A43"/>
    <w:rsid w:val="008278BE"/>
    <w:rsid w:val="00830FDE"/>
    <w:rsid w:val="008337C4"/>
    <w:rsid w:val="00840F20"/>
    <w:rsid w:val="00842980"/>
    <w:rsid w:val="00847829"/>
    <w:rsid w:val="00847A88"/>
    <w:rsid w:val="00861E8D"/>
    <w:rsid w:val="00861F54"/>
    <w:rsid w:val="00862173"/>
    <w:rsid w:val="008666D5"/>
    <w:rsid w:val="00876F18"/>
    <w:rsid w:val="008837DF"/>
    <w:rsid w:val="00885002"/>
    <w:rsid w:val="00894F99"/>
    <w:rsid w:val="008A17E0"/>
    <w:rsid w:val="008A66E1"/>
    <w:rsid w:val="008B256B"/>
    <w:rsid w:val="008B3BB2"/>
    <w:rsid w:val="008B613C"/>
    <w:rsid w:val="008C4E7A"/>
    <w:rsid w:val="008C65A5"/>
    <w:rsid w:val="008C7A67"/>
    <w:rsid w:val="008E2D00"/>
    <w:rsid w:val="008E3A10"/>
    <w:rsid w:val="008F30D1"/>
    <w:rsid w:val="008F31D9"/>
    <w:rsid w:val="008F5BBD"/>
    <w:rsid w:val="008F6111"/>
    <w:rsid w:val="008F714D"/>
    <w:rsid w:val="008F7F0C"/>
    <w:rsid w:val="009068B5"/>
    <w:rsid w:val="009161DC"/>
    <w:rsid w:val="00922C34"/>
    <w:rsid w:val="00922FB7"/>
    <w:rsid w:val="00927B3F"/>
    <w:rsid w:val="00936E4E"/>
    <w:rsid w:val="00953834"/>
    <w:rsid w:val="00953D86"/>
    <w:rsid w:val="0096319E"/>
    <w:rsid w:val="009649D0"/>
    <w:rsid w:val="0096663B"/>
    <w:rsid w:val="00977B9B"/>
    <w:rsid w:val="00983ABC"/>
    <w:rsid w:val="00990C2D"/>
    <w:rsid w:val="00995EB3"/>
    <w:rsid w:val="009966B6"/>
    <w:rsid w:val="00996CBA"/>
    <w:rsid w:val="00997017"/>
    <w:rsid w:val="009A4531"/>
    <w:rsid w:val="009B24BE"/>
    <w:rsid w:val="009B65E0"/>
    <w:rsid w:val="009B6902"/>
    <w:rsid w:val="009C452D"/>
    <w:rsid w:val="009C5B9B"/>
    <w:rsid w:val="009C5BE5"/>
    <w:rsid w:val="009C64BF"/>
    <w:rsid w:val="009C6875"/>
    <w:rsid w:val="009C68EE"/>
    <w:rsid w:val="009C6923"/>
    <w:rsid w:val="009D1353"/>
    <w:rsid w:val="009D501E"/>
    <w:rsid w:val="009D69AA"/>
    <w:rsid w:val="009E0CD2"/>
    <w:rsid w:val="009E485A"/>
    <w:rsid w:val="009F34CE"/>
    <w:rsid w:val="00A06CE4"/>
    <w:rsid w:val="00A14F63"/>
    <w:rsid w:val="00A1705C"/>
    <w:rsid w:val="00A265FD"/>
    <w:rsid w:val="00A3105C"/>
    <w:rsid w:val="00A353F0"/>
    <w:rsid w:val="00A47FD6"/>
    <w:rsid w:val="00A5020D"/>
    <w:rsid w:val="00A51F89"/>
    <w:rsid w:val="00A52BD4"/>
    <w:rsid w:val="00A5710F"/>
    <w:rsid w:val="00A6753E"/>
    <w:rsid w:val="00A77419"/>
    <w:rsid w:val="00A82B1B"/>
    <w:rsid w:val="00A836C7"/>
    <w:rsid w:val="00A843FA"/>
    <w:rsid w:val="00A9011B"/>
    <w:rsid w:val="00A90419"/>
    <w:rsid w:val="00A91ACB"/>
    <w:rsid w:val="00A939D6"/>
    <w:rsid w:val="00A95DDA"/>
    <w:rsid w:val="00A95EE2"/>
    <w:rsid w:val="00A97406"/>
    <w:rsid w:val="00AA1AAE"/>
    <w:rsid w:val="00AA2B82"/>
    <w:rsid w:val="00AB0760"/>
    <w:rsid w:val="00AB59FA"/>
    <w:rsid w:val="00AB5C59"/>
    <w:rsid w:val="00AB73D1"/>
    <w:rsid w:val="00AC32A3"/>
    <w:rsid w:val="00AC46BA"/>
    <w:rsid w:val="00AD1769"/>
    <w:rsid w:val="00AD36F4"/>
    <w:rsid w:val="00AD56EA"/>
    <w:rsid w:val="00AE0049"/>
    <w:rsid w:val="00AF0501"/>
    <w:rsid w:val="00AF1884"/>
    <w:rsid w:val="00AF6527"/>
    <w:rsid w:val="00B0010E"/>
    <w:rsid w:val="00B017B4"/>
    <w:rsid w:val="00B031AE"/>
    <w:rsid w:val="00B046B5"/>
    <w:rsid w:val="00B0553C"/>
    <w:rsid w:val="00B151AB"/>
    <w:rsid w:val="00B16D0D"/>
    <w:rsid w:val="00B2023B"/>
    <w:rsid w:val="00B210F4"/>
    <w:rsid w:val="00B30178"/>
    <w:rsid w:val="00B323CC"/>
    <w:rsid w:val="00B40323"/>
    <w:rsid w:val="00B418F5"/>
    <w:rsid w:val="00B43AD9"/>
    <w:rsid w:val="00B44C91"/>
    <w:rsid w:val="00B50B57"/>
    <w:rsid w:val="00B533B8"/>
    <w:rsid w:val="00B540B7"/>
    <w:rsid w:val="00B63EDE"/>
    <w:rsid w:val="00B673D2"/>
    <w:rsid w:val="00B82A28"/>
    <w:rsid w:val="00B85477"/>
    <w:rsid w:val="00B86876"/>
    <w:rsid w:val="00B91D5F"/>
    <w:rsid w:val="00BB1C41"/>
    <w:rsid w:val="00BB66E0"/>
    <w:rsid w:val="00BB6BCD"/>
    <w:rsid w:val="00BC5AA0"/>
    <w:rsid w:val="00BD0161"/>
    <w:rsid w:val="00BD1F16"/>
    <w:rsid w:val="00BE0DFD"/>
    <w:rsid w:val="00BE27F6"/>
    <w:rsid w:val="00BF2C7F"/>
    <w:rsid w:val="00C00595"/>
    <w:rsid w:val="00C037CF"/>
    <w:rsid w:val="00C042D3"/>
    <w:rsid w:val="00C053A0"/>
    <w:rsid w:val="00C057FF"/>
    <w:rsid w:val="00C10283"/>
    <w:rsid w:val="00C1053A"/>
    <w:rsid w:val="00C14955"/>
    <w:rsid w:val="00C17C33"/>
    <w:rsid w:val="00C31410"/>
    <w:rsid w:val="00C34643"/>
    <w:rsid w:val="00C3708A"/>
    <w:rsid w:val="00C456E3"/>
    <w:rsid w:val="00C56CEC"/>
    <w:rsid w:val="00C600A5"/>
    <w:rsid w:val="00C72B50"/>
    <w:rsid w:val="00C74BE6"/>
    <w:rsid w:val="00C82943"/>
    <w:rsid w:val="00C95CBD"/>
    <w:rsid w:val="00CC7969"/>
    <w:rsid w:val="00CD6016"/>
    <w:rsid w:val="00CE22CF"/>
    <w:rsid w:val="00CF45CA"/>
    <w:rsid w:val="00CF6097"/>
    <w:rsid w:val="00CF7F3B"/>
    <w:rsid w:val="00D02C60"/>
    <w:rsid w:val="00D07BF3"/>
    <w:rsid w:val="00D112CF"/>
    <w:rsid w:val="00D14F9B"/>
    <w:rsid w:val="00D27D14"/>
    <w:rsid w:val="00D31A71"/>
    <w:rsid w:val="00D33707"/>
    <w:rsid w:val="00D50E45"/>
    <w:rsid w:val="00D63B3B"/>
    <w:rsid w:val="00D8192F"/>
    <w:rsid w:val="00D8337F"/>
    <w:rsid w:val="00D866D4"/>
    <w:rsid w:val="00D86DC0"/>
    <w:rsid w:val="00D876EC"/>
    <w:rsid w:val="00D919D0"/>
    <w:rsid w:val="00D95B36"/>
    <w:rsid w:val="00DB3544"/>
    <w:rsid w:val="00DB62B8"/>
    <w:rsid w:val="00DB6EEB"/>
    <w:rsid w:val="00DB7C5D"/>
    <w:rsid w:val="00DC0085"/>
    <w:rsid w:val="00DC1FC3"/>
    <w:rsid w:val="00DC7FEA"/>
    <w:rsid w:val="00DD05B0"/>
    <w:rsid w:val="00DD231C"/>
    <w:rsid w:val="00DF4000"/>
    <w:rsid w:val="00E00058"/>
    <w:rsid w:val="00E03581"/>
    <w:rsid w:val="00E04486"/>
    <w:rsid w:val="00E05812"/>
    <w:rsid w:val="00E102F8"/>
    <w:rsid w:val="00E10AB4"/>
    <w:rsid w:val="00E2013D"/>
    <w:rsid w:val="00E34A3D"/>
    <w:rsid w:val="00E355DB"/>
    <w:rsid w:val="00E37D4B"/>
    <w:rsid w:val="00E4309E"/>
    <w:rsid w:val="00E44289"/>
    <w:rsid w:val="00E44496"/>
    <w:rsid w:val="00E51F07"/>
    <w:rsid w:val="00E52096"/>
    <w:rsid w:val="00E54FC9"/>
    <w:rsid w:val="00E62A10"/>
    <w:rsid w:val="00E7424C"/>
    <w:rsid w:val="00E7512B"/>
    <w:rsid w:val="00E76031"/>
    <w:rsid w:val="00E778E8"/>
    <w:rsid w:val="00E77CF9"/>
    <w:rsid w:val="00E858EF"/>
    <w:rsid w:val="00EB25F3"/>
    <w:rsid w:val="00EB3F5D"/>
    <w:rsid w:val="00EB4A40"/>
    <w:rsid w:val="00EB58ED"/>
    <w:rsid w:val="00EC13B8"/>
    <w:rsid w:val="00EC75AE"/>
    <w:rsid w:val="00ED3015"/>
    <w:rsid w:val="00ED56E5"/>
    <w:rsid w:val="00ED6262"/>
    <w:rsid w:val="00EE61AD"/>
    <w:rsid w:val="00EF4F5B"/>
    <w:rsid w:val="00EF6D65"/>
    <w:rsid w:val="00F14850"/>
    <w:rsid w:val="00F168DA"/>
    <w:rsid w:val="00F31396"/>
    <w:rsid w:val="00F32FBA"/>
    <w:rsid w:val="00F33B8F"/>
    <w:rsid w:val="00F4502C"/>
    <w:rsid w:val="00F53359"/>
    <w:rsid w:val="00F62F72"/>
    <w:rsid w:val="00F706C8"/>
    <w:rsid w:val="00F73334"/>
    <w:rsid w:val="00F76366"/>
    <w:rsid w:val="00F82432"/>
    <w:rsid w:val="00F84F7A"/>
    <w:rsid w:val="00F857CD"/>
    <w:rsid w:val="00F90CBD"/>
    <w:rsid w:val="00F92837"/>
    <w:rsid w:val="00F92942"/>
    <w:rsid w:val="00F95363"/>
    <w:rsid w:val="00FA1F0A"/>
    <w:rsid w:val="00FA4F18"/>
    <w:rsid w:val="00FB00B1"/>
    <w:rsid w:val="00FB58FF"/>
    <w:rsid w:val="00FB7C91"/>
    <w:rsid w:val="00FC1FA2"/>
    <w:rsid w:val="00FC74EF"/>
    <w:rsid w:val="00FD33B0"/>
    <w:rsid w:val="00FD4822"/>
    <w:rsid w:val="00FD72B8"/>
    <w:rsid w:val="00FE3B64"/>
    <w:rsid w:val="00FE4857"/>
    <w:rsid w:val="00FE68A1"/>
    <w:rsid w:val="00FE7B87"/>
    <w:rsid w:val="00FF3DA8"/>
    <w:rsid w:val="00FF4C16"/>
    <w:rsid w:val="00FF5CDF"/>
    <w:rsid w:val="00FF639C"/>
    <w:rsid w:val="00FF63E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8B29958B-65CC-4CBC-9770-5EDF12DF6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056F"/>
    <w:pPr>
      <w:spacing w:line="360" w:lineRule="auto"/>
      <w:jc w:val="both"/>
      <w:outlineLvl w:val="0"/>
    </w:pPr>
    <w:rPr>
      <w:b/>
      <w:sz w:val="24"/>
      <w:szCs w:val="24"/>
    </w:rPr>
  </w:style>
  <w:style w:type="paragraph" w:styleId="Heading2">
    <w:name w:val="heading 2"/>
    <w:basedOn w:val="Normal"/>
    <w:next w:val="Normal"/>
    <w:link w:val="Heading2Char"/>
    <w:uiPriority w:val="9"/>
    <w:unhideWhenUsed/>
    <w:qFormat/>
    <w:rsid w:val="0074056F"/>
    <w:pPr>
      <w:outlineLvl w:val="1"/>
    </w:pPr>
    <w:rPr>
      <w:b/>
      <w:i/>
      <w:sz w:val="24"/>
      <w:szCs w:val="24"/>
    </w:rPr>
  </w:style>
  <w:style w:type="paragraph" w:styleId="Heading3">
    <w:name w:val="heading 3"/>
    <w:basedOn w:val="Normal"/>
    <w:next w:val="Normal"/>
    <w:link w:val="Heading3Char"/>
    <w:uiPriority w:val="9"/>
    <w:unhideWhenUsed/>
    <w:qFormat/>
    <w:rsid w:val="00DD231C"/>
    <w:pPr>
      <w:spacing w:line="360" w:lineRule="auto"/>
      <w:jc w:val="both"/>
      <w:outlineLvl w:val="2"/>
    </w:pPr>
    <w:rPr>
      <w:i/>
      <w:sz w:val="24"/>
      <w:szCs w:val="24"/>
    </w:rPr>
  </w:style>
  <w:style w:type="paragraph" w:styleId="Heading4">
    <w:name w:val="heading 4"/>
    <w:basedOn w:val="Normal"/>
    <w:next w:val="Normal"/>
    <w:link w:val="Heading4Char"/>
    <w:uiPriority w:val="9"/>
    <w:unhideWhenUsed/>
    <w:qFormat/>
    <w:rsid w:val="00CF45C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56F"/>
    <w:rPr>
      <w:b/>
      <w:sz w:val="24"/>
      <w:szCs w:val="24"/>
    </w:rPr>
  </w:style>
  <w:style w:type="paragraph" w:styleId="ListParagraph">
    <w:name w:val="List Paragraph"/>
    <w:basedOn w:val="Normal"/>
    <w:uiPriority w:val="34"/>
    <w:qFormat/>
    <w:rsid w:val="00AB0760"/>
    <w:pPr>
      <w:ind w:left="720"/>
      <w:contextualSpacing/>
    </w:pPr>
  </w:style>
  <w:style w:type="table" w:styleId="TableGrid">
    <w:name w:val="Table Grid"/>
    <w:basedOn w:val="TableNormal"/>
    <w:uiPriority w:val="59"/>
    <w:rsid w:val="00AB0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6F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F18"/>
    <w:rPr>
      <w:rFonts w:ascii="Segoe UI" w:hAnsi="Segoe UI" w:cs="Segoe UI"/>
      <w:sz w:val="18"/>
      <w:szCs w:val="18"/>
    </w:rPr>
  </w:style>
  <w:style w:type="paragraph" w:styleId="Header">
    <w:name w:val="header"/>
    <w:basedOn w:val="Normal"/>
    <w:link w:val="HeaderChar"/>
    <w:uiPriority w:val="99"/>
    <w:unhideWhenUsed/>
    <w:rsid w:val="002E68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8DE"/>
  </w:style>
  <w:style w:type="paragraph" w:styleId="Footer">
    <w:name w:val="footer"/>
    <w:basedOn w:val="Normal"/>
    <w:link w:val="FooterChar"/>
    <w:uiPriority w:val="99"/>
    <w:unhideWhenUsed/>
    <w:rsid w:val="002E68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8DE"/>
  </w:style>
  <w:style w:type="character" w:customStyle="1" w:styleId="Heading2Char">
    <w:name w:val="Heading 2 Char"/>
    <w:basedOn w:val="DefaultParagraphFont"/>
    <w:link w:val="Heading2"/>
    <w:uiPriority w:val="9"/>
    <w:rsid w:val="0074056F"/>
    <w:rPr>
      <w:b/>
      <w:i/>
      <w:sz w:val="24"/>
      <w:szCs w:val="24"/>
    </w:rPr>
  </w:style>
  <w:style w:type="paragraph" w:styleId="FootnoteText">
    <w:name w:val="footnote text"/>
    <w:basedOn w:val="Normal"/>
    <w:link w:val="FootnoteTextChar"/>
    <w:uiPriority w:val="99"/>
    <w:semiHidden/>
    <w:unhideWhenUsed/>
    <w:rsid w:val="004F14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14E4"/>
    <w:rPr>
      <w:sz w:val="20"/>
      <w:szCs w:val="20"/>
    </w:rPr>
  </w:style>
  <w:style w:type="character" w:styleId="FootnoteReference">
    <w:name w:val="footnote reference"/>
    <w:basedOn w:val="DefaultParagraphFont"/>
    <w:uiPriority w:val="99"/>
    <w:semiHidden/>
    <w:unhideWhenUsed/>
    <w:rsid w:val="004F14E4"/>
    <w:rPr>
      <w:vertAlign w:val="superscript"/>
    </w:rPr>
  </w:style>
  <w:style w:type="character" w:customStyle="1" w:styleId="Heading3Char">
    <w:name w:val="Heading 3 Char"/>
    <w:basedOn w:val="DefaultParagraphFont"/>
    <w:link w:val="Heading3"/>
    <w:uiPriority w:val="9"/>
    <w:rsid w:val="00DD231C"/>
    <w:rPr>
      <w:i/>
      <w:sz w:val="24"/>
      <w:szCs w:val="24"/>
    </w:rPr>
  </w:style>
  <w:style w:type="character" w:customStyle="1" w:styleId="Heading4Char">
    <w:name w:val="Heading 4 Char"/>
    <w:basedOn w:val="DefaultParagraphFont"/>
    <w:link w:val="Heading4"/>
    <w:uiPriority w:val="9"/>
    <w:rsid w:val="00CF45CA"/>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591EF1"/>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591EF1"/>
    <w:pPr>
      <w:tabs>
        <w:tab w:val="right" w:leader="dot" w:pos="9016"/>
      </w:tabs>
      <w:spacing w:after="100"/>
    </w:pPr>
    <w:rPr>
      <w:b/>
      <w:noProof/>
    </w:rPr>
  </w:style>
  <w:style w:type="paragraph" w:styleId="TOC2">
    <w:name w:val="toc 2"/>
    <w:basedOn w:val="Normal"/>
    <w:next w:val="Normal"/>
    <w:autoRedefine/>
    <w:uiPriority w:val="39"/>
    <w:unhideWhenUsed/>
    <w:rsid w:val="00591EF1"/>
    <w:pPr>
      <w:tabs>
        <w:tab w:val="right" w:leader="dot" w:pos="9016"/>
      </w:tabs>
      <w:spacing w:after="100"/>
      <w:ind w:left="220"/>
    </w:pPr>
    <w:rPr>
      <w:i/>
      <w:noProof/>
    </w:rPr>
  </w:style>
  <w:style w:type="paragraph" w:styleId="TOC3">
    <w:name w:val="toc 3"/>
    <w:basedOn w:val="Normal"/>
    <w:next w:val="Normal"/>
    <w:autoRedefine/>
    <w:uiPriority w:val="39"/>
    <w:unhideWhenUsed/>
    <w:rsid w:val="00591EF1"/>
    <w:pPr>
      <w:spacing w:after="100"/>
      <w:ind w:left="440"/>
    </w:pPr>
  </w:style>
  <w:style w:type="character" w:styleId="Hyperlink">
    <w:name w:val="Hyperlink"/>
    <w:basedOn w:val="DefaultParagraphFont"/>
    <w:uiPriority w:val="99"/>
    <w:unhideWhenUsed/>
    <w:rsid w:val="00591E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6417">
      <w:bodyDiv w:val="1"/>
      <w:marLeft w:val="0"/>
      <w:marRight w:val="0"/>
      <w:marTop w:val="0"/>
      <w:marBottom w:val="0"/>
      <w:divBdr>
        <w:top w:val="none" w:sz="0" w:space="0" w:color="auto"/>
        <w:left w:val="none" w:sz="0" w:space="0" w:color="auto"/>
        <w:bottom w:val="none" w:sz="0" w:space="0" w:color="auto"/>
        <w:right w:val="none" w:sz="0" w:space="0" w:color="auto"/>
      </w:divBdr>
    </w:div>
    <w:div w:id="162670465">
      <w:bodyDiv w:val="1"/>
      <w:marLeft w:val="0"/>
      <w:marRight w:val="0"/>
      <w:marTop w:val="0"/>
      <w:marBottom w:val="0"/>
      <w:divBdr>
        <w:top w:val="none" w:sz="0" w:space="0" w:color="auto"/>
        <w:left w:val="none" w:sz="0" w:space="0" w:color="auto"/>
        <w:bottom w:val="none" w:sz="0" w:space="0" w:color="auto"/>
        <w:right w:val="none" w:sz="0" w:space="0" w:color="auto"/>
      </w:divBdr>
    </w:div>
    <w:div w:id="473957230">
      <w:bodyDiv w:val="1"/>
      <w:marLeft w:val="0"/>
      <w:marRight w:val="0"/>
      <w:marTop w:val="0"/>
      <w:marBottom w:val="0"/>
      <w:divBdr>
        <w:top w:val="none" w:sz="0" w:space="0" w:color="auto"/>
        <w:left w:val="none" w:sz="0" w:space="0" w:color="auto"/>
        <w:bottom w:val="none" w:sz="0" w:space="0" w:color="auto"/>
        <w:right w:val="none" w:sz="0" w:space="0" w:color="auto"/>
      </w:divBdr>
      <w:divsChild>
        <w:div w:id="337851427">
          <w:marLeft w:val="0"/>
          <w:marRight w:val="0"/>
          <w:marTop w:val="0"/>
          <w:marBottom w:val="0"/>
          <w:divBdr>
            <w:top w:val="none" w:sz="0" w:space="0" w:color="auto"/>
            <w:left w:val="none" w:sz="0" w:space="0" w:color="auto"/>
            <w:bottom w:val="none" w:sz="0" w:space="0" w:color="auto"/>
            <w:right w:val="none" w:sz="0" w:space="0" w:color="auto"/>
          </w:divBdr>
        </w:div>
        <w:div w:id="750350600">
          <w:marLeft w:val="0"/>
          <w:marRight w:val="0"/>
          <w:marTop w:val="0"/>
          <w:marBottom w:val="0"/>
          <w:divBdr>
            <w:top w:val="none" w:sz="0" w:space="0" w:color="auto"/>
            <w:left w:val="none" w:sz="0" w:space="0" w:color="auto"/>
            <w:bottom w:val="none" w:sz="0" w:space="0" w:color="auto"/>
            <w:right w:val="none" w:sz="0" w:space="0" w:color="auto"/>
          </w:divBdr>
        </w:div>
        <w:div w:id="1867599539">
          <w:marLeft w:val="0"/>
          <w:marRight w:val="0"/>
          <w:marTop w:val="0"/>
          <w:marBottom w:val="0"/>
          <w:divBdr>
            <w:top w:val="none" w:sz="0" w:space="0" w:color="auto"/>
            <w:left w:val="none" w:sz="0" w:space="0" w:color="auto"/>
            <w:bottom w:val="none" w:sz="0" w:space="0" w:color="auto"/>
            <w:right w:val="none" w:sz="0" w:space="0" w:color="auto"/>
          </w:divBdr>
        </w:div>
        <w:div w:id="1525904166">
          <w:marLeft w:val="0"/>
          <w:marRight w:val="0"/>
          <w:marTop w:val="0"/>
          <w:marBottom w:val="0"/>
          <w:divBdr>
            <w:top w:val="none" w:sz="0" w:space="0" w:color="auto"/>
            <w:left w:val="none" w:sz="0" w:space="0" w:color="auto"/>
            <w:bottom w:val="none" w:sz="0" w:space="0" w:color="auto"/>
            <w:right w:val="none" w:sz="0" w:space="0" w:color="auto"/>
          </w:divBdr>
        </w:div>
      </w:divsChild>
    </w:div>
    <w:div w:id="481774457">
      <w:bodyDiv w:val="1"/>
      <w:marLeft w:val="0"/>
      <w:marRight w:val="0"/>
      <w:marTop w:val="0"/>
      <w:marBottom w:val="0"/>
      <w:divBdr>
        <w:top w:val="none" w:sz="0" w:space="0" w:color="auto"/>
        <w:left w:val="none" w:sz="0" w:space="0" w:color="auto"/>
        <w:bottom w:val="none" w:sz="0" w:space="0" w:color="auto"/>
        <w:right w:val="none" w:sz="0" w:space="0" w:color="auto"/>
      </w:divBdr>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80087344">
      <w:bodyDiv w:val="1"/>
      <w:marLeft w:val="0"/>
      <w:marRight w:val="0"/>
      <w:marTop w:val="0"/>
      <w:marBottom w:val="0"/>
      <w:divBdr>
        <w:top w:val="none" w:sz="0" w:space="0" w:color="auto"/>
        <w:left w:val="none" w:sz="0" w:space="0" w:color="auto"/>
        <w:bottom w:val="none" w:sz="0" w:space="0" w:color="auto"/>
        <w:right w:val="none" w:sz="0" w:space="0" w:color="auto"/>
      </w:divBdr>
    </w:div>
    <w:div w:id="862017191">
      <w:bodyDiv w:val="1"/>
      <w:marLeft w:val="0"/>
      <w:marRight w:val="0"/>
      <w:marTop w:val="0"/>
      <w:marBottom w:val="0"/>
      <w:divBdr>
        <w:top w:val="none" w:sz="0" w:space="0" w:color="auto"/>
        <w:left w:val="none" w:sz="0" w:space="0" w:color="auto"/>
        <w:bottom w:val="none" w:sz="0" w:space="0" w:color="auto"/>
        <w:right w:val="none" w:sz="0" w:space="0" w:color="auto"/>
      </w:divBdr>
    </w:div>
    <w:div w:id="1109466423">
      <w:bodyDiv w:val="1"/>
      <w:marLeft w:val="0"/>
      <w:marRight w:val="0"/>
      <w:marTop w:val="0"/>
      <w:marBottom w:val="0"/>
      <w:divBdr>
        <w:top w:val="none" w:sz="0" w:space="0" w:color="auto"/>
        <w:left w:val="none" w:sz="0" w:space="0" w:color="auto"/>
        <w:bottom w:val="none" w:sz="0" w:space="0" w:color="auto"/>
        <w:right w:val="none" w:sz="0" w:space="0" w:color="auto"/>
      </w:divBdr>
    </w:div>
    <w:div w:id="1120762599">
      <w:bodyDiv w:val="1"/>
      <w:marLeft w:val="0"/>
      <w:marRight w:val="0"/>
      <w:marTop w:val="0"/>
      <w:marBottom w:val="0"/>
      <w:divBdr>
        <w:top w:val="none" w:sz="0" w:space="0" w:color="auto"/>
        <w:left w:val="none" w:sz="0" w:space="0" w:color="auto"/>
        <w:bottom w:val="none" w:sz="0" w:space="0" w:color="auto"/>
        <w:right w:val="none" w:sz="0" w:space="0" w:color="auto"/>
      </w:divBdr>
    </w:div>
    <w:div w:id="1279142124">
      <w:bodyDiv w:val="1"/>
      <w:marLeft w:val="0"/>
      <w:marRight w:val="0"/>
      <w:marTop w:val="0"/>
      <w:marBottom w:val="0"/>
      <w:divBdr>
        <w:top w:val="none" w:sz="0" w:space="0" w:color="auto"/>
        <w:left w:val="none" w:sz="0" w:space="0" w:color="auto"/>
        <w:bottom w:val="none" w:sz="0" w:space="0" w:color="auto"/>
        <w:right w:val="none" w:sz="0" w:space="0" w:color="auto"/>
      </w:divBdr>
    </w:div>
    <w:div w:id="1483690553">
      <w:bodyDiv w:val="1"/>
      <w:marLeft w:val="0"/>
      <w:marRight w:val="0"/>
      <w:marTop w:val="0"/>
      <w:marBottom w:val="0"/>
      <w:divBdr>
        <w:top w:val="none" w:sz="0" w:space="0" w:color="auto"/>
        <w:left w:val="none" w:sz="0" w:space="0" w:color="auto"/>
        <w:bottom w:val="none" w:sz="0" w:space="0" w:color="auto"/>
        <w:right w:val="none" w:sz="0" w:space="0" w:color="auto"/>
      </w:divBdr>
      <w:divsChild>
        <w:div w:id="959923567">
          <w:marLeft w:val="0"/>
          <w:marRight w:val="0"/>
          <w:marTop w:val="0"/>
          <w:marBottom w:val="0"/>
          <w:divBdr>
            <w:top w:val="none" w:sz="0" w:space="0" w:color="auto"/>
            <w:left w:val="none" w:sz="0" w:space="0" w:color="auto"/>
            <w:bottom w:val="none" w:sz="0" w:space="0" w:color="auto"/>
            <w:right w:val="none" w:sz="0" w:space="0" w:color="auto"/>
          </w:divBdr>
        </w:div>
        <w:div w:id="1547839312">
          <w:marLeft w:val="0"/>
          <w:marRight w:val="0"/>
          <w:marTop w:val="0"/>
          <w:marBottom w:val="0"/>
          <w:divBdr>
            <w:top w:val="none" w:sz="0" w:space="0" w:color="auto"/>
            <w:left w:val="none" w:sz="0" w:space="0" w:color="auto"/>
            <w:bottom w:val="none" w:sz="0" w:space="0" w:color="auto"/>
            <w:right w:val="none" w:sz="0" w:space="0" w:color="auto"/>
          </w:divBdr>
        </w:div>
        <w:div w:id="1263147655">
          <w:marLeft w:val="0"/>
          <w:marRight w:val="0"/>
          <w:marTop w:val="0"/>
          <w:marBottom w:val="0"/>
          <w:divBdr>
            <w:top w:val="none" w:sz="0" w:space="0" w:color="auto"/>
            <w:left w:val="none" w:sz="0" w:space="0" w:color="auto"/>
            <w:bottom w:val="none" w:sz="0" w:space="0" w:color="auto"/>
            <w:right w:val="none" w:sz="0" w:space="0" w:color="auto"/>
          </w:divBdr>
        </w:div>
        <w:div w:id="877011489">
          <w:marLeft w:val="0"/>
          <w:marRight w:val="0"/>
          <w:marTop w:val="0"/>
          <w:marBottom w:val="0"/>
          <w:divBdr>
            <w:top w:val="none" w:sz="0" w:space="0" w:color="auto"/>
            <w:left w:val="none" w:sz="0" w:space="0" w:color="auto"/>
            <w:bottom w:val="none" w:sz="0" w:space="0" w:color="auto"/>
            <w:right w:val="none" w:sz="0" w:space="0" w:color="auto"/>
          </w:divBdr>
        </w:div>
      </w:divsChild>
    </w:div>
    <w:div w:id="1576088177">
      <w:bodyDiv w:val="1"/>
      <w:marLeft w:val="0"/>
      <w:marRight w:val="0"/>
      <w:marTop w:val="0"/>
      <w:marBottom w:val="0"/>
      <w:divBdr>
        <w:top w:val="none" w:sz="0" w:space="0" w:color="auto"/>
        <w:left w:val="none" w:sz="0" w:space="0" w:color="auto"/>
        <w:bottom w:val="none" w:sz="0" w:space="0" w:color="auto"/>
        <w:right w:val="none" w:sz="0" w:space="0" w:color="auto"/>
      </w:divBdr>
    </w:div>
    <w:div w:id="1605112684">
      <w:bodyDiv w:val="1"/>
      <w:marLeft w:val="0"/>
      <w:marRight w:val="0"/>
      <w:marTop w:val="0"/>
      <w:marBottom w:val="0"/>
      <w:divBdr>
        <w:top w:val="none" w:sz="0" w:space="0" w:color="auto"/>
        <w:left w:val="none" w:sz="0" w:space="0" w:color="auto"/>
        <w:bottom w:val="none" w:sz="0" w:space="0" w:color="auto"/>
        <w:right w:val="none" w:sz="0" w:space="0" w:color="auto"/>
      </w:divBdr>
    </w:div>
    <w:div w:id="1716538569">
      <w:bodyDiv w:val="1"/>
      <w:marLeft w:val="0"/>
      <w:marRight w:val="0"/>
      <w:marTop w:val="0"/>
      <w:marBottom w:val="0"/>
      <w:divBdr>
        <w:top w:val="none" w:sz="0" w:space="0" w:color="auto"/>
        <w:left w:val="none" w:sz="0" w:space="0" w:color="auto"/>
        <w:bottom w:val="none" w:sz="0" w:space="0" w:color="auto"/>
        <w:right w:val="none" w:sz="0" w:space="0" w:color="auto"/>
      </w:divBdr>
    </w:div>
    <w:div w:id="194919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53.bin"/><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2.emf"/><Relationship Id="rId112" Type="http://schemas.openxmlformats.org/officeDocument/2006/relationships/image" Target="media/image54.emf"/><Relationship Id="rId133" Type="http://schemas.openxmlformats.org/officeDocument/2006/relationships/oleObject" Target="embeddings/oleObject61.bin"/><Relationship Id="rId138" Type="http://schemas.openxmlformats.org/officeDocument/2006/relationships/image" Target="media/image67.emf"/><Relationship Id="rId154" Type="http://schemas.openxmlformats.org/officeDocument/2006/relationships/image" Target="media/image75.emf"/><Relationship Id="rId159" Type="http://schemas.openxmlformats.org/officeDocument/2006/relationships/oleObject" Target="embeddings/oleObject74.bin"/><Relationship Id="rId170" Type="http://schemas.openxmlformats.org/officeDocument/2006/relationships/header" Target="header1.xml"/><Relationship Id="rId16" Type="http://schemas.openxmlformats.org/officeDocument/2006/relationships/oleObject" Target="embeddings/oleObject4.bin"/><Relationship Id="rId107" Type="http://schemas.openxmlformats.org/officeDocument/2006/relationships/oleObject" Target="embeddings/oleObject48.bin"/><Relationship Id="rId11" Type="http://schemas.openxmlformats.org/officeDocument/2006/relationships/image" Target="media/image2.wmf"/><Relationship Id="rId32" Type="http://schemas.openxmlformats.org/officeDocument/2006/relationships/image" Target="media/image13.e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emf"/><Relationship Id="rId74" Type="http://schemas.openxmlformats.org/officeDocument/2006/relationships/oleObject" Target="embeddings/oleObject32.bin"/><Relationship Id="rId79" Type="http://schemas.openxmlformats.org/officeDocument/2006/relationships/image" Target="media/image37.emf"/><Relationship Id="rId102" Type="http://schemas.openxmlformats.org/officeDocument/2006/relationships/image" Target="media/image49.emf"/><Relationship Id="rId123" Type="http://schemas.openxmlformats.org/officeDocument/2006/relationships/oleObject" Target="embeddings/oleObject56.bin"/><Relationship Id="rId128" Type="http://schemas.openxmlformats.org/officeDocument/2006/relationships/image" Target="media/image62.emf"/><Relationship Id="rId144" Type="http://schemas.openxmlformats.org/officeDocument/2006/relationships/image" Target="media/image70.emf"/><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5.emf"/><Relationship Id="rId160" Type="http://schemas.openxmlformats.org/officeDocument/2006/relationships/image" Target="media/image78.emf"/><Relationship Id="rId165" Type="http://schemas.openxmlformats.org/officeDocument/2006/relationships/oleObject" Target="embeddings/oleObject77.bin"/><Relationship Id="rId22" Type="http://schemas.openxmlformats.org/officeDocument/2006/relationships/oleObject" Target="embeddings/oleObject7.bin"/><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image" Target="media/image32.emf"/><Relationship Id="rId113" Type="http://schemas.openxmlformats.org/officeDocument/2006/relationships/oleObject" Target="embeddings/oleObject51.bin"/><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oleObject" Target="embeddings/oleObject64.bin"/><Relationship Id="rId80" Type="http://schemas.openxmlformats.org/officeDocument/2006/relationships/oleObject" Target="embeddings/oleObject35.bin"/><Relationship Id="rId85" Type="http://schemas.openxmlformats.org/officeDocument/2006/relationships/image" Target="media/image40.emf"/><Relationship Id="rId150" Type="http://schemas.openxmlformats.org/officeDocument/2006/relationships/image" Target="media/image73.emf"/><Relationship Id="rId155" Type="http://schemas.openxmlformats.org/officeDocument/2006/relationships/oleObject" Target="embeddings/oleObject72.bin"/><Relationship Id="rId171" Type="http://schemas.openxmlformats.org/officeDocument/2006/relationships/footer" Target="footer2.xml"/><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oleObject" Target="embeddings/oleObject12.bin"/><Relationship Id="rId38" Type="http://schemas.openxmlformats.org/officeDocument/2006/relationships/image" Target="media/image16.emf"/><Relationship Id="rId59" Type="http://schemas.openxmlformats.org/officeDocument/2006/relationships/oleObject" Target="embeddings/oleObject25.bin"/><Relationship Id="rId103" Type="http://schemas.openxmlformats.org/officeDocument/2006/relationships/oleObject" Target="embeddings/oleObject46.bin"/><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oleObject" Target="embeddings/oleObject59.bin"/><Relationship Id="rId54" Type="http://schemas.openxmlformats.org/officeDocument/2006/relationships/image" Target="media/image24.emf"/><Relationship Id="rId70" Type="http://schemas.openxmlformats.org/officeDocument/2006/relationships/oleObject" Target="embeddings/oleObject30.bin"/><Relationship Id="rId75" Type="http://schemas.openxmlformats.org/officeDocument/2006/relationships/image" Target="media/image35.emf"/><Relationship Id="rId91" Type="http://schemas.openxmlformats.org/officeDocument/2006/relationships/image" Target="media/image43.emf"/><Relationship Id="rId96" Type="http://schemas.openxmlformats.org/officeDocument/2006/relationships/oleObject" Target="embeddings/oleObject43.bin"/><Relationship Id="rId140" Type="http://schemas.openxmlformats.org/officeDocument/2006/relationships/image" Target="media/image68.e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8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51.emf"/><Relationship Id="rId114" Type="http://schemas.openxmlformats.org/officeDocument/2006/relationships/image" Target="media/image55.emf"/><Relationship Id="rId119" Type="http://schemas.openxmlformats.org/officeDocument/2006/relationships/oleObject" Target="embeddings/oleObject54.bin"/><Relationship Id="rId127" Type="http://schemas.openxmlformats.org/officeDocument/2006/relationships/oleObject" Target="embeddings/oleObject58.bin"/><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8.bin"/><Relationship Id="rId73" Type="http://schemas.openxmlformats.org/officeDocument/2006/relationships/image" Target="media/image34.emf"/><Relationship Id="rId78" Type="http://schemas.openxmlformats.org/officeDocument/2006/relationships/oleObject" Target="embeddings/oleObject34.bin"/><Relationship Id="rId81" Type="http://schemas.openxmlformats.org/officeDocument/2006/relationships/image" Target="media/image38.e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7.png"/><Relationship Id="rId101" Type="http://schemas.openxmlformats.org/officeDocument/2006/relationships/oleObject" Target="embeddings/oleObject45.bin"/><Relationship Id="rId122" Type="http://schemas.openxmlformats.org/officeDocument/2006/relationships/image" Target="media/image59.emf"/><Relationship Id="rId130" Type="http://schemas.openxmlformats.org/officeDocument/2006/relationships/image" Target="media/image63.e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72.emf"/><Relationship Id="rId151" Type="http://schemas.openxmlformats.org/officeDocument/2006/relationships/oleObject" Target="embeddings/oleObject70.bin"/><Relationship Id="rId156" Type="http://schemas.openxmlformats.org/officeDocument/2006/relationships/image" Target="media/image76.emf"/><Relationship Id="rId164" Type="http://schemas.openxmlformats.org/officeDocument/2006/relationships/image" Target="media/image80.emf"/><Relationship Id="rId169" Type="http://schemas.openxmlformats.org/officeDocument/2006/relationships/oleObject" Target="embeddings/oleObject79.bin"/><Relationship Id="rId4" Type="http://schemas.openxmlformats.org/officeDocument/2006/relationships/settings" Target="settings.xml"/><Relationship Id="rId9" Type="http://schemas.openxmlformats.org/officeDocument/2006/relationships/image" Target="media/image1.emf"/><Relationship Id="rId172"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image" Target="media/image46.emf"/><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1.emf"/><Relationship Id="rId167" Type="http://schemas.openxmlformats.org/officeDocument/2006/relationships/oleObject" Target="embeddings/oleObject78.bin"/><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oleObject" Target="embeddings/oleObject41.bin"/><Relationship Id="rId16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8.bin"/><Relationship Id="rId66" Type="http://schemas.openxmlformats.org/officeDocument/2006/relationships/image" Target="media/image30.png"/><Relationship Id="rId87" Type="http://schemas.openxmlformats.org/officeDocument/2006/relationships/image" Target="media/image41.emf"/><Relationship Id="rId110" Type="http://schemas.openxmlformats.org/officeDocument/2006/relationships/image" Target="media/image53.e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6.emf"/><Relationship Id="rId157" Type="http://schemas.openxmlformats.org/officeDocument/2006/relationships/oleObject" Target="embeddings/oleObject73.bin"/><Relationship Id="rId61" Type="http://schemas.openxmlformats.org/officeDocument/2006/relationships/oleObject" Target="embeddings/oleObject26.bin"/><Relationship Id="rId82" Type="http://schemas.openxmlformats.org/officeDocument/2006/relationships/oleObject" Target="embeddings/oleObject36.bin"/><Relationship Id="rId152" Type="http://schemas.openxmlformats.org/officeDocument/2006/relationships/image" Target="media/image74.emf"/><Relationship Id="rId173"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image" Target="media/image12.emf"/><Relationship Id="rId35" Type="http://schemas.openxmlformats.org/officeDocument/2006/relationships/oleObject" Target="embeddings/oleObject13.bin"/><Relationship Id="rId56" Type="http://schemas.openxmlformats.org/officeDocument/2006/relationships/image" Target="media/image25.emf"/><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oleObject" Target="embeddings/oleObject47.bin"/><Relationship Id="rId126" Type="http://schemas.openxmlformats.org/officeDocument/2006/relationships/image" Target="media/image61.emf"/><Relationship Id="rId147" Type="http://schemas.openxmlformats.org/officeDocument/2006/relationships/oleObject" Target="embeddings/oleObject68.bin"/><Relationship Id="rId168" Type="http://schemas.openxmlformats.org/officeDocument/2006/relationships/image" Target="media/image82.emf"/><Relationship Id="rId8" Type="http://schemas.openxmlformats.org/officeDocument/2006/relationships/footer" Target="footer1.xml"/><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image" Target="media/image44.emf"/><Relationship Id="rId98" Type="http://schemas.openxmlformats.org/officeDocument/2006/relationships/oleObject" Target="embeddings/oleObject44.bin"/><Relationship Id="rId121" Type="http://schemas.openxmlformats.org/officeDocument/2006/relationships/oleObject" Target="embeddings/oleObject55.bin"/><Relationship Id="rId142" Type="http://schemas.openxmlformats.org/officeDocument/2006/relationships/image" Target="media/image69.emf"/><Relationship Id="rId163" Type="http://schemas.openxmlformats.org/officeDocument/2006/relationships/oleObject" Target="embeddings/oleObject76.bin"/><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0.emf"/><Relationship Id="rId67" Type="http://schemas.openxmlformats.org/officeDocument/2006/relationships/image" Target="media/image31.emf"/><Relationship Id="rId116" Type="http://schemas.openxmlformats.org/officeDocument/2006/relationships/image" Target="media/image56.emf"/><Relationship Id="rId137" Type="http://schemas.openxmlformats.org/officeDocument/2006/relationships/oleObject" Target="embeddings/oleObject63.bin"/><Relationship Id="rId158" Type="http://schemas.openxmlformats.org/officeDocument/2006/relationships/image" Target="media/image77.e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8.emf"/><Relationship Id="rId83" Type="http://schemas.openxmlformats.org/officeDocument/2006/relationships/image" Target="media/image39.emf"/><Relationship Id="rId88" Type="http://schemas.openxmlformats.org/officeDocument/2006/relationships/oleObject" Target="embeddings/oleObject39.bin"/><Relationship Id="rId111" Type="http://schemas.openxmlformats.org/officeDocument/2006/relationships/oleObject" Target="embeddings/oleObject50.bin"/><Relationship Id="rId132" Type="http://schemas.openxmlformats.org/officeDocument/2006/relationships/image" Target="media/image64.emf"/><Relationship Id="rId153" Type="http://schemas.openxmlformats.org/officeDocument/2006/relationships/oleObject" Target="embeddings/oleObject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1AE37-C398-40D0-93FE-813250087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70</Pages>
  <Words>87221</Words>
  <Characters>497165</Characters>
  <Application>Microsoft Office Word</Application>
  <DocSecurity>0</DocSecurity>
  <Lines>4143</Lines>
  <Paragraphs>1166</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583220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 Millner</dc:creator>
  <cp:keywords/>
  <dc:description/>
  <cp:lastModifiedBy>Claire</cp:lastModifiedBy>
  <cp:revision>37</cp:revision>
  <cp:lastPrinted>2016-03-26T17:04:00Z</cp:lastPrinted>
  <dcterms:created xsi:type="dcterms:W3CDTF">2016-03-05T10:32:00Z</dcterms:created>
  <dcterms:modified xsi:type="dcterms:W3CDTF">2016-08-04T19:55:00Z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claireobrien25@gmail.com@www.mendeley.com</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http://www.zotero.org/styles/angewandte-chemie</vt:lpwstr>
  </property>
  <property fmtid="{D5CDD505-2E9C-101B-9397-08002B2CF9AE}" pid="11" name="Mendeley Recent Style Name 3_1">
    <vt:lpwstr>Angewandte Chemie International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http://www.zotero.org/styles/elsevier-harvard2</vt:lpwstr>
  </property>
  <property fmtid="{D5CDD505-2E9C-101B-9397-08002B2CF9AE}" pid="15" name="Mendeley Recent Style Name 5_1">
    <vt:lpwstr>Elsevier Harvard 2</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http://www.zotero.org/styles/angewandte-chemie</vt:lpwstr>
  </property>
</Properties>
</file>