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CE" w:rsidRDefault="002573CE">
      <w:r w:rsidRPr="002573CE">
        <w:rPr>
          <w:b/>
        </w:rPr>
        <w:t>ESM: Tables 1-9 and Equations</w:t>
      </w:r>
    </w:p>
    <w:tbl>
      <w:tblPr>
        <w:tblW w:w="7983" w:type="dxa"/>
        <w:tblInd w:w="93" w:type="dxa"/>
        <w:tblLook w:val="04A0" w:firstRow="1" w:lastRow="0" w:firstColumn="1" w:lastColumn="0" w:noHBand="0" w:noVBand="1"/>
      </w:tblPr>
      <w:tblGrid>
        <w:gridCol w:w="15"/>
        <w:gridCol w:w="1136"/>
        <w:gridCol w:w="1236"/>
        <w:gridCol w:w="316"/>
        <w:gridCol w:w="37"/>
        <w:gridCol w:w="1099"/>
        <w:gridCol w:w="721"/>
        <w:gridCol w:w="735"/>
        <w:gridCol w:w="336"/>
        <w:gridCol w:w="1196"/>
        <w:gridCol w:w="653"/>
        <w:gridCol w:w="503"/>
      </w:tblGrid>
      <w:tr w:rsidR="00CF3583" w:rsidRPr="00CF3583" w:rsidTr="00CC050F">
        <w:trPr>
          <w:gridBefore w:val="1"/>
          <w:wBefore w:w="15" w:type="dxa"/>
          <w:trHeight w:val="300"/>
        </w:trPr>
        <w:tc>
          <w:tcPr>
            <w:tcW w:w="7968" w:type="dxa"/>
            <w:gridSpan w:val="11"/>
            <w:tcBorders>
              <w:top w:val="nil"/>
              <w:left w:val="nil"/>
              <w:bottom w:val="nil"/>
              <w:right w:val="nil"/>
            </w:tcBorders>
            <w:shd w:val="clear" w:color="auto" w:fill="auto"/>
            <w:noWrap/>
            <w:vAlign w:val="bottom"/>
            <w:hideMark/>
          </w:tcPr>
          <w:p w:rsidR="00CF3583" w:rsidRDefault="00994FBF" w:rsidP="00CF3583">
            <w:pPr>
              <w:spacing w:after="0" w:line="240" w:lineRule="auto"/>
              <w:rPr>
                <w:rFonts w:ascii="Calibri" w:eastAsia="Times New Roman" w:hAnsi="Calibri" w:cs="Calibri"/>
                <w:color w:val="000000"/>
              </w:rPr>
            </w:pPr>
            <w:r>
              <w:rPr>
                <w:rFonts w:ascii="Calibri" w:eastAsia="Times New Roman" w:hAnsi="Calibri" w:cs="Calibri"/>
                <w:b/>
                <w:color w:val="000000"/>
              </w:rPr>
              <w:t xml:space="preserve">ESM: </w:t>
            </w:r>
            <w:r w:rsidR="00CF3583">
              <w:rPr>
                <w:rFonts w:ascii="Calibri" w:eastAsia="Times New Roman" w:hAnsi="Calibri" w:cs="Calibri"/>
                <w:b/>
                <w:color w:val="000000"/>
              </w:rPr>
              <w:t xml:space="preserve">Table </w:t>
            </w:r>
            <w:r w:rsidR="00C11161">
              <w:rPr>
                <w:rFonts w:ascii="Calibri" w:eastAsia="Times New Roman" w:hAnsi="Calibri" w:cs="Calibri"/>
                <w:b/>
                <w:color w:val="000000"/>
              </w:rPr>
              <w:t>1</w:t>
            </w:r>
            <w:r w:rsidR="00CF3583">
              <w:rPr>
                <w:rFonts w:ascii="Calibri" w:eastAsia="Times New Roman" w:hAnsi="Calibri" w:cs="Calibri"/>
                <w:color w:val="000000"/>
              </w:rPr>
              <w:t xml:space="preserve"> Multiplex </w:t>
            </w:r>
            <w:proofErr w:type="gramStart"/>
            <w:r w:rsidR="00CF3583">
              <w:rPr>
                <w:rFonts w:ascii="Calibri" w:eastAsia="Times New Roman" w:hAnsi="Calibri" w:cs="Calibri"/>
                <w:color w:val="000000"/>
              </w:rPr>
              <w:t>panels</w:t>
            </w:r>
            <w:proofErr w:type="gramEnd"/>
            <w:r w:rsidR="00CF3583">
              <w:rPr>
                <w:rFonts w:ascii="Calibri" w:eastAsia="Times New Roman" w:hAnsi="Calibri" w:cs="Calibri"/>
                <w:color w:val="000000"/>
              </w:rPr>
              <w:t xml:space="preserve"> used in the three experimental conditions with the size ranges of markers.</w:t>
            </w:r>
          </w:p>
          <w:p w:rsidR="00CF3583" w:rsidRPr="00CF3583" w:rsidRDefault="00CF3583" w:rsidP="00CF3583">
            <w:pPr>
              <w:spacing w:after="0" w:line="240" w:lineRule="auto"/>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2372"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Size-class-combination 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p>
        </w:tc>
        <w:tc>
          <w:tcPr>
            <w:tcW w:w="2592" w:type="dxa"/>
            <w:gridSpan w:val="4"/>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Size-class-combination 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p>
        </w:tc>
        <w:tc>
          <w:tcPr>
            <w:tcW w:w="2352" w:type="dxa"/>
            <w:gridSpan w:val="3"/>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Size-class-combination 3</w:t>
            </w:r>
          </w:p>
        </w:tc>
      </w:tr>
      <w:tr w:rsidR="00CF3583" w:rsidRPr="00CF3583" w:rsidTr="00CC050F">
        <w:trPr>
          <w:gridBefore w:val="1"/>
          <w:wBefore w:w="15" w:type="dxa"/>
          <w:trHeight w:val="300"/>
        </w:trPr>
        <w:tc>
          <w:tcPr>
            <w:tcW w:w="2372" w:type="dxa"/>
            <w:gridSpan w:val="2"/>
            <w:tcBorders>
              <w:top w:val="nil"/>
              <w:left w:val="nil"/>
              <w:bottom w:val="single" w:sz="4" w:space="0" w:color="auto"/>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xml:space="preserve">3 PCR </w:t>
            </w:r>
          </w:p>
        </w:tc>
        <w:tc>
          <w:tcPr>
            <w:tcW w:w="316" w:type="dxa"/>
            <w:tcBorders>
              <w:top w:val="nil"/>
              <w:left w:val="nil"/>
              <w:bottom w:val="single" w:sz="4" w:space="0" w:color="auto"/>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w:t>
            </w:r>
          </w:p>
        </w:tc>
        <w:tc>
          <w:tcPr>
            <w:tcW w:w="2592" w:type="dxa"/>
            <w:gridSpan w:val="4"/>
            <w:tcBorders>
              <w:top w:val="nil"/>
              <w:left w:val="nil"/>
              <w:bottom w:val="single" w:sz="4" w:space="0" w:color="auto"/>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6 PCR</w:t>
            </w:r>
          </w:p>
        </w:tc>
        <w:tc>
          <w:tcPr>
            <w:tcW w:w="336" w:type="dxa"/>
            <w:tcBorders>
              <w:top w:val="nil"/>
              <w:left w:val="nil"/>
              <w:bottom w:val="single" w:sz="4" w:space="0" w:color="auto"/>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w:t>
            </w:r>
          </w:p>
        </w:tc>
        <w:tc>
          <w:tcPr>
            <w:tcW w:w="2352" w:type="dxa"/>
            <w:gridSpan w:val="3"/>
            <w:tcBorders>
              <w:top w:val="nil"/>
              <w:left w:val="nil"/>
              <w:bottom w:val="single" w:sz="4" w:space="0" w:color="auto"/>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xml:space="preserve">18 PCR </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1</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1</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xml:space="preserve">Multiplex 1a </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A08_T3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A08_T3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A08_T3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A16_M13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156–194</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A16_M13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156–194</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A16_M13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156–194</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C15_Hill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169–205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C15_Hill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169–205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C15_Hill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169–205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B03_T3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147–161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B19_T3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242–320</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B30_Neo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151–169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C28_Neo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255–282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 xml:space="preserve">Multiplex 1b </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C01_M13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115–195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C40_M13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276–277</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B19_T3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242–320</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C14_Hill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146–166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D14_Hill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228–276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C28_Neo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255–282</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B01_Hill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129–213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A43_T3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309–369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C40_M13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276–277</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B15_T3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170–178</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B38_Neo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388–415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D14_Hill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228–276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C13_Neo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C36_Hill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319–352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C17_M13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154–190</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D30_M13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317–333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1c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A11_Hill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163–175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A43_T3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309–369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B33_M13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120–135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2</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B38_Neo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388–415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C08_T3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145–185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B03_T3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147–161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C36_Hill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319–352</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D46_Neo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139–155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B30_Neo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151–169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D30_M13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317–333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A04_Neo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143–211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C01_M13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115–195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B07_M13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C14_Hill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146–166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2a</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A03_Hill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158–170</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A18_M13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203–243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B03_T3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147–161</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A20_Neo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164–182</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A19_T3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242–274</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B30_Neo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151–169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C20_Neo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227–239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C01_M13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115–195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2</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D12_Hill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251–291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C14_Hill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146–166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B19_T3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242–320</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A34_M13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297–321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C28_Neo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255–282</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A37_Neo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265–489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2b</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C40_M13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276–277</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B12_T3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346–398</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A18_M13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203–243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D14_Hill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228–276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A19_T3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242–274</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A18_M13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203–243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C20_Neo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227–239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A19_T3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242–274</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B01_Hill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129–213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D12_Hill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251–291</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C20_Neo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227–239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B15_T3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170–178</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D12_Hill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251–291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C13_Neo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2c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A33_M13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233–297</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C17_M13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154–190</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A34_M13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297–321</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B29_Neo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262–281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A33_M13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233–297</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A37_Neo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265–489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C22_Hill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225–273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B29_Neo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262–281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B12_T3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346–398</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A22_Neo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214–243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C22_Hill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225–273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D15_Hill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244–256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A39_Hill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356–416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3a</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D43_T3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260–292</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C30_Neo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337–343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B01_Hill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129–213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B28_Neo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226–238</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C42_M13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345–358</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B15_T3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170–178</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A30_T3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245–269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D37_T3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313–333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C13_Neo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C35_M13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233–348</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C17_M13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154–190</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D05_Hill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230–270</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4</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A11_Hill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163–175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3b</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lastRenderedPageBreak/>
              <w:t>Multiplex 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B33_M13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120–135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A33_M13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233–297</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A43_T3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309–369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C08_T3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145–185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B29_Neo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262–281</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B38_Neo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388–415</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D46_Neo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139–155</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C22_Hill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225–273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C36_Hill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319–352</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A22_Neo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214–243</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D30_M13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317–333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D15_Hill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244–256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3c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A34_M13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297–321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A31_T3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314–374</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A39_Hill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356–416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A37_Neo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265–489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D21_Neo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337–389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C30_Neo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337–343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B12_T3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346–398</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C42_M13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345–358</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A39_Hill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356–416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5</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D37_T3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313–333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C30_Neo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337–343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A04_Neo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143–211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C42_M13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345–358</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B07_M13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4a</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D37_T3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313–333</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D43_T3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260–292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A11_Hill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163–175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A31_T3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314–374</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B28_Neo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226–238</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B33_M13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120–135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D21_Neo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337–389</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D10_Neo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308–312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C08_T3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145–185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D10_Neo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308–312</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D35_M13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316–360</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D46_Neo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139–155</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D35_M13</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316–360</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B36_Hill</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384–396</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6</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mixed</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4b</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C31_Neo</w:t>
            </w: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332–341</w:t>
            </w: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A03_Hill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158–170</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A22_Neo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214–243</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A20_Neo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164–182</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D15_Hill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244–256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A30_T3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245–269</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C35_M13</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233–348</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4c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D05_Hill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230–270</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A31_T3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314–374</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B36_Hill</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384–396</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D21_Neo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337–389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C31_Neo</w:t>
            </w: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332–341</w:t>
            </w: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5a</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A04_Neo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143–211</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B07_M13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163–187</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5b</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D43_T3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260–292</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B28_Neo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226–238</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5c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D10_Neo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308–312</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D35_M13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316–360</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6a</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A03_Hill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158–170</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A20_Neo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164–182</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6b</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A30_T3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245–269</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C35_M13</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233–348</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D05_Hill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230–270</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Multiplex 6c</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b/>
                <w:bCs/>
                <w:color w:val="000000"/>
                <w:sz w:val="18"/>
                <w:szCs w:val="18"/>
              </w:rPr>
            </w:pPr>
            <w:r w:rsidRPr="00CF3583">
              <w:rPr>
                <w:rFonts w:ascii="Calibri" w:eastAsia="Times New Roman" w:hAnsi="Calibri" w:cs="Calibri"/>
                <w:b/>
                <w:bCs/>
                <w:color w:val="000000"/>
                <w:sz w:val="18"/>
                <w:szCs w:val="18"/>
              </w:rPr>
              <w:t>Size-class III</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B36_Hill</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384–396</w:t>
            </w:r>
          </w:p>
        </w:tc>
      </w:tr>
      <w:tr w:rsidR="00CF3583" w:rsidRPr="00CF3583" w:rsidTr="00CC050F">
        <w:trPr>
          <w:gridBefore w:val="1"/>
          <w:wBefore w:w="15" w:type="dxa"/>
          <w:trHeight w:val="300"/>
        </w:trPr>
        <w:tc>
          <w:tcPr>
            <w:tcW w:w="11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2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1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3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4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33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p>
        </w:tc>
        <w:tc>
          <w:tcPr>
            <w:tcW w:w="1196" w:type="dxa"/>
            <w:tcBorders>
              <w:top w:val="nil"/>
              <w:left w:val="nil"/>
              <w:bottom w:val="nil"/>
              <w:right w:val="nil"/>
            </w:tcBorders>
            <w:shd w:val="clear" w:color="auto" w:fill="auto"/>
            <w:noWrap/>
            <w:vAlign w:val="bottom"/>
            <w:hideMark/>
          </w:tcPr>
          <w:p w:rsidR="00CF3583" w:rsidRPr="00CF3583" w:rsidRDefault="00CF3583" w:rsidP="00CF3583">
            <w:pPr>
              <w:spacing w:after="0" w:line="240" w:lineRule="auto"/>
              <w:rPr>
                <w:rFonts w:ascii="Calibri" w:eastAsia="Times New Roman" w:hAnsi="Calibri" w:cs="Calibri"/>
                <w:color w:val="000000"/>
                <w:sz w:val="18"/>
                <w:szCs w:val="18"/>
              </w:rPr>
            </w:pPr>
            <w:r w:rsidRPr="00CF3583">
              <w:rPr>
                <w:rFonts w:ascii="Calibri" w:eastAsia="Times New Roman" w:hAnsi="Calibri" w:cs="Calibri"/>
                <w:color w:val="000000"/>
                <w:sz w:val="18"/>
                <w:szCs w:val="18"/>
              </w:rPr>
              <w:t>C31_Neo</w:t>
            </w:r>
          </w:p>
        </w:tc>
        <w:tc>
          <w:tcPr>
            <w:tcW w:w="1156" w:type="dxa"/>
            <w:gridSpan w:val="2"/>
            <w:tcBorders>
              <w:top w:val="nil"/>
              <w:left w:val="nil"/>
              <w:bottom w:val="nil"/>
              <w:right w:val="nil"/>
            </w:tcBorders>
            <w:shd w:val="clear" w:color="auto" w:fill="auto"/>
            <w:noWrap/>
            <w:vAlign w:val="bottom"/>
            <w:hideMark/>
          </w:tcPr>
          <w:p w:rsidR="00CF3583" w:rsidRPr="00CF3583" w:rsidRDefault="00CF3583" w:rsidP="00CF3583">
            <w:pPr>
              <w:spacing w:after="0" w:line="240" w:lineRule="auto"/>
              <w:jc w:val="center"/>
              <w:rPr>
                <w:rFonts w:ascii="Calibri" w:eastAsia="Times New Roman" w:hAnsi="Calibri" w:cs="Calibri"/>
                <w:color w:val="000000"/>
                <w:sz w:val="18"/>
                <w:szCs w:val="18"/>
              </w:rPr>
            </w:pPr>
            <w:r w:rsidRPr="00CF3583">
              <w:rPr>
                <w:rFonts w:ascii="Calibri" w:eastAsia="Times New Roman" w:hAnsi="Calibri" w:cs="Calibri"/>
                <w:color w:val="000000"/>
                <w:sz w:val="18"/>
                <w:szCs w:val="18"/>
              </w:rPr>
              <w:t>332–341</w:t>
            </w:r>
          </w:p>
        </w:tc>
      </w:tr>
      <w:tr w:rsidR="00CC050F" w:rsidRPr="00CC050F" w:rsidTr="00523BB8">
        <w:trPr>
          <w:gridAfter w:val="1"/>
          <w:wAfter w:w="503" w:type="dxa"/>
          <w:trHeight w:val="300"/>
        </w:trPr>
        <w:tc>
          <w:tcPr>
            <w:tcW w:w="7480" w:type="dxa"/>
            <w:gridSpan w:val="11"/>
            <w:tcBorders>
              <w:top w:val="nil"/>
              <w:left w:val="nil"/>
              <w:bottom w:val="single" w:sz="4" w:space="0" w:color="auto"/>
              <w:right w:val="nil"/>
            </w:tcBorders>
            <w:shd w:val="clear" w:color="auto" w:fill="auto"/>
            <w:noWrap/>
            <w:vAlign w:val="bottom"/>
          </w:tcPr>
          <w:p w:rsidR="00CC050F" w:rsidRDefault="00994FBF" w:rsidP="00CC050F">
            <w:pPr>
              <w:spacing w:after="0" w:line="240" w:lineRule="auto"/>
              <w:rPr>
                <w:rFonts w:ascii="Calibri" w:eastAsia="Times New Roman" w:hAnsi="Calibri" w:cs="Calibri"/>
                <w:color w:val="000000"/>
              </w:rPr>
            </w:pPr>
            <w:r>
              <w:rPr>
                <w:rFonts w:ascii="Calibri" w:eastAsia="Times New Roman" w:hAnsi="Calibri" w:cs="Calibri"/>
                <w:b/>
                <w:color w:val="000000"/>
              </w:rPr>
              <w:lastRenderedPageBreak/>
              <w:t>ESM:</w:t>
            </w:r>
            <w:r w:rsidR="00CC050F" w:rsidRPr="00E5409C">
              <w:rPr>
                <w:rFonts w:ascii="Calibri" w:eastAsia="Times New Roman" w:hAnsi="Calibri" w:cs="Calibri"/>
                <w:b/>
                <w:color w:val="000000"/>
              </w:rPr>
              <w:t xml:space="preserve"> Table 2</w:t>
            </w:r>
            <w:r w:rsidR="00CC050F">
              <w:rPr>
                <w:rFonts w:ascii="Calibri" w:eastAsia="Times New Roman" w:hAnsi="Calibri" w:cs="Calibri"/>
                <w:color w:val="000000"/>
              </w:rPr>
              <w:t xml:space="preserve"> </w:t>
            </w:r>
            <w:r w:rsidR="00E5409C">
              <w:rPr>
                <w:rFonts w:ascii="Calibri" w:eastAsia="Times New Roman" w:hAnsi="Calibri" w:cs="Calibri"/>
                <w:color w:val="000000"/>
              </w:rPr>
              <w:t>Barcode and universal primer sequences</w:t>
            </w:r>
          </w:p>
          <w:p w:rsidR="00CC050F" w:rsidRPr="00CC050F" w:rsidRDefault="00CC050F" w:rsidP="00CC050F">
            <w:pPr>
              <w:spacing w:after="0" w:line="240" w:lineRule="auto"/>
              <w:rPr>
                <w:rFonts w:ascii="Calibri" w:eastAsia="Times New Roman" w:hAnsi="Calibri" w:cs="Calibri"/>
                <w:color w:val="000000"/>
              </w:rPr>
            </w:pPr>
          </w:p>
        </w:tc>
      </w:tr>
      <w:tr w:rsidR="00CC050F" w:rsidRPr="00CC050F" w:rsidTr="00CC050F">
        <w:trPr>
          <w:gridAfter w:val="1"/>
          <w:wAfter w:w="503" w:type="dxa"/>
          <w:trHeight w:val="300"/>
        </w:trPr>
        <w:tc>
          <w:tcPr>
            <w:tcW w:w="2740" w:type="dxa"/>
            <w:gridSpan w:val="5"/>
            <w:tcBorders>
              <w:top w:val="nil"/>
              <w:left w:val="nil"/>
              <w:bottom w:val="single" w:sz="4" w:space="0" w:color="auto"/>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Oligonucleotide type</w:t>
            </w:r>
          </w:p>
        </w:tc>
        <w:tc>
          <w:tcPr>
            <w:tcW w:w="1820" w:type="dxa"/>
            <w:gridSpan w:val="2"/>
            <w:tcBorders>
              <w:top w:val="nil"/>
              <w:left w:val="nil"/>
              <w:bottom w:val="single" w:sz="4" w:space="0" w:color="auto"/>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Name</w:t>
            </w:r>
          </w:p>
        </w:tc>
        <w:tc>
          <w:tcPr>
            <w:tcW w:w="2920" w:type="dxa"/>
            <w:gridSpan w:val="4"/>
            <w:tcBorders>
              <w:top w:val="nil"/>
              <w:left w:val="nil"/>
              <w:bottom w:val="single" w:sz="4" w:space="0" w:color="auto"/>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Sequence 5' → 3'</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Forward universal primer</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T3</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AATTAACCCTCACTAAAGGG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Forward universal primer</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M13 Reverse</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GGATAACAATTTCACACAGG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Forward universal primer</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Hill</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TGACCGGCAGCAAAATTG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Forward universal primer</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Neomycin rev</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AGGTGAGATGACAGGAGATC</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Reverse universal primer</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CAG</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CAGTCGGGCGTCATCA</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Barcode_F1</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ACGAGTGCGT</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Barcode_F2</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MID-2</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ACGCTCGACA</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Barcode_F3</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MID-3</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AGACGCACTC</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Barcode_F4</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MID-4</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AGCACTGTAG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Barcode_F5</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MID-5</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ATCAGACACG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Barcode_F6</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MID-6</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ATATCGCGAG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Barcode_F7</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MID-7</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CGTGTCTCTA</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Barcode_F8</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MID-10</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TCTCTATGCG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Barcode_F9</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MID-11</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TGATACGTCT</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Barcode_F10</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MID-13</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CATAGTAGTG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Barcode_F11</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MID-14</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CGAGAGATAC</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Barcode_F12</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MID-15</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ATACGACGTA</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Barcode_R1</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MID-16</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TCACGTACTA</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Barcode_R2</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MID-17</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CGTCTAGTAC</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Barcode_R3</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MID-19</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TGTACTACTC</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Barcode_R4</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 xml:space="preserve">MID-21 </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CGTAGACTAG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Barcode_R5</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MID-22</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TACGAGTATG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Barcode_R6</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 xml:space="preserve">MID-23 </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TACTCTCGTG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Barcode_R7</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MID-24</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TAGAGACGAG</w:t>
            </w:r>
          </w:p>
        </w:tc>
      </w:tr>
      <w:tr w:rsidR="00CC050F" w:rsidRPr="00CC050F" w:rsidTr="00CC050F">
        <w:trPr>
          <w:gridAfter w:val="1"/>
          <w:wAfter w:w="503" w:type="dxa"/>
          <w:trHeight w:val="300"/>
        </w:trPr>
        <w:tc>
          <w:tcPr>
            <w:tcW w:w="2740" w:type="dxa"/>
            <w:gridSpan w:val="5"/>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Barcode_R8</w:t>
            </w:r>
          </w:p>
        </w:tc>
        <w:tc>
          <w:tcPr>
            <w:tcW w:w="1820" w:type="dxa"/>
            <w:gridSpan w:val="2"/>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MID-27</w:t>
            </w:r>
          </w:p>
        </w:tc>
        <w:tc>
          <w:tcPr>
            <w:tcW w:w="2920" w:type="dxa"/>
            <w:gridSpan w:val="4"/>
            <w:tcBorders>
              <w:top w:val="nil"/>
              <w:left w:val="nil"/>
              <w:bottom w:val="nil"/>
              <w:right w:val="nil"/>
            </w:tcBorders>
            <w:shd w:val="clear" w:color="auto" w:fill="auto"/>
            <w:noWrap/>
            <w:vAlign w:val="bottom"/>
            <w:hideMark/>
          </w:tcPr>
          <w:p w:rsidR="00CC050F" w:rsidRPr="00CC050F" w:rsidRDefault="00CC050F" w:rsidP="00CC050F">
            <w:pPr>
              <w:spacing w:after="0" w:line="240" w:lineRule="auto"/>
              <w:rPr>
                <w:rFonts w:ascii="Calibri" w:eastAsia="Times New Roman" w:hAnsi="Calibri" w:cs="Calibri"/>
                <w:color w:val="000000"/>
              </w:rPr>
            </w:pPr>
            <w:r w:rsidRPr="00CC050F">
              <w:rPr>
                <w:rFonts w:ascii="Calibri" w:eastAsia="Times New Roman" w:hAnsi="Calibri" w:cs="Calibri"/>
                <w:color w:val="000000"/>
              </w:rPr>
              <w:t>ACGCGAGTAT</w:t>
            </w:r>
          </w:p>
        </w:tc>
      </w:tr>
    </w:tbl>
    <w:p w:rsidR="00791BC8" w:rsidRDefault="00791BC8">
      <w:r>
        <w:br w:type="page"/>
      </w:r>
    </w:p>
    <w:tbl>
      <w:tblPr>
        <w:tblW w:w="9021" w:type="dxa"/>
        <w:tblLook w:val="04A0" w:firstRow="1" w:lastRow="0" w:firstColumn="1" w:lastColumn="0" w:noHBand="0" w:noVBand="1"/>
      </w:tblPr>
      <w:tblGrid>
        <w:gridCol w:w="898"/>
        <w:gridCol w:w="898"/>
        <w:gridCol w:w="898"/>
        <w:gridCol w:w="898"/>
        <w:gridCol w:w="919"/>
        <w:gridCol w:w="898"/>
        <w:gridCol w:w="945"/>
        <w:gridCol w:w="898"/>
        <w:gridCol w:w="944"/>
        <w:gridCol w:w="284"/>
        <w:gridCol w:w="541"/>
      </w:tblGrid>
      <w:tr w:rsidR="00CC050F" w:rsidRPr="00791BC8" w:rsidTr="00523BB8">
        <w:trPr>
          <w:trHeight w:val="300"/>
        </w:trPr>
        <w:tc>
          <w:tcPr>
            <w:tcW w:w="9021" w:type="dxa"/>
            <w:gridSpan w:val="11"/>
            <w:tcBorders>
              <w:top w:val="nil"/>
              <w:left w:val="nil"/>
              <w:bottom w:val="nil"/>
              <w:right w:val="nil"/>
            </w:tcBorders>
            <w:shd w:val="clear" w:color="auto" w:fill="auto"/>
            <w:noWrap/>
            <w:vAlign w:val="bottom"/>
          </w:tcPr>
          <w:p w:rsidR="00CC050F" w:rsidRDefault="00994FBF" w:rsidP="00523BB8">
            <w:pPr>
              <w:pStyle w:val="NoSpacing"/>
            </w:pPr>
            <w:r>
              <w:rPr>
                <w:rFonts w:eastAsia="Times New Roman" w:cs="Calibri"/>
                <w:b/>
                <w:bCs/>
              </w:rPr>
              <w:lastRenderedPageBreak/>
              <w:t>ESM:</w:t>
            </w:r>
            <w:r w:rsidR="00CC050F" w:rsidRPr="00791BC8">
              <w:rPr>
                <w:rFonts w:eastAsia="Times New Roman" w:cs="Calibri"/>
                <w:b/>
                <w:bCs/>
              </w:rPr>
              <w:t xml:space="preserve"> Table </w:t>
            </w:r>
            <w:r w:rsidR="00CC050F">
              <w:rPr>
                <w:rFonts w:eastAsia="Times New Roman" w:cs="Calibri"/>
                <w:b/>
                <w:bCs/>
              </w:rPr>
              <w:t>3</w:t>
            </w:r>
            <w:r w:rsidR="00CC050F" w:rsidRPr="00791BC8">
              <w:rPr>
                <w:rFonts w:eastAsia="Times New Roman" w:cs="Calibri"/>
                <w:b/>
                <w:bCs/>
              </w:rPr>
              <w:t xml:space="preserve"> </w:t>
            </w:r>
            <w:r w:rsidR="00CC050F" w:rsidRPr="0064324C">
              <w:rPr>
                <w:rFonts w:eastAsia="Times New Roman" w:cs="Calibri"/>
                <w:bCs/>
              </w:rPr>
              <w:t xml:space="preserve">The </w:t>
            </w:r>
            <w:r w:rsidR="00CC050F">
              <w:rPr>
                <w:rFonts w:eastAsia="Times New Roman" w:cs="Calibri"/>
                <w:bCs/>
              </w:rPr>
              <w:t>barcode combinations used to identify</w:t>
            </w:r>
            <w:r w:rsidR="00CC050F" w:rsidRPr="0064324C">
              <w:rPr>
                <w:rFonts w:eastAsia="Times New Roman" w:cs="Calibri"/>
                <w:bCs/>
              </w:rPr>
              <w:t xml:space="preserve"> individual </w:t>
            </w:r>
            <w:proofErr w:type="spellStart"/>
            <w:r w:rsidR="00CC050F" w:rsidRPr="0064324C">
              <w:rPr>
                <w:rFonts w:eastAsia="Times New Roman" w:cs="Calibri"/>
                <w:bCs/>
              </w:rPr>
              <w:t>amplicons</w:t>
            </w:r>
            <w:proofErr w:type="spellEnd"/>
            <w:r w:rsidR="00CC050F" w:rsidRPr="0064324C">
              <w:rPr>
                <w:rFonts w:eastAsia="Times New Roman" w:cs="Calibri"/>
                <w:bCs/>
              </w:rPr>
              <w:t xml:space="preserve">. Reads recovered per individual after read sorting </w:t>
            </w:r>
            <w:r w:rsidR="00CC050F">
              <w:rPr>
                <w:rFonts w:eastAsia="Times New Roman" w:cs="Calibri"/>
                <w:bCs/>
              </w:rPr>
              <w:t>are shown under the individual code</w:t>
            </w:r>
            <w:r w:rsidR="00CC050F" w:rsidRPr="0064324C">
              <w:rPr>
                <w:rFonts w:eastAsia="Times New Roman" w:cs="Calibri"/>
                <w:bCs/>
              </w:rPr>
              <w:t>. The t</w:t>
            </w:r>
            <w:r w:rsidR="00CC050F">
              <w:rPr>
                <w:rFonts w:eastAsia="Times New Roman" w:cs="Calibri"/>
                <w:bCs/>
              </w:rPr>
              <w:t>otal number of recovered reads wa</w:t>
            </w:r>
            <w:r w:rsidR="00CC050F" w:rsidRPr="0064324C">
              <w:rPr>
                <w:rFonts w:eastAsia="Times New Roman" w:cs="Calibri"/>
                <w:bCs/>
              </w:rPr>
              <w:t>s 180 054.</w:t>
            </w:r>
            <w:r w:rsidR="00CC050F">
              <w:rPr>
                <w:rFonts w:eastAsia="Times New Roman" w:cs="Calibri"/>
                <w:bCs/>
              </w:rPr>
              <w:t xml:space="preserve"> </w:t>
            </w:r>
            <w:r w:rsidR="00CC050F" w:rsidRPr="0064324C">
              <w:rPr>
                <w:rFonts w:eastAsia="Times New Roman" w:cs="Calibri"/>
                <w:bCs/>
              </w:rPr>
              <w:t>CS = Celtic Sea; WI = West of Ireland</w:t>
            </w:r>
            <w:r w:rsidR="00CC050F">
              <w:rPr>
                <w:rFonts w:eastAsia="Times New Roman" w:cs="Calibri"/>
                <w:bCs/>
              </w:rPr>
              <w:t xml:space="preserve">; </w:t>
            </w:r>
            <w:r w:rsidR="001F6FA1">
              <w:rPr>
                <w:rFonts w:eastAsia="Times New Roman" w:cs="Calibri"/>
                <w:bCs/>
              </w:rPr>
              <w:t>3-</w:t>
            </w:r>
            <w:r w:rsidR="00CC050F">
              <w:rPr>
                <w:rFonts w:eastAsia="Times New Roman" w:cs="Calibri"/>
                <w:bCs/>
              </w:rPr>
              <w:t xml:space="preserve">PCR is size-class combination 1; </w:t>
            </w:r>
            <w:r w:rsidR="001F6FA1" w:rsidRPr="0064324C">
              <w:rPr>
                <w:rFonts w:eastAsia="Times New Roman" w:cs="Calibri"/>
                <w:bCs/>
              </w:rPr>
              <w:t>6</w:t>
            </w:r>
            <w:r w:rsidR="001F6FA1">
              <w:rPr>
                <w:rFonts w:eastAsia="Times New Roman" w:cs="Calibri"/>
                <w:bCs/>
              </w:rPr>
              <w:t>-</w:t>
            </w:r>
            <w:r w:rsidR="00CC050F" w:rsidRPr="0064324C">
              <w:rPr>
                <w:rFonts w:eastAsia="Times New Roman" w:cs="Calibri"/>
                <w:bCs/>
              </w:rPr>
              <w:t>PCR</w:t>
            </w:r>
            <w:r w:rsidR="00CC050F">
              <w:rPr>
                <w:rFonts w:eastAsia="Times New Roman" w:cs="Calibri"/>
                <w:bCs/>
              </w:rPr>
              <w:t xml:space="preserve"> is size-class combination 2</w:t>
            </w:r>
            <w:r w:rsidR="00CC050F" w:rsidRPr="0064324C">
              <w:rPr>
                <w:rFonts w:eastAsia="Times New Roman" w:cs="Calibri"/>
                <w:bCs/>
              </w:rPr>
              <w:t>;</w:t>
            </w:r>
            <w:r w:rsidR="00CC050F">
              <w:rPr>
                <w:rFonts w:eastAsia="Times New Roman" w:cs="Calibri"/>
                <w:bCs/>
              </w:rPr>
              <w:t xml:space="preserve"> and </w:t>
            </w:r>
            <w:r w:rsidR="001F6FA1">
              <w:rPr>
                <w:rFonts w:eastAsia="Times New Roman" w:cs="Calibri"/>
                <w:bCs/>
              </w:rPr>
              <w:t>18-</w:t>
            </w:r>
            <w:r w:rsidR="00CC050F">
              <w:rPr>
                <w:rFonts w:eastAsia="Times New Roman" w:cs="Calibri"/>
                <w:bCs/>
              </w:rPr>
              <w:t>PCR is size-class combination 3.</w:t>
            </w:r>
          </w:p>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919"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945"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94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_R1</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_R2</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_R3</w:t>
            </w:r>
          </w:p>
        </w:tc>
        <w:tc>
          <w:tcPr>
            <w:tcW w:w="919"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_R4</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_R5</w:t>
            </w:r>
          </w:p>
        </w:tc>
        <w:tc>
          <w:tcPr>
            <w:tcW w:w="945"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_R6</w:t>
            </w:r>
          </w:p>
        </w:tc>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_R7</w:t>
            </w:r>
          </w:p>
        </w:tc>
        <w:tc>
          <w:tcPr>
            <w:tcW w:w="94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_R8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single" w:sz="4" w:space="0" w:color="auto"/>
              <w:left w:val="single" w:sz="4" w:space="0" w:color="auto"/>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CS_09</w:t>
            </w:r>
          </w:p>
        </w:tc>
        <w:tc>
          <w:tcPr>
            <w:tcW w:w="898"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CS_10</w:t>
            </w:r>
          </w:p>
        </w:tc>
        <w:tc>
          <w:tcPr>
            <w:tcW w:w="898"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CS_11</w:t>
            </w:r>
          </w:p>
        </w:tc>
        <w:tc>
          <w:tcPr>
            <w:tcW w:w="919"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CS_12</w:t>
            </w:r>
          </w:p>
        </w:tc>
        <w:tc>
          <w:tcPr>
            <w:tcW w:w="898"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CS_13</w:t>
            </w:r>
          </w:p>
        </w:tc>
        <w:tc>
          <w:tcPr>
            <w:tcW w:w="945"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CS_14</w:t>
            </w:r>
          </w:p>
        </w:tc>
        <w:tc>
          <w:tcPr>
            <w:tcW w:w="898"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CS_15</w:t>
            </w:r>
          </w:p>
        </w:tc>
        <w:tc>
          <w:tcPr>
            <w:tcW w:w="944" w:type="dxa"/>
            <w:tcBorders>
              <w:top w:val="single" w:sz="4" w:space="0" w:color="auto"/>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176AC0" w:rsidP="00523BB8">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3</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_F12</w:t>
            </w:r>
          </w:p>
        </w:tc>
        <w:tc>
          <w:tcPr>
            <w:tcW w:w="898" w:type="dxa"/>
            <w:tcBorders>
              <w:top w:val="nil"/>
              <w:left w:val="single" w:sz="4" w:space="0" w:color="auto"/>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772</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4236</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1022</w:t>
            </w:r>
          </w:p>
        </w:tc>
        <w:tc>
          <w:tcPr>
            <w:tcW w:w="919"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4366</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415</w:t>
            </w:r>
          </w:p>
        </w:tc>
        <w:tc>
          <w:tcPr>
            <w:tcW w:w="945"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1116</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277</w:t>
            </w:r>
          </w:p>
        </w:tc>
        <w:tc>
          <w:tcPr>
            <w:tcW w:w="944"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4381</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PCR</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CS_01</w:t>
            </w:r>
          </w:p>
        </w:tc>
        <w:tc>
          <w:tcPr>
            <w:tcW w:w="898"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CS_02</w:t>
            </w:r>
          </w:p>
        </w:tc>
        <w:tc>
          <w:tcPr>
            <w:tcW w:w="898"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CS_03</w:t>
            </w:r>
          </w:p>
        </w:tc>
        <w:tc>
          <w:tcPr>
            <w:tcW w:w="919"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CS_04</w:t>
            </w:r>
          </w:p>
        </w:tc>
        <w:tc>
          <w:tcPr>
            <w:tcW w:w="898"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CS_05</w:t>
            </w:r>
          </w:p>
        </w:tc>
        <w:tc>
          <w:tcPr>
            <w:tcW w:w="945"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CS_06</w:t>
            </w:r>
          </w:p>
        </w:tc>
        <w:tc>
          <w:tcPr>
            <w:tcW w:w="898"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CS_07</w:t>
            </w:r>
          </w:p>
        </w:tc>
        <w:tc>
          <w:tcPr>
            <w:tcW w:w="944" w:type="dxa"/>
            <w:tcBorders>
              <w:top w:val="nil"/>
              <w:left w:val="nil"/>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single" w:sz="4" w:space="0" w:color="auto"/>
              <w:left w:val="single" w:sz="4" w:space="0" w:color="auto"/>
              <w:bottom w:val="nil"/>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_F11</w:t>
            </w:r>
          </w:p>
        </w:tc>
        <w:tc>
          <w:tcPr>
            <w:tcW w:w="898" w:type="dxa"/>
            <w:tcBorders>
              <w:top w:val="nil"/>
              <w:left w:val="single" w:sz="4" w:space="0" w:color="auto"/>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499</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3424</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648</w:t>
            </w:r>
          </w:p>
        </w:tc>
        <w:tc>
          <w:tcPr>
            <w:tcW w:w="919"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2562</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328</w:t>
            </w:r>
          </w:p>
        </w:tc>
        <w:tc>
          <w:tcPr>
            <w:tcW w:w="945"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764</w:t>
            </w:r>
          </w:p>
        </w:tc>
        <w:tc>
          <w:tcPr>
            <w:tcW w:w="898"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216</w:t>
            </w:r>
          </w:p>
        </w:tc>
        <w:tc>
          <w:tcPr>
            <w:tcW w:w="944" w:type="dxa"/>
            <w:tcBorders>
              <w:top w:val="nil"/>
              <w:left w:val="nil"/>
              <w:bottom w:val="single" w:sz="4" w:space="0" w:color="auto"/>
              <w:right w:val="single" w:sz="4" w:space="0" w:color="auto"/>
            </w:tcBorders>
            <w:shd w:val="clear" w:color="00000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2993</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single" w:sz="4" w:space="0" w:color="auto"/>
              <w:bottom w:val="single" w:sz="4" w:space="0" w:color="auto"/>
              <w:right w:val="single" w:sz="4" w:space="0" w:color="auto"/>
            </w:tcBorders>
            <w:shd w:val="clear" w:color="C0C0C0" w:fill="A6A6A6"/>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CS_09</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CS_10</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CS_11</w:t>
            </w:r>
          </w:p>
        </w:tc>
        <w:tc>
          <w:tcPr>
            <w:tcW w:w="919"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CS_12</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CS_13</w:t>
            </w:r>
          </w:p>
        </w:tc>
        <w:tc>
          <w:tcPr>
            <w:tcW w:w="945"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CS_14</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CS_15</w:t>
            </w:r>
          </w:p>
        </w:tc>
        <w:tc>
          <w:tcPr>
            <w:tcW w:w="944"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176AC0" w:rsidP="00523BB8">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6</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_F10</w:t>
            </w:r>
          </w:p>
        </w:tc>
        <w:tc>
          <w:tcPr>
            <w:tcW w:w="898" w:type="dxa"/>
            <w:tcBorders>
              <w:top w:val="nil"/>
              <w:left w:val="single" w:sz="4" w:space="0" w:color="auto"/>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1695</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9192</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3010</w:t>
            </w:r>
          </w:p>
        </w:tc>
        <w:tc>
          <w:tcPr>
            <w:tcW w:w="919"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8988</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1261</w:t>
            </w:r>
          </w:p>
        </w:tc>
        <w:tc>
          <w:tcPr>
            <w:tcW w:w="945"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2690</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667</w:t>
            </w:r>
          </w:p>
        </w:tc>
        <w:tc>
          <w:tcPr>
            <w:tcW w:w="944"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8656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PCR</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CS_01</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CS_02</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CS_03</w:t>
            </w:r>
          </w:p>
        </w:tc>
        <w:tc>
          <w:tcPr>
            <w:tcW w:w="919"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CS_04</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CS_05</w:t>
            </w:r>
          </w:p>
        </w:tc>
        <w:tc>
          <w:tcPr>
            <w:tcW w:w="945"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CS_06</w:t>
            </w:r>
          </w:p>
        </w:tc>
        <w:tc>
          <w:tcPr>
            <w:tcW w:w="898"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CS_07</w:t>
            </w:r>
          </w:p>
        </w:tc>
        <w:tc>
          <w:tcPr>
            <w:tcW w:w="944" w:type="dxa"/>
            <w:tcBorders>
              <w:top w:val="nil"/>
              <w:left w:val="nil"/>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single" w:sz="4" w:space="0" w:color="auto"/>
              <w:left w:val="single" w:sz="4" w:space="0" w:color="auto"/>
              <w:bottom w:val="nil"/>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_F9</w:t>
            </w:r>
          </w:p>
        </w:tc>
        <w:tc>
          <w:tcPr>
            <w:tcW w:w="898" w:type="dxa"/>
            <w:tcBorders>
              <w:top w:val="nil"/>
              <w:left w:val="single" w:sz="4" w:space="0" w:color="auto"/>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511</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3627</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921</w:t>
            </w:r>
          </w:p>
        </w:tc>
        <w:tc>
          <w:tcPr>
            <w:tcW w:w="919"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3169</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462</w:t>
            </w:r>
          </w:p>
        </w:tc>
        <w:tc>
          <w:tcPr>
            <w:tcW w:w="945"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1038</w:t>
            </w:r>
          </w:p>
        </w:tc>
        <w:tc>
          <w:tcPr>
            <w:tcW w:w="898"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234</w:t>
            </w:r>
          </w:p>
        </w:tc>
        <w:tc>
          <w:tcPr>
            <w:tcW w:w="944" w:type="dxa"/>
            <w:tcBorders>
              <w:top w:val="nil"/>
              <w:left w:val="nil"/>
              <w:bottom w:val="single" w:sz="4" w:space="0" w:color="auto"/>
              <w:right w:val="single" w:sz="4" w:space="0" w:color="auto"/>
            </w:tcBorders>
            <w:shd w:val="clear" w:color="000000"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3158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single" w:sz="4" w:space="0" w:color="auto"/>
              <w:bottom w:val="single" w:sz="4" w:space="0" w:color="auto"/>
              <w:right w:val="single" w:sz="4" w:space="0" w:color="auto"/>
            </w:tcBorders>
            <w:shd w:val="clear" w:color="D8E9E8" w:fill="D9D9D9"/>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WI_25</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WI_26</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WI_27</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WI_28</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WI_29</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WI_30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WI_31</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WI_32</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color w:val="000000"/>
                <w:sz w:val="20"/>
                <w:szCs w:val="2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_F8</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136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762</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285</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779</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90</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181</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57</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605</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color w:val="000000"/>
                <w:sz w:val="20"/>
                <w:szCs w:val="2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WI_17</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WI_18</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WI_19</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WI_21</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WI_23</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WI_24</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color w:val="000000"/>
                <w:sz w:val="20"/>
                <w:szCs w:val="2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_F7</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475</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2637</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988</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2370</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371</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804</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179</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2181</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color w:val="000000"/>
                <w:sz w:val="20"/>
                <w:szCs w:val="2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WI_09</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WI_11</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WI_13</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WI_14</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WI_15</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WI_16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color w:val="000000"/>
                <w:sz w:val="20"/>
                <w:szCs w:val="2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_F6</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876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5108</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1907</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4970</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641</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1361</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302</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3539</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color w:val="000000"/>
                <w:sz w:val="20"/>
                <w:szCs w:val="20"/>
              </w:rPr>
            </w:pPr>
            <w:r w:rsidRPr="00791BC8">
              <w:rPr>
                <w:rFonts w:ascii="Calibri" w:eastAsia="Times New Roman" w:hAnsi="Calibri" w:cs="Calibri"/>
                <w:b/>
                <w:color w:val="000000"/>
                <w:sz w:val="20"/>
                <w:szCs w:val="20"/>
              </w:rPr>
              <w:t>18</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WI_01</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WI_03</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WI_04</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WI_05</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WI_06</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WI_07</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WI_08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PCR</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_F5</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900</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6054</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1978</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5518</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704</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1559</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339</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4204</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single" w:sz="4" w:space="0" w:color="auto"/>
              <w:left w:val="single" w:sz="4" w:space="0" w:color="auto"/>
              <w:bottom w:val="nil"/>
              <w:right w:val="single" w:sz="4" w:space="0" w:color="auto"/>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r w:rsidRPr="00791BC8">
              <w:rPr>
                <w:rFonts w:ascii="Calibri" w:eastAsia="Times New Roman" w:hAnsi="Calibri" w:cs="Calibri"/>
                <w:color w:val="00000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CS_25</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CS_26</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CS_27</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CS_28</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CS_29</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CS_30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CS_31</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CS_32</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r w:rsidRPr="00791BC8">
              <w:rPr>
                <w:rFonts w:ascii="Calibri" w:eastAsia="Times New Roman" w:hAnsi="Calibri" w:cs="Calibri"/>
                <w:color w:val="00000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_F4</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826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4996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1646</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4719</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605</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1332</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284</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3626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CS_17</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CS_18</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CS_19</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CS_21</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CS_23</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CS_24</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_F3</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891</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5163</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1724</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5028</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622</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1515</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283</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3740</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CS_09</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CS_10</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CS_11</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CS_13</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CS_14</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CS_15</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CS_16</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_F2</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279</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1478</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472</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1476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184</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367</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92</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1009</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Barcode</w:t>
            </w:r>
          </w:p>
        </w:tc>
        <w:tc>
          <w:tcPr>
            <w:tcW w:w="898" w:type="dxa"/>
            <w:tcBorders>
              <w:top w:val="nil"/>
              <w:left w:val="single" w:sz="4" w:space="0" w:color="auto"/>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CS_01</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CS_02</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CS_03</w:t>
            </w:r>
          </w:p>
        </w:tc>
        <w:tc>
          <w:tcPr>
            <w:tcW w:w="919"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CS_04</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CS_05</w:t>
            </w:r>
          </w:p>
        </w:tc>
        <w:tc>
          <w:tcPr>
            <w:tcW w:w="945"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CS_06</w:t>
            </w:r>
          </w:p>
        </w:tc>
        <w:tc>
          <w:tcPr>
            <w:tcW w:w="898"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CS_07</w:t>
            </w:r>
          </w:p>
        </w:tc>
        <w:tc>
          <w:tcPr>
            <w:tcW w:w="944" w:type="dxa"/>
            <w:tcBorders>
              <w:top w:val="nil"/>
              <w:left w:val="nil"/>
              <w:bottom w:val="nil"/>
              <w:right w:val="single" w:sz="4" w:space="0" w:color="auto"/>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CS_08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p>
        </w:tc>
        <w:tc>
          <w:tcPr>
            <w:tcW w:w="541"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r>
      <w:tr w:rsidR="00CC050F" w:rsidRPr="00791BC8" w:rsidTr="00523BB8">
        <w:trPr>
          <w:trHeight w:val="300"/>
        </w:trPr>
        <w:tc>
          <w:tcPr>
            <w:tcW w:w="898"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sz w:val="20"/>
                <w:szCs w:val="20"/>
              </w:rPr>
            </w:pPr>
            <w:r w:rsidRPr="00791BC8">
              <w:rPr>
                <w:rFonts w:ascii="Calibri" w:eastAsia="Times New Roman" w:hAnsi="Calibri" w:cs="Calibri"/>
                <w:b/>
                <w:bCs/>
                <w:sz w:val="20"/>
                <w:szCs w:val="20"/>
              </w:rPr>
              <w:t>_F1</w:t>
            </w: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384</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2179</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716</w:t>
            </w:r>
          </w:p>
        </w:tc>
        <w:tc>
          <w:tcPr>
            <w:tcW w:w="919"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1996</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195</w:t>
            </w:r>
          </w:p>
        </w:tc>
        <w:tc>
          <w:tcPr>
            <w:tcW w:w="945"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547</w:t>
            </w:r>
          </w:p>
        </w:tc>
        <w:tc>
          <w:tcPr>
            <w:tcW w:w="898"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114</w:t>
            </w:r>
          </w:p>
        </w:tc>
        <w:tc>
          <w:tcPr>
            <w:tcW w:w="944" w:type="dxa"/>
            <w:tcBorders>
              <w:top w:val="nil"/>
              <w:left w:val="nil"/>
              <w:bottom w:val="single" w:sz="4" w:space="0" w:color="auto"/>
              <w:right w:val="single" w:sz="4" w:space="0" w:color="auto"/>
            </w:tcBorders>
            <w:shd w:val="clear" w:color="auto" w:fill="auto"/>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1408</w:t>
            </w:r>
          </w:p>
        </w:tc>
        <w:tc>
          <w:tcPr>
            <w:tcW w:w="284" w:type="dxa"/>
            <w:tcBorders>
              <w:top w:val="nil"/>
              <w:left w:val="nil"/>
              <w:bottom w:val="nil"/>
              <w:right w:val="nil"/>
            </w:tcBorders>
            <w:shd w:val="clear" w:color="auto" w:fill="auto"/>
            <w:noWrap/>
            <w:vAlign w:val="bottom"/>
            <w:hideMark/>
          </w:tcPr>
          <w:p w:rsidR="00CC050F" w:rsidRPr="00791BC8" w:rsidRDefault="00CC050F" w:rsidP="00523BB8">
            <w:pPr>
              <w:spacing w:after="0" w:line="240" w:lineRule="auto"/>
              <w:rPr>
                <w:rFonts w:ascii="Calibri" w:eastAsia="Times New Roman" w:hAnsi="Calibri" w:cs="Calibri"/>
                <w:color w:val="000000"/>
              </w:rPr>
            </w:pPr>
          </w:p>
        </w:tc>
        <w:tc>
          <w:tcPr>
            <w:tcW w:w="541" w:type="dxa"/>
            <w:tcBorders>
              <w:top w:val="nil"/>
              <w:left w:val="nil"/>
              <w:bottom w:val="nil"/>
              <w:right w:val="nil"/>
            </w:tcBorders>
            <w:shd w:val="clear" w:color="FFFFCC" w:fill="FFFFFF"/>
            <w:noWrap/>
            <w:vAlign w:val="bottom"/>
            <w:hideMark/>
          </w:tcPr>
          <w:p w:rsidR="00CC050F" w:rsidRPr="00791BC8" w:rsidRDefault="00CC050F" w:rsidP="00523BB8">
            <w:pPr>
              <w:spacing w:after="0" w:line="240" w:lineRule="auto"/>
              <w:jc w:val="center"/>
              <w:rPr>
                <w:rFonts w:ascii="Calibri" w:eastAsia="Times New Roman" w:hAnsi="Calibri" w:cs="Calibri"/>
                <w:b/>
                <w:bCs/>
                <w:color w:val="000000"/>
                <w:sz w:val="20"/>
                <w:szCs w:val="20"/>
              </w:rPr>
            </w:pPr>
            <w:r w:rsidRPr="00791BC8">
              <w:rPr>
                <w:rFonts w:ascii="Calibri" w:eastAsia="Times New Roman" w:hAnsi="Calibri" w:cs="Calibri"/>
                <w:b/>
                <w:bCs/>
                <w:color w:val="000000"/>
                <w:sz w:val="20"/>
                <w:szCs w:val="20"/>
              </w:rPr>
              <w:t> </w:t>
            </w:r>
          </w:p>
        </w:tc>
      </w:tr>
    </w:tbl>
    <w:p w:rsidR="00CC050F" w:rsidRDefault="00CC050F" w:rsidP="00CC050F"/>
    <w:p w:rsidR="00CC050F" w:rsidRDefault="00CC050F" w:rsidP="00CC050F"/>
    <w:p w:rsidR="00CC050F" w:rsidRDefault="00CC050F" w:rsidP="00CC050F">
      <w:pPr>
        <w:sectPr w:rsidR="00CC050F" w:rsidSect="002573CE">
          <w:pgSz w:w="11906" w:h="16838"/>
          <w:pgMar w:top="1134" w:right="1440" w:bottom="1134" w:left="1440" w:header="709" w:footer="709" w:gutter="0"/>
          <w:lnNumType w:countBy="1" w:restart="continuous"/>
          <w:cols w:space="708"/>
          <w:docGrid w:linePitch="360"/>
        </w:sectPr>
      </w:pPr>
    </w:p>
    <w:p w:rsidR="00E75447" w:rsidRDefault="00E75447"/>
    <w:tbl>
      <w:tblPr>
        <w:tblW w:w="8379" w:type="dxa"/>
        <w:tblInd w:w="93" w:type="dxa"/>
        <w:tblLook w:val="04A0" w:firstRow="1" w:lastRow="0" w:firstColumn="1" w:lastColumn="0" w:noHBand="0" w:noVBand="1"/>
      </w:tblPr>
      <w:tblGrid>
        <w:gridCol w:w="6961"/>
        <w:gridCol w:w="1418"/>
      </w:tblGrid>
      <w:tr w:rsidR="00791BC8" w:rsidRPr="00791BC8" w:rsidTr="009711AF">
        <w:trPr>
          <w:trHeight w:val="300"/>
        </w:trPr>
        <w:tc>
          <w:tcPr>
            <w:tcW w:w="8379" w:type="dxa"/>
            <w:gridSpan w:val="2"/>
            <w:tcBorders>
              <w:top w:val="nil"/>
              <w:left w:val="nil"/>
              <w:right w:val="nil"/>
            </w:tcBorders>
            <w:shd w:val="clear" w:color="auto" w:fill="auto"/>
            <w:noWrap/>
            <w:vAlign w:val="bottom"/>
          </w:tcPr>
          <w:p w:rsidR="00791BC8" w:rsidRPr="009711AF" w:rsidRDefault="00994FBF" w:rsidP="00791BC8">
            <w:pPr>
              <w:spacing w:after="0" w:line="240" w:lineRule="auto"/>
              <w:rPr>
                <w:rFonts w:ascii="Calibri" w:eastAsia="Times New Roman" w:hAnsi="Calibri" w:cs="Calibri"/>
                <w:color w:val="000000"/>
              </w:rPr>
            </w:pPr>
            <w:r>
              <w:rPr>
                <w:rFonts w:ascii="Calibri" w:eastAsia="Times New Roman" w:hAnsi="Calibri" w:cs="Calibri"/>
                <w:b/>
                <w:color w:val="000000"/>
              </w:rPr>
              <w:t>ESM:</w:t>
            </w:r>
            <w:r w:rsidR="00791BC8" w:rsidRPr="009711AF">
              <w:rPr>
                <w:rFonts w:ascii="Calibri" w:eastAsia="Times New Roman" w:hAnsi="Calibri" w:cs="Calibri"/>
                <w:b/>
                <w:color w:val="000000"/>
              </w:rPr>
              <w:t xml:space="preserve"> Table </w:t>
            </w:r>
            <w:r w:rsidR="009711AF" w:rsidRPr="009711AF">
              <w:rPr>
                <w:rFonts w:ascii="Calibri" w:eastAsia="Times New Roman" w:hAnsi="Calibri" w:cs="Calibri"/>
                <w:b/>
                <w:color w:val="000000"/>
              </w:rPr>
              <w:t>4</w:t>
            </w:r>
            <w:r w:rsidR="00791BC8" w:rsidRPr="009711AF">
              <w:rPr>
                <w:rFonts w:ascii="Calibri" w:eastAsia="Times New Roman" w:hAnsi="Calibri" w:cs="Calibri"/>
                <w:b/>
                <w:color w:val="000000"/>
              </w:rPr>
              <w:t xml:space="preserve"> </w:t>
            </w:r>
            <w:r w:rsidR="009711AF">
              <w:rPr>
                <w:rFonts w:ascii="Calibri" w:eastAsia="Times New Roman" w:hAnsi="Calibri" w:cs="Calibri"/>
                <w:color w:val="000000"/>
              </w:rPr>
              <w:t>Number of barcodes and locus-specific primers identified in the reads.</w:t>
            </w:r>
          </w:p>
          <w:p w:rsidR="00791BC8" w:rsidRPr="00791BC8" w:rsidRDefault="00791BC8" w:rsidP="00791BC8">
            <w:pPr>
              <w:spacing w:after="0" w:line="240" w:lineRule="auto"/>
              <w:rPr>
                <w:rFonts w:ascii="Calibri" w:eastAsia="Times New Roman" w:hAnsi="Calibri" w:cs="Calibri"/>
                <w:color w:val="000000"/>
              </w:rPr>
            </w:pPr>
          </w:p>
        </w:tc>
      </w:tr>
      <w:tr w:rsidR="00791BC8" w:rsidRPr="00791BC8" w:rsidTr="009711AF">
        <w:trPr>
          <w:trHeight w:val="300"/>
        </w:trPr>
        <w:tc>
          <w:tcPr>
            <w:tcW w:w="6961" w:type="dxa"/>
            <w:tcBorders>
              <w:left w:val="nil"/>
              <w:bottom w:val="single" w:sz="4" w:space="0" w:color="auto"/>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Identified primers and barcodes</w:t>
            </w:r>
          </w:p>
        </w:tc>
        <w:tc>
          <w:tcPr>
            <w:tcW w:w="1418" w:type="dxa"/>
            <w:tcBorders>
              <w:left w:val="nil"/>
              <w:bottom w:val="single" w:sz="4" w:space="0" w:color="auto"/>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No. of reads</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Two barcodes and two matching primers</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180054</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Two barcodes and two non-matching primers</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2175</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Two barcodes and one primer</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4843</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Two barcodes and no primers</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801</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One barcode</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205593</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rPr>
                <w:rFonts w:ascii="Calibri" w:eastAsia="Times New Roman" w:hAnsi="Calibri" w:cs="Calibri"/>
                <w:color w:val="000000"/>
              </w:rPr>
            </w:pPr>
            <w:r w:rsidRPr="00791BC8">
              <w:rPr>
                <w:rFonts w:ascii="Calibri" w:eastAsia="Times New Roman" w:hAnsi="Calibri" w:cs="Calibri"/>
                <w:color w:val="000000"/>
              </w:rPr>
              <w:t>No barcodes</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61628</w:t>
            </w:r>
          </w:p>
        </w:tc>
      </w:tr>
      <w:tr w:rsidR="00791BC8" w:rsidRPr="00791BC8" w:rsidTr="009711AF">
        <w:trPr>
          <w:trHeight w:val="300"/>
        </w:trPr>
        <w:tc>
          <w:tcPr>
            <w:tcW w:w="6961"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color w:val="000000"/>
              </w:rPr>
            </w:pPr>
            <w:r w:rsidRPr="00791BC8">
              <w:rPr>
                <w:rFonts w:ascii="Calibri" w:eastAsia="Times New Roman" w:hAnsi="Calibri" w:cs="Calibri"/>
                <w:color w:val="000000"/>
              </w:rPr>
              <w:t>total</w:t>
            </w:r>
          </w:p>
        </w:tc>
        <w:tc>
          <w:tcPr>
            <w:tcW w:w="1418" w:type="dxa"/>
            <w:tcBorders>
              <w:top w:val="nil"/>
              <w:left w:val="nil"/>
              <w:bottom w:val="nil"/>
              <w:right w:val="nil"/>
            </w:tcBorders>
            <w:shd w:val="clear" w:color="auto" w:fill="auto"/>
            <w:noWrap/>
            <w:vAlign w:val="bottom"/>
            <w:hideMark/>
          </w:tcPr>
          <w:p w:rsidR="00791BC8" w:rsidRPr="00791BC8" w:rsidRDefault="00791BC8" w:rsidP="00791BC8">
            <w:pPr>
              <w:spacing w:after="0" w:line="240" w:lineRule="auto"/>
              <w:jc w:val="right"/>
              <w:rPr>
                <w:rFonts w:ascii="Calibri" w:eastAsia="Times New Roman" w:hAnsi="Calibri" w:cs="Calibri"/>
                <w:b/>
                <w:bCs/>
                <w:color w:val="000000"/>
              </w:rPr>
            </w:pPr>
            <w:r w:rsidRPr="00791BC8">
              <w:rPr>
                <w:rFonts w:ascii="Calibri" w:eastAsia="Times New Roman" w:hAnsi="Calibri" w:cs="Calibri"/>
                <w:b/>
                <w:bCs/>
                <w:color w:val="000000"/>
              </w:rPr>
              <w:t>455094</w:t>
            </w:r>
          </w:p>
        </w:tc>
      </w:tr>
    </w:tbl>
    <w:p w:rsidR="00E2069E" w:rsidRDefault="00E2069E"/>
    <w:p w:rsidR="00E2069E" w:rsidRDefault="00E2069E"/>
    <w:tbl>
      <w:tblPr>
        <w:tblW w:w="6252" w:type="dxa"/>
        <w:tblInd w:w="93" w:type="dxa"/>
        <w:tblLook w:val="04A0" w:firstRow="1" w:lastRow="0" w:firstColumn="1" w:lastColumn="0" w:noHBand="0" w:noVBand="1"/>
      </w:tblPr>
      <w:tblGrid>
        <w:gridCol w:w="1320"/>
        <w:gridCol w:w="4932"/>
      </w:tblGrid>
      <w:tr w:rsidR="00E2069E" w:rsidRPr="00C4602C" w:rsidTr="001F6FA1">
        <w:trPr>
          <w:trHeight w:val="255"/>
        </w:trPr>
        <w:tc>
          <w:tcPr>
            <w:tcW w:w="6252" w:type="dxa"/>
            <w:gridSpan w:val="2"/>
            <w:tcBorders>
              <w:top w:val="nil"/>
              <w:left w:val="nil"/>
              <w:right w:val="nil"/>
            </w:tcBorders>
            <w:shd w:val="clear" w:color="auto" w:fill="auto"/>
            <w:noWrap/>
            <w:vAlign w:val="bottom"/>
          </w:tcPr>
          <w:p w:rsidR="00E2069E" w:rsidRPr="009711AF" w:rsidRDefault="00E2069E" w:rsidP="001F6FA1">
            <w:pPr>
              <w:spacing w:after="0" w:line="240" w:lineRule="auto"/>
              <w:rPr>
                <w:rFonts w:ascii="Calibri" w:eastAsia="Times New Roman" w:hAnsi="Calibri" w:cs="Calibri"/>
                <w:color w:val="000000"/>
              </w:rPr>
            </w:pPr>
            <w:r>
              <w:rPr>
                <w:rFonts w:ascii="Calibri" w:eastAsia="Times New Roman" w:hAnsi="Calibri" w:cs="Calibri"/>
                <w:b/>
                <w:color w:val="000000"/>
              </w:rPr>
              <w:t>ESM:</w:t>
            </w:r>
            <w:r w:rsidRPr="009711AF">
              <w:rPr>
                <w:rFonts w:ascii="Calibri" w:eastAsia="Times New Roman" w:hAnsi="Calibri" w:cs="Calibri"/>
                <w:b/>
                <w:color w:val="000000"/>
              </w:rPr>
              <w:t xml:space="preserve"> Table </w:t>
            </w:r>
            <w:r>
              <w:rPr>
                <w:rFonts w:ascii="Calibri" w:eastAsia="Times New Roman" w:hAnsi="Calibri" w:cs="Calibri"/>
                <w:b/>
                <w:color w:val="000000"/>
              </w:rPr>
              <w:t>5</w:t>
            </w:r>
            <w:r w:rsidRPr="009711AF">
              <w:rPr>
                <w:rFonts w:ascii="Calibri" w:eastAsia="Times New Roman" w:hAnsi="Calibri" w:cs="Calibri"/>
                <w:b/>
                <w:color w:val="000000"/>
              </w:rPr>
              <w:t xml:space="preserve"> </w:t>
            </w:r>
            <w:r>
              <w:rPr>
                <w:rFonts w:ascii="Calibri" w:eastAsia="Times New Roman" w:hAnsi="Calibri" w:cs="Calibri"/>
                <w:color w:val="000000"/>
              </w:rPr>
              <w:t>Loci with less than 50% of individuals genotyped.</w:t>
            </w:r>
          </w:p>
          <w:p w:rsidR="00E2069E" w:rsidRPr="00C4602C" w:rsidRDefault="00E2069E" w:rsidP="001F6FA1">
            <w:pPr>
              <w:spacing w:after="0" w:line="240" w:lineRule="auto"/>
              <w:jc w:val="center"/>
              <w:rPr>
                <w:rFonts w:ascii="Arial" w:eastAsia="Times New Roman" w:hAnsi="Arial" w:cs="Arial"/>
                <w:sz w:val="20"/>
                <w:szCs w:val="20"/>
              </w:rPr>
            </w:pPr>
          </w:p>
        </w:tc>
      </w:tr>
      <w:tr w:rsidR="00E2069E" w:rsidRPr="00C4602C" w:rsidTr="001F6FA1">
        <w:trPr>
          <w:trHeight w:val="255"/>
        </w:trPr>
        <w:tc>
          <w:tcPr>
            <w:tcW w:w="1320" w:type="dxa"/>
            <w:tcBorders>
              <w:left w:val="nil"/>
              <w:bottom w:val="single" w:sz="4" w:space="0" w:color="auto"/>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Loci name</w:t>
            </w:r>
          </w:p>
        </w:tc>
        <w:tc>
          <w:tcPr>
            <w:tcW w:w="4932" w:type="dxa"/>
            <w:tcBorders>
              <w:left w:val="nil"/>
              <w:bottom w:val="single" w:sz="4" w:space="0" w:color="auto"/>
              <w:right w:val="nil"/>
            </w:tcBorders>
            <w:shd w:val="clear" w:color="auto" w:fill="auto"/>
            <w:noWrap/>
            <w:vAlign w:val="bottom"/>
            <w:hideMark/>
          </w:tcPr>
          <w:p w:rsidR="00E2069E" w:rsidRPr="00C4602C" w:rsidRDefault="007A012A"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Percentage</w:t>
            </w:r>
            <w:r w:rsidR="00E2069E" w:rsidRPr="00C4602C">
              <w:rPr>
                <w:rFonts w:ascii="Arial" w:eastAsia="Times New Roman" w:hAnsi="Arial" w:cs="Arial"/>
                <w:sz w:val="20"/>
                <w:szCs w:val="20"/>
              </w:rPr>
              <w:t xml:space="preserve"> of individuals genotyped</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A03_Hill</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1.0%</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C35_M13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7.3%</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D10_Neo</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14.6%</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A30_T3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25.0%</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B19_T3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39.6%</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B12_T3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41.7%</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D37_T3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41.7%</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A19_T3</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42.7%</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C31_Neo</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45.8%</w:t>
            </w:r>
          </w:p>
        </w:tc>
      </w:tr>
      <w:tr w:rsidR="00E2069E" w:rsidRPr="00C4602C" w:rsidTr="001F6FA1">
        <w:trPr>
          <w:trHeight w:val="255"/>
        </w:trPr>
        <w:tc>
          <w:tcPr>
            <w:tcW w:w="1320"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B36_Hill</w:t>
            </w:r>
          </w:p>
        </w:tc>
        <w:tc>
          <w:tcPr>
            <w:tcW w:w="4932" w:type="dxa"/>
            <w:tcBorders>
              <w:top w:val="nil"/>
              <w:left w:val="nil"/>
              <w:bottom w:val="nil"/>
              <w:right w:val="nil"/>
            </w:tcBorders>
            <w:shd w:val="clear" w:color="auto" w:fill="auto"/>
            <w:noWrap/>
            <w:vAlign w:val="bottom"/>
            <w:hideMark/>
          </w:tcPr>
          <w:p w:rsidR="00E2069E" w:rsidRPr="00C4602C" w:rsidRDefault="00E2069E" w:rsidP="001F6FA1">
            <w:pPr>
              <w:spacing w:after="0" w:line="240" w:lineRule="auto"/>
              <w:jc w:val="center"/>
              <w:rPr>
                <w:rFonts w:ascii="Arial" w:eastAsia="Times New Roman" w:hAnsi="Arial" w:cs="Arial"/>
                <w:sz w:val="20"/>
                <w:szCs w:val="20"/>
              </w:rPr>
            </w:pPr>
            <w:r w:rsidRPr="00C4602C">
              <w:rPr>
                <w:rFonts w:ascii="Arial" w:eastAsia="Times New Roman" w:hAnsi="Arial" w:cs="Arial"/>
                <w:sz w:val="20"/>
                <w:szCs w:val="20"/>
              </w:rPr>
              <w:t>46.9%</w:t>
            </w:r>
          </w:p>
        </w:tc>
      </w:tr>
    </w:tbl>
    <w:p w:rsidR="009711AF" w:rsidRDefault="00791BC8">
      <w:r>
        <w:br w:type="page"/>
      </w:r>
    </w:p>
    <w:p w:rsidR="00065E51" w:rsidRDefault="00065E51" w:rsidP="00065E51">
      <w:pPr>
        <w:spacing w:after="0" w:line="240" w:lineRule="auto"/>
      </w:pPr>
    </w:p>
    <w:tbl>
      <w:tblPr>
        <w:tblW w:w="8100" w:type="dxa"/>
        <w:tblInd w:w="108" w:type="dxa"/>
        <w:tblLook w:val="04A0" w:firstRow="1" w:lastRow="0" w:firstColumn="1" w:lastColumn="0" w:noHBand="0" w:noVBand="1"/>
      </w:tblPr>
      <w:tblGrid>
        <w:gridCol w:w="976"/>
        <w:gridCol w:w="968"/>
        <w:gridCol w:w="968"/>
        <w:gridCol w:w="976"/>
        <w:gridCol w:w="4212"/>
      </w:tblGrid>
      <w:tr w:rsidR="00432805" w:rsidRPr="004E0D98" w:rsidTr="00CF3583">
        <w:trPr>
          <w:trHeight w:val="255"/>
        </w:trPr>
        <w:tc>
          <w:tcPr>
            <w:tcW w:w="8100" w:type="dxa"/>
            <w:gridSpan w:val="5"/>
            <w:tcBorders>
              <w:top w:val="nil"/>
              <w:left w:val="nil"/>
            </w:tcBorders>
            <w:shd w:val="clear" w:color="auto" w:fill="auto"/>
            <w:noWrap/>
            <w:vAlign w:val="bottom"/>
            <w:hideMark/>
          </w:tcPr>
          <w:p w:rsidR="00432805" w:rsidRPr="0064324C" w:rsidRDefault="00994FBF" w:rsidP="00065E51">
            <w:pPr>
              <w:pStyle w:val="NoSpacing"/>
              <w:rPr>
                <w:rFonts w:eastAsia="Times New Roman"/>
              </w:rPr>
            </w:pPr>
            <w:r>
              <w:rPr>
                <w:rFonts w:eastAsia="Times New Roman"/>
                <w:b/>
              </w:rPr>
              <w:t xml:space="preserve">ESM: </w:t>
            </w:r>
            <w:r w:rsidR="00432805" w:rsidRPr="009711AF">
              <w:rPr>
                <w:rFonts w:eastAsia="Times New Roman"/>
                <w:b/>
              </w:rPr>
              <w:t xml:space="preserve">Table </w:t>
            </w:r>
            <w:r w:rsidR="00E75447">
              <w:rPr>
                <w:rFonts w:eastAsia="Times New Roman"/>
                <w:b/>
              </w:rPr>
              <w:t>6</w:t>
            </w:r>
            <w:r w:rsidR="00E75447" w:rsidRPr="0064324C">
              <w:rPr>
                <w:rFonts w:eastAsia="Times New Roman"/>
              </w:rPr>
              <w:t xml:space="preserve"> </w:t>
            </w:r>
            <w:proofErr w:type="spellStart"/>
            <w:r w:rsidR="00432805" w:rsidRPr="0064324C">
              <w:rPr>
                <w:rFonts w:eastAsia="Times New Roman"/>
              </w:rPr>
              <w:t>Bonferroni</w:t>
            </w:r>
            <w:proofErr w:type="spellEnd"/>
            <w:r w:rsidR="00432805" w:rsidRPr="0064324C">
              <w:rPr>
                <w:rFonts w:eastAsia="Times New Roman"/>
              </w:rPr>
              <w:t xml:space="preserve"> corrected 2-tail p-values for z-tests for the proportion of correspondence between 454 and ABI performed on the reduced (“Celtic Sea”) data set. </w:t>
            </w:r>
          </w:p>
          <w:p w:rsidR="00432805" w:rsidRPr="0064324C" w:rsidRDefault="00432805" w:rsidP="00065E51">
            <w:pPr>
              <w:pStyle w:val="NoSpacing"/>
              <w:rPr>
                <w:rFonts w:eastAsia="Times New Roman"/>
              </w:rPr>
            </w:pPr>
          </w:p>
        </w:tc>
      </w:tr>
      <w:tr w:rsidR="00432805" w:rsidRPr="004E0D98" w:rsidTr="00CF3583">
        <w:trPr>
          <w:trHeight w:val="255"/>
        </w:trPr>
        <w:tc>
          <w:tcPr>
            <w:tcW w:w="976"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p>
        </w:tc>
        <w:tc>
          <w:tcPr>
            <w:tcW w:w="968" w:type="dxa"/>
            <w:tcBorders>
              <w:top w:val="nil"/>
              <w:left w:val="single" w:sz="4" w:space="0" w:color="auto"/>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3 PCR</w:t>
            </w:r>
          </w:p>
        </w:tc>
        <w:tc>
          <w:tcPr>
            <w:tcW w:w="968" w:type="dxa"/>
            <w:tcBorders>
              <w:top w:val="nil"/>
              <w:left w:val="nil"/>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6 PCR</w:t>
            </w:r>
          </w:p>
        </w:tc>
        <w:tc>
          <w:tcPr>
            <w:tcW w:w="976"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18 PCR</w:t>
            </w:r>
          </w:p>
        </w:tc>
        <w:tc>
          <w:tcPr>
            <w:tcW w:w="4212" w:type="dxa"/>
            <w:tcBorders>
              <w:top w:val="nil"/>
              <w:left w:val="single" w:sz="4" w:space="0" w:color="auto"/>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Proportion</w:t>
            </w:r>
          </w:p>
        </w:tc>
      </w:tr>
      <w:tr w:rsidR="00432805" w:rsidRPr="004E0D98" w:rsidTr="00CF3583">
        <w:trPr>
          <w:trHeight w:val="255"/>
        </w:trPr>
        <w:tc>
          <w:tcPr>
            <w:tcW w:w="976"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3 PCR</w:t>
            </w:r>
          </w:p>
        </w:tc>
        <w:tc>
          <w:tcPr>
            <w:tcW w:w="968" w:type="dxa"/>
            <w:tcBorders>
              <w:top w:val="single" w:sz="4" w:space="0" w:color="auto"/>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p>
        </w:tc>
        <w:tc>
          <w:tcPr>
            <w:tcW w:w="968" w:type="dxa"/>
            <w:tcBorders>
              <w:top w:val="single" w:sz="4" w:space="0" w:color="auto"/>
              <w:left w:val="nil"/>
              <w:bottom w:val="nil"/>
              <w:right w:val="nil"/>
            </w:tcBorders>
            <w:shd w:val="clear" w:color="auto" w:fill="auto"/>
            <w:noWrap/>
            <w:vAlign w:val="center"/>
            <w:hideMark/>
          </w:tcPr>
          <w:p w:rsidR="00432805" w:rsidRPr="0064324C" w:rsidRDefault="00432805" w:rsidP="00065E51">
            <w:pPr>
              <w:pStyle w:val="NoSpacing"/>
              <w:rPr>
                <w:rFonts w:eastAsia="Times New Roman"/>
              </w:rPr>
            </w:pPr>
          </w:p>
        </w:tc>
        <w:tc>
          <w:tcPr>
            <w:tcW w:w="976"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p>
        </w:tc>
        <w:tc>
          <w:tcPr>
            <w:tcW w:w="4212" w:type="dxa"/>
            <w:tcBorders>
              <w:top w:val="single" w:sz="4" w:space="0" w:color="auto"/>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0.8298</w:t>
            </w:r>
          </w:p>
        </w:tc>
      </w:tr>
      <w:tr w:rsidR="00432805" w:rsidRPr="004E0D98" w:rsidTr="00CF3583">
        <w:trPr>
          <w:trHeight w:val="255"/>
        </w:trPr>
        <w:tc>
          <w:tcPr>
            <w:tcW w:w="976"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6 PCR</w:t>
            </w:r>
          </w:p>
        </w:tc>
        <w:tc>
          <w:tcPr>
            <w:tcW w:w="968"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1.0000</w:t>
            </w:r>
          </w:p>
        </w:tc>
        <w:tc>
          <w:tcPr>
            <w:tcW w:w="968"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rPr>
            </w:pPr>
          </w:p>
        </w:tc>
        <w:tc>
          <w:tcPr>
            <w:tcW w:w="976"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p>
        </w:tc>
        <w:tc>
          <w:tcPr>
            <w:tcW w:w="4212"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0.8333</w:t>
            </w:r>
          </w:p>
        </w:tc>
      </w:tr>
      <w:tr w:rsidR="00432805" w:rsidRPr="004E0D98" w:rsidTr="00CF3583">
        <w:trPr>
          <w:trHeight w:val="255"/>
        </w:trPr>
        <w:tc>
          <w:tcPr>
            <w:tcW w:w="976"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18 PCR</w:t>
            </w:r>
          </w:p>
        </w:tc>
        <w:tc>
          <w:tcPr>
            <w:tcW w:w="968"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0.0006</w:t>
            </w:r>
          </w:p>
        </w:tc>
        <w:tc>
          <w:tcPr>
            <w:tcW w:w="968"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0.0005</w:t>
            </w:r>
          </w:p>
        </w:tc>
        <w:tc>
          <w:tcPr>
            <w:tcW w:w="976"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rPr>
            </w:pPr>
          </w:p>
        </w:tc>
        <w:tc>
          <w:tcPr>
            <w:tcW w:w="4212"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rPr>
            </w:pPr>
            <w:r w:rsidRPr="0064324C">
              <w:rPr>
                <w:rFonts w:eastAsia="Times New Roman"/>
              </w:rPr>
              <w:t>0.7512</w:t>
            </w:r>
          </w:p>
        </w:tc>
      </w:tr>
    </w:tbl>
    <w:p w:rsidR="00432805" w:rsidRDefault="00432805" w:rsidP="00065E51">
      <w:pPr>
        <w:pStyle w:val="NoSpacing"/>
        <w:rPr>
          <w:rFonts w:eastAsia="Times New Roman"/>
        </w:rPr>
      </w:pPr>
    </w:p>
    <w:p w:rsidR="00432805" w:rsidRPr="004E0D98" w:rsidRDefault="00432805" w:rsidP="00065E51">
      <w:pPr>
        <w:pStyle w:val="NoSpacing"/>
        <w:rPr>
          <w:rFonts w:eastAsia="Times New Roman"/>
        </w:rPr>
      </w:pPr>
    </w:p>
    <w:p w:rsidR="00432805" w:rsidRPr="004E0D98" w:rsidRDefault="00432805" w:rsidP="00065E51">
      <w:pPr>
        <w:pStyle w:val="NoSpacing"/>
        <w:rPr>
          <w:rFonts w:eastAsia="Times New Roman"/>
          <w:color w:val="000000"/>
        </w:rPr>
      </w:pPr>
    </w:p>
    <w:tbl>
      <w:tblPr>
        <w:tblW w:w="8115" w:type="dxa"/>
        <w:tblInd w:w="93" w:type="dxa"/>
        <w:tblLook w:val="04A0" w:firstRow="1" w:lastRow="0" w:firstColumn="1" w:lastColumn="0" w:noHBand="0" w:noVBand="1"/>
      </w:tblPr>
      <w:tblGrid>
        <w:gridCol w:w="960"/>
        <w:gridCol w:w="960"/>
        <w:gridCol w:w="960"/>
        <w:gridCol w:w="960"/>
        <w:gridCol w:w="4275"/>
      </w:tblGrid>
      <w:tr w:rsidR="00432805" w:rsidRPr="004E0D98" w:rsidTr="00CF3583">
        <w:trPr>
          <w:trHeight w:val="255"/>
        </w:trPr>
        <w:tc>
          <w:tcPr>
            <w:tcW w:w="8115" w:type="dxa"/>
            <w:gridSpan w:val="5"/>
            <w:tcBorders>
              <w:top w:val="nil"/>
              <w:left w:val="nil"/>
              <w:right w:val="nil"/>
            </w:tcBorders>
            <w:shd w:val="clear" w:color="auto" w:fill="auto"/>
            <w:noWrap/>
            <w:vAlign w:val="center"/>
          </w:tcPr>
          <w:p w:rsidR="00432805" w:rsidRPr="0064324C" w:rsidRDefault="00994FBF" w:rsidP="00065E51">
            <w:pPr>
              <w:pStyle w:val="NoSpacing"/>
              <w:rPr>
                <w:rFonts w:eastAsia="Times New Roman"/>
                <w:color w:val="000000"/>
              </w:rPr>
            </w:pPr>
            <w:r>
              <w:rPr>
                <w:rFonts w:eastAsia="Times New Roman"/>
                <w:b/>
                <w:color w:val="000000"/>
              </w:rPr>
              <w:t>ESM:</w:t>
            </w:r>
            <w:r w:rsidR="00432805" w:rsidRPr="009711AF">
              <w:rPr>
                <w:rFonts w:eastAsia="Times New Roman"/>
                <w:b/>
                <w:color w:val="000000"/>
              </w:rPr>
              <w:t xml:space="preserve"> Table </w:t>
            </w:r>
            <w:r w:rsidR="00E75447">
              <w:rPr>
                <w:rFonts w:eastAsia="Times New Roman"/>
                <w:b/>
                <w:color w:val="000000"/>
              </w:rPr>
              <w:t>7</w:t>
            </w:r>
            <w:r w:rsidR="00E75447" w:rsidRPr="0064324C">
              <w:rPr>
                <w:rFonts w:eastAsia="Times New Roman"/>
                <w:color w:val="000000"/>
              </w:rPr>
              <w:t xml:space="preserve"> </w:t>
            </w:r>
            <w:proofErr w:type="spellStart"/>
            <w:r w:rsidR="00432805" w:rsidRPr="0064324C">
              <w:rPr>
                <w:rFonts w:eastAsia="Times New Roman"/>
                <w:color w:val="000000"/>
              </w:rPr>
              <w:t>Bonferroni</w:t>
            </w:r>
            <w:proofErr w:type="spellEnd"/>
            <w:r w:rsidR="00432805" w:rsidRPr="0064324C">
              <w:rPr>
                <w:rFonts w:eastAsia="Times New Roman"/>
                <w:color w:val="000000"/>
              </w:rPr>
              <w:t xml:space="preserve"> corrected 2-tail p-values Mann-Whitney tests </w:t>
            </w:r>
            <w:r w:rsidR="00432805" w:rsidRPr="0064324C">
              <w:rPr>
                <w:rFonts w:eastAsia="Times New Roman"/>
              </w:rPr>
              <w:t>performed on the reduced (“Celtic Sea”) data set</w:t>
            </w:r>
            <w:r w:rsidR="00432805" w:rsidRPr="0064324C">
              <w:rPr>
                <w:rFonts w:eastAsia="Times New Roman"/>
                <w:color w:val="000000"/>
              </w:rPr>
              <w:t xml:space="preserve"> for differences in the total number of reads per individual by PCR condition type. </w:t>
            </w:r>
          </w:p>
          <w:p w:rsidR="00432805" w:rsidRPr="0064324C" w:rsidRDefault="00432805" w:rsidP="00065E51">
            <w:pPr>
              <w:pStyle w:val="NoSpacing"/>
              <w:rPr>
                <w:rFonts w:eastAsia="Times New Roman"/>
                <w:color w:val="000000"/>
              </w:rPr>
            </w:pPr>
          </w:p>
        </w:tc>
      </w:tr>
      <w:tr w:rsidR="00432805" w:rsidRPr="004E0D98" w:rsidTr="00CF3583">
        <w:trPr>
          <w:trHeight w:val="255"/>
        </w:trPr>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single" w:sz="4" w:space="0" w:color="auto"/>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nil"/>
              <w:left w:val="nil"/>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4275" w:type="dxa"/>
            <w:tcBorders>
              <w:top w:val="nil"/>
              <w:left w:val="single" w:sz="4" w:space="0" w:color="auto"/>
              <w:bottom w:val="single" w:sz="4" w:space="0" w:color="auto"/>
              <w:right w:val="nil"/>
            </w:tcBorders>
            <w:vAlign w:val="center"/>
          </w:tcPr>
          <w:p w:rsidR="00432805" w:rsidRPr="0064324C" w:rsidRDefault="00432805" w:rsidP="00065E51">
            <w:pPr>
              <w:pStyle w:val="NoSpacing"/>
              <w:rPr>
                <w:rFonts w:eastAsia="Times New Roman"/>
                <w:color w:val="000000"/>
              </w:rPr>
            </w:pPr>
            <w:r w:rsidRPr="0064324C">
              <w:rPr>
                <w:rFonts w:eastAsia="Times New Roman"/>
                <w:color w:val="000000"/>
              </w:rPr>
              <w:t>Average total reads per individual</w:t>
            </w:r>
          </w:p>
        </w:tc>
      </w:tr>
      <w:tr w:rsidR="00432805" w:rsidRPr="004E0D98" w:rsidTr="00CF3583">
        <w:trPr>
          <w:trHeight w:val="255"/>
        </w:trPr>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single" w:sz="4" w:space="0" w:color="auto"/>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single" w:sz="4" w:space="0" w:color="auto"/>
              <w:left w:val="single" w:sz="4" w:space="0" w:color="auto"/>
              <w:bottom w:val="nil"/>
              <w:right w:val="nil"/>
            </w:tcBorders>
            <w:vAlign w:val="center"/>
          </w:tcPr>
          <w:p w:rsidR="00432805" w:rsidRPr="0064324C" w:rsidRDefault="00432805" w:rsidP="00065E51">
            <w:pPr>
              <w:pStyle w:val="NoSpacing"/>
            </w:pPr>
            <w:r w:rsidRPr="0064324C">
              <w:t>806</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0.0002</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3080</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0.0406</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0.0907</w:t>
            </w: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1751</w:t>
            </w:r>
          </w:p>
        </w:tc>
      </w:tr>
    </w:tbl>
    <w:p w:rsidR="00432805" w:rsidRDefault="00432805" w:rsidP="00065E51">
      <w:pPr>
        <w:pStyle w:val="NoSpacing"/>
        <w:rPr>
          <w:rFonts w:eastAsia="Times New Roman"/>
          <w:color w:val="000000"/>
        </w:rPr>
      </w:pPr>
    </w:p>
    <w:p w:rsidR="00432805" w:rsidRDefault="00432805" w:rsidP="00065E51">
      <w:pPr>
        <w:pStyle w:val="NoSpacing"/>
        <w:rPr>
          <w:rFonts w:eastAsia="Times New Roman"/>
          <w:color w:val="000000"/>
        </w:rPr>
      </w:pPr>
    </w:p>
    <w:p w:rsidR="00432805" w:rsidRPr="004E0D98" w:rsidRDefault="00432805" w:rsidP="00065E51">
      <w:pPr>
        <w:pStyle w:val="NoSpacing"/>
        <w:rPr>
          <w:rFonts w:eastAsia="Times New Roman"/>
          <w:color w:val="000000"/>
        </w:rPr>
      </w:pPr>
    </w:p>
    <w:tbl>
      <w:tblPr>
        <w:tblW w:w="8115" w:type="dxa"/>
        <w:tblInd w:w="93" w:type="dxa"/>
        <w:tblLook w:val="04A0" w:firstRow="1" w:lastRow="0" w:firstColumn="1" w:lastColumn="0" w:noHBand="0" w:noVBand="1"/>
      </w:tblPr>
      <w:tblGrid>
        <w:gridCol w:w="960"/>
        <w:gridCol w:w="960"/>
        <w:gridCol w:w="960"/>
        <w:gridCol w:w="960"/>
        <w:gridCol w:w="4275"/>
      </w:tblGrid>
      <w:tr w:rsidR="00432805" w:rsidRPr="004E0D98" w:rsidTr="00CF3583">
        <w:trPr>
          <w:trHeight w:val="255"/>
        </w:trPr>
        <w:tc>
          <w:tcPr>
            <w:tcW w:w="8115" w:type="dxa"/>
            <w:gridSpan w:val="5"/>
            <w:tcBorders>
              <w:top w:val="nil"/>
              <w:left w:val="nil"/>
              <w:right w:val="nil"/>
            </w:tcBorders>
            <w:shd w:val="clear" w:color="auto" w:fill="auto"/>
            <w:noWrap/>
            <w:vAlign w:val="center"/>
          </w:tcPr>
          <w:p w:rsidR="00432805" w:rsidRPr="0064324C" w:rsidRDefault="00994FBF" w:rsidP="00065E51">
            <w:pPr>
              <w:pStyle w:val="NoSpacing"/>
              <w:rPr>
                <w:rFonts w:eastAsia="Times New Roman"/>
                <w:color w:val="000000"/>
              </w:rPr>
            </w:pPr>
            <w:r>
              <w:rPr>
                <w:rFonts w:eastAsia="Times New Roman"/>
                <w:b/>
                <w:color w:val="000000"/>
              </w:rPr>
              <w:t>ESM:</w:t>
            </w:r>
            <w:r w:rsidR="00432805" w:rsidRPr="009711AF">
              <w:rPr>
                <w:rFonts w:eastAsia="Times New Roman"/>
                <w:b/>
                <w:color w:val="000000"/>
              </w:rPr>
              <w:t xml:space="preserve"> Table </w:t>
            </w:r>
            <w:r w:rsidR="00E75447">
              <w:rPr>
                <w:rFonts w:eastAsia="Times New Roman"/>
                <w:b/>
                <w:color w:val="000000"/>
              </w:rPr>
              <w:t>8</w:t>
            </w:r>
            <w:r w:rsidR="00E75447" w:rsidRPr="0064324C">
              <w:rPr>
                <w:rFonts w:eastAsia="Times New Roman"/>
                <w:color w:val="000000"/>
              </w:rPr>
              <w:t xml:space="preserve"> </w:t>
            </w:r>
            <w:proofErr w:type="spellStart"/>
            <w:r w:rsidR="00432805" w:rsidRPr="0064324C">
              <w:rPr>
                <w:rFonts w:eastAsia="Times New Roman"/>
                <w:color w:val="000000"/>
              </w:rPr>
              <w:t>Bonferroni</w:t>
            </w:r>
            <w:proofErr w:type="spellEnd"/>
            <w:r w:rsidR="00432805" w:rsidRPr="0064324C">
              <w:rPr>
                <w:rFonts w:eastAsia="Times New Roman"/>
                <w:color w:val="000000"/>
              </w:rPr>
              <w:t xml:space="preserve"> corrected 2-tail p-values Mann-Whitney tests </w:t>
            </w:r>
            <w:r w:rsidR="00432805" w:rsidRPr="0064324C">
              <w:rPr>
                <w:rFonts w:eastAsia="Times New Roman"/>
              </w:rPr>
              <w:t>performed on the reduced (“Celtic Sea”) data set</w:t>
            </w:r>
            <w:r w:rsidR="00432805" w:rsidRPr="0064324C">
              <w:rPr>
                <w:rFonts w:eastAsia="Times New Roman"/>
                <w:color w:val="000000"/>
              </w:rPr>
              <w:t xml:space="preserve"> for differences in the median number of reads per individual by PCR condition type. </w:t>
            </w:r>
          </w:p>
          <w:p w:rsidR="00432805" w:rsidRPr="0064324C" w:rsidRDefault="00432805" w:rsidP="00065E51">
            <w:pPr>
              <w:pStyle w:val="NoSpacing"/>
              <w:rPr>
                <w:rFonts w:eastAsia="Times New Roman"/>
                <w:color w:val="000000"/>
              </w:rPr>
            </w:pPr>
          </w:p>
        </w:tc>
      </w:tr>
      <w:tr w:rsidR="00432805" w:rsidRPr="004E0D98" w:rsidTr="00CF3583">
        <w:trPr>
          <w:trHeight w:val="255"/>
        </w:trPr>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single" w:sz="4" w:space="0" w:color="auto"/>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nil"/>
              <w:left w:val="nil"/>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4275" w:type="dxa"/>
            <w:tcBorders>
              <w:top w:val="nil"/>
              <w:left w:val="single" w:sz="4" w:space="0" w:color="auto"/>
              <w:bottom w:val="single" w:sz="4" w:space="0" w:color="auto"/>
              <w:right w:val="nil"/>
            </w:tcBorders>
            <w:vAlign w:val="center"/>
          </w:tcPr>
          <w:p w:rsidR="00432805" w:rsidRPr="0064324C" w:rsidRDefault="00432805" w:rsidP="00065E51">
            <w:pPr>
              <w:pStyle w:val="NoSpacing"/>
              <w:rPr>
                <w:rFonts w:eastAsia="Times New Roman"/>
                <w:color w:val="000000"/>
              </w:rPr>
            </w:pPr>
            <w:r w:rsidRPr="0064324C">
              <w:rPr>
                <w:rFonts w:eastAsia="Times New Roman"/>
                <w:color w:val="000000"/>
              </w:rPr>
              <w:t>Average median reads per individual</w:t>
            </w:r>
          </w:p>
        </w:tc>
      </w:tr>
      <w:tr w:rsidR="00432805" w:rsidRPr="004E0D98" w:rsidTr="00CF3583">
        <w:trPr>
          <w:trHeight w:val="255"/>
        </w:trPr>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single" w:sz="4" w:space="0" w:color="auto"/>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single" w:sz="4" w:space="0" w:color="auto"/>
              <w:left w:val="single" w:sz="4" w:space="0" w:color="auto"/>
              <w:bottom w:val="nil"/>
              <w:right w:val="nil"/>
            </w:tcBorders>
            <w:vAlign w:val="center"/>
          </w:tcPr>
          <w:p w:rsidR="00432805" w:rsidRPr="0064324C" w:rsidRDefault="00432805" w:rsidP="00065E51">
            <w:pPr>
              <w:pStyle w:val="NoSpacing"/>
            </w:pPr>
            <w:r w:rsidRPr="0064324C">
              <w:t>11</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1.0000</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20</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0.5590</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1.0000</w:t>
            </w: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19</w:t>
            </w:r>
          </w:p>
        </w:tc>
      </w:tr>
    </w:tbl>
    <w:p w:rsidR="00432805" w:rsidRDefault="00432805" w:rsidP="00065E51">
      <w:pPr>
        <w:pStyle w:val="NoSpacing"/>
      </w:pPr>
    </w:p>
    <w:p w:rsidR="00432805" w:rsidRDefault="00432805" w:rsidP="00065E51">
      <w:pPr>
        <w:pStyle w:val="NoSpacing"/>
      </w:pPr>
    </w:p>
    <w:p w:rsidR="00432805" w:rsidRPr="004E0D98" w:rsidRDefault="00432805" w:rsidP="00065E51">
      <w:pPr>
        <w:pStyle w:val="NoSpacing"/>
      </w:pPr>
    </w:p>
    <w:tbl>
      <w:tblPr>
        <w:tblW w:w="8115" w:type="dxa"/>
        <w:tblInd w:w="93" w:type="dxa"/>
        <w:tblLook w:val="04A0" w:firstRow="1" w:lastRow="0" w:firstColumn="1" w:lastColumn="0" w:noHBand="0" w:noVBand="1"/>
      </w:tblPr>
      <w:tblGrid>
        <w:gridCol w:w="960"/>
        <w:gridCol w:w="960"/>
        <w:gridCol w:w="960"/>
        <w:gridCol w:w="960"/>
        <w:gridCol w:w="4275"/>
      </w:tblGrid>
      <w:tr w:rsidR="00432805" w:rsidRPr="004E0D98" w:rsidTr="00CF3583">
        <w:trPr>
          <w:trHeight w:val="255"/>
        </w:trPr>
        <w:tc>
          <w:tcPr>
            <w:tcW w:w="8115" w:type="dxa"/>
            <w:gridSpan w:val="5"/>
            <w:tcBorders>
              <w:top w:val="nil"/>
              <w:left w:val="nil"/>
              <w:right w:val="nil"/>
            </w:tcBorders>
            <w:shd w:val="clear" w:color="auto" w:fill="auto"/>
            <w:noWrap/>
            <w:vAlign w:val="center"/>
          </w:tcPr>
          <w:p w:rsidR="00432805" w:rsidRPr="0064324C" w:rsidRDefault="00994FBF" w:rsidP="00065E51">
            <w:pPr>
              <w:pStyle w:val="NoSpacing"/>
              <w:rPr>
                <w:rFonts w:eastAsia="Times New Roman"/>
                <w:color w:val="000000"/>
              </w:rPr>
            </w:pPr>
            <w:r>
              <w:rPr>
                <w:rFonts w:eastAsia="Times New Roman"/>
                <w:b/>
                <w:color w:val="000000"/>
              </w:rPr>
              <w:t>ESM:</w:t>
            </w:r>
            <w:r w:rsidR="00432805" w:rsidRPr="009711AF">
              <w:rPr>
                <w:rFonts w:eastAsia="Times New Roman"/>
                <w:b/>
                <w:color w:val="000000"/>
              </w:rPr>
              <w:t xml:space="preserve"> Table </w:t>
            </w:r>
            <w:r w:rsidR="00E75447">
              <w:rPr>
                <w:rFonts w:eastAsia="Times New Roman"/>
                <w:b/>
                <w:color w:val="000000"/>
              </w:rPr>
              <w:t>9</w:t>
            </w:r>
            <w:r w:rsidR="00E75447" w:rsidRPr="0064324C">
              <w:rPr>
                <w:rFonts w:eastAsia="Times New Roman"/>
                <w:color w:val="000000"/>
              </w:rPr>
              <w:t xml:space="preserve"> </w:t>
            </w:r>
            <w:proofErr w:type="spellStart"/>
            <w:r w:rsidR="00432805" w:rsidRPr="0064324C">
              <w:rPr>
                <w:rFonts w:eastAsia="Times New Roman"/>
                <w:color w:val="000000"/>
              </w:rPr>
              <w:t>Bonferroni</w:t>
            </w:r>
            <w:proofErr w:type="spellEnd"/>
            <w:r w:rsidR="00432805" w:rsidRPr="0064324C">
              <w:rPr>
                <w:rFonts w:eastAsia="Times New Roman"/>
                <w:color w:val="000000"/>
              </w:rPr>
              <w:t xml:space="preserve"> corrected 2-tail p-values Mann-Whitney tests </w:t>
            </w:r>
            <w:r w:rsidR="00432805" w:rsidRPr="0064324C">
              <w:rPr>
                <w:rFonts w:eastAsia="Times New Roman"/>
              </w:rPr>
              <w:t>performed on the reduced (“Celtic Sea”) data set</w:t>
            </w:r>
            <w:r w:rsidR="00432805" w:rsidRPr="0064324C">
              <w:rPr>
                <w:rFonts w:eastAsia="Times New Roman"/>
                <w:color w:val="000000"/>
              </w:rPr>
              <w:t xml:space="preserve"> for differences in the maximum number of reads per individual by PCR condition type. </w:t>
            </w:r>
          </w:p>
          <w:p w:rsidR="00432805" w:rsidRPr="0064324C" w:rsidRDefault="00432805" w:rsidP="00065E51">
            <w:pPr>
              <w:pStyle w:val="NoSpacing"/>
              <w:rPr>
                <w:rFonts w:eastAsia="Times New Roman"/>
                <w:color w:val="000000"/>
              </w:rPr>
            </w:pPr>
          </w:p>
        </w:tc>
      </w:tr>
      <w:tr w:rsidR="00432805" w:rsidRPr="004E0D98" w:rsidTr="00CF3583">
        <w:trPr>
          <w:trHeight w:val="255"/>
        </w:trPr>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single" w:sz="4" w:space="0" w:color="auto"/>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nil"/>
              <w:left w:val="nil"/>
              <w:bottom w:val="single" w:sz="4" w:space="0" w:color="auto"/>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nil"/>
              <w:bottom w:val="single" w:sz="4" w:space="0" w:color="auto"/>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4275" w:type="dxa"/>
            <w:tcBorders>
              <w:top w:val="nil"/>
              <w:left w:val="single" w:sz="4" w:space="0" w:color="auto"/>
              <w:bottom w:val="single" w:sz="4" w:space="0" w:color="auto"/>
              <w:right w:val="nil"/>
            </w:tcBorders>
            <w:vAlign w:val="center"/>
          </w:tcPr>
          <w:p w:rsidR="00432805" w:rsidRPr="0064324C" w:rsidRDefault="00432805" w:rsidP="00065E51">
            <w:pPr>
              <w:pStyle w:val="NoSpacing"/>
              <w:rPr>
                <w:rFonts w:eastAsia="Times New Roman"/>
                <w:color w:val="000000"/>
              </w:rPr>
            </w:pPr>
            <w:r w:rsidRPr="0064324C">
              <w:rPr>
                <w:rFonts w:eastAsia="Times New Roman"/>
                <w:color w:val="000000"/>
              </w:rPr>
              <w:t>Average maximum reads per individual</w:t>
            </w:r>
          </w:p>
        </w:tc>
      </w:tr>
      <w:tr w:rsidR="00432805" w:rsidRPr="004E0D98" w:rsidTr="00CF3583">
        <w:trPr>
          <w:trHeight w:val="255"/>
        </w:trPr>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18 PCR</w:t>
            </w:r>
          </w:p>
        </w:tc>
        <w:tc>
          <w:tcPr>
            <w:tcW w:w="960" w:type="dxa"/>
            <w:tcBorders>
              <w:top w:val="single" w:sz="4" w:space="0" w:color="auto"/>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single" w:sz="4" w:space="0" w:color="auto"/>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single" w:sz="4" w:space="0" w:color="auto"/>
              <w:left w:val="single" w:sz="4" w:space="0" w:color="auto"/>
              <w:bottom w:val="nil"/>
              <w:right w:val="nil"/>
            </w:tcBorders>
            <w:vAlign w:val="center"/>
          </w:tcPr>
          <w:p w:rsidR="00432805" w:rsidRPr="0064324C" w:rsidRDefault="00432805" w:rsidP="00065E51">
            <w:pPr>
              <w:pStyle w:val="NoSpacing"/>
            </w:pPr>
            <w:r w:rsidRPr="0064324C">
              <w:t>50</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6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0.0168</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402</w:t>
            </w:r>
          </w:p>
        </w:tc>
      </w:tr>
      <w:tr w:rsidR="00432805" w:rsidRPr="004E0D98" w:rsidTr="00CF3583">
        <w:trPr>
          <w:trHeight w:val="255"/>
        </w:trPr>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3 PCR</w:t>
            </w:r>
          </w:p>
        </w:tc>
        <w:tc>
          <w:tcPr>
            <w:tcW w:w="960" w:type="dxa"/>
            <w:tcBorders>
              <w:top w:val="nil"/>
              <w:left w:val="single" w:sz="4" w:space="0" w:color="auto"/>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0.2390</w:t>
            </w:r>
          </w:p>
        </w:tc>
        <w:tc>
          <w:tcPr>
            <w:tcW w:w="960" w:type="dxa"/>
            <w:tcBorders>
              <w:top w:val="nil"/>
              <w:left w:val="nil"/>
              <w:bottom w:val="nil"/>
              <w:right w:val="nil"/>
            </w:tcBorders>
            <w:shd w:val="clear" w:color="auto" w:fill="auto"/>
            <w:noWrap/>
            <w:vAlign w:val="center"/>
            <w:hideMark/>
          </w:tcPr>
          <w:p w:rsidR="00432805" w:rsidRPr="0064324C" w:rsidRDefault="00432805" w:rsidP="00065E51">
            <w:pPr>
              <w:pStyle w:val="NoSpacing"/>
              <w:rPr>
                <w:rFonts w:eastAsia="Times New Roman"/>
                <w:color w:val="000000"/>
              </w:rPr>
            </w:pPr>
            <w:r w:rsidRPr="0064324C">
              <w:rPr>
                <w:rFonts w:eastAsia="Times New Roman"/>
                <w:color w:val="000000"/>
              </w:rPr>
              <w:t>0.6619</w:t>
            </w:r>
          </w:p>
        </w:tc>
        <w:tc>
          <w:tcPr>
            <w:tcW w:w="960" w:type="dxa"/>
            <w:tcBorders>
              <w:top w:val="nil"/>
              <w:left w:val="nil"/>
              <w:bottom w:val="nil"/>
              <w:right w:val="single" w:sz="4" w:space="0" w:color="auto"/>
            </w:tcBorders>
            <w:shd w:val="clear" w:color="auto" w:fill="auto"/>
            <w:noWrap/>
            <w:vAlign w:val="center"/>
            <w:hideMark/>
          </w:tcPr>
          <w:p w:rsidR="00432805" w:rsidRPr="0064324C" w:rsidRDefault="00432805" w:rsidP="00065E51">
            <w:pPr>
              <w:pStyle w:val="NoSpacing"/>
              <w:rPr>
                <w:rFonts w:eastAsia="Times New Roman"/>
                <w:color w:val="000000"/>
              </w:rPr>
            </w:pPr>
          </w:p>
        </w:tc>
        <w:tc>
          <w:tcPr>
            <w:tcW w:w="4275" w:type="dxa"/>
            <w:tcBorders>
              <w:top w:val="nil"/>
              <w:left w:val="single" w:sz="4" w:space="0" w:color="auto"/>
              <w:bottom w:val="nil"/>
              <w:right w:val="nil"/>
            </w:tcBorders>
            <w:vAlign w:val="center"/>
          </w:tcPr>
          <w:p w:rsidR="00432805" w:rsidRPr="0064324C" w:rsidRDefault="00432805" w:rsidP="00065E51">
            <w:pPr>
              <w:pStyle w:val="NoSpacing"/>
            </w:pPr>
            <w:r w:rsidRPr="0064324C">
              <w:t>165</w:t>
            </w:r>
          </w:p>
        </w:tc>
      </w:tr>
    </w:tbl>
    <w:p w:rsidR="00432805" w:rsidRPr="004E0D98" w:rsidRDefault="00432805" w:rsidP="00065E51">
      <w:pPr>
        <w:pStyle w:val="NoSpacing"/>
      </w:pPr>
    </w:p>
    <w:p w:rsidR="001C7A0A" w:rsidRDefault="001C7A0A">
      <w:r>
        <w:br w:type="page"/>
      </w:r>
    </w:p>
    <w:p w:rsidR="001C7A0A" w:rsidRPr="002573CE" w:rsidRDefault="0009412B" w:rsidP="001C7A0A">
      <w:pPr>
        <w:pStyle w:val="NoSpacing"/>
        <w:spacing w:line="480" w:lineRule="auto"/>
        <w:rPr>
          <w:b/>
        </w:rPr>
      </w:pPr>
      <w:r w:rsidRPr="002573CE">
        <w:rPr>
          <w:b/>
        </w:rPr>
        <w:lastRenderedPageBreak/>
        <w:t xml:space="preserve">ESM: </w:t>
      </w:r>
      <w:r w:rsidR="001C7A0A" w:rsidRPr="002573CE">
        <w:rPr>
          <w:b/>
        </w:rPr>
        <w:t>Equations</w:t>
      </w:r>
      <w:bookmarkStart w:id="0" w:name="_GoBack"/>
      <w:bookmarkEnd w:id="0"/>
    </w:p>
    <w:p w:rsidR="001C7A0A" w:rsidRDefault="001C7A0A" w:rsidP="001C7A0A">
      <w:pPr>
        <w:pStyle w:val="NoSpacing"/>
        <w:spacing w:line="480" w:lineRule="auto"/>
      </w:pPr>
    </w:p>
    <w:p w:rsidR="001C7A0A" w:rsidRDefault="00523BB8" w:rsidP="001C7A0A">
      <w:pPr>
        <w:pStyle w:val="NoSpacing"/>
        <w:spacing w:line="480" w:lineRule="auto"/>
      </w:pPr>
      <w:r>
        <w:t xml:space="preserve">We modelled the likelihood fit of the proportional correspondence between 454 GBS and ABI genotyping using a binomial model. </w:t>
      </w:r>
      <w:r w:rsidR="001C7A0A">
        <w:t>The sufficient statistic for the log-likelihood of a binomial is given by:</w:t>
      </w:r>
    </w:p>
    <w:p w:rsidR="001C7A0A" w:rsidRDefault="001C7A0A" w:rsidP="001C7A0A">
      <w:pPr>
        <w:pStyle w:val="NoSpacing"/>
        <w:spacing w:line="480" w:lineRule="auto"/>
      </w:pPr>
    </w:p>
    <w:p w:rsidR="001C7A0A" w:rsidRDefault="001C7A0A" w:rsidP="001C7A0A">
      <w:pPr>
        <w:pStyle w:val="NoSpacing"/>
        <w:spacing w:line="480" w:lineRule="auto"/>
      </w:pPr>
      <w:proofErr w:type="spellStart"/>
      <w:proofErr w:type="gramStart"/>
      <w:r>
        <w:t>Eq</w:t>
      </w:r>
      <w:proofErr w:type="spellEnd"/>
      <w:r>
        <w:t xml:space="preserve"> 1.</w:t>
      </w:r>
      <w:proofErr w:type="gramEnd"/>
      <w:r>
        <w:t xml:space="preserve"> </w:t>
      </w:r>
      <m:oMath>
        <m:r>
          <w:rPr>
            <w:rFonts w:ascii="Cambria Math" w:hAnsi="Cambria Math"/>
          </w:rPr>
          <m:t>LogL∝a</m:t>
        </m:r>
        <m:r>
          <m:rPr>
            <m:nor/>
          </m:rPr>
          <m:t>*</m:t>
        </m:r>
        <m:r>
          <w:rPr>
            <w:rFonts w:ascii="Cambria Math" w:hAnsi="Cambria Math"/>
          </w:rPr>
          <m:t>Ln[p]+(n-a)</m:t>
        </m:r>
        <m:r>
          <m:rPr>
            <m:nor/>
          </m:rPr>
          <m:t>*</m:t>
        </m:r>
        <m:r>
          <w:rPr>
            <w:rFonts w:ascii="Cambria Math" w:hAnsi="Cambria Math"/>
          </w:rPr>
          <m:t>Ln[1-p]</m:t>
        </m:r>
      </m:oMath>
      <w:r>
        <w:t>(Edwards 1992),</w:t>
      </w:r>
    </w:p>
    <w:p w:rsidR="001C7A0A" w:rsidRDefault="001C7A0A" w:rsidP="001C7A0A">
      <w:pPr>
        <w:pStyle w:val="NoSpacing"/>
        <w:spacing w:line="480" w:lineRule="auto"/>
      </w:pPr>
    </w:p>
    <w:p w:rsidR="001C7A0A" w:rsidRDefault="001C7A0A" w:rsidP="001C7A0A">
      <w:pPr>
        <w:pStyle w:val="NoSpacing"/>
        <w:spacing w:line="480" w:lineRule="auto"/>
      </w:pPr>
      <w:proofErr w:type="gramStart"/>
      <w:r>
        <w:t>where</w:t>
      </w:r>
      <w:proofErr w:type="gramEnd"/>
      <w:r>
        <w:t xml:space="preserve"> </w:t>
      </w:r>
      <w:r>
        <w:rPr>
          <w:b/>
          <w:i/>
        </w:rPr>
        <w:t>p</w:t>
      </w:r>
      <w:r>
        <w:t xml:space="preserve"> is the binomial rate parameter or </w:t>
      </w:r>
      <w:r w:rsidR="00523BB8">
        <w:t>proport</w:t>
      </w:r>
      <w:r w:rsidR="00994FBF">
        <w:t>i</w:t>
      </w:r>
      <w:r w:rsidR="00523BB8">
        <w:t>o</w:t>
      </w:r>
      <w:r w:rsidR="00994FBF">
        <w:t>n</w:t>
      </w:r>
      <w:r w:rsidR="00523BB8">
        <w:t>al correspondenc</w:t>
      </w:r>
      <w:r w:rsidR="00994FBF">
        <w:t>e</w:t>
      </w:r>
      <w:r>
        <w:t xml:space="preserve">, </w:t>
      </w:r>
      <w:r>
        <w:rPr>
          <w:b/>
          <w:i/>
        </w:rPr>
        <w:t>a</w:t>
      </w:r>
      <w:r>
        <w:t xml:space="preserve"> is the number of correct correspondences between 454 GBS and ABI capillary-based genotyping data, and </w:t>
      </w:r>
      <w:r>
        <w:rPr>
          <w:b/>
          <w:i/>
        </w:rPr>
        <w:t>n</w:t>
      </w:r>
      <w:r>
        <w:t xml:space="preserve"> is the total number of potential correspondences</w:t>
      </w:r>
      <w:r w:rsidR="00523BB8">
        <w:t xml:space="preserve">. In the present study, </w:t>
      </w:r>
      <w:r>
        <w:rPr>
          <w:b/>
          <w:i/>
        </w:rPr>
        <w:t>n</w:t>
      </w:r>
      <w:r>
        <w:t xml:space="preserve"> = 3196.</w:t>
      </w:r>
    </w:p>
    <w:p w:rsidR="004839D9" w:rsidRDefault="004839D9" w:rsidP="004839D9">
      <w:pPr>
        <w:pStyle w:val="NoSpacing"/>
        <w:spacing w:line="480" w:lineRule="auto"/>
      </w:pPr>
    </w:p>
    <w:p w:rsidR="004839D9" w:rsidRDefault="004839D9" w:rsidP="004839D9">
      <w:pPr>
        <w:pStyle w:val="NoSpacing"/>
        <w:spacing w:line="480" w:lineRule="auto"/>
      </w:pPr>
      <w:r>
        <w:t xml:space="preserve">For a restricted subset of the data, 16 individuals from the Celtic Sea (“Celtic Sea” data set), for which overlapping data existed across all PCR size-class-combinations, we modelled total reads as a function of PCR size-class-combination, locus-specific primer, and universal primer type, in addition to potential intrinsic confounding intrinsic variables, such as inter-locus or inter-individual variability. We employed a multinomial probability likelihood model: </w:t>
      </w:r>
    </w:p>
    <w:p w:rsidR="004839D9" w:rsidRDefault="004839D9" w:rsidP="004839D9">
      <w:pPr>
        <w:pStyle w:val="NoSpacing"/>
        <w:spacing w:line="480" w:lineRule="auto"/>
      </w:pPr>
    </w:p>
    <w:p w:rsidR="004839D9" w:rsidRDefault="004839D9" w:rsidP="004839D9">
      <w:pPr>
        <w:pStyle w:val="NoSpacing"/>
        <w:spacing w:line="480" w:lineRule="auto"/>
      </w:pPr>
      <w:r>
        <w:t xml:space="preserve">Eq. </w:t>
      </w:r>
      <w:r w:rsidR="00E32A36">
        <w:t>2</w:t>
      </w:r>
      <w:r>
        <w:t xml:space="preserve">: </w:t>
      </w:r>
      <m:oMath>
        <m:r>
          <w:rPr>
            <w:rFonts w:ascii="Cambria Math" w:hAnsi="Cambria Math"/>
          </w:rPr>
          <m:t>LogL∝</m:t>
        </m:r>
        <m:nary>
          <m:naryPr>
            <m:chr m:val="∑"/>
            <m:limLoc m:val="undOvr"/>
            <m:ctrlPr>
              <w:rPr>
                <w:rFonts w:ascii="Cambria Math" w:hAnsi="Cambria Math"/>
              </w:rPr>
            </m:ctrlPr>
          </m:naryPr>
          <m:sub>
            <m:r>
              <w:rPr>
                <w:rFonts w:ascii="Cambria Math" w:hAnsi="Cambria Math"/>
              </w:rPr>
              <m:t>1</m:t>
            </m:r>
          </m:sub>
          <m:sup>
            <m:r>
              <w:rPr>
                <w:rFonts w:ascii="Cambria Math" w:hAnsi="Cambria Math"/>
              </w:rPr>
              <m:t>R</m:t>
            </m:r>
          </m:sup>
          <m:e>
            <m:sSub>
              <m:sSubPr>
                <m:ctrlPr>
                  <w:rPr>
                    <w:rFonts w:ascii="Cambria Math" w:hAnsi="Cambria Math"/>
                  </w:rPr>
                </m:ctrlPr>
              </m:sSubPr>
              <m:e>
                <m:r>
                  <w:rPr>
                    <w:rFonts w:ascii="Cambria Math" w:hAnsi="Cambria Math"/>
                  </w:rPr>
                  <m:t>a</m:t>
                </m:r>
              </m:e>
              <m:sub>
                <m:r>
                  <w:rPr>
                    <w:rFonts w:ascii="Cambria Math" w:hAnsi="Cambria Math"/>
                  </w:rPr>
                  <m:t>R</m:t>
                </m:r>
              </m:sub>
            </m:sSub>
            <m:r>
              <m:rPr>
                <m:nor/>
              </m:rPr>
              <m:t>*</m:t>
            </m:r>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R</m:t>
                    </m:r>
                  </m:sub>
                </m:sSub>
              </m:e>
            </m:d>
          </m:e>
        </m:nary>
      </m:oMath>
      <w:r>
        <w:t xml:space="preserve"> (Edwards 1992).</w:t>
      </w:r>
    </w:p>
    <w:p w:rsidR="004839D9" w:rsidRDefault="004839D9" w:rsidP="004839D9">
      <w:pPr>
        <w:pStyle w:val="NoSpacing"/>
        <w:spacing w:line="480" w:lineRule="auto"/>
      </w:pPr>
    </w:p>
    <w:p w:rsidR="004839D9" w:rsidRDefault="004839D9" w:rsidP="004839D9">
      <w:pPr>
        <w:pStyle w:val="NoSpacing"/>
        <w:spacing w:line="480" w:lineRule="auto"/>
      </w:pPr>
      <w:r>
        <w:t xml:space="preserve">In equation </w:t>
      </w:r>
      <w:r w:rsidR="00E32A36">
        <w:t>2</w:t>
      </w:r>
      <w:r>
        <w:t xml:space="preserve">, </w:t>
      </w:r>
      <w:r>
        <w:rPr>
          <w:b/>
          <w:i/>
        </w:rPr>
        <w:t>R</w:t>
      </w:r>
      <w:r>
        <w:t xml:space="preserve"> is the number of rate classes in the proposed model structure, </w:t>
      </w:r>
      <w:proofErr w:type="gramStart"/>
      <w:r>
        <w:rPr>
          <w:b/>
          <w:i/>
        </w:rPr>
        <w:t>a</w:t>
      </w:r>
      <w:r>
        <w:t xml:space="preserve"> is</w:t>
      </w:r>
      <w:proofErr w:type="gramEnd"/>
      <w:r>
        <w:t xml:space="preserve"> the observed number of reads in that class, and </w:t>
      </w:r>
      <w:r>
        <w:rPr>
          <w:b/>
          <w:i/>
        </w:rPr>
        <w:t>p</w:t>
      </w:r>
      <w:r>
        <w:t xml:space="preserve"> = a/n, where n is total reads in the Celtic Sea data (n = 90194), that is, the observed proportion of reads in that class. Read data were modelled to compare the effectiveness of the different variables, as well as potential interactive effects between the variables, on total read count. As with the correspondence data, we evaluated model fit using </w:t>
      </w:r>
      <w:proofErr w:type="spellStart"/>
      <w:r>
        <w:rPr>
          <w:b/>
          <w:i/>
        </w:rPr>
        <w:t>AICc</w:t>
      </w:r>
      <w:proofErr w:type="spellEnd"/>
      <w:r>
        <w:t>.</w:t>
      </w:r>
    </w:p>
    <w:p w:rsidR="001C7A0A" w:rsidRDefault="001C7A0A" w:rsidP="001C7A0A">
      <w:pPr>
        <w:pStyle w:val="NoSpacing"/>
        <w:spacing w:line="480" w:lineRule="auto"/>
      </w:pPr>
    </w:p>
    <w:p w:rsidR="00523BB8" w:rsidRDefault="004839D9" w:rsidP="00523BB8">
      <w:pPr>
        <w:pStyle w:val="NoSpacing"/>
        <w:spacing w:line="480" w:lineRule="auto"/>
      </w:pPr>
      <w:r>
        <w:lastRenderedPageBreak/>
        <w:t>In all cases, t</w:t>
      </w:r>
      <w:r w:rsidR="001C7A0A">
        <w:t xml:space="preserve">he simplest model </w:t>
      </w:r>
      <w:r>
        <w:t>w</w:t>
      </w:r>
      <w:r w:rsidR="00242F72">
        <w:t>o</w:t>
      </w:r>
      <w:r>
        <w:t>uld be</w:t>
      </w:r>
      <w:r w:rsidR="001C7A0A">
        <w:t xml:space="preserve"> a “no effects” model, with a single binomial rate characterizing all of the data. More complex models</w:t>
      </w:r>
      <w:r w:rsidR="00523BB8">
        <w:t xml:space="preserve"> would</w:t>
      </w:r>
      <w:r w:rsidR="001C7A0A">
        <w:t xml:space="preserve"> then propose different values of </w:t>
      </w:r>
      <w:r w:rsidR="001C7A0A">
        <w:rPr>
          <w:b/>
          <w:i/>
        </w:rPr>
        <w:t>p</w:t>
      </w:r>
      <w:r w:rsidR="001C7A0A">
        <w:t xml:space="preserve"> based on different variable factors, for example a model </w:t>
      </w:r>
      <w:r w:rsidR="00523BB8">
        <w:t>could potentially estimate a separate value of</w:t>
      </w:r>
      <w:r w:rsidR="00523BB8">
        <w:rPr>
          <w:b/>
          <w:i/>
        </w:rPr>
        <w:t xml:space="preserve"> </w:t>
      </w:r>
      <w:r w:rsidR="001C7A0A">
        <w:rPr>
          <w:b/>
          <w:i/>
        </w:rPr>
        <w:t>p</w:t>
      </w:r>
      <w:r w:rsidR="00523BB8">
        <w:rPr>
          <w:b/>
          <w:i/>
        </w:rPr>
        <w:t xml:space="preserve"> </w:t>
      </w:r>
      <w:r w:rsidR="001C7A0A">
        <w:t xml:space="preserve">for </w:t>
      </w:r>
      <w:r w:rsidR="00523BB8">
        <w:t xml:space="preserve">each of </w:t>
      </w:r>
      <w:r w:rsidR="001C7A0A">
        <w:t>the three PCR size-classes.</w:t>
      </w:r>
      <w:r w:rsidR="00523BB8">
        <w:t xml:space="preserve"> More complex models will tend to have better fit to the data, as they can be “tuned” to explain specific variations in the proportional correspondence. However, they do this at the expense of increase parameter estimation, which can lead to large variance in parameter estimates (Burnham and Anderson 2002, 2004). To select among models we employed the </w:t>
      </w:r>
      <w:r w:rsidR="00523BB8" w:rsidRPr="00523BB8">
        <w:t xml:space="preserve">finite-sample </w:t>
      </w:r>
      <w:proofErr w:type="spellStart"/>
      <w:r w:rsidR="00523BB8" w:rsidRPr="00523BB8">
        <w:t>Akaike</w:t>
      </w:r>
      <w:proofErr w:type="spellEnd"/>
      <w:r w:rsidR="00523BB8" w:rsidRPr="00523BB8">
        <w:t xml:space="preserve"> Information Criterion (</w:t>
      </w:r>
      <w:proofErr w:type="spellStart"/>
      <w:r w:rsidR="00523BB8" w:rsidRPr="00523BB8">
        <w:t>AICc</w:t>
      </w:r>
      <w:proofErr w:type="spellEnd"/>
      <w:r w:rsidR="00523BB8" w:rsidRPr="00523BB8">
        <w:t>) (</w:t>
      </w:r>
      <w:proofErr w:type="spellStart"/>
      <w:r w:rsidR="00523BB8" w:rsidRPr="00523BB8">
        <w:t>Akaike</w:t>
      </w:r>
      <w:proofErr w:type="spellEnd"/>
      <w:r w:rsidR="00523BB8" w:rsidRPr="00523BB8">
        <w:t xml:space="preserve"> 1973</w:t>
      </w:r>
      <w:r w:rsidR="00523BB8">
        <w:t>, 1974</w:t>
      </w:r>
      <w:r w:rsidR="00523BB8" w:rsidRPr="00523BB8">
        <w:t xml:space="preserve">; </w:t>
      </w:r>
      <w:proofErr w:type="spellStart"/>
      <w:r w:rsidR="00523BB8" w:rsidRPr="00523BB8">
        <w:t>Hurvich</w:t>
      </w:r>
      <w:proofErr w:type="spellEnd"/>
      <w:r w:rsidR="00523BB8" w:rsidRPr="00523BB8">
        <w:t xml:space="preserve"> and Tsai 1989)</w:t>
      </w:r>
      <w:r w:rsidR="00523BB8">
        <w:t>, which measures model fit to the observed data, pe</w:t>
      </w:r>
      <w:r w:rsidR="00242F72">
        <w:t>n</w:t>
      </w:r>
      <w:r w:rsidR="00523BB8">
        <w:t>alized for increased model; complexity.</w:t>
      </w:r>
    </w:p>
    <w:p w:rsidR="00523BB8" w:rsidRDefault="00523BB8" w:rsidP="001C7A0A">
      <w:pPr>
        <w:pStyle w:val="NoSpacing"/>
        <w:spacing w:line="480" w:lineRule="auto"/>
      </w:pPr>
    </w:p>
    <w:p w:rsidR="001C7A0A" w:rsidRDefault="001C7A0A" w:rsidP="001C7A0A">
      <w:pPr>
        <w:pStyle w:val="NoSpacing"/>
        <w:spacing w:line="480" w:lineRule="auto"/>
      </w:pPr>
      <w:r w:rsidRPr="002317A1">
        <w:t xml:space="preserve"> </w:t>
      </w:r>
      <w:r>
        <w:t xml:space="preserve">Eq. </w:t>
      </w:r>
      <w:r w:rsidR="00E32A36">
        <w:t>3</w:t>
      </w:r>
      <w:r>
        <w:t xml:space="preserve">:  </w:t>
      </w:r>
      <m:oMath>
        <m:r>
          <w:rPr>
            <w:rFonts w:ascii="Cambria Math" w:hAnsi="Cambria Math"/>
          </w:rPr>
          <m:t>AICc=-2LogL+2K+</m:t>
        </m:r>
        <m:f>
          <m:fPr>
            <m:ctrlPr>
              <w:rPr>
                <w:rFonts w:ascii="Cambria Math" w:hAnsi="Cambria Math"/>
              </w:rPr>
            </m:ctrlPr>
          </m:fPr>
          <m:num>
            <m:r>
              <w:rPr>
                <w:rFonts w:ascii="Cambria Math" w:hAnsi="Cambria Math"/>
              </w:rPr>
              <m:t>2K(K+1)</m:t>
            </m:r>
          </m:num>
          <m:den>
            <m:r>
              <w:rPr>
                <w:rFonts w:ascii="Cambria Math" w:hAnsi="Cambria Math"/>
              </w:rPr>
              <m:t>n-K-1</m:t>
            </m:r>
          </m:den>
        </m:f>
      </m:oMath>
      <w:r>
        <w:t xml:space="preserve"> (Burnham and Anderson 2002).</w:t>
      </w:r>
    </w:p>
    <w:p w:rsidR="001C7A0A" w:rsidRDefault="001C7A0A" w:rsidP="001C7A0A">
      <w:pPr>
        <w:pStyle w:val="NoSpacing"/>
        <w:spacing w:line="480" w:lineRule="auto"/>
      </w:pPr>
    </w:p>
    <w:p w:rsidR="001C7A0A" w:rsidRDefault="001C7A0A" w:rsidP="001C7A0A">
      <w:pPr>
        <w:pStyle w:val="NoSpacing"/>
        <w:spacing w:line="480" w:lineRule="auto"/>
      </w:pPr>
      <w:r>
        <w:t xml:space="preserve">In equation </w:t>
      </w:r>
      <w:r w:rsidR="00E32A36">
        <w:t>3</w:t>
      </w:r>
      <w:r>
        <w:t xml:space="preserve">, </w:t>
      </w:r>
      <w:proofErr w:type="spellStart"/>
      <w:r>
        <w:rPr>
          <w:b/>
          <w:i/>
        </w:rPr>
        <w:t>LogL</w:t>
      </w:r>
      <w:proofErr w:type="spellEnd"/>
      <w:r>
        <w:t xml:space="preserve"> is the log-likelihood fit of the model to the data, </w:t>
      </w:r>
      <w:r>
        <w:rPr>
          <w:b/>
          <w:i/>
        </w:rPr>
        <w:t>K</w:t>
      </w:r>
      <w:r>
        <w:t xml:space="preserve"> is the number of estimated parameters for the model, and </w:t>
      </w:r>
      <w:r>
        <w:rPr>
          <w:b/>
          <w:i/>
        </w:rPr>
        <w:t>n</w:t>
      </w:r>
      <w:r>
        <w:t xml:space="preserve"> is the sample size. </w:t>
      </w:r>
      <w:proofErr w:type="spellStart"/>
      <w:r>
        <w:rPr>
          <w:b/>
          <w:i/>
        </w:rPr>
        <w:t>AICc</w:t>
      </w:r>
      <w:proofErr w:type="spellEnd"/>
      <w:r>
        <w:t xml:space="preserve"> is proportional to the parameter-corrected model likelihood by:</w:t>
      </w:r>
    </w:p>
    <w:p w:rsidR="001C7A0A" w:rsidRDefault="001C7A0A" w:rsidP="001C7A0A">
      <w:pPr>
        <w:pStyle w:val="NoSpacing"/>
        <w:spacing w:line="480" w:lineRule="auto"/>
      </w:pPr>
    </w:p>
    <w:p w:rsidR="001C7A0A" w:rsidRDefault="001C7A0A" w:rsidP="001C7A0A">
      <w:pPr>
        <w:pStyle w:val="NoSpacing"/>
        <w:spacing w:line="480" w:lineRule="auto"/>
      </w:pPr>
      <w:proofErr w:type="gramStart"/>
      <w:r>
        <w:t>Eq</w:t>
      </w:r>
      <w:r w:rsidR="00E32A36">
        <w:t>.</w:t>
      </w:r>
      <w:r>
        <w:t xml:space="preserve"> </w:t>
      </w:r>
      <w:r w:rsidR="00E32A36">
        <w:t>4</w:t>
      </w:r>
      <w:r>
        <w:t>.</w:t>
      </w:r>
      <w:proofErr w:type="gramEnd"/>
      <w:r>
        <w:t xml:space="preserve"> </w:t>
      </w:r>
      <m:oMath>
        <m:r>
          <w:rPr>
            <w:rFonts w:ascii="Cambria Math" w:hAnsi="Cambria Math"/>
          </w:rPr>
          <m:t>ModelL∝</m:t>
        </m:r>
        <m:sSup>
          <m:sSupPr>
            <m:ctrlPr>
              <w:rPr>
                <w:rFonts w:ascii="Cambria Math" w:hAnsi="Cambria Math"/>
              </w:rPr>
            </m:ctrlPr>
          </m:sSupPr>
          <m:e>
            <m:r>
              <w:rPr>
                <w:rFonts w:ascii="Cambria Math" w:hAnsi="Cambria Math"/>
              </w:rPr>
              <m:t>e</m:t>
            </m:r>
          </m:e>
          <m:sup>
            <m:f>
              <m:fPr>
                <m:type m:val="skw"/>
                <m:ctrlPr>
                  <w:rPr>
                    <w:rFonts w:ascii="Cambria Math" w:hAnsi="Cambria Math"/>
                  </w:rPr>
                </m:ctrlPr>
              </m:fPr>
              <m:num>
                <m:r>
                  <m:rPr>
                    <m:sty m:val="p"/>
                  </m:rPr>
                  <w:rPr>
                    <w:rFonts w:ascii="Cambria Math" w:hAnsi="Cambria Math"/>
                  </w:rPr>
                  <m:t>-1</m:t>
                </m:r>
              </m:num>
              <m:den>
                <m:r>
                  <w:rPr>
                    <w:rFonts w:ascii="Cambria Math" w:hAnsi="Cambria Math"/>
                  </w:rPr>
                  <m:t>2</m:t>
                </m:r>
              </m:den>
            </m:f>
            <m:r>
              <w:rPr>
                <w:rFonts w:ascii="Cambria Math" w:hAnsi="Cambria Math"/>
              </w:rPr>
              <m:t>ΔAICc</m:t>
            </m:r>
          </m:sup>
        </m:sSup>
      </m:oMath>
      <w:r>
        <w:t>(Burnham and Anderson 2002),</w:t>
      </w:r>
    </w:p>
    <w:p w:rsidR="001C7A0A" w:rsidRDefault="001C7A0A" w:rsidP="001C7A0A">
      <w:pPr>
        <w:pStyle w:val="NoSpacing"/>
        <w:spacing w:line="480" w:lineRule="auto"/>
      </w:pPr>
    </w:p>
    <w:p w:rsidR="001C7A0A" w:rsidRDefault="001C7A0A" w:rsidP="001C7A0A">
      <w:pPr>
        <w:pStyle w:val="NoSpacing"/>
        <w:spacing w:line="480" w:lineRule="auto"/>
      </w:pPr>
      <w:proofErr w:type="gramStart"/>
      <w:r>
        <w:t>where</w:t>
      </w:r>
      <w:proofErr w:type="gramEnd"/>
      <w:r>
        <w:t xml:space="preserve"> </w:t>
      </w:r>
      <w:proofErr w:type="spellStart"/>
      <w:r>
        <w:rPr>
          <w:b/>
          <w:i/>
        </w:rPr>
        <w:t>ΔAICc</w:t>
      </w:r>
      <w:proofErr w:type="spellEnd"/>
      <w:r>
        <w:t xml:space="preserve"> is the difference in </w:t>
      </w:r>
      <w:proofErr w:type="spellStart"/>
      <w:r>
        <w:rPr>
          <w:b/>
          <w:i/>
        </w:rPr>
        <w:t>AICc</w:t>
      </w:r>
      <w:proofErr w:type="spellEnd"/>
      <w:r>
        <w:t xml:space="preserve"> score between any given model and the optimal model score. This can then be converted into a model posterior probability for the set of models under consideration by dividing each model’s likelihood by the sum over all models’ likelihoods.</w:t>
      </w:r>
    </w:p>
    <w:p w:rsidR="007A0168" w:rsidRDefault="007A0168" w:rsidP="00065E51">
      <w:pPr>
        <w:spacing w:after="0" w:line="240" w:lineRule="auto"/>
      </w:pPr>
    </w:p>
    <w:p w:rsidR="004B055E" w:rsidRDefault="004B055E" w:rsidP="00065E51">
      <w:pPr>
        <w:spacing w:after="0" w:line="240" w:lineRule="auto"/>
      </w:pPr>
    </w:p>
    <w:p w:rsidR="004B055E" w:rsidRDefault="004B055E">
      <w:pPr>
        <w:rPr>
          <w:rFonts w:cstheme="minorHAnsi"/>
        </w:rPr>
      </w:pPr>
      <w:r>
        <w:rPr>
          <w:rFonts w:cstheme="minorHAnsi"/>
        </w:rPr>
        <w:br w:type="page"/>
      </w:r>
    </w:p>
    <w:p w:rsidR="004B055E" w:rsidRPr="004B055E" w:rsidRDefault="004B055E" w:rsidP="00065E51">
      <w:pPr>
        <w:spacing w:after="0" w:line="240" w:lineRule="auto"/>
        <w:rPr>
          <w:rFonts w:cstheme="minorHAnsi"/>
        </w:rPr>
      </w:pPr>
      <w:r w:rsidRPr="004B055E">
        <w:rPr>
          <w:rFonts w:cstheme="minorHAnsi"/>
        </w:rPr>
        <w:lastRenderedPageBreak/>
        <w:t>References</w:t>
      </w:r>
    </w:p>
    <w:p w:rsidR="004B055E" w:rsidRPr="004B055E" w:rsidRDefault="004B055E" w:rsidP="00065E51">
      <w:pPr>
        <w:spacing w:after="0" w:line="240" w:lineRule="auto"/>
        <w:rPr>
          <w:rFonts w:cstheme="minorHAnsi"/>
        </w:rPr>
      </w:pPr>
    </w:p>
    <w:p w:rsidR="004B055E" w:rsidRPr="004B055E" w:rsidRDefault="004B055E" w:rsidP="004B055E">
      <w:pPr>
        <w:autoSpaceDE w:val="0"/>
        <w:autoSpaceDN w:val="0"/>
        <w:adjustRightInd w:val="0"/>
        <w:spacing w:after="0" w:line="240" w:lineRule="auto"/>
        <w:ind w:left="720" w:hanging="720"/>
        <w:rPr>
          <w:rFonts w:eastAsiaTheme="minorHAnsi" w:cstheme="minorHAnsi"/>
          <w:lang w:val="en-US" w:eastAsia="en-US"/>
        </w:rPr>
      </w:pPr>
      <w:proofErr w:type="spellStart"/>
      <w:r w:rsidRPr="004B055E">
        <w:rPr>
          <w:rFonts w:eastAsiaTheme="minorHAnsi" w:cstheme="minorHAnsi"/>
          <w:lang w:val="en-US" w:eastAsia="en-US"/>
        </w:rPr>
        <w:t>Akaike</w:t>
      </w:r>
      <w:proofErr w:type="spellEnd"/>
      <w:r w:rsidRPr="004B055E">
        <w:rPr>
          <w:rFonts w:eastAsiaTheme="minorHAnsi" w:cstheme="minorHAnsi"/>
          <w:lang w:val="en-US" w:eastAsia="en-US"/>
        </w:rPr>
        <w:t xml:space="preserve">, H. 1973. </w:t>
      </w:r>
      <w:proofErr w:type="gramStart"/>
      <w:r w:rsidRPr="004B055E">
        <w:rPr>
          <w:rFonts w:eastAsiaTheme="minorHAnsi" w:cstheme="minorHAnsi"/>
          <w:lang w:val="en-US" w:eastAsia="en-US"/>
        </w:rPr>
        <w:t>Information theory as an extension of the maximum likelihood principle.</w:t>
      </w:r>
      <w:proofErr w:type="gramEnd"/>
      <w:r w:rsidRPr="004B055E">
        <w:rPr>
          <w:rFonts w:eastAsiaTheme="minorHAnsi" w:cstheme="minorHAnsi"/>
          <w:lang w:val="en-US" w:eastAsia="en-US"/>
        </w:rPr>
        <w:t xml:space="preserve"> Pp. 267-281.</w:t>
      </w:r>
      <w:r w:rsidRPr="004B055E">
        <w:rPr>
          <w:rFonts w:eastAsiaTheme="minorHAnsi" w:cstheme="minorHAnsi"/>
          <w:i/>
          <w:iCs/>
          <w:lang w:val="en-US" w:eastAsia="en-US"/>
        </w:rPr>
        <w:t xml:space="preserve"> In</w:t>
      </w:r>
      <w:r w:rsidRPr="004B055E">
        <w:rPr>
          <w:rFonts w:eastAsiaTheme="minorHAnsi" w:cstheme="minorHAnsi"/>
          <w:lang w:val="en-US" w:eastAsia="en-US"/>
        </w:rPr>
        <w:t xml:space="preserve"> B. N. </w:t>
      </w:r>
      <w:proofErr w:type="spellStart"/>
      <w:r w:rsidRPr="004B055E">
        <w:rPr>
          <w:rFonts w:eastAsiaTheme="minorHAnsi" w:cstheme="minorHAnsi"/>
          <w:lang w:val="en-US" w:eastAsia="en-US"/>
        </w:rPr>
        <w:t>Petrov</w:t>
      </w:r>
      <w:proofErr w:type="spellEnd"/>
      <w:r w:rsidRPr="004B055E">
        <w:rPr>
          <w:rFonts w:eastAsiaTheme="minorHAnsi" w:cstheme="minorHAnsi"/>
          <w:lang w:val="en-US" w:eastAsia="en-US"/>
        </w:rPr>
        <w:t xml:space="preserve">, and F. </w:t>
      </w:r>
      <w:proofErr w:type="spellStart"/>
      <w:r w:rsidRPr="004B055E">
        <w:rPr>
          <w:rFonts w:eastAsiaTheme="minorHAnsi" w:cstheme="minorHAnsi"/>
          <w:lang w:val="en-US" w:eastAsia="en-US"/>
        </w:rPr>
        <w:t>Csaki</w:t>
      </w:r>
      <w:proofErr w:type="spellEnd"/>
      <w:r w:rsidRPr="004B055E">
        <w:rPr>
          <w:rFonts w:eastAsiaTheme="minorHAnsi" w:cstheme="minorHAnsi"/>
          <w:lang w:val="en-US" w:eastAsia="en-US"/>
        </w:rPr>
        <w:t xml:space="preserve">, </w:t>
      </w:r>
      <w:proofErr w:type="gramStart"/>
      <w:r w:rsidRPr="004B055E">
        <w:rPr>
          <w:rFonts w:eastAsiaTheme="minorHAnsi" w:cstheme="minorHAnsi"/>
          <w:lang w:val="en-US" w:eastAsia="en-US"/>
        </w:rPr>
        <w:t>eds</w:t>
      </w:r>
      <w:proofErr w:type="gramEnd"/>
      <w:r w:rsidRPr="004B055E">
        <w:rPr>
          <w:rFonts w:eastAsiaTheme="minorHAnsi" w:cstheme="minorHAnsi"/>
          <w:lang w:val="en-US" w:eastAsia="en-US"/>
        </w:rPr>
        <w:t xml:space="preserve">. </w:t>
      </w:r>
      <w:proofErr w:type="gramStart"/>
      <w:r w:rsidRPr="004B055E">
        <w:rPr>
          <w:rFonts w:eastAsiaTheme="minorHAnsi" w:cstheme="minorHAnsi"/>
          <w:lang w:val="en-US" w:eastAsia="en-US"/>
        </w:rPr>
        <w:t>Second International Symposium on Information Theory.</w:t>
      </w:r>
      <w:proofErr w:type="gramEnd"/>
      <w:r w:rsidRPr="004B055E">
        <w:rPr>
          <w:rFonts w:eastAsiaTheme="minorHAnsi" w:cstheme="minorHAnsi"/>
          <w:lang w:val="en-US" w:eastAsia="en-US"/>
        </w:rPr>
        <w:t xml:space="preserve"> </w:t>
      </w:r>
      <w:proofErr w:type="spellStart"/>
      <w:r w:rsidRPr="004B055E">
        <w:rPr>
          <w:rFonts w:eastAsiaTheme="minorHAnsi" w:cstheme="minorHAnsi"/>
          <w:lang w:val="en-US" w:eastAsia="en-US"/>
        </w:rPr>
        <w:t>Akademiai</w:t>
      </w:r>
      <w:proofErr w:type="spellEnd"/>
      <w:r w:rsidRPr="004B055E">
        <w:rPr>
          <w:rFonts w:eastAsiaTheme="minorHAnsi" w:cstheme="minorHAnsi"/>
          <w:lang w:val="en-US" w:eastAsia="en-US"/>
        </w:rPr>
        <w:t xml:space="preserve"> </w:t>
      </w:r>
      <w:proofErr w:type="spellStart"/>
      <w:r w:rsidRPr="004B055E">
        <w:rPr>
          <w:rFonts w:eastAsiaTheme="minorHAnsi" w:cstheme="minorHAnsi"/>
          <w:lang w:val="en-US" w:eastAsia="en-US"/>
        </w:rPr>
        <w:t>Kiado</w:t>
      </w:r>
      <w:proofErr w:type="spellEnd"/>
      <w:r w:rsidRPr="004B055E">
        <w:rPr>
          <w:rFonts w:eastAsiaTheme="minorHAnsi" w:cstheme="minorHAnsi"/>
          <w:lang w:val="en-US" w:eastAsia="en-US"/>
        </w:rPr>
        <w:t>, Budapest.</w:t>
      </w:r>
    </w:p>
    <w:p w:rsidR="004B055E" w:rsidRPr="004B055E" w:rsidRDefault="004B055E" w:rsidP="004B055E">
      <w:pPr>
        <w:autoSpaceDE w:val="0"/>
        <w:autoSpaceDN w:val="0"/>
        <w:adjustRightInd w:val="0"/>
        <w:spacing w:after="0" w:line="240" w:lineRule="auto"/>
        <w:ind w:left="720" w:hanging="720"/>
        <w:rPr>
          <w:rFonts w:eastAsiaTheme="minorHAnsi" w:cstheme="minorHAnsi"/>
          <w:lang w:val="en-US" w:eastAsia="en-US"/>
        </w:rPr>
      </w:pPr>
    </w:p>
    <w:p w:rsidR="004B055E" w:rsidRPr="004B055E" w:rsidRDefault="004B055E" w:rsidP="004B055E">
      <w:pPr>
        <w:autoSpaceDE w:val="0"/>
        <w:autoSpaceDN w:val="0"/>
        <w:adjustRightInd w:val="0"/>
        <w:spacing w:after="0" w:line="240" w:lineRule="auto"/>
        <w:ind w:left="720" w:hanging="720"/>
        <w:rPr>
          <w:rFonts w:eastAsiaTheme="minorHAnsi" w:cstheme="minorHAnsi"/>
          <w:lang w:val="en-US" w:eastAsia="en-US"/>
        </w:rPr>
      </w:pPr>
      <w:proofErr w:type="spellStart"/>
      <w:r w:rsidRPr="004B055E">
        <w:rPr>
          <w:rFonts w:eastAsiaTheme="minorHAnsi" w:cstheme="minorHAnsi"/>
          <w:lang w:val="en-US" w:eastAsia="en-US"/>
        </w:rPr>
        <w:t>Akaike</w:t>
      </w:r>
      <w:proofErr w:type="spellEnd"/>
      <w:r w:rsidRPr="004B055E">
        <w:rPr>
          <w:rFonts w:eastAsiaTheme="minorHAnsi" w:cstheme="minorHAnsi"/>
          <w:lang w:val="en-US" w:eastAsia="en-US"/>
        </w:rPr>
        <w:t>, H. 1974. A new look at the statistical model identification. Institute of Electrical and Electronics Engineers Transactions on Automatic Control AC-19:716-723.</w:t>
      </w:r>
    </w:p>
    <w:p w:rsidR="004B055E" w:rsidRPr="004B055E" w:rsidRDefault="004B055E" w:rsidP="00065E51">
      <w:pPr>
        <w:spacing w:after="0" w:line="240" w:lineRule="auto"/>
        <w:rPr>
          <w:rFonts w:cstheme="minorHAnsi"/>
        </w:rPr>
      </w:pPr>
    </w:p>
    <w:p w:rsidR="004B055E" w:rsidRPr="004B055E" w:rsidRDefault="004B055E" w:rsidP="004B055E">
      <w:pPr>
        <w:pStyle w:val="CommentText"/>
        <w:rPr>
          <w:rFonts w:cstheme="minorHAnsi"/>
          <w:sz w:val="22"/>
          <w:szCs w:val="22"/>
        </w:rPr>
      </w:pPr>
      <w:proofErr w:type="gramStart"/>
      <w:r w:rsidRPr="004B055E">
        <w:rPr>
          <w:rFonts w:cstheme="minorHAnsi"/>
          <w:sz w:val="22"/>
          <w:szCs w:val="22"/>
        </w:rPr>
        <w:t>Burnham, K. P., and D. R. Anderson.</w:t>
      </w:r>
      <w:proofErr w:type="gramEnd"/>
      <w:r w:rsidRPr="004B055E">
        <w:rPr>
          <w:rFonts w:cstheme="minorHAnsi"/>
          <w:sz w:val="22"/>
          <w:szCs w:val="22"/>
        </w:rPr>
        <w:t xml:space="preserve"> 2002. Model Selection and </w:t>
      </w:r>
      <w:proofErr w:type="spellStart"/>
      <w:r w:rsidRPr="004B055E">
        <w:rPr>
          <w:rFonts w:cstheme="minorHAnsi"/>
          <w:sz w:val="22"/>
          <w:szCs w:val="22"/>
        </w:rPr>
        <w:t>Multimodel</w:t>
      </w:r>
      <w:proofErr w:type="spellEnd"/>
      <w:r w:rsidRPr="004B055E">
        <w:rPr>
          <w:rFonts w:cstheme="minorHAnsi"/>
          <w:sz w:val="22"/>
          <w:szCs w:val="22"/>
        </w:rPr>
        <w:t xml:space="preserve"> Inference: A Practical Information-Theoretic Approach. </w:t>
      </w:r>
      <w:proofErr w:type="gramStart"/>
      <w:r w:rsidRPr="004B055E">
        <w:rPr>
          <w:rFonts w:cstheme="minorHAnsi"/>
          <w:sz w:val="22"/>
          <w:szCs w:val="22"/>
        </w:rPr>
        <w:t>Springer, New York.</w:t>
      </w:r>
      <w:proofErr w:type="gramEnd"/>
    </w:p>
    <w:p w:rsidR="004B055E" w:rsidRPr="004B055E" w:rsidRDefault="004B055E" w:rsidP="004B055E">
      <w:pPr>
        <w:spacing w:after="0" w:line="240" w:lineRule="auto"/>
        <w:rPr>
          <w:rFonts w:cstheme="minorHAnsi"/>
        </w:rPr>
      </w:pPr>
      <w:proofErr w:type="gramStart"/>
      <w:r w:rsidRPr="004B055E">
        <w:rPr>
          <w:rFonts w:cstheme="minorHAnsi"/>
        </w:rPr>
        <w:t>Burnham, K. P., and D. R. Anderson.</w:t>
      </w:r>
      <w:proofErr w:type="gramEnd"/>
      <w:r w:rsidRPr="004B055E">
        <w:rPr>
          <w:rFonts w:cstheme="minorHAnsi"/>
        </w:rPr>
        <w:t xml:space="preserve"> 2004. </w:t>
      </w:r>
      <w:proofErr w:type="spellStart"/>
      <w:r w:rsidRPr="004B055E">
        <w:rPr>
          <w:rFonts w:cstheme="minorHAnsi"/>
        </w:rPr>
        <w:t>Multimodel</w:t>
      </w:r>
      <w:proofErr w:type="spellEnd"/>
      <w:r w:rsidRPr="004B055E">
        <w:rPr>
          <w:rFonts w:cstheme="minorHAnsi"/>
        </w:rPr>
        <w:t xml:space="preserve"> inference: Understanding AIC and BIC in model selection. Sociological Methods and Research 33(2):261-304.</w:t>
      </w:r>
    </w:p>
    <w:p w:rsidR="004B055E" w:rsidRPr="004B055E" w:rsidRDefault="004B055E" w:rsidP="004B055E">
      <w:pPr>
        <w:spacing w:after="0" w:line="240" w:lineRule="auto"/>
        <w:rPr>
          <w:rFonts w:cstheme="minorHAnsi"/>
        </w:rPr>
      </w:pPr>
    </w:p>
    <w:p w:rsidR="004B055E" w:rsidRPr="004B055E" w:rsidRDefault="004B055E" w:rsidP="004B055E">
      <w:pPr>
        <w:spacing w:after="0" w:line="240" w:lineRule="auto"/>
        <w:rPr>
          <w:rFonts w:cstheme="minorHAnsi"/>
        </w:rPr>
      </w:pPr>
      <w:proofErr w:type="spellStart"/>
      <w:proofErr w:type="gramStart"/>
      <w:r w:rsidRPr="004B055E">
        <w:rPr>
          <w:rFonts w:eastAsiaTheme="minorHAnsi" w:cstheme="minorHAnsi"/>
          <w:lang w:val="en-US" w:eastAsia="en-US"/>
        </w:rPr>
        <w:t>Hurvich</w:t>
      </w:r>
      <w:proofErr w:type="spellEnd"/>
      <w:r w:rsidRPr="004B055E">
        <w:rPr>
          <w:rFonts w:eastAsiaTheme="minorHAnsi" w:cstheme="minorHAnsi"/>
          <w:lang w:val="en-US" w:eastAsia="en-US"/>
        </w:rPr>
        <w:t>, C. M., and C.-L.</w:t>
      </w:r>
      <w:proofErr w:type="gramEnd"/>
      <w:r w:rsidRPr="004B055E">
        <w:rPr>
          <w:rFonts w:eastAsiaTheme="minorHAnsi" w:cstheme="minorHAnsi"/>
          <w:lang w:val="en-US" w:eastAsia="en-US"/>
        </w:rPr>
        <w:t xml:space="preserve"> </w:t>
      </w:r>
      <w:proofErr w:type="gramStart"/>
      <w:r w:rsidRPr="004B055E">
        <w:rPr>
          <w:rFonts w:eastAsiaTheme="minorHAnsi" w:cstheme="minorHAnsi"/>
          <w:lang w:val="en-US" w:eastAsia="en-US"/>
        </w:rPr>
        <w:t>Tsai.</w:t>
      </w:r>
      <w:proofErr w:type="gramEnd"/>
      <w:r w:rsidRPr="004B055E">
        <w:rPr>
          <w:rFonts w:eastAsiaTheme="minorHAnsi" w:cstheme="minorHAnsi"/>
          <w:lang w:val="en-US" w:eastAsia="en-US"/>
        </w:rPr>
        <w:t xml:space="preserve"> 1989. Regression and time series model selection in small samples. </w:t>
      </w:r>
      <w:proofErr w:type="spellStart"/>
      <w:r w:rsidRPr="004B055E">
        <w:rPr>
          <w:rFonts w:eastAsiaTheme="minorHAnsi" w:cstheme="minorHAnsi"/>
          <w:lang w:val="en-US" w:eastAsia="en-US"/>
        </w:rPr>
        <w:t>Biometrika</w:t>
      </w:r>
      <w:proofErr w:type="spellEnd"/>
      <w:r w:rsidRPr="004B055E">
        <w:rPr>
          <w:rFonts w:eastAsiaTheme="minorHAnsi" w:cstheme="minorHAnsi"/>
          <w:lang w:val="en-US" w:eastAsia="en-US"/>
        </w:rPr>
        <w:t xml:space="preserve"> 76(2):297-307.</w:t>
      </w:r>
    </w:p>
    <w:p w:rsidR="004B055E" w:rsidRPr="004B055E" w:rsidRDefault="004B055E" w:rsidP="004B055E">
      <w:pPr>
        <w:spacing w:after="0" w:line="240" w:lineRule="auto"/>
        <w:rPr>
          <w:rFonts w:cstheme="minorHAnsi"/>
        </w:rPr>
      </w:pPr>
    </w:p>
    <w:sectPr w:rsidR="004B055E" w:rsidRPr="004B055E" w:rsidSect="00791BC8">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05"/>
    <w:rsid w:val="00065E51"/>
    <w:rsid w:val="0009412B"/>
    <w:rsid w:val="00176AC0"/>
    <w:rsid w:val="001C7A0A"/>
    <w:rsid w:val="001F6FA1"/>
    <w:rsid w:val="00242F72"/>
    <w:rsid w:val="002573CE"/>
    <w:rsid w:val="00432805"/>
    <w:rsid w:val="004839D9"/>
    <w:rsid w:val="004A77A4"/>
    <w:rsid w:val="004B055E"/>
    <w:rsid w:val="00523BB8"/>
    <w:rsid w:val="005E5FA8"/>
    <w:rsid w:val="00730379"/>
    <w:rsid w:val="00791BC8"/>
    <w:rsid w:val="007A012A"/>
    <w:rsid w:val="007A0168"/>
    <w:rsid w:val="008304A8"/>
    <w:rsid w:val="009711AF"/>
    <w:rsid w:val="00994FBF"/>
    <w:rsid w:val="00A0357E"/>
    <w:rsid w:val="00BB6693"/>
    <w:rsid w:val="00C11161"/>
    <w:rsid w:val="00C4602C"/>
    <w:rsid w:val="00C96A6B"/>
    <w:rsid w:val="00CC050F"/>
    <w:rsid w:val="00CF3583"/>
    <w:rsid w:val="00DA4C3F"/>
    <w:rsid w:val="00E2069E"/>
    <w:rsid w:val="00E32A36"/>
    <w:rsid w:val="00E5409C"/>
    <w:rsid w:val="00E754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05"/>
    <w:pPr>
      <w:spacing w:after="0" w:line="240" w:lineRule="auto"/>
    </w:pPr>
    <w:rPr>
      <w:rFonts w:eastAsiaTheme="minorEastAsia"/>
      <w:lang w:eastAsia="en-GB"/>
    </w:rPr>
  </w:style>
  <w:style w:type="character" w:styleId="LineNumber">
    <w:name w:val="line number"/>
    <w:basedOn w:val="DefaultParagraphFont"/>
    <w:uiPriority w:val="99"/>
    <w:semiHidden/>
    <w:unhideWhenUsed/>
    <w:rsid w:val="00432805"/>
  </w:style>
  <w:style w:type="paragraph" w:styleId="BalloonText">
    <w:name w:val="Balloon Text"/>
    <w:basedOn w:val="Normal"/>
    <w:link w:val="BalloonTextChar"/>
    <w:uiPriority w:val="99"/>
    <w:semiHidden/>
    <w:unhideWhenUsed/>
    <w:rsid w:val="001C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23BB8"/>
    <w:rPr>
      <w:sz w:val="16"/>
      <w:szCs w:val="16"/>
    </w:rPr>
  </w:style>
  <w:style w:type="paragraph" w:styleId="CommentText">
    <w:name w:val="annotation text"/>
    <w:basedOn w:val="Normal"/>
    <w:link w:val="CommentTextChar"/>
    <w:uiPriority w:val="99"/>
    <w:semiHidden/>
    <w:unhideWhenUsed/>
    <w:rsid w:val="00523BB8"/>
    <w:pPr>
      <w:spacing w:line="240" w:lineRule="auto"/>
    </w:pPr>
    <w:rPr>
      <w:sz w:val="20"/>
      <w:szCs w:val="20"/>
    </w:rPr>
  </w:style>
  <w:style w:type="character" w:customStyle="1" w:styleId="CommentTextChar">
    <w:name w:val="Comment Text Char"/>
    <w:basedOn w:val="DefaultParagraphFont"/>
    <w:link w:val="CommentText"/>
    <w:uiPriority w:val="99"/>
    <w:semiHidden/>
    <w:rsid w:val="00523BB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23BB8"/>
    <w:rPr>
      <w:b/>
      <w:bCs/>
    </w:rPr>
  </w:style>
  <w:style w:type="character" w:customStyle="1" w:styleId="CommentSubjectChar">
    <w:name w:val="Comment Subject Char"/>
    <w:basedOn w:val="CommentTextChar"/>
    <w:link w:val="CommentSubject"/>
    <w:uiPriority w:val="99"/>
    <w:semiHidden/>
    <w:rsid w:val="00523BB8"/>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05"/>
    <w:pPr>
      <w:spacing w:after="0" w:line="240" w:lineRule="auto"/>
    </w:pPr>
    <w:rPr>
      <w:rFonts w:eastAsiaTheme="minorEastAsia"/>
      <w:lang w:eastAsia="en-GB"/>
    </w:rPr>
  </w:style>
  <w:style w:type="character" w:styleId="LineNumber">
    <w:name w:val="line number"/>
    <w:basedOn w:val="DefaultParagraphFont"/>
    <w:uiPriority w:val="99"/>
    <w:semiHidden/>
    <w:unhideWhenUsed/>
    <w:rsid w:val="00432805"/>
  </w:style>
  <w:style w:type="paragraph" w:styleId="BalloonText">
    <w:name w:val="Balloon Text"/>
    <w:basedOn w:val="Normal"/>
    <w:link w:val="BalloonTextChar"/>
    <w:uiPriority w:val="99"/>
    <w:semiHidden/>
    <w:unhideWhenUsed/>
    <w:rsid w:val="001C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0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23BB8"/>
    <w:rPr>
      <w:sz w:val="16"/>
      <w:szCs w:val="16"/>
    </w:rPr>
  </w:style>
  <w:style w:type="paragraph" w:styleId="CommentText">
    <w:name w:val="annotation text"/>
    <w:basedOn w:val="Normal"/>
    <w:link w:val="CommentTextChar"/>
    <w:uiPriority w:val="99"/>
    <w:semiHidden/>
    <w:unhideWhenUsed/>
    <w:rsid w:val="00523BB8"/>
    <w:pPr>
      <w:spacing w:line="240" w:lineRule="auto"/>
    </w:pPr>
    <w:rPr>
      <w:sz w:val="20"/>
      <w:szCs w:val="20"/>
    </w:rPr>
  </w:style>
  <w:style w:type="character" w:customStyle="1" w:styleId="CommentTextChar">
    <w:name w:val="Comment Text Char"/>
    <w:basedOn w:val="DefaultParagraphFont"/>
    <w:link w:val="CommentText"/>
    <w:uiPriority w:val="99"/>
    <w:semiHidden/>
    <w:rsid w:val="00523BB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23BB8"/>
    <w:rPr>
      <w:b/>
      <w:bCs/>
    </w:rPr>
  </w:style>
  <w:style w:type="character" w:customStyle="1" w:styleId="CommentSubjectChar">
    <w:name w:val="Comment Subject Char"/>
    <w:basedOn w:val="CommentTextChar"/>
    <w:link w:val="CommentSubject"/>
    <w:uiPriority w:val="99"/>
    <w:semiHidden/>
    <w:rsid w:val="00523BB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8894">
      <w:bodyDiv w:val="1"/>
      <w:marLeft w:val="0"/>
      <w:marRight w:val="0"/>
      <w:marTop w:val="0"/>
      <w:marBottom w:val="0"/>
      <w:divBdr>
        <w:top w:val="none" w:sz="0" w:space="0" w:color="auto"/>
        <w:left w:val="none" w:sz="0" w:space="0" w:color="auto"/>
        <w:bottom w:val="none" w:sz="0" w:space="0" w:color="auto"/>
        <w:right w:val="none" w:sz="0" w:space="0" w:color="auto"/>
      </w:divBdr>
    </w:div>
    <w:div w:id="210070911">
      <w:bodyDiv w:val="1"/>
      <w:marLeft w:val="0"/>
      <w:marRight w:val="0"/>
      <w:marTop w:val="0"/>
      <w:marBottom w:val="0"/>
      <w:divBdr>
        <w:top w:val="none" w:sz="0" w:space="0" w:color="auto"/>
        <w:left w:val="none" w:sz="0" w:space="0" w:color="auto"/>
        <w:bottom w:val="none" w:sz="0" w:space="0" w:color="auto"/>
        <w:right w:val="none" w:sz="0" w:space="0" w:color="auto"/>
      </w:divBdr>
    </w:div>
    <w:div w:id="312636466">
      <w:bodyDiv w:val="1"/>
      <w:marLeft w:val="0"/>
      <w:marRight w:val="0"/>
      <w:marTop w:val="0"/>
      <w:marBottom w:val="0"/>
      <w:divBdr>
        <w:top w:val="none" w:sz="0" w:space="0" w:color="auto"/>
        <w:left w:val="none" w:sz="0" w:space="0" w:color="auto"/>
        <w:bottom w:val="none" w:sz="0" w:space="0" w:color="auto"/>
        <w:right w:val="none" w:sz="0" w:space="0" w:color="auto"/>
      </w:divBdr>
    </w:div>
    <w:div w:id="406927061">
      <w:bodyDiv w:val="1"/>
      <w:marLeft w:val="0"/>
      <w:marRight w:val="0"/>
      <w:marTop w:val="0"/>
      <w:marBottom w:val="0"/>
      <w:divBdr>
        <w:top w:val="none" w:sz="0" w:space="0" w:color="auto"/>
        <w:left w:val="none" w:sz="0" w:space="0" w:color="auto"/>
        <w:bottom w:val="none" w:sz="0" w:space="0" w:color="auto"/>
        <w:right w:val="none" w:sz="0" w:space="0" w:color="auto"/>
      </w:divBdr>
    </w:div>
    <w:div w:id="746342993">
      <w:bodyDiv w:val="1"/>
      <w:marLeft w:val="0"/>
      <w:marRight w:val="0"/>
      <w:marTop w:val="0"/>
      <w:marBottom w:val="0"/>
      <w:divBdr>
        <w:top w:val="none" w:sz="0" w:space="0" w:color="auto"/>
        <w:left w:val="none" w:sz="0" w:space="0" w:color="auto"/>
        <w:bottom w:val="none" w:sz="0" w:space="0" w:color="auto"/>
        <w:right w:val="none" w:sz="0" w:space="0" w:color="auto"/>
      </w:divBdr>
    </w:div>
    <w:div w:id="772166698">
      <w:bodyDiv w:val="1"/>
      <w:marLeft w:val="0"/>
      <w:marRight w:val="0"/>
      <w:marTop w:val="0"/>
      <w:marBottom w:val="0"/>
      <w:divBdr>
        <w:top w:val="none" w:sz="0" w:space="0" w:color="auto"/>
        <w:left w:val="none" w:sz="0" w:space="0" w:color="auto"/>
        <w:bottom w:val="none" w:sz="0" w:space="0" w:color="auto"/>
        <w:right w:val="none" w:sz="0" w:space="0" w:color="auto"/>
      </w:divBdr>
    </w:div>
    <w:div w:id="782771171">
      <w:bodyDiv w:val="1"/>
      <w:marLeft w:val="0"/>
      <w:marRight w:val="0"/>
      <w:marTop w:val="0"/>
      <w:marBottom w:val="0"/>
      <w:divBdr>
        <w:top w:val="none" w:sz="0" w:space="0" w:color="auto"/>
        <w:left w:val="none" w:sz="0" w:space="0" w:color="auto"/>
        <w:bottom w:val="none" w:sz="0" w:space="0" w:color="auto"/>
        <w:right w:val="none" w:sz="0" w:space="0" w:color="auto"/>
      </w:divBdr>
    </w:div>
    <w:div w:id="991562586">
      <w:bodyDiv w:val="1"/>
      <w:marLeft w:val="0"/>
      <w:marRight w:val="0"/>
      <w:marTop w:val="0"/>
      <w:marBottom w:val="0"/>
      <w:divBdr>
        <w:top w:val="none" w:sz="0" w:space="0" w:color="auto"/>
        <w:left w:val="none" w:sz="0" w:space="0" w:color="auto"/>
        <w:bottom w:val="none" w:sz="0" w:space="0" w:color="auto"/>
        <w:right w:val="none" w:sz="0" w:space="0" w:color="auto"/>
      </w:divBdr>
    </w:div>
    <w:div w:id="1151866739">
      <w:bodyDiv w:val="1"/>
      <w:marLeft w:val="0"/>
      <w:marRight w:val="0"/>
      <w:marTop w:val="0"/>
      <w:marBottom w:val="0"/>
      <w:divBdr>
        <w:top w:val="none" w:sz="0" w:space="0" w:color="auto"/>
        <w:left w:val="none" w:sz="0" w:space="0" w:color="auto"/>
        <w:bottom w:val="none" w:sz="0" w:space="0" w:color="auto"/>
        <w:right w:val="none" w:sz="0" w:space="0" w:color="auto"/>
      </w:divBdr>
    </w:div>
    <w:div w:id="1158426318">
      <w:bodyDiv w:val="1"/>
      <w:marLeft w:val="0"/>
      <w:marRight w:val="0"/>
      <w:marTop w:val="0"/>
      <w:marBottom w:val="0"/>
      <w:divBdr>
        <w:top w:val="none" w:sz="0" w:space="0" w:color="auto"/>
        <w:left w:val="none" w:sz="0" w:space="0" w:color="auto"/>
        <w:bottom w:val="none" w:sz="0" w:space="0" w:color="auto"/>
        <w:right w:val="none" w:sz="0" w:space="0" w:color="auto"/>
      </w:divBdr>
    </w:div>
    <w:div w:id="1748304292">
      <w:bodyDiv w:val="1"/>
      <w:marLeft w:val="0"/>
      <w:marRight w:val="0"/>
      <w:marTop w:val="0"/>
      <w:marBottom w:val="0"/>
      <w:divBdr>
        <w:top w:val="none" w:sz="0" w:space="0" w:color="auto"/>
        <w:left w:val="none" w:sz="0" w:space="0" w:color="auto"/>
        <w:bottom w:val="none" w:sz="0" w:space="0" w:color="auto"/>
        <w:right w:val="none" w:sz="0" w:space="0" w:color="auto"/>
      </w:divBdr>
    </w:div>
    <w:div w:id="1885287803">
      <w:bodyDiv w:val="1"/>
      <w:marLeft w:val="0"/>
      <w:marRight w:val="0"/>
      <w:marTop w:val="0"/>
      <w:marBottom w:val="0"/>
      <w:divBdr>
        <w:top w:val="none" w:sz="0" w:space="0" w:color="auto"/>
        <w:left w:val="none" w:sz="0" w:space="0" w:color="auto"/>
        <w:bottom w:val="none" w:sz="0" w:space="0" w:color="auto"/>
        <w:right w:val="none" w:sz="0" w:space="0" w:color="auto"/>
      </w:divBdr>
    </w:div>
    <w:div w:id="18919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Salla</dc:creator>
  <cp:lastModifiedBy>Salla</cp:lastModifiedBy>
  <cp:revision>9</cp:revision>
  <cp:lastPrinted>2015-06-19T13:38:00Z</cp:lastPrinted>
  <dcterms:created xsi:type="dcterms:W3CDTF">2015-06-05T12:49:00Z</dcterms:created>
  <dcterms:modified xsi:type="dcterms:W3CDTF">2015-06-19T13:38:00Z</dcterms:modified>
</cp:coreProperties>
</file>