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EEE6" w14:textId="77777777" w:rsidR="00654E8F" w:rsidRDefault="00654E8F" w:rsidP="0001436A">
      <w:pPr>
        <w:pStyle w:val="SupplementaryMaterial"/>
      </w:pPr>
      <w:r w:rsidRPr="001549D3">
        <w:t>Supplementary Material</w:t>
      </w:r>
    </w:p>
    <w:p w14:paraId="22148287" w14:textId="77777777" w:rsidR="008106D8" w:rsidRPr="008106D8" w:rsidRDefault="008106D8" w:rsidP="008106D8"/>
    <w:p w14:paraId="3BFA66D2" w14:textId="3A177918" w:rsidR="008106D8" w:rsidRDefault="002A0485" w:rsidP="008106D8">
      <w:pPr>
        <w:ind w:left="2977"/>
        <w:jc w:val="both"/>
      </w:pPr>
      <w:r>
        <w:rPr>
          <w:noProof/>
          <w:lang w:val="en-IE" w:eastAsia="en-IE"/>
        </w:rPr>
        <w:drawing>
          <wp:inline distT="0" distB="0" distL="0" distR="0" wp14:anchorId="318D665C" wp14:editId="20EFF627">
            <wp:extent cx="2749296" cy="3313176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 FIG1_Frontier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296" cy="331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76394" w14:textId="77777777" w:rsidR="008106D8" w:rsidRDefault="008106D8" w:rsidP="008106D8">
      <w:pPr>
        <w:jc w:val="both"/>
      </w:pPr>
    </w:p>
    <w:p w14:paraId="1DC3DDB7" w14:textId="77777777" w:rsidR="008106D8" w:rsidRPr="00FA48EC" w:rsidRDefault="008106D8" w:rsidP="008106D8">
      <w:pPr>
        <w:jc w:val="both"/>
        <w:rPr>
          <w:b/>
        </w:rPr>
      </w:pPr>
      <w:r>
        <w:rPr>
          <w:b/>
        </w:rPr>
        <w:t>Supplementary Figure 1: Class-IIa HDAC expression in SH-SY5Y cells.</w:t>
      </w:r>
    </w:p>
    <w:p w14:paraId="7E1D6AC0" w14:textId="77777777" w:rsidR="008106D8" w:rsidRDefault="008106D8" w:rsidP="008106D8">
      <w:pPr>
        <w:jc w:val="both"/>
      </w:pPr>
      <w:r>
        <w:t>(A) RT-PCR showing the expression of HDAC4, 5, 7 and HDAC9 in SH-SY5Y cells along with b-actin as a control. (B) Representative photomicrographs of SH-SY5Y cells immunocytochemically stained for the HDAC4 (red) or HDAC7 (red) with DAPI (blue). Scale bar = 10</w:t>
      </w:r>
      <w:r w:rsidRPr="00FA48EC">
        <w:t xml:space="preserve"> μm.</w:t>
      </w:r>
      <w:r>
        <w:t xml:space="preserve">  </w:t>
      </w:r>
    </w:p>
    <w:p w14:paraId="1457EF21" w14:textId="77777777" w:rsidR="008106D8" w:rsidRDefault="008106D8" w:rsidP="008106D8">
      <w:pPr>
        <w:jc w:val="both"/>
      </w:pPr>
      <w:bookmarkStart w:id="0" w:name="_GoBack"/>
      <w:bookmarkEnd w:id="0"/>
    </w:p>
    <w:p w14:paraId="0C7D8774" w14:textId="77777777" w:rsidR="008106D8" w:rsidRDefault="008106D8" w:rsidP="008106D8">
      <w:pPr>
        <w:jc w:val="both"/>
      </w:pPr>
    </w:p>
    <w:p w14:paraId="46C22509" w14:textId="77777777" w:rsidR="008106D8" w:rsidRDefault="008106D8" w:rsidP="008106D8">
      <w:pPr>
        <w:jc w:val="both"/>
      </w:pPr>
    </w:p>
    <w:p w14:paraId="07E03243" w14:textId="77777777" w:rsidR="008106D8" w:rsidRDefault="008106D8" w:rsidP="008106D8">
      <w:pPr>
        <w:jc w:val="both"/>
      </w:pPr>
    </w:p>
    <w:p w14:paraId="3EF4F72D" w14:textId="77777777" w:rsidR="008106D8" w:rsidRDefault="008106D8" w:rsidP="008106D8">
      <w:pPr>
        <w:jc w:val="both"/>
      </w:pPr>
    </w:p>
    <w:p w14:paraId="56BB5416" w14:textId="77777777" w:rsidR="008106D8" w:rsidRDefault="008106D8" w:rsidP="008106D8">
      <w:pPr>
        <w:jc w:val="both"/>
      </w:pPr>
    </w:p>
    <w:p w14:paraId="6B95A88E" w14:textId="77777777" w:rsidR="008106D8" w:rsidRDefault="008106D8" w:rsidP="008106D8">
      <w:pPr>
        <w:jc w:val="both"/>
      </w:pPr>
    </w:p>
    <w:p w14:paraId="6770443F" w14:textId="77777777" w:rsidR="008106D8" w:rsidRDefault="008106D8" w:rsidP="008106D8">
      <w:pPr>
        <w:jc w:val="both"/>
      </w:pPr>
    </w:p>
    <w:p w14:paraId="58F71E0B" w14:textId="77777777" w:rsidR="008106D8" w:rsidRDefault="008106D8" w:rsidP="008106D8">
      <w:pPr>
        <w:jc w:val="both"/>
      </w:pPr>
    </w:p>
    <w:p w14:paraId="34F96BFF" w14:textId="77777777" w:rsidR="00A63A42" w:rsidRDefault="00A63A42" w:rsidP="008106D8">
      <w:pPr>
        <w:jc w:val="both"/>
      </w:pPr>
    </w:p>
    <w:p w14:paraId="1B488130" w14:textId="77777777" w:rsidR="008106D8" w:rsidRDefault="008106D8" w:rsidP="008106D8">
      <w:pPr>
        <w:jc w:val="both"/>
      </w:pPr>
    </w:p>
    <w:p w14:paraId="2113B771" w14:textId="77777777" w:rsidR="008106D8" w:rsidRDefault="008106D8" w:rsidP="008106D8">
      <w:pPr>
        <w:ind w:left="2127"/>
        <w:jc w:val="both"/>
      </w:pPr>
      <w:r>
        <w:rPr>
          <w:noProof/>
          <w:lang w:val="en-IE" w:eastAsia="en-IE"/>
        </w:rPr>
        <w:drawing>
          <wp:inline distT="0" distB="0" distL="0" distR="0" wp14:anchorId="56174A9C" wp14:editId="56962E45">
            <wp:extent cx="2264664" cy="261213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 FIG2_Frontiers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664" cy="261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3CAA6" w14:textId="77777777" w:rsidR="008106D8" w:rsidRPr="00957BF3" w:rsidRDefault="008106D8" w:rsidP="008106D8">
      <w:pPr>
        <w:jc w:val="both"/>
        <w:rPr>
          <w:b/>
        </w:rPr>
      </w:pPr>
      <w:r>
        <w:rPr>
          <w:b/>
        </w:rPr>
        <w:t xml:space="preserve">Supplementary Figure 2: Reduced </w:t>
      </w:r>
      <w:r w:rsidRPr="00957BF3">
        <w:rPr>
          <w:b/>
        </w:rPr>
        <w:t>HDAC expression by HDAC siRNA in SH-SY5Y cells.</w:t>
      </w:r>
    </w:p>
    <w:p w14:paraId="39C22476" w14:textId="77777777" w:rsidR="008106D8" w:rsidRPr="006060AF" w:rsidRDefault="008106D8" w:rsidP="008106D8">
      <w:pPr>
        <w:jc w:val="both"/>
      </w:pPr>
      <w:r>
        <w:t xml:space="preserve">Graph showing the quantification of HDAC5 and HDAC9 expression in SH-SY5Y cells, 24h post-transfection with 25nM of siRNAs against HDAC5 (siHDAC5) or HDAC9 (siHDAC9) compared to cells transfected with a scrambled control siRNA (siSCR). </w:t>
      </w:r>
      <w:r w:rsidRPr="00FA48EC">
        <w:rPr>
          <w:spacing w:val="3"/>
          <w:shd w:val="clear" w:color="auto" w:fill="FFFFFF"/>
        </w:rPr>
        <w:t xml:space="preserve">Data </w:t>
      </w:r>
      <w:r>
        <w:rPr>
          <w:spacing w:val="3"/>
          <w:shd w:val="clear" w:color="auto" w:fill="FFFFFF"/>
        </w:rPr>
        <w:t xml:space="preserve">are presented as the </w:t>
      </w:r>
      <w:r w:rsidRPr="00FA48EC">
        <w:rPr>
          <w:spacing w:val="3"/>
          <w:shd w:val="clear" w:color="auto" w:fill="FFFFFF"/>
        </w:rPr>
        <w:t>mean ± SEM</w:t>
      </w:r>
      <w:r>
        <w:rPr>
          <w:spacing w:val="3"/>
          <w:shd w:val="clear" w:color="auto" w:fill="FFFFFF"/>
        </w:rPr>
        <w:t xml:space="preserve"> as a percentage of the GFP control of</w:t>
      </w:r>
      <w:r w:rsidRPr="00FA48EC">
        <w:rPr>
          <w:spacing w:val="3"/>
          <w:shd w:val="clear" w:color="auto" w:fill="FFFFFF"/>
        </w:rPr>
        <w:t xml:space="preserve"> </w:t>
      </w:r>
      <w:r w:rsidRPr="00FA48EC">
        <w:rPr>
          <w:i/>
          <w:spacing w:val="3"/>
          <w:shd w:val="clear" w:color="auto" w:fill="FFFFFF"/>
        </w:rPr>
        <w:t xml:space="preserve">n </w:t>
      </w:r>
      <w:r w:rsidRPr="00FA48EC">
        <w:rPr>
          <w:spacing w:val="3"/>
          <w:shd w:val="clear" w:color="auto" w:fill="FFFFFF"/>
        </w:rPr>
        <w:t xml:space="preserve">= 3 </w:t>
      </w:r>
      <w:r>
        <w:rPr>
          <w:spacing w:val="3"/>
          <w:shd w:val="clear" w:color="auto" w:fill="FFFFFF"/>
        </w:rPr>
        <w:t>independent experiments</w:t>
      </w:r>
      <w:r w:rsidRPr="00FA48EC">
        <w:rPr>
          <w:spacing w:val="3"/>
          <w:shd w:val="clear" w:color="auto" w:fill="FFFFFF"/>
        </w:rPr>
        <w:t xml:space="preserve">. </w:t>
      </w:r>
      <w:r>
        <w:rPr>
          <w:spacing w:val="3"/>
          <w:shd w:val="clear" w:color="auto" w:fill="FFFFFF"/>
        </w:rPr>
        <w:t>*</w:t>
      </w:r>
      <w:r w:rsidRPr="00FA48EC">
        <w:rPr>
          <w:i/>
          <w:iCs/>
          <w:spacing w:val="3"/>
        </w:rPr>
        <w:t>p</w:t>
      </w:r>
      <w:r>
        <w:rPr>
          <w:spacing w:val="3"/>
          <w:shd w:val="clear" w:color="auto" w:fill="FFFFFF"/>
        </w:rPr>
        <w:t> &lt; 0.05, **</w:t>
      </w:r>
      <w:r w:rsidRPr="00FA48EC">
        <w:rPr>
          <w:i/>
          <w:iCs/>
          <w:spacing w:val="3"/>
        </w:rPr>
        <w:t>p</w:t>
      </w:r>
      <w:r>
        <w:rPr>
          <w:spacing w:val="3"/>
          <w:shd w:val="clear" w:color="auto" w:fill="FFFFFF"/>
        </w:rPr>
        <w:t> &lt; 0.01, ***</w:t>
      </w:r>
      <w:r w:rsidRPr="00FA48EC">
        <w:rPr>
          <w:i/>
          <w:iCs/>
          <w:spacing w:val="3"/>
        </w:rPr>
        <w:t>p</w:t>
      </w:r>
      <w:r>
        <w:rPr>
          <w:spacing w:val="3"/>
          <w:shd w:val="clear" w:color="auto" w:fill="FFFFFF"/>
        </w:rPr>
        <w:t> &lt; 0.001 vs Control</w:t>
      </w:r>
      <w:r w:rsidRPr="00FA48EC">
        <w:rPr>
          <w:spacing w:val="3"/>
          <w:shd w:val="clear" w:color="auto" w:fill="FFFFFF"/>
        </w:rPr>
        <w:t xml:space="preserve">; </w:t>
      </w:r>
      <w:r>
        <w:rPr>
          <w:spacing w:val="3"/>
          <w:shd w:val="clear" w:color="auto" w:fill="FFFFFF"/>
        </w:rPr>
        <w:t>###</w:t>
      </w:r>
      <w:r w:rsidRPr="00FA48EC">
        <w:rPr>
          <w:i/>
          <w:iCs/>
          <w:spacing w:val="3"/>
        </w:rPr>
        <w:t>p</w:t>
      </w:r>
      <w:r w:rsidRPr="00FA48EC">
        <w:rPr>
          <w:spacing w:val="3"/>
          <w:shd w:val="clear" w:color="auto" w:fill="FFFFFF"/>
        </w:rPr>
        <w:t xml:space="preserve"> &lt; 0.001 vs siSCR </w:t>
      </w:r>
      <w:r>
        <w:rPr>
          <w:spacing w:val="3"/>
          <w:shd w:val="clear" w:color="auto" w:fill="FFFFFF"/>
        </w:rPr>
        <w:t xml:space="preserve">plus WT or A53T </w:t>
      </w:r>
      <w:r>
        <w:rPr>
          <w:spacing w:val="3"/>
          <w:shd w:val="clear" w:color="auto" w:fill="FFFFFF"/>
        </w:rPr>
        <w:sym w:font="Symbol" w:char="F061"/>
      </w:r>
      <w:r>
        <w:rPr>
          <w:spacing w:val="3"/>
          <w:shd w:val="clear" w:color="auto" w:fill="FFFFFF"/>
        </w:rPr>
        <w:t xml:space="preserve">-synuclein: </w:t>
      </w:r>
      <w:r>
        <w:t>O</w:t>
      </w:r>
      <w:r w:rsidRPr="000F4456">
        <w:t xml:space="preserve">ne-way ANOVA </w:t>
      </w:r>
      <w:r>
        <w:t>with</w:t>
      </w:r>
      <w:r w:rsidRPr="000F4456">
        <w:t xml:space="preserve"> </w:t>
      </w:r>
      <w:r>
        <w:t>Tukey’s</w:t>
      </w:r>
      <w:r w:rsidRPr="000F4456">
        <w:t> </w:t>
      </w:r>
      <w:r w:rsidRPr="000F4456">
        <w:rPr>
          <w:i/>
          <w:iCs/>
        </w:rPr>
        <w:t>post hoc</w:t>
      </w:r>
      <w:r w:rsidRPr="000F4456">
        <w:t> test</w:t>
      </w:r>
      <w:r>
        <w:t>.</w:t>
      </w:r>
      <w:r>
        <w:rPr>
          <w:spacing w:val="3"/>
          <w:shd w:val="clear" w:color="auto" w:fill="FFFFFF"/>
        </w:rPr>
        <w:t xml:space="preserve"> </w:t>
      </w:r>
    </w:p>
    <w:p w14:paraId="7B65BC41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10"/>
      <w:footerReference w:type="even" r:id="rId11"/>
      <w:footerReference w:type="default" r:id="rId12"/>
      <w:headerReference w:type="first" r:id="rId13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5B2B5" w14:textId="77777777" w:rsidR="00410D4E" w:rsidRDefault="00410D4E" w:rsidP="00117666">
      <w:pPr>
        <w:spacing w:after="0"/>
      </w:pPr>
      <w:r>
        <w:separator/>
      </w:r>
    </w:p>
  </w:endnote>
  <w:endnote w:type="continuationSeparator" w:id="0">
    <w:p w14:paraId="195CDF4D" w14:textId="77777777" w:rsidR="00410D4E" w:rsidRDefault="00410D4E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A0485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A0485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106D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106D8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1F164" w14:textId="77777777" w:rsidR="00410D4E" w:rsidRDefault="00410D4E" w:rsidP="00117666">
      <w:pPr>
        <w:spacing w:after="0"/>
      </w:pPr>
      <w:r>
        <w:separator/>
      </w:r>
    </w:p>
  </w:footnote>
  <w:footnote w:type="continuationSeparator" w:id="0">
    <w:p w14:paraId="35FE9AAF" w14:textId="77777777" w:rsidR="00410D4E" w:rsidRDefault="00410D4E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D68C6" w14:textId="77777777" w:rsidR="00995F6A" w:rsidRDefault="0093429D" w:rsidP="0093429D">
    <w:r w:rsidRPr="005A1D84">
      <w:rPr>
        <w:b/>
        <w:noProof/>
        <w:color w:val="A6A6A6" w:themeColor="background1" w:themeShade="A6"/>
        <w:lang w:val="en-IE" w:eastAsia="en-IE"/>
      </w:rPr>
      <w:drawing>
        <wp:inline distT="0" distB="0" distL="0" distR="0" wp14:anchorId="07D26A56" wp14:editId="2E460F0E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A0485"/>
    <w:rsid w:val="002B4A57"/>
    <w:rsid w:val="002C74CA"/>
    <w:rsid w:val="003123F4"/>
    <w:rsid w:val="003544FB"/>
    <w:rsid w:val="003D2F2D"/>
    <w:rsid w:val="003D43CF"/>
    <w:rsid w:val="00401590"/>
    <w:rsid w:val="00410D4E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06D8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63A42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D663B99-5FBE-44C9-ADFF-F3885920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 Media SA</dc:creator>
  <cp:lastModifiedBy>O'Keeffe, Gerard</cp:lastModifiedBy>
  <cp:revision>4</cp:revision>
  <cp:lastPrinted>2013-10-03T12:51:00Z</cp:lastPrinted>
  <dcterms:created xsi:type="dcterms:W3CDTF">2019-06-14T09:44:00Z</dcterms:created>
  <dcterms:modified xsi:type="dcterms:W3CDTF">2019-06-14T13:00:00Z</dcterms:modified>
</cp:coreProperties>
</file>