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A66" w:rsidRPr="001F08CF" w:rsidRDefault="009B7A66" w:rsidP="009B7A66">
      <w:pPr>
        <w:spacing w:line="360" w:lineRule="auto"/>
        <w:ind w:left="284" w:hanging="284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1F08CF">
        <w:rPr>
          <w:rFonts w:ascii="Times New Roman" w:hAnsi="Times New Roman"/>
          <w:b/>
          <w:sz w:val="28"/>
          <w:szCs w:val="28"/>
          <w:lang w:val="en-US"/>
        </w:rPr>
        <w:t>Online supplement</w:t>
      </w:r>
    </w:p>
    <w:p w:rsidR="009B7A66" w:rsidRPr="008E16F5" w:rsidRDefault="009B7A66" w:rsidP="009B7A66">
      <w:pPr>
        <w:spacing w:before="240" w:line="360" w:lineRule="auto"/>
        <w:jc w:val="both"/>
        <w:rPr>
          <w:rFonts w:ascii="Times New Roman" w:eastAsia="Times New Roman" w:hAnsi="Times New Roman"/>
          <w:b/>
          <w:sz w:val="22"/>
          <w:szCs w:val="22"/>
          <w:lang w:val="en-GB"/>
        </w:rPr>
      </w:pPr>
      <w:r w:rsidRPr="008E16F5">
        <w:rPr>
          <w:rFonts w:ascii="Times New Roman" w:eastAsia="Times New Roman" w:hAnsi="Times New Roman"/>
          <w:b/>
          <w:sz w:val="22"/>
          <w:szCs w:val="22"/>
          <w:lang w:val="en-GB"/>
        </w:rPr>
        <w:t xml:space="preserve">Online Table 1: Medications studied </w:t>
      </w:r>
    </w:p>
    <w:p w:rsidR="009B7A66" w:rsidRPr="008E16F5" w:rsidRDefault="009B7A66" w:rsidP="009B7A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line="360" w:lineRule="auto"/>
        <w:jc w:val="both"/>
        <w:rPr>
          <w:rFonts w:ascii="Times New Roman" w:hAnsi="Times New Roman"/>
          <w:sz w:val="22"/>
          <w:szCs w:val="22"/>
          <w:lang w:val="en-US"/>
        </w:rPr>
      </w:pPr>
      <w:r w:rsidRPr="008E16F5">
        <w:rPr>
          <w:rFonts w:ascii="Times New Roman" w:hAnsi="Times New Roman"/>
          <w:sz w:val="22"/>
          <w:szCs w:val="22"/>
          <w:lang w:val="en-US"/>
        </w:rPr>
        <w:t xml:space="preserve">The study was focused on the 4 most commonly used intra-nasal medications containing corticosteroids (Fluticasone </w:t>
      </w:r>
      <w:proofErr w:type="spellStart"/>
      <w:r w:rsidRPr="008E16F5">
        <w:rPr>
          <w:rFonts w:ascii="Times New Roman" w:hAnsi="Times New Roman"/>
          <w:sz w:val="22"/>
          <w:szCs w:val="22"/>
          <w:lang w:val="en-US"/>
        </w:rPr>
        <w:t>Furoate</w:t>
      </w:r>
      <w:proofErr w:type="spellEnd"/>
      <w:r w:rsidRPr="008E16F5">
        <w:rPr>
          <w:rFonts w:ascii="Times New Roman" w:hAnsi="Times New Roman"/>
          <w:sz w:val="22"/>
          <w:szCs w:val="22"/>
          <w:lang w:val="en-US"/>
        </w:rPr>
        <w:t xml:space="preserve"> (FF), Fluticasone Propionate (FP), </w:t>
      </w:r>
      <w:proofErr w:type="spellStart"/>
      <w:r w:rsidRPr="008E16F5">
        <w:rPr>
          <w:rFonts w:ascii="Times New Roman" w:hAnsi="Times New Roman"/>
          <w:sz w:val="22"/>
          <w:szCs w:val="22"/>
          <w:lang w:val="en-US"/>
        </w:rPr>
        <w:t>Mometasone</w:t>
      </w:r>
      <w:proofErr w:type="spellEnd"/>
      <w:r w:rsidRPr="008E16F5">
        <w:rPr>
          <w:rFonts w:ascii="Times New Roman" w:hAnsi="Times New Roman"/>
          <w:sz w:val="22"/>
          <w:szCs w:val="22"/>
          <w:lang w:val="en-US"/>
        </w:rPr>
        <w:t xml:space="preserve"> </w:t>
      </w:r>
      <w:proofErr w:type="spellStart"/>
      <w:r w:rsidRPr="008E16F5">
        <w:rPr>
          <w:rFonts w:ascii="Times New Roman" w:hAnsi="Times New Roman"/>
          <w:sz w:val="22"/>
          <w:szCs w:val="22"/>
          <w:lang w:val="en-US"/>
        </w:rPr>
        <w:t>Furoate</w:t>
      </w:r>
      <w:proofErr w:type="spellEnd"/>
      <w:r w:rsidRPr="008E16F5">
        <w:rPr>
          <w:rFonts w:ascii="Times New Roman" w:hAnsi="Times New Roman"/>
          <w:sz w:val="22"/>
          <w:szCs w:val="22"/>
          <w:lang w:val="en-US"/>
        </w:rPr>
        <w:t xml:space="preserve"> (MF) and </w:t>
      </w:r>
      <w:proofErr w:type="spellStart"/>
      <w:r w:rsidRPr="008E16F5">
        <w:rPr>
          <w:rFonts w:ascii="Times New Roman" w:hAnsi="Times New Roman"/>
          <w:sz w:val="22"/>
          <w:szCs w:val="22"/>
          <w:lang w:val="en-GB"/>
        </w:rPr>
        <w:t>Azelastine</w:t>
      </w:r>
      <w:proofErr w:type="spellEnd"/>
      <w:r w:rsidRPr="008E16F5">
        <w:rPr>
          <w:rFonts w:ascii="Times New Roman" w:hAnsi="Times New Roman"/>
          <w:sz w:val="22"/>
          <w:szCs w:val="22"/>
          <w:lang w:val="en-GB"/>
        </w:rPr>
        <w:t xml:space="preserve"> Fluticasone </w:t>
      </w:r>
      <w:proofErr w:type="spellStart"/>
      <w:r w:rsidRPr="008E16F5">
        <w:rPr>
          <w:rFonts w:ascii="Times New Roman" w:hAnsi="Times New Roman"/>
          <w:sz w:val="22"/>
          <w:szCs w:val="22"/>
          <w:lang w:val="en-GB"/>
        </w:rPr>
        <w:t>Proprionate</w:t>
      </w:r>
      <w:proofErr w:type="spellEnd"/>
      <w:r w:rsidRPr="008E16F5">
        <w:rPr>
          <w:rFonts w:ascii="Times New Roman" w:hAnsi="Times New Roman"/>
          <w:sz w:val="22"/>
          <w:szCs w:val="22"/>
          <w:lang w:val="en-GB"/>
        </w:rPr>
        <w:t xml:space="preserve"> combination (</w:t>
      </w:r>
      <w:proofErr w:type="spellStart"/>
      <w:r w:rsidRPr="008E16F5">
        <w:rPr>
          <w:rFonts w:ascii="Times New Roman" w:hAnsi="Times New Roman"/>
          <w:sz w:val="22"/>
          <w:szCs w:val="22"/>
          <w:lang w:val="en-GB"/>
        </w:rPr>
        <w:t>MPAzeFlu</w:t>
      </w:r>
      <w:proofErr w:type="spellEnd"/>
      <w:r w:rsidRPr="008E16F5">
        <w:rPr>
          <w:rFonts w:ascii="Times New Roman" w:hAnsi="Times New Roman"/>
          <w:sz w:val="22"/>
          <w:szCs w:val="22"/>
          <w:lang w:val="en-GB"/>
        </w:rPr>
        <w:t xml:space="preserve">)), </w:t>
      </w:r>
      <w:r w:rsidRPr="008E16F5">
        <w:rPr>
          <w:rFonts w:ascii="Times New Roman" w:hAnsi="Times New Roman"/>
          <w:sz w:val="22"/>
          <w:szCs w:val="22"/>
          <w:lang w:val="en-US"/>
        </w:rPr>
        <w:t>8 commonly used oral H1-antihistamines (</w:t>
      </w:r>
      <w:proofErr w:type="spellStart"/>
      <w:r w:rsidRPr="008E16F5">
        <w:rPr>
          <w:rFonts w:ascii="Times New Roman" w:hAnsi="Times New Roman"/>
          <w:sz w:val="22"/>
          <w:szCs w:val="22"/>
          <w:lang w:val="en-US"/>
        </w:rPr>
        <w:t>Bilastine</w:t>
      </w:r>
      <w:proofErr w:type="spellEnd"/>
      <w:r w:rsidRPr="008E16F5">
        <w:rPr>
          <w:rFonts w:ascii="Times New Roman" w:hAnsi="Times New Roman"/>
          <w:sz w:val="22"/>
          <w:szCs w:val="22"/>
          <w:lang w:val="en-US"/>
        </w:rPr>
        <w:t xml:space="preserve">, Cetirizine (CET), </w:t>
      </w:r>
      <w:proofErr w:type="spellStart"/>
      <w:r w:rsidRPr="008E16F5">
        <w:rPr>
          <w:rFonts w:ascii="Times New Roman" w:hAnsi="Times New Roman"/>
          <w:sz w:val="22"/>
          <w:szCs w:val="22"/>
          <w:lang w:val="en-US"/>
        </w:rPr>
        <w:t>Desloratadine</w:t>
      </w:r>
      <w:proofErr w:type="spellEnd"/>
      <w:r w:rsidRPr="008E16F5">
        <w:rPr>
          <w:rFonts w:ascii="Times New Roman" w:hAnsi="Times New Roman"/>
          <w:sz w:val="22"/>
          <w:szCs w:val="22"/>
          <w:lang w:val="en-US"/>
        </w:rPr>
        <w:t xml:space="preserve"> (DL), </w:t>
      </w:r>
      <w:proofErr w:type="spellStart"/>
      <w:r w:rsidRPr="008E16F5">
        <w:rPr>
          <w:rFonts w:ascii="Times New Roman" w:hAnsi="Times New Roman"/>
          <w:sz w:val="22"/>
          <w:szCs w:val="22"/>
          <w:lang w:val="en-US"/>
        </w:rPr>
        <w:t>Ebastine</w:t>
      </w:r>
      <w:proofErr w:type="spellEnd"/>
      <w:r w:rsidRPr="008E16F5">
        <w:rPr>
          <w:rFonts w:ascii="Times New Roman" w:hAnsi="Times New Roman"/>
          <w:sz w:val="22"/>
          <w:szCs w:val="22"/>
          <w:lang w:val="en-US"/>
        </w:rPr>
        <w:t xml:space="preserve">, Fexofenadine (FEXO), </w:t>
      </w:r>
      <w:proofErr w:type="spellStart"/>
      <w:r w:rsidRPr="008E16F5">
        <w:rPr>
          <w:rFonts w:ascii="Times New Roman" w:hAnsi="Times New Roman"/>
          <w:sz w:val="22"/>
          <w:szCs w:val="22"/>
          <w:lang w:val="en-US"/>
        </w:rPr>
        <w:t>Levocetirizine</w:t>
      </w:r>
      <w:proofErr w:type="spellEnd"/>
      <w:r w:rsidRPr="008E16F5">
        <w:rPr>
          <w:rFonts w:ascii="Times New Roman" w:hAnsi="Times New Roman"/>
          <w:sz w:val="22"/>
          <w:szCs w:val="22"/>
          <w:lang w:val="en-US"/>
        </w:rPr>
        <w:t xml:space="preserve"> (LEVOCET), </w:t>
      </w:r>
      <w:proofErr w:type="spellStart"/>
      <w:r w:rsidRPr="008E16F5">
        <w:rPr>
          <w:rFonts w:ascii="Times New Roman" w:hAnsi="Times New Roman"/>
          <w:sz w:val="22"/>
          <w:szCs w:val="22"/>
          <w:lang w:val="en-US"/>
        </w:rPr>
        <w:t>Loratadine</w:t>
      </w:r>
      <w:proofErr w:type="spellEnd"/>
      <w:r w:rsidRPr="008E16F5">
        <w:rPr>
          <w:rFonts w:ascii="Times New Roman" w:hAnsi="Times New Roman"/>
          <w:sz w:val="22"/>
          <w:szCs w:val="22"/>
          <w:lang w:val="en-US"/>
        </w:rPr>
        <w:t xml:space="preserve"> (Lora) and </w:t>
      </w:r>
      <w:proofErr w:type="spellStart"/>
      <w:r w:rsidRPr="008E16F5">
        <w:rPr>
          <w:rFonts w:ascii="Times New Roman" w:hAnsi="Times New Roman"/>
          <w:sz w:val="22"/>
          <w:szCs w:val="22"/>
          <w:lang w:val="en-US"/>
        </w:rPr>
        <w:t>Rupatadine</w:t>
      </w:r>
      <w:proofErr w:type="spellEnd"/>
      <w:r w:rsidRPr="008E16F5">
        <w:rPr>
          <w:rFonts w:ascii="Times New Roman" w:hAnsi="Times New Roman"/>
          <w:sz w:val="22"/>
          <w:szCs w:val="22"/>
          <w:lang w:val="en-US"/>
        </w:rPr>
        <w:t>), and any oral corticosteroids.</w:t>
      </w:r>
    </w:p>
    <w:p w:rsidR="009B7A66" w:rsidRPr="008E16F5" w:rsidRDefault="009B7A66" w:rsidP="009B7A66">
      <w:pPr>
        <w:spacing w:before="240" w:line="360" w:lineRule="auto"/>
        <w:ind w:left="284" w:hanging="284"/>
        <w:jc w:val="both"/>
        <w:rPr>
          <w:rFonts w:ascii="Times New Roman" w:hAnsi="Times New Roman"/>
          <w:b/>
          <w:spacing w:val="2"/>
          <w:sz w:val="22"/>
          <w:szCs w:val="22"/>
          <w:shd w:val="clear" w:color="auto" w:fill="FCFCFC"/>
          <w:lang w:val="en-US" w:eastAsia="fr-FR"/>
        </w:rPr>
      </w:pPr>
    </w:p>
    <w:p w:rsidR="009B7A66" w:rsidRPr="008E16F5" w:rsidRDefault="009B7A66" w:rsidP="009B7A66">
      <w:pPr>
        <w:spacing w:before="240" w:line="360" w:lineRule="auto"/>
        <w:ind w:left="284" w:hanging="284"/>
        <w:jc w:val="both"/>
        <w:rPr>
          <w:rFonts w:ascii="Times New Roman" w:hAnsi="Times New Roman"/>
          <w:b/>
          <w:sz w:val="22"/>
          <w:szCs w:val="22"/>
          <w:lang w:val="en-US"/>
        </w:rPr>
      </w:pPr>
      <w:r w:rsidRPr="008E16F5">
        <w:rPr>
          <w:rFonts w:ascii="Times New Roman" w:hAnsi="Times New Roman"/>
          <w:b/>
          <w:spacing w:val="2"/>
          <w:sz w:val="22"/>
          <w:szCs w:val="22"/>
          <w:shd w:val="clear" w:color="auto" w:fill="FCFCFC"/>
          <w:lang w:val="en-US" w:eastAsia="fr-FR"/>
        </w:rPr>
        <w:t xml:space="preserve">Online </w:t>
      </w:r>
      <w:r w:rsidRPr="008E16F5">
        <w:rPr>
          <w:rFonts w:ascii="Times New Roman" w:hAnsi="Times New Roman"/>
          <w:b/>
          <w:sz w:val="22"/>
          <w:szCs w:val="22"/>
          <w:lang w:val="en-US"/>
        </w:rPr>
        <w:t xml:space="preserve">Table 2. </w:t>
      </w:r>
      <w:r w:rsidRPr="00EE1CBA">
        <w:rPr>
          <w:rFonts w:ascii="Times New Roman" w:hAnsi="Times New Roman"/>
          <w:b/>
          <w:sz w:val="22"/>
          <w:szCs w:val="22"/>
          <w:lang w:val="en-US"/>
        </w:rPr>
        <w:t xml:space="preserve">Within-subject </w:t>
      </w:r>
      <w:r>
        <w:rPr>
          <w:rFonts w:ascii="Times New Roman" w:hAnsi="Times New Roman"/>
          <w:b/>
          <w:sz w:val="22"/>
          <w:szCs w:val="22"/>
          <w:lang w:val="en-US"/>
        </w:rPr>
        <w:t>c</w:t>
      </w:r>
      <w:r w:rsidRPr="008E16F5">
        <w:rPr>
          <w:rFonts w:ascii="Times New Roman" w:hAnsi="Times New Roman"/>
          <w:b/>
          <w:sz w:val="22"/>
          <w:szCs w:val="22"/>
          <w:lang w:val="en-US"/>
        </w:rPr>
        <w:t xml:space="preserve">orrelations between </w:t>
      </w:r>
      <w:r w:rsidRPr="00EE1CBA">
        <w:rPr>
          <w:rFonts w:ascii="Times New Roman" w:hAnsi="Times New Roman"/>
          <w:b/>
          <w:sz w:val="22"/>
          <w:szCs w:val="22"/>
          <w:lang w:val="en-US"/>
        </w:rPr>
        <w:t>VAS work and other rhinitis scores</w:t>
      </w:r>
      <w:r>
        <w:rPr>
          <w:rFonts w:ascii="Times New Roman" w:hAnsi="Times New Roman"/>
          <w:b/>
          <w:sz w:val="22"/>
          <w:szCs w:val="22"/>
          <w:lang w:val="en-US"/>
        </w:rPr>
        <w:t xml:space="preserve"> </w:t>
      </w:r>
      <w:r w:rsidRPr="008E16F5">
        <w:rPr>
          <w:rFonts w:ascii="Times New Roman" w:hAnsi="Times New Roman"/>
          <w:b/>
          <w:sz w:val="22"/>
          <w:szCs w:val="22"/>
          <w:lang w:val="en-US"/>
        </w:rPr>
        <w:t xml:space="preserve">after exclusion of person-days with low </w:t>
      </w:r>
      <w:r w:rsidRPr="00EE1CBA">
        <w:rPr>
          <w:rFonts w:ascii="Times New Roman" w:hAnsi="Times New Roman"/>
          <w:b/>
          <w:sz w:val="22"/>
          <w:szCs w:val="22"/>
          <w:lang w:val="en-US"/>
        </w:rPr>
        <w:t xml:space="preserve">intra-individual response </w:t>
      </w:r>
      <w:r w:rsidRPr="008E16F5">
        <w:rPr>
          <w:rFonts w:ascii="Times New Roman" w:hAnsi="Times New Roman"/>
          <w:b/>
          <w:sz w:val="22"/>
          <w:szCs w:val="22"/>
          <w:lang w:val="en-US"/>
        </w:rPr>
        <w:t>variability (IRV</w:t>
      </w:r>
      <w:r w:rsidRPr="008E16F5">
        <w:rPr>
          <w:rFonts w:ascii="Times New Roman" w:hAnsi="Times New Roman"/>
          <w:b/>
          <w:sz w:val="22"/>
          <w:szCs w:val="22"/>
          <w:lang w:val="en-US"/>
        </w:rPr>
        <w:sym w:font="Symbol" w:char="F0A3"/>
      </w:r>
      <w:r w:rsidRPr="008E16F5">
        <w:rPr>
          <w:rFonts w:ascii="Times New Roman" w:hAnsi="Times New Roman"/>
          <w:b/>
          <w:sz w:val="22"/>
          <w:szCs w:val="22"/>
          <w:lang w:val="en-US"/>
        </w:rPr>
        <w:t>3.6)</w:t>
      </w:r>
      <w:r w:rsidRPr="008E16F5">
        <w:rPr>
          <w:rFonts w:ascii="Times New Roman" w:hAnsi="Times New Roman"/>
          <w:sz w:val="22"/>
          <w:szCs w:val="22"/>
          <w:lang w:val="en-US"/>
        </w:rPr>
        <w:t xml:space="preserve"> </w:t>
      </w:r>
    </w:p>
    <w:tbl>
      <w:tblPr>
        <w:tblpPr w:leftFromText="141" w:rightFromText="141" w:vertAnchor="text" w:horzAnchor="margin" w:tblpXSpec="center" w:tblpY="252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16"/>
        <w:gridCol w:w="999"/>
        <w:gridCol w:w="1189"/>
        <w:gridCol w:w="1094"/>
        <w:gridCol w:w="944"/>
        <w:gridCol w:w="901"/>
        <w:gridCol w:w="41"/>
        <w:gridCol w:w="1077"/>
        <w:gridCol w:w="1515"/>
      </w:tblGrid>
      <w:tr w:rsidR="009452E5" w:rsidRPr="008E16F5" w:rsidTr="009452E5">
        <w:trPr>
          <w:trHeight w:val="558"/>
        </w:trPr>
        <w:tc>
          <w:tcPr>
            <w:tcW w:w="2016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bookmarkStart w:id="0" w:name="_GoBack"/>
            <w:bookmarkEnd w:id="0"/>
          </w:p>
        </w:tc>
        <w:tc>
          <w:tcPr>
            <w:tcW w:w="6245" w:type="dxa"/>
            <w:gridSpan w:val="7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Continuous scores</w:t>
            </w:r>
          </w:p>
        </w:tc>
        <w:tc>
          <w:tcPr>
            <w:tcW w:w="1515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Binary score</w:t>
            </w:r>
          </w:p>
        </w:tc>
      </w:tr>
      <w:tr w:rsidR="009452E5" w:rsidRPr="008E16F5" w:rsidTr="009452E5">
        <w:tc>
          <w:tcPr>
            <w:tcW w:w="2016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</w:p>
        </w:tc>
        <w:tc>
          <w:tcPr>
            <w:tcW w:w="999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Number of days</w:t>
            </w:r>
          </w:p>
        </w:tc>
        <w:tc>
          <w:tcPr>
            <w:tcW w:w="1189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VAS global</w:t>
            </w:r>
          </w:p>
        </w:tc>
        <w:tc>
          <w:tcPr>
            <w:tcW w:w="1094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VAS nose</w:t>
            </w:r>
          </w:p>
        </w:tc>
        <w:tc>
          <w:tcPr>
            <w:tcW w:w="944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VAS eyes</w:t>
            </w:r>
          </w:p>
        </w:tc>
        <w:tc>
          <w:tcPr>
            <w:tcW w:w="901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VAS asthma</w:t>
            </w:r>
          </w:p>
        </w:tc>
        <w:tc>
          <w:tcPr>
            <w:tcW w:w="1118" w:type="dxa"/>
            <w:gridSpan w:val="2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 xml:space="preserve"> </w:t>
            </w:r>
            <w:proofErr w:type="spellStart"/>
            <w:r w:rsidRPr="008E16F5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mCSMS</w:t>
            </w:r>
            <w:proofErr w:type="spellEnd"/>
          </w:p>
        </w:tc>
        <w:tc>
          <w:tcPr>
            <w:tcW w:w="1515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b/>
                <w:sz w:val="22"/>
                <w:szCs w:val="22"/>
                <w:highlight w:val="cyan"/>
                <w:lang w:val="en-GB"/>
              </w:rPr>
            </w:pPr>
            <w:r w:rsidRPr="008E16F5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MASK control score</w:t>
            </w:r>
          </w:p>
        </w:tc>
      </w:tr>
      <w:tr w:rsidR="009452E5" w:rsidRPr="008E16F5" w:rsidTr="009452E5">
        <w:tc>
          <w:tcPr>
            <w:tcW w:w="2016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Median, 25-75% (continuous outcomes) or % (binary outcome)</w:t>
            </w:r>
          </w:p>
        </w:tc>
        <w:tc>
          <w:tcPr>
            <w:tcW w:w="999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75,192</w:t>
            </w:r>
          </w:p>
        </w:tc>
        <w:tc>
          <w:tcPr>
            <w:tcW w:w="1189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16 [0-36]</w:t>
            </w:r>
          </w:p>
        </w:tc>
        <w:tc>
          <w:tcPr>
            <w:tcW w:w="1094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17 [0-37]</w:t>
            </w:r>
          </w:p>
        </w:tc>
        <w:tc>
          <w:tcPr>
            <w:tcW w:w="944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4 [0-23]</w:t>
            </w:r>
          </w:p>
        </w:tc>
        <w:tc>
          <w:tcPr>
            <w:tcW w:w="942" w:type="dxa"/>
            <w:gridSpan w:val="2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0 [0-11]</w:t>
            </w:r>
          </w:p>
        </w:tc>
        <w:tc>
          <w:tcPr>
            <w:tcW w:w="1077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29 [6-62]</w:t>
            </w:r>
          </w:p>
        </w:tc>
        <w:tc>
          <w:tcPr>
            <w:tcW w:w="1515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80% controlled</w:t>
            </w:r>
          </w:p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20% uncontrolled</w:t>
            </w:r>
          </w:p>
        </w:tc>
      </w:tr>
      <w:tr w:rsidR="009452E5" w:rsidRPr="008E16F5" w:rsidTr="009452E5">
        <w:tc>
          <w:tcPr>
            <w:tcW w:w="2016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Within-subject correlation with VAS work</w:t>
            </w:r>
          </w:p>
        </w:tc>
        <w:tc>
          <w:tcPr>
            <w:tcW w:w="999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75,192</w:t>
            </w:r>
          </w:p>
        </w:tc>
        <w:tc>
          <w:tcPr>
            <w:tcW w:w="1189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0.70</w:t>
            </w:r>
          </w:p>
        </w:tc>
        <w:tc>
          <w:tcPr>
            <w:tcW w:w="1094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0.64</w:t>
            </w:r>
          </w:p>
        </w:tc>
        <w:tc>
          <w:tcPr>
            <w:tcW w:w="944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0.51</w:t>
            </w:r>
          </w:p>
        </w:tc>
        <w:tc>
          <w:tcPr>
            <w:tcW w:w="942" w:type="dxa"/>
            <w:gridSpan w:val="2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0.39</w:t>
            </w:r>
          </w:p>
        </w:tc>
        <w:tc>
          <w:tcPr>
            <w:tcW w:w="1077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0.55</w:t>
            </w:r>
          </w:p>
        </w:tc>
        <w:tc>
          <w:tcPr>
            <w:tcW w:w="1515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0.52</w:t>
            </w:r>
          </w:p>
        </w:tc>
      </w:tr>
      <w:tr w:rsidR="009452E5" w:rsidRPr="008E16F5" w:rsidTr="009452E5">
        <w:tc>
          <w:tcPr>
            <w:tcW w:w="2016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Variance explained in VAS work</w:t>
            </w:r>
          </w:p>
        </w:tc>
        <w:tc>
          <w:tcPr>
            <w:tcW w:w="999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75,192</w:t>
            </w:r>
          </w:p>
        </w:tc>
        <w:tc>
          <w:tcPr>
            <w:tcW w:w="1189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0.49</w:t>
            </w:r>
          </w:p>
        </w:tc>
        <w:tc>
          <w:tcPr>
            <w:tcW w:w="1094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0.40</w:t>
            </w:r>
          </w:p>
        </w:tc>
        <w:tc>
          <w:tcPr>
            <w:tcW w:w="944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0.26</w:t>
            </w:r>
          </w:p>
        </w:tc>
        <w:tc>
          <w:tcPr>
            <w:tcW w:w="942" w:type="dxa"/>
            <w:gridSpan w:val="2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0.15</w:t>
            </w:r>
          </w:p>
        </w:tc>
        <w:tc>
          <w:tcPr>
            <w:tcW w:w="1077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0.30</w:t>
            </w:r>
          </w:p>
        </w:tc>
        <w:tc>
          <w:tcPr>
            <w:tcW w:w="1515" w:type="dxa"/>
            <w:shd w:val="clear" w:color="auto" w:fill="auto"/>
          </w:tcPr>
          <w:p w:rsidR="009452E5" w:rsidRPr="008E16F5" w:rsidRDefault="009452E5" w:rsidP="009452E5">
            <w:pPr>
              <w:spacing w:line="276" w:lineRule="auto"/>
              <w:jc w:val="both"/>
              <w:rPr>
                <w:rFonts w:ascii="Times New Roman" w:hAnsi="Times New Roman"/>
                <w:sz w:val="22"/>
                <w:szCs w:val="22"/>
                <w:lang w:val="en-GB"/>
              </w:rPr>
            </w:pPr>
            <w:r w:rsidRPr="008E16F5">
              <w:rPr>
                <w:rFonts w:ascii="Times New Roman" w:hAnsi="Times New Roman"/>
                <w:sz w:val="22"/>
                <w:szCs w:val="22"/>
                <w:lang w:val="en-GB"/>
              </w:rPr>
              <w:t>0.27</w:t>
            </w:r>
          </w:p>
        </w:tc>
      </w:tr>
    </w:tbl>
    <w:p w:rsidR="009B7A66" w:rsidRPr="008E16F5" w:rsidRDefault="009B7A66" w:rsidP="009B7A66">
      <w:pPr>
        <w:spacing w:line="276" w:lineRule="auto"/>
        <w:ind w:left="284" w:hanging="284"/>
        <w:jc w:val="both"/>
        <w:rPr>
          <w:rFonts w:ascii="Times New Roman" w:hAnsi="Times New Roman"/>
          <w:b/>
          <w:sz w:val="22"/>
          <w:szCs w:val="22"/>
          <w:lang w:val="en-US"/>
        </w:rPr>
      </w:pPr>
      <w:r w:rsidRPr="008E16F5">
        <w:rPr>
          <w:rFonts w:ascii="Times New Roman" w:hAnsi="Times New Roman"/>
          <w:b/>
          <w:sz w:val="22"/>
          <w:szCs w:val="22"/>
          <w:lang w:val="en-US"/>
        </w:rPr>
        <w:t xml:space="preserve"> </w:t>
      </w:r>
    </w:p>
    <w:p w:rsidR="009B7A66" w:rsidRDefault="009B7A66" w:rsidP="009B7A66">
      <w:pPr>
        <w:spacing w:before="240" w:line="360" w:lineRule="auto"/>
        <w:ind w:left="284" w:hanging="284"/>
        <w:jc w:val="both"/>
        <w:rPr>
          <w:rFonts w:ascii="Times New Roman" w:hAnsi="Times New Roman"/>
          <w:b/>
          <w:sz w:val="22"/>
          <w:szCs w:val="22"/>
          <w:lang w:val="en-US"/>
        </w:rPr>
      </w:pPr>
    </w:p>
    <w:p w:rsidR="009B7A66" w:rsidRPr="008E16F5" w:rsidRDefault="009B7A66" w:rsidP="009B7A66">
      <w:pPr>
        <w:spacing w:before="240" w:line="360" w:lineRule="auto"/>
        <w:ind w:left="284" w:hanging="284"/>
        <w:jc w:val="both"/>
        <w:rPr>
          <w:rFonts w:ascii="Times New Roman" w:hAnsi="Times New Roman"/>
          <w:sz w:val="22"/>
          <w:szCs w:val="22"/>
          <w:lang w:val="en-US"/>
        </w:rPr>
      </w:pPr>
      <w:r w:rsidRPr="008E16F5">
        <w:rPr>
          <w:rFonts w:ascii="Times New Roman" w:hAnsi="Times New Roman"/>
          <w:b/>
          <w:sz w:val="22"/>
          <w:szCs w:val="22"/>
          <w:lang w:val="en-US"/>
        </w:rPr>
        <w:t>Figure 1 online</w:t>
      </w:r>
      <w:r w:rsidRPr="008E16F5">
        <w:rPr>
          <w:rFonts w:ascii="Times New Roman" w:hAnsi="Times New Roman"/>
          <w:sz w:val="22"/>
          <w:szCs w:val="22"/>
          <w:lang w:val="en-US"/>
        </w:rPr>
        <w:t>. Screens of the App</w:t>
      </w:r>
    </w:p>
    <w:p w:rsidR="009619F4" w:rsidRPr="009B7A66" w:rsidRDefault="009619F4">
      <w:pPr>
        <w:rPr>
          <w:lang w:val="en-US"/>
        </w:rPr>
      </w:pPr>
    </w:p>
    <w:sectPr w:rsidR="009619F4" w:rsidRPr="009B7A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A66"/>
    <w:rsid w:val="009452E5"/>
    <w:rsid w:val="009619F4"/>
    <w:rsid w:val="009B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E487EB-734F-491A-BB24-8CEADC7C1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A66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ANNABELLE  BEDARD</dc:creator>
  <cp:keywords/>
  <dc:description/>
  <cp:lastModifiedBy>ANNABELLE  BEDARD</cp:lastModifiedBy>
  <cp:revision>2</cp:revision>
  <dcterms:created xsi:type="dcterms:W3CDTF">2019-11-14T12:40:00Z</dcterms:created>
  <dcterms:modified xsi:type="dcterms:W3CDTF">2019-11-14T12:41:00Z</dcterms:modified>
</cp:coreProperties>
</file>