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AA9D6" w14:textId="77777777" w:rsidR="00177FCC" w:rsidRDefault="00177FCC" w:rsidP="00740BA0">
      <w:pPr>
        <w:rPr>
          <w:b/>
          <w:lang w:val="en-US"/>
        </w:rPr>
      </w:pPr>
      <w:r w:rsidRPr="00177FCC">
        <w:rPr>
          <w:b/>
          <w:lang w:val="en-US"/>
        </w:rPr>
        <w:t>Whole-exome sequencing identifies novel pathogenic variants across the ATP7B gene and some modifiers of Wilson’s disease phenotype</w:t>
      </w:r>
    </w:p>
    <w:p w14:paraId="22057340" w14:textId="77777777" w:rsidR="00740BA0" w:rsidRDefault="00740BA0" w:rsidP="00740BA0">
      <w:pPr>
        <w:rPr>
          <w:b/>
          <w:lang w:val="en-US"/>
        </w:rPr>
      </w:pPr>
    </w:p>
    <w:p w14:paraId="46232EA6" w14:textId="77777777" w:rsidR="00740BA0" w:rsidRPr="00031F55" w:rsidRDefault="00740BA0" w:rsidP="00740BA0">
      <w:pPr>
        <w:rPr>
          <w:b/>
          <w:sz w:val="28"/>
          <w:lang w:val="en-US"/>
        </w:rPr>
      </w:pPr>
      <w:r w:rsidRPr="00031F55">
        <w:rPr>
          <w:b/>
          <w:sz w:val="28"/>
          <w:lang w:val="en-US"/>
        </w:rPr>
        <w:t>Supplementary Materials and Methods</w:t>
      </w:r>
    </w:p>
    <w:p w14:paraId="4EC16C52" w14:textId="77777777" w:rsidR="00740BA0" w:rsidRPr="00031F55" w:rsidRDefault="00740BA0" w:rsidP="00740BA0">
      <w:pPr>
        <w:pStyle w:val="Nagwek3"/>
        <w:spacing w:line="480" w:lineRule="auto"/>
        <w:rPr>
          <w:rFonts w:ascii="Times New Roman" w:hAnsi="Times New Roman"/>
          <w:sz w:val="28"/>
          <w:lang w:val="en-US"/>
        </w:rPr>
      </w:pPr>
      <w:r w:rsidRPr="00031F55">
        <w:rPr>
          <w:rFonts w:ascii="Times New Roman" w:hAnsi="Times New Roman"/>
          <w:sz w:val="28"/>
          <w:lang w:val="en-US"/>
        </w:rPr>
        <w:t>Exome sequencing</w:t>
      </w:r>
    </w:p>
    <w:p w14:paraId="6D6573B5" w14:textId="77777777" w:rsidR="00740BA0" w:rsidRDefault="00740BA0" w:rsidP="00740BA0">
      <w:pPr>
        <w:spacing w:line="480" w:lineRule="auto"/>
        <w:ind w:firstLine="539"/>
        <w:rPr>
          <w:lang w:val="en-US" w:eastAsia="en-US"/>
        </w:rPr>
      </w:pPr>
      <w:r w:rsidRPr="00DE333A">
        <w:rPr>
          <w:lang w:val="en-US" w:eastAsia="en-US"/>
        </w:rPr>
        <w:t xml:space="preserve">Genomic DNA was extracted from whole blood treated with EDTA using the </w:t>
      </w:r>
      <w:proofErr w:type="spellStart"/>
      <w:r w:rsidRPr="00DE333A">
        <w:rPr>
          <w:lang w:val="en-US" w:eastAsia="en-US"/>
        </w:rPr>
        <w:t>DNeasy</w:t>
      </w:r>
      <w:proofErr w:type="spellEnd"/>
      <w:r w:rsidRPr="00DE333A">
        <w:rPr>
          <w:lang w:val="en-US" w:eastAsia="en-US"/>
        </w:rPr>
        <w:t xml:space="preserve"> kit (</w:t>
      </w:r>
      <w:proofErr w:type="spellStart"/>
      <w:r w:rsidRPr="00DE333A">
        <w:rPr>
          <w:lang w:val="en-US" w:eastAsia="en-US"/>
        </w:rPr>
        <w:t>Qiagen</w:t>
      </w:r>
      <w:proofErr w:type="spellEnd"/>
      <w:r w:rsidRPr="00DE333A">
        <w:rPr>
          <w:lang w:val="en-US" w:eastAsia="en-US"/>
        </w:rPr>
        <w:t xml:space="preserve">). Human exome sequencing libraries were constructed using </w:t>
      </w:r>
      <w:proofErr w:type="spellStart"/>
      <w:r w:rsidRPr="00DE333A">
        <w:rPr>
          <w:lang w:val="en-US" w:eastAsia="en-US"/>
        </w:rPr>
        <w:t>AmpliSeq</w:t>
      </w:r>
      <w:proofErr w:type="spellEnd"/>
      <w:r w:rsidRPr="00DE333A">
        <w:rPr>
          <w:lang w:val="en-US" w:eastAsia="en-US"/>
        </w:rPr>
        <w:t>™ Exome technology (</w:t>
      </w:r>
      <w:proofErr w:type="spellStart"/>
      <w:r w:rsidRPr="00DE333A">
        <w:rPr>
          <w:lang w:val="en-US" w:eastAsia="en-US"/>
        </w:rPr>
        <w:t>Thermo</w:t>
      </w:r>
      <w:proofErr w:type="spellEnd"/>
      <w:r w:rsidRPr="00DE333A">
        <w:rPr>
          <w:lang w:val="en-US" w:eastAsia="en-US"/>
        </w:rPr>
        <w:t xml:space="preserve">), and generated amplicons were sequenced </w:t>
      </w:r>
      <w:r>
        <w:rPr>
          <w:lang w:val="en-US" w:eastAsia="en-US"/>
        </w:rPr>
        <w:t>with</w:t>
      </w:r>
      <w:r w:rsidRPr="00DE333A">
        <w:rPr>
          <w:lang w:val="en-US" w:eastAsia="en-US"/>
        </w:rPr>
        <w:t xml:space="preserve"> the Ion Proton™ platform (</w:t>
      </w:r>
      <w:proofErr w:type="spellStart"/>
      <w:r w:rsidRPr="00DE333A">
        <w:rPr>
          <w:lang w:val="en-US" w:eastAsia="en-US"/>
        </w:rPr>
        <w:t>Thermo</w:t>
      </w:r>
      <w:proofErr w:type="spellEnd"/>
      <w:r w:rsidRPr="00DE333A">
        <w:rPr>
          <w:lang w:val="en-US" w:eastAsia="en-US"/>
        </w:rPr>
        <w:t>) as previously described.</w:t>
      </w:r>
      <w:r w:rsidR="00B442C9">
        <w:rPr>
          <w:lang w:val="en-US" w:eastAsia="en-US"/>
        </w:rPr>
        <w:fldChar w:fldCharType="begin"/>
      </w:r>
      <w:r w:rsidR="00B3054F">
        <w:rPr>
          <w:lang w:val="en-US" w:eastAsia="en-US"/>
        </w:rPr>
        <w:instrText xml:space="preserve"> ADDIN ZOTERO_ITEM CSL_CITATION {"citationID":"JBYJ4jdC","properties":{"formattedCitation":"\\super 1\\nosupersub{}","plainCitation":"1","noteIndex":0},"citationItems":[{"id":6612,"uris":["http://zotero.org/users/177008/items/F94D4P2J"],"uri":["http://zotero.org/users/177008/items/F94D4P2J"],"itemData":{"id":6612,"type":"article-journal","title":"Genetic architecture differences between pediatric and adult-onset inflammatory bowel diseases in the Polish population","container-title":"Scientific Reports","page":"10","volume":"6","DOI":"10.1038/srep39831","ISSN":"2045-2322","author":[{"family":"Ostrowski","given":"J."},{"family":"Paziewska","given":"A."},{"family":"Lazowska","given":"I."},{"family":"Ambrozkiewicz","given":"F."},{"family":"Goryca","given":"K."},{"family":"Kulecka","given":"M."},{"family":"Rawa","given":"T."},{"family":"Karczmarski","given":"J."},{"family":"Dabrowska","given":"M."},{"family":"Zeber-Lubecka","given":"N."},{"family":"Tomecki","given":"R."},{"family":"Kluska","given":"A."},{"family":"Balabas","given":"A."},{"family":"Piatkowska","given":"M."},{"family":"Paczkowska","given":"K."},{"family":"Kierkus","given":"J."},{"family":"Socha","given":"P."},{"family":"Lodyga","given":"M."},{"family":"Rydzewska","given":"G."},{"family":"Klopocka","given":"M."},{"family":"Mierzwa","given":"G."},{"family":"Iwanczak","given":"B."},{"family":"Krzesiek","given":"E."},{"family":"Bak-Drabik","given":"K."},{"family":"Walkowiak","given":"J."},{"family":"Klincewicz","given":"B."},{"family":"Radwan","given":"P."},{"family":"Grzybowska-Chlebowczyk","given":"U."},{"family":"Landowski","given":"P."},{"family":"Jankowska","given":"A."},{"family":"Korczowski","given":"B."},{"family":"Starzynska","given":"T."},{"family":"Albrecht","given":"P."},{"family":"Mikula","given":"M."}],"issued":{"date-parts":[["2016"]]}}}],"schema":"https://github.com/citation-style-language/schema/raw/master/csl-citation.json"} </w:instrText>
      </w:r>
      <w:r w:rsidR="00B442C9">
        <w:rPr>
          <w:lang w:val="en-US" w:eastAsia="en-US"/>
        </w:rPr>
        <w:fldChar w:fldCharType="separate"/>
      </w:r>
      <w:r w:rsidR="00B3054F" w:rsidRPr="00B3054F">
        <w:rPr>
          <w:vertAlign w:val="superscript"/>
          <w:lang w:val="en-US"/>
        </w:rPr>
        <w:t>1</w:t>
      </w:r>
      <w:r w:rsidR="00B442C9">
        <w:rPr>
          <w:lang w:val="en-US" w:eastAsia="en-US"/>
        </w:rPr>
        <w:fldChar w:fldCharType="end"/>
      </w:r>
      <w:r w:rsidRPr="00DE333A">
        <w:rPr>
          <w:lang w:val="en-US" w:eastAsia="en-US"/>
        </w:rPr>
        <w:t xml:space="preserve"> Obtained reads were mapped to</w:t>
      </w:r>
      <w:r>
        <w:rPr>
          <w:lang w:val="en-US" w:eastAsia="en-US"/>
        </w:rPr>
        <w:t xml:space="preserve"> the</w:t>
      </w:r>
      <w:r w:rsidRPr="00DE333A">
        <w:rPr>
          <w:lang w:val="en-US" w:eastAsia="en-US"/>
        </w:rPr>
        <w:t xml:space="preserve"> human reference genome (hg19 assembly) with </w:t>
      </w:r>
      <w:proofErr w:type="spellStart"/>
      <w:r w:rsidRPr="00DE333A">
        <w:rPr>
          <w:lang w:val="en-US" w:eastAsia="en-US"/>
        </w:rPr>
        <w:t>tmap</w:t>
      </w:r>
      <w:proofErr w:type="spellEnd"/>
      <w:r w:rsidRPr="00DE333A">
        <w:rPr>
          <w:lang w:val="en-US" w:eastAsia="en-US"/>
        </w:rPr>
        <w:t xml:space="preserve"> softwa</w:t>
      </w:r>
      <w:bookmarkStart w:id="0" w:name="_GoBack"/>
      <w:bookmarkEnd w:id="0"/>
      <w:r w:rsidRPr="00DE333A">
        <w:rPr>
          <w:lang w:val="en-US" w:eastAsia="en-US"/>
        </w:rPr>
        <w:t xml:space="preserve">re (version 5.0.13). Genetic variants were identified with Torrent Variant Caller (version 5.0.13) and filtered with criteria </w:t>
      </w:r>
      <w:r>
        <w:rPr>
          <w:lang w:val="en-US" w:eastAsia="en-US"/>
        </w:rPr>
        <w:t>described</w:t>
      </w:r>
      <w:r w:rsidRPr="00DE333A">
        <w:rPr>
          <w:lang w:val="en-US" w:eastAsia="en-US"/>
        </w:rPr>
        <w:t xml:space="preserve"> by </w:t>
      </w:r>
      <w:proofErr w:type="spellStart"/>
      <w:r w:rsidRPr="00DE333A">
        <w:rPr>
          <w:lang w:val="en-US" w:eastAsia="en-US"/>
        </w:rPr>
        <w:t>Damiati</w:t>
      </w:r>
      <w:proofErr w:type="spellEnd"/>
      <w:r w:rsidRPr="00DE333A">
        <w:rPr>
          <w:lang w:val="en-US" w:eastAsia="en-US"/>
        </w:rPr>
        <w:t xml:space="preserve"> et al,</w:t>
      </w:r>
      <w:r w:rsidR="00B442C9" w:rsidRPr="00DE333A">
        <w:rPr>
          <w:lang w:val="en-US" w:eastAsia="en-US"/>
        </w:rPr>
        <w:fldChar w:fldCharType="begin"/>
      </w:r>
      <w:r w:rsidR="00B3054F">
        <w:rPr>
          <w:lang w:val="en-US" w:eastAsia="en-US"/>
        </w:rPr>
        <w:instrText xml:space="preserve"> ADDIN ZOTERO_ITEM CSL_CITATION {"citationID":"qGg4JCEQ","properties":{"formattedCitation":"\\super 2\\nosupersub{}","plainCitation":"2","noteIndex":0},"citationItems":[{"id":6538,"uris":["http://zotero.org/users/177008/items/FG8NEBPB"],"uri":["http://zotero.org/users/177008/items/FG8NEBPB"],"itemData":{"id":6538,"type":"article-journal","title":"Amplicon-based semiconductor sequencing of human exomes: performance evaluation and optimization strategies","container-title":"Human Genetics","page":"499-511","volume":"135","issue":"5","source":"PubMed","abstract":"The Ion Proton platform allows to perform whole exome sequencing (WES) at low cost, providing rapid turnaround time and great flexibility. Products for WES on Ion Proton system include the AmpliSeq Exome kit and the recently introduced HiQ sequencing chemistry. Here, we used gold standard variants from GIAB consortium to assess the performances in variants identification, characterize the erroneous calls and develop a filtering strategy to reduce false positives. The AmpliSeq Exome kit captures a large fraction of bases (&gt;94 %) in human CDS, ClinVar genes and ACMG genes, but with 2,041 (7 %), 449 (13 %) and 11 (19 %) genes not fully represented, respectively. Overall, 515 protein coding genes contain hard-to-sequence regions, including 90 genes from ClinVar. Performance in variants detection was maximum at mean coverage &gt;120×, while at 90× and 70× we measured a loss of variants of 3.2 and 4.5 %, respectively. WES using HiQ chemistry showed ~71/97.5 % sensitivity, ~37/2 % FDR and ~0.66/0.98 F1 score for indels and SNPs, respectively. The proposed low, medium or high-stringency filters reduced the amount of false positives by 10.2, 21.2 and 40.4 % for indels and 21.2, 41.9 and 68.2 % for SNP, respectively. Amplicon-based WES on Ion Proton platform using HiQ chemistry emerged as a competitive approach, with improved accuracy in variants identification. False-positive variants remain an issue for the Ion Torrent technology, but our filtering strategy can be applied to reduce erroneous variants.","DOI":"10.1007/s00439-016-1656-8","ISSN":"1432-1203","note":"PMID: 27003585\nPMCID: PMC4835520","shortTitle":"Amplicon-based semiconductor sequencing of human exomes","journalAbbreviation":"Hum. Genet.","language":"eng","author":[{"family":"Damiati","given":"E."},{"family":"Borsani","given":"G."},{"family":"Giacopuzzi","given":"Edoardo"}],"issued":{"date-parts":[["2016",5]]}}}],"schema":"https://github.com/citation-style-language/schema/raw/master/csl-citation.json"}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2</w:t>
      </w:r>
      <w:r w:rsidR="00B442C9" w:rsidRPr="00DE333A">
        <w:rPr>
          <w:lang w:val="en-US" w:eastAsia="en-US"/>
        </w:rPr>
        <w:fldChar w:fldCharType="end"/>
      </w:r>
      <w:r w:rsidRPr="00DE333A">
        <w:rPr>
          <w:lang w:val="en-US" w:eastAsia="en-US"/>
        </w:rPr>
        <w:t xml:space="preserve"> with low stringency for single nucleotide variants and high stringency for insertions/deletions. Filtering was not applied</w:t>
      </w:r>
      <w:r>
        <w:rPr>
          <w:lang w:val="en-US" w:eastAsia="en-US"/>
        </w:rPr>
        <w:t>, and</w:t>
      </w:r>
      <w:r w:rsidRPr="00DE333A">
        <w:rPr>
          <w:lang w:val="en-US" w:eastAsia="en-US"/>
        </w:rPr>
        <w:t xml:space="preserve"> </w:t>
      </w:r>
      <w:r>
        <w:rPr>
          <w:lang w:val="en-US" w:eastAsia="en-US"/>
        </w:rPr>
        <w:t>all</w:t>
      </w:r>
      <w:r w:rsidRPr="00DE333A">
        <w:rPr>
          <w:lang w:val="en-US" w:eastAsia="en-US"/>
        </w:rPr>
        <w:t xml:space="preserve"> variants in</w:t>
      </w:r>
      <w:r>
        <w:rPr>
          <w:lang w:val="en-US" w:eastAsia="en-US"/>
        </w:rPr>
        <w:t xml:space="preserve"> the </w:t>
      </w:r>
      <w:r w:rsidRPr="00DE333A">
        <w:rPr>
          <w:i/>
          <w:lang w:val="en-US" w:eastAsia="en-US"/>
        </w:rPr>
        <w:t>ATP7B</w:t>
      </w:r>
      <w:r w:rsidRPr="00DE333A">
        <w:rPr>
          <w:lang w:val="en-US" w:eastAsia="en-US"/>
        </w:rPr>
        <w:t xml:space="preserve"> gene were considered as true positives. In addition, </w:t>
      </w:r>
      <w:r>
        <w:rPr>
          <w:lang w:val="en-US" w:eastAsia="en-US"/>
        </w:rPr>
        <w:t>we</w:t>
      </w:r>
      <w:r w:rsidRPr="00DE333A">
        <w:rPr>
          <w:lang w:val="en-US" w:eastAsia="en-US"/>
        </w:rPr>
        <w:t xml:space="preserve"> attempt</w:t>
      </w:r>
      <w:r>
        <w:rPr>
          <w:lang w:val="en-US" w:eastAsia="en-US"/>
        </w:rPr>
        <w:t>ed</w:t>
      </w:r>
      <w:r w:rsidRPr="00DE333A">
        <w:rPr>
          <w:lang w:val="en-US" w:eastAsia="en-US"/>
        </w:rPr>
        <w:t xml:space="preserve"> to uncover large deletions and insertions in this gene with CONTRA (version 2.0.6) software (using one of the samples as control).</w:t>
      </w:r>
      <w:r w:rsidR="00B442C9" w:rsidRPr="00DE333A">
        <w:rPr>
          <w:lang w:val="en-US" w:eastAsia="en-US"/>
        </w:rPr>
        <w:fldChar w:fldCharType="begin"/>
      </w:r>
      <w:r w:rsidR="00B3054F">
        <w:rPr>
          <w:lang w:val="en-US" w:eastAsia="en-US"/>
        </w:rPr>
        <w:instrText xml:space="preserve"> ADDIN ZOTERO_ITEM CSL_CITATION {"citationID":"4UPRROYC","properties":{"formattedCitation":"\\super 3\\nosupersub{}","plainCitation":"3","noteIndex":0},"citationItems":[{"id":6140,"uris":["http://zotero.org/users/177008/items/FAQMRPVA"],"uri":["http://zotero.org/users/177008/items/FAQMRPVA"],"itemData":{"id":6140,"type":"article-journal","title":"CONTRA: copy number analysis for targeted resequencing","container-title":"Bioinformatics (Oxford, England)","page":"1307-1313","volume":"28","issue":"10","source":"PubMed","abstract":"MOTIVATION: In light of the increasing adoption of targeted resequencing (TR) as a cost-effective strategy to identify disease-causing variants, a robust method for copy number variation (CNV) analysis is needed to maximize the value of this promising technology.\nRESULTS: We present a method for CNV detection for TR data, including whole-exome capture data. Our method calls copy number gains and losses for each target region based on normalized depth of coverage. Our key strategies include the use of base-level log-ratios to remove GC-content bias, correction for an imbalanced library size effect on log-ratios, and the estimation of log-ratio variations via binning and interpolation. Our methods are made available via CONTRA (COpy Number Targeted Resequencing Analysis), a software package that takes standard alignment formats (BAM/SAM) and outputs in variant call format (VCF4.0), for easy integration with other next-generation sequencing analysis packages. We assessed our methods using samples from seven different target enrichment assays, and evaluated our results using simulated data and real germline data with known CNV genotypes.","DOI":"10.1093/bioinformatics/bts146","ISSN":"1367-4811","note":"PMID: 22474122\nPMCID: PMC3348560","shortTitle":"CONTRA","journalAbbreviation":"Bioinformatics","language":"eng","author":[{"family":"Li","given":"Jason"},{"family":"Lupat","given":"Richard"},{"family":"Amarasinghe","given":"Kaushalya C."},{"family":"Thompson","given":"Ella R."},{"family":"Doyle","given":"Maria A."},{"family":"Ryland","given":"Georgina L."},{"family":"Tothill","given":"Richard W."},{"family":"Halgamuge","given":"Saman K."},{"family":"Campbell","given":"Ian G."},{"family":"Gorringe","given":"Kylie L."}],"issued":{"date-parts":[["2012",5,15]]}}}],"schema":"https://github.com/citation-style-language/schema/raw/master/csl-citation.json"}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3</w:t>
      </w:r>
      <w:r w:rsidR="00B442C9" w:rsidRPr="00DE333A">
        <w:rPr>
          <w:lang w:val="en-US" w:eastAsia="en-US"/>
        </w:rPr>
        <w:fldChar w:fldCharType="end"/>
      </w:r>
      <w:r w:rsidRPr="00DE333A">
        <w:rPr>
          <w:lang w:val="en-US" w:eastAsia="en-US"/>
        </w:rPr>
        <w:t xml:space="preserve"> Variant annotations, including minor allele frequencies in various databases and influence on protein</w:t>
      </w:r>
      <w:r>
        <w:rPr>
          <w:lang w:val="en-US" w:eastAsia="en-US"/>
        </w:rPr>
        <w:t xml:space="preserve"> </w:t>
      </w:r>
      <w:r w:rsidRPr="00DE333A">
        <w:rPr>
          <w:lang w:val="en-US" w:eastAsia="en-US"/>
        </w:rPr>
        <w:t>coding, were obtained with Variant Effect Predictor (release 86).</w:t>
      </w:r>
      <w:r w:rsidR="00B442C9" w:rsidRPr="00DE333A">
        <w:rPr>
          <w:lang w:val="en-US" w:eastAsia="en-US"/>
        </w:rPr>
        <w:fldChar w:fldCharType="begin"/>
      </w:r>
      <w:r w:rsidR="00B3054F">
        <w:rPr>
          <w:lang w:val="en-US" w:eastAsia="en-US"/>
        </w:rPr>
        <w:instrText xml:space="preserve"> ADDIN ZOTERO_ITEM CSL_CITATION {"citationID":"wmHpHxEK","properties":{"formattedCitation":"\\super 4\\nosupersub{}","plainCitation":"4","noteIndex":0},"citationItems":[{"id":6537,"uris":["http://zotero.org/users/177008/items/QWCY9G8I"],"uri":["http://zotero.org/users/177008/items/QWCY9G8I"],"itemData":{"id":6537,"type":"article-journal","title":"The Ensembl Variant Effect Predictor","container-title":"Genome Biology","page":"122","volume":"17","issue":"1","source":"PubMed","abstract":"The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designs.","DOI":"10.1186/s13059-016-0974-4","ISSN":"1474-760X","note":"PMID: 27268795\nPMCID: PMC4893825","journalAbbreviation":"Genome Biol.","language":"eng","author":[{"family":"McLaren","given":"William"},{"family":"Gil","given":"Laurent"},{"family":"Hunt","given":"Sarah E."},{"family":"Riat","given":"Harpreet Singh"},{"family":"Ritchie","given":"Graham R. S."},{"family":"Thormann","given":"Anja"},{"family":"Flicek","given":"Paul"},{"family":"Cunningham","given":"Fiona"}],"issued":{"date-parts":[["2016",6,6]]}}}],"schema":"https://github.com/citation-style-language/schema/raw/master/csl-citation.json"}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4</w:t>
      </w:r>
      <w:r w:rsidR="00B442C9" w:rsidRPr="00DE333A">
        <w:rPr>
          <w:lang w:val="en-US" w:eastAsia="en-US"/>
        </w:rPr>
        <w:fldChar w:fldCharType="end"/>
      </w:r>
      <w:r w:rsidRPr="00DE333A">
        <w:rPr>
          <w:lang w:val="en-US" w:eastAsia="en-US"/>
        </w:rPr>
        <w:t xml:space="preserve"> Statistical tests were conducted in </w:t>
      </w:r>
      <w:proofErr w:type="spellStart"/>
      <w:r w:rsidRPr="00DE333A">
        <w:rPr>
          <w:lang w:val="en-US" w:eastAsia="en-US"/>
        </w:rPr>
        <w:t>rvtests</w:t>
      </w:r>
      <w:proofErr w:type="spellEnd"/>
      <w:r w:rsidRPr="00DE333A">
        <w:rPr>
          <w:lang w:val="en-US" w:eastAsia="en-US"/>
        </w:rPr>
        <w:t xml:space="preserve"> software.</w:t>
      </w:r>
      <w:r w:rsidR="00B442C9" w:rsidRPr="00DE333A">
        <w:rPr>
          <w:lang w:val="en-US" w:eastAsia="en-US"/>
        </w:rPr>
        <w:fldChar w:fldCharType="begin"/>
      </w:r>
      <w:r w:rsidR="00B3054F">
        <w:rPr>
          <w:lang w:val="en-US" w:eastAsia="en-US"/>
        </w:rPr>
        <w:instrText xml:space="preserve"> ADDIN ZOTERO_ITEM CSL_CITATION {"citationID":"kS0bDvpZ","properties":{"formattedCitation":"\\super 5\\nosupersub{}","plainCitation":"5","noteIndex":0},"citationItems":[{"id":6536,"uris":["http://zotero.org/users/177008/items/LNHAN7HN"],"uri":["http://zotero.org/users/177008/items/LNHAN7HN"],"itemData":{"id":6536,"type":"article-journal","title":"RVTESTS: an efficient and comprehensive tool for rare variant association analysis using sequence data","container-title":"Bioinformatics (Oxford, England)","page":"1423-1426","volume":"32","issue":"9","source":"PubMed","abstract":"MOTIVATION: Next-generation sequencing technologies have enabled the large-scale assessment of the impact of rare and low-frequency genetic variants for complex human diseases. Gene-level association tests are often performed to analyze rare variants, where multiple rare variants in a gene region are analyzed jointly. Applying gene-level association tests to analyze sequence data often requires integrating multiple heterogeneous sources of information (e.g. annotations, functional prediction scores, allele frequencies, genotypes and phenotypes) to determine the optimal analysis unit and prioritize causal variants. Given the complexity and scale of current sequence datasets and bioinformatics databases, there is a compelling need for more efficient software tools to facilitate these analyses. To answer this challenge, we developed RVTESTS, which implements a broad set of rare variant association statistics and supports the analysis of autosomal and X-linked variants for both unrelated and related individuals. RVTESTS also provides useful companion features for annotating sequence variants, integrating bioinformatics databases, performing data quality control and sample selection. We illustrate the advantages of RVTESTS in functionality and efficiency using the 1000 Genomes Project data.\nAVAILABILITY AND IMPLEMENTATION: RVTESTS is available on Linux, MacOS and Windows. Source code and executable files can be obtained at https://github.com/zhanxw/rvtests\nCONTACT: zhanxw@gmail.com; goncalo@umich.edu; dajiang.liu@outlook.com\nSUPPLEMENTARY INFORMATION: Supplementary data are available at Bioinformatics online.","DOI":"10.1093/bioinformatics/btw079","ISSN":"1367-4811","note":"PMID: 27153000\nPMCID: PMC4848408","shortTitle":"RVTESTS","journalAbbreviation":"Bioinformatics","language":"eng","author":[{"family":"Zhan","given":"Xiaowei"},{"family":"Hu","given":"Youna"},{"family":"Li","given":"Bingshan"},{"family":"Abecasis","given":"Goncalo R."},{"family":"Liu","given":"Dajiang J."}],"issued":{"date-parts":[["2016",5,1]]}}}],"schema":"https://github.com/citation-style-language/schema/raw/master/csl-citation.json"}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5</w:t>
      </w:r>
      <w:r w:rsidR="00B442C9" w:rsidRPr="00DE333A">
        <w:rPr>
          <w:lang w:val="en-US" w:eastAsia="en-US"/>
        </w:rPr>
        <w:fldChar w:fldCharType="end"/>
      </w:r>
    </w:p>
    <w:p w14:paraId="6814D280" w14:textId="77777777" w:rsidR="00740BA0" w:rsidRDefault="00740BA0" w:rsidP="00740BA0">
      <w:pPr>
        <w:pStyle w:val="Nagwek3"/>
        <w:spacing w:line="480" w:lineRule="auto"/>
        <w:rPr>
          <w:rFonts w:ascii="Times New Roman" w:hAnsi="Times New Roman"/>
          <w:lang w:val="en-US" w:eastAsia="en-US"/>
        </w:rPr>
      </w:pPr>
      <w:r>
        <w:rPr>
          <w:rFonts w:ascii="Times New Roman" w:hAnsi="Times New Roman"/>
          <w:lang w:val="en-US" w:eastAsia="en-US"/>
        </w:rPr>
        <w:t>Analysis of genes with known association with Wilson’s disease</w:t>
      </w:r>
    </w:p>
    <w:p w14:paraId="01DC5A23" w14:textId="0681CB51" w:rsidR="00740BA0" w:rsidRDefault="00740BA0" w:rsidP="00740BA0">
      <w:pPr>
        <w:spacing w:line="480" w:lineRule="auto"/>
        <w:ind w:firstLine="539"/>
        <w:rPr>
          <w:lang w:val="en-US" w:eastAsia="en-US"/>
        </w:rPr>
      </w:pPr>
      <w:r>
        <w:rPr>
          <w:lang w:val="en-US" w:eastAsia="en-US"/>
        </w:rPr>
        <w:t xml:space="preserve">Special attention was paid to genes, previously associated with Wilson’s disease phenotype, </w:t>
      </w:r>
      <w:proofErr w:type="spellStart"/>
      <w:r>
        <w:rPr>
          <w:lang w:val="en-US" w:eastAsia="en-US"/>
        </w:rPr>
        <w:t>ie</w:t>
      </w:r>
      <w:proofErr w:type="spellEnd"/>
      <w:r>
        <w:rPr>
          <w:lang w:val="en-US" w:eastAsia="en-US"/>
        </w:rPr>
        <w:t xml:space="preserve"> </w:t>
      </w:r>
      <w:r w:rsidRPr="00C24985">
        <w:rPr>
          <w:i/>
          <w:lang w:val="en-US" w:eastAsia="en-US"/>
        </w:rPr>
        <w:t>COMMD1, ATOX1, XIAP, APOE, DMT1 (SLC11A2), ATP7A, MTHFR</w:t>
      </w:r>
      <w:r>
        <w:rPr>
          <w:lang w:val="en-US" w:eastAsia="en-US"/>
        </w:rPr>
        <w:t xml:space="preserve"> and </w:t>
      </w:r>
      <w:r w:rsidRPr="00C24985">
        <w:rPr>
          <w:i/>
          <w:lang w:val="en-US" w:eastAsia="en-US"/>
        </w:rPr>
        <w:t>PRNP</w:t>
      </w:r>
      <w:r>
        <w:rPr>
          <w:lang w:val="en-US" w:eastAsia="en-US"/>
        </w:rPr>
        <w:t>.</w:t>
      </w:r>
      <w:r w:rsidR="00B442C9">
        <w:rPr>
          <w:lang w:val="en-US" w:eastAsia="en-US"/>
        </w:rPr>
        <w:fldChar w:fldCharType="begin"/>
      </w:r>
      <w:r w:rsidR="00B3054F">
        <w:rPr>
          <w:lang w:val="en-US" w:eastAsia="en-US"/>
        </w:rPr>
        <w:instrText xml:space="preserve"> ADDIN ZOTERO_ITEM CSL_CITATION {"citationID":"vxRyXlSy","properties":{"formattedCitation":"\\super 6,7\\nosupersub{}","plainCitation":"6,7","noteIndex":0},"citationItems":[{"id":7358,"uris":["http://zotero.org/users/177008/items/T5H7TC9V"],"uri":["http://zotero.org/users/177008/items/T5H7TC9V"],"itemData":{"id":7358,"type":"article-journal","title":"Genetic modifiers of liver injury in hereditary liver disease","container-title":"Seminars in Liver Disease","page":"208-214","volume":"31","issue":"2","source":"PubMed","abstract":"The genetic background of patients with liver diseases modulates hepatic injury, with some individuals being predisposed to better defenses and regenerative capacity. In this review, we focus our description of this phenomenon on inherited disorders affecting the liver, with a particular emphasis on Wilson disease (WD), genetic hemochromatosis, and α-1 anti-trypsin disease (A1-AT). Wide variations in the clinical phenotype of WD may in part be related to the mutations of the ATP7B genotype, though modifier genes and environmental factors also likely play an important role. There is also a significant variability in the expression of iron overload in patients with genetic hemochromatosis that are homozygous for the C282Y mutation. Homozygosity for the A1-ATZ mutation is generally required for the development of liver disease in A1-AT although there is increasing evidence for modifier effects from a heterozygous genotype in other liver diseases.","DOI":"10.1055/s-0031-1276648","ISSN":"1098-8971","note":"PMID: 21538285","journalAbbreviation":"Semin. Liver Dis.","language":"eng","author":[{"family":"Ala","given":"Aftab"},{"family":"Schilsky","given":"Michael"}],"issued":{"date-parts":[["2011",5]]}},"label":"page"},{"id":7360,"uris":["http://zotero.org/users/177008/items/WVX7ZAWA"],"uri":["http://zotero.org/users/177008/items/WVX7ZAWA"],"itemData":{"id":7360,"type":"article-journal","title":"Genetic and environmental modifiers of Wilson disease","container-title":"Handbook of Clinical Neurology","page":"35-41","volume":"142","source":"PubMed","abstract":"Wilson disease (WD) is characterized by remarkable variety in its phenotypic presentation. Patients with WD can present with hepatic, neurologic, and psychiatric symptoms combined in different and unpredictable ways. Importantly, no convincing phenotype-genotype correlation has ever been identified, opening the possibility that other genes, aside from ATPase copper-transporting beta (ATP7B), are involved in the pathogenesis of this condition. In addition, modifier genes, or genes that can affect the expression of other genes, may be involved. Clinical and basic science data indicate that environmental and dietary factors can potentially modify gene expression in WD and, consequently, its clinical presentation and course. In particular, previously studied genes include copper metabolism domain-containing 1 (COMMD1), antioxidant 1 copper chaperone (ATOX1), X-linked inhibitor of apoptosis (XIAP), apolipoprotein E (APOE), hemochromatosis (HFE), and 5,10-methylenetetrahydrofolate reductase (MTHFR). Dietary factors include iron and methyl group donors which could affect methionine metabolism and epigenetic mechanisms of gene expression regulation. Most of the work conducted in this field is in its initial stages but it has the potential to change the diagnosis and treatment of WD.","DOI":"10.1016/B978-0-444-63625-6.00004-5","ISSN":"0072-9752","note":"PMID: 28433108","journalAbbreviation":"Handb Clin Neurol","language":"eng","author":[{"family":"Medici","given":"Valentina"},{"family":"Weiss","given":"Karl-Heinz"}],"issued":{"date-parts":[["2017"]]}},"label":"page"}],"schema":"https://github.com/citation-style-language/schema/raw/master/csl-citation.json"} </w:instrText>
      </w:r>
      <w:r w:rsidR="00B442C9">
        <w:rPr>
          <w:lang w:val="en-US" w:eastAsia="en-US"/>
        </w:rPr>
        <w:fldChar w:fldCharType="separate"/>
      </w:r>
      <w:r w:rsidR="00B3054F" w:rsidRPr="00B3054F">
        <w:rPr>
          <w:vertAlign w:val="superscript"/>
          <w:lang w:val="en-US"/>
        </w:rPr>
        <w:t>6,7</w:t>
      </w:r>
      <w:r w:rsidR="00B442C9">
        <w:rPr>
          <w:lang w:val="en-US" w:eastAsia="en-US"/>
        </w:rPr>
        <w:fldChar w:fldCharType="end"/>
      </w:r>
      <w:r>
        <w:rPr>
          <w:lang w:val="en-US" w:eastAsia="en-US"/>
        </w:rPr>
        <w:t xml:space="preserve"> The following genes have also been verified for mutations in order to exclude other genetic diseases, associated with liver and/or neurological malfunctions: </w:t>
      </w:r>
      <w:r w:rsidRPr="00C24985">
        <w:rPr>
          <w:i/>
          <w:lang w:val="en-US" w:eastAsia="en-US"/>
        </w:rPr>
        <w:t>HFE</w:t>
      </w:r>
      <w:r>
        <w:rPr>
          <w:lang w:val="en-US" w:eastAsia="en-US"/>
        </w:rPr>
        <w:t xml:space="preserve"> (</w:t>
      </w:r>
      <w:r w:rsidRPr="00341863">
        <w:rPr>
          <w:lang w:val="en-US" w:eastAsia="en-US"/>
        </w:rPr>
        <w:t>hereditary hemochromatosis</w:t>
      </w:r>
      <w:r>
        <w:rPr>
          <w:lang w:val="en-US" w:eastAsia="en-US"/>
        </w:rPr>
        <w:t xml:space="preserve">), </w:t>
      </w:r>
      <w:r w:rsidRPr="00C24985">
        <w:rPr>
          <w:i/>
          <w:lang w:val="en-US" w:eastAsia="en-US"/>
        </w:rPr>
        <w:t>SERPINA1</w:t>
      </w:r>
      <w:r>
        <w:rPr>
          <w:lang w:val="en-US" w:eastAsia="en-US"/>
        </w:rPr>
        <w:t xml:space="preserve"> (</w:t>
      </w:r>
      <w:r w:rsidR="007F22C1">
        <w:rPr>
          <w:lang w:val="en-US" w:eastAsia="en-US"/>
        </w:rPr>
        <w:t>a</w:t>
      </w:r>
      <w:r w:rsidR="007F22C1" w:rsidRPr="00341863">
        <w:rPr>
          <w:lang w:val="en-US" w:eastAsia="en-US"/>
        </w:rPr>
        <w:t>lpha</w:t>
      </w:r>
      <w:r w:rsidRPr="00341863">
        <w:rPr>
          <w:lang w:val="en-US" w:eastAsia="en-US"/>
        </w:rPr>
        <w:t>-1-antitrypsin deficiency</w:t>
      </w:r>
      <w:r>
        <w:rPr>
          <w:lang w:val="en-US" w:eastAsia="en-US"/>
        </w:rPr>
        <w:t xml:space="preserve">), </w:t>
      </w:r>
      <w:r w:rsidRPr="00C24985">
        <w:rPr>
          <w:i/>
          <w:lang w:val="en-US" w:eastAsia="en-US"/>
        </w:rPr>
        <w:t>CTFR</w:t>
      </w:r>
      <w:r>
        <w:rPr>
          <w:lang w:val="en-US" w:eastAsia="en-US"/>
        </w:rPr>
        <w:t xml:space="preserve"> (</w:t>
      </w:r>
      <w:r w:rsidRPr="00341863">
        <w:rPr>
          <w:lang w:val="en-US" w:eastAsia="en-US"/>
        </w:rPr>
        <w:t>cystic fibrosis</w:t>
      </w:r>
      <w:r>
        <w:rPr>
          <w:lang w:val="en-US" w:eastAsia="en-US"/>
        </w:rPr>
        <w:t xml:space="preserve">), </w:t>
      </w:r>
      <w:r w:rsidRPr="00C24985">
        <w:rPr>
          <w:i/>
          <w:lang w:val="en-US" w:eastAsia="en-US"/>
        </w:rPr>
        <w:t>NPC1</w:t>
      </w:r>
      <w:r>
        <w:rPr>
          <w:lang w:val="en-US" w:eastAsia="en-US"/>
        </w:rPr>
        <w:t xml:space="preserve"> and </w:t>
      </w:r>
      <w:r w:rsidRPr="00C24985">
        <w:rPr>
          <w:i/>
          <w:lang w:val="en-US" w:eastAsia="en-US"/>
        </w:rPr>
        <w:t>NPC2</w:t>
      </w:r>
      <w:r>
        <w:rPr>
          <w:lang w:val="en-US" w:eastAsia="en-US"/>
        </w:rPr>
        <w:t xml:space="preserve"> (</w:t>
      </w:r>
      <w:proofErr w:type="spellStart"/>
      <w:r w:rsidRPr="00341863">
        <w:rPr>
          <w:lang w:val="en-US" w:eastAsia="en-US"/>
        </w:rPr>
        <w:t>Niemann</w:t>
      </w:r>
      <w:proofErr w:type="spellEnd"/>
      <w:r w:rsidRPr="00341863">
        <w:rPr>
          <w:lang w:val="en-US" w:eastAsia="en-US"/>
        </w:rPr>
        <w:t>-Pick disease type C</w:t>
      </w:r>
      <w:r>
        <w:rPr>
          <w:lang w:val="en-US" w:eastAsia="en-US"/>
        </w:rPr>
        <w:t xml:space="preserve">). </w:t>
      </w:r>
    </w:p>
    <w:p w14:paraId="7D7A97D3" w14:textId="3C619FA5" w:rsidR="00740BA0" w:rsidRDefault="00740BA0" w:rsidP="00740BA0">
      <w:pPr>
        <w:spacing w:line="480" w:lineRule="auto"/>
        <w:ind w:firstLine="539"/>
        <w:rPr>
          <w:lang w:val="en-US" w:eastAsia="en-US"/>
        </w:rPr>
      </w:pPr>
      <w:r w:rsidRPr="00F56C51">
        <w:rPr>
          <w:lang w:val="en-US" w:eastAsia="en-US"/>
        </w:rPr>
        <w:lastRenderedPageBreak/>
        <w:t xml:space="preserve">To check whether disease subtype and age of onset depended on </w:t>
      </w:r>
      <w:r w:rsidRPr="00177FCC">
        <w:rPr>
          <w:i/>
          <w:lang w:val="en-US"/>
        </w:rPr>
        <w:t>ATP7B</w:t>
      </w:r>
      <w:r w:rsidRPr="00F56C51">
        <w:rPr>
          <w:lang w:val="en-US" w:eastAsia="en-US"/>
        </w:rPr>
        <w:t xml:space="preserve"> mutation type, logistic regression was performed with the explanatory variables of general mutation type (i.e., homozygous, compound or single heterozygous), mutation effect on coding (e.g., frameshift, missense), sex and age of onset in case of disease subtype.</w:t>
      </w:r>
      <w:r>
        <w:rPr>
          <w:lang w:val="en-US" w:eastAsia="en-US"/>
        </w:rPr>
        <w:t xml:space="preserve"> Another model, which attempted to explain variability in </w:t>
      </w:r>
      <w:r w:rsidRPr="00F56C51">
        <w:rPr>
          <w:lang w:val="en-US" w:eastAsia="en-US"/>
        </w:rPr>
        <w:t>disease subtype and age of onset</w:t>
      </w:r>
      <w:r>
        <w:rPr>
          <w:lang w:val="en-US" w:eastAsia="en-US"/>
        </w:rPr>
        <w:t xml:space="preserve"> was applied with presence of rare variants in genes, encoding proteins in STRING WD network and previously mentioned WD associated genes (Supplementary Table S1</w:t>
      </w:r>
      <w:r w:rsidR="00B442C9">
        <w:rPr>
          <w:lang w:val="en-US" w:eastAsia="en-US"/>
        </w:rPr>
        <w:fldChar w:fldCharType="begin"/>
      </w:r>
      <w:r w:rsidR="00B3054F">
        <w:rPr>
          <w:lang w:val="en-US" w:eastAsia="en-US"/>
        </w:rPr>
        <w:instrText xml:space="preserve"> ADDIN ZOTERO_ITEM CSL_CITATION {"citationID":"xEy6yk7b","properties":{"formattedCitation":"\\super 8\\nosupersub{}","plainCitation":"8","noteIndex":0},"citationItems":[{"id":7362,"uris":["http://zotero.org/users/177008/items/6IR6VK6P"],"uri":["http://zotero.org/users/177008/items/6IR6VK6P"],"itemData":{"id":7362,"type":"article-journal","title":"The STRING database in 2017: quality-controlled protein-protein association networks, made broadly accessible","container-title":"Nucleic Acids Research","page":"D362-D368","volume":"45","issue":"D1","source":"PubMed","abstract":"A system-wide understanding of cellular function requires knowledge of all functional interactions between the expressed proteins. The STRING database aims to collect and integrate this information, by consolidating known and predicted protein-protein association data for a large number of organisms. The associations in STRING include direct (physical) interactions, as well as indirect (functional) interactions, as long as both are specific and biologically meaningful. Apart from collecting and reassessing available experimental data on protein-protein interactions, and importing known pathways and protein complexes from curated databases, interaction predictions are derived from the following sources: (i) systematic co-expression analysis, (ii) detection of shared selective signals across genomes, (iii) automated text-mining of the scientific literature and (iv) computational transfer of interaction knowledge between organisms based on gene orthology. In the latest version 10.5 of STRING, the biggest changes are concerned with data dissemination: the web frontend has been completely redesigned to reduce dependency on outdated browser technologies, and the database can now also be queried from inside the popular Cytoscape software framework. Further improvements include automated background analysis of user inputs for functional enrichments, and streamlined download options. The STRING resource is available online, at http://string-db.org/.","DOI":"10.1093/nar/gkw937","ISSN":"1362-4962","note":"PMID: 27924014\nPMCID: PMC5210637","shortTitle":"The STRING database in 2017","journalAbbreviation":"Nucleic Acids Res.","language":"eng","author":[{"family":"Szklarczyk","given":"Damian"},{"family":"Morris","given":"John H."},{"family":"Cook","given":"Helen"},{"family":"Kuhn","given":"Michael"},{"family":"Wyder","given":"Stefan"},{"family":"Simonovic","given":"Milan"},{"family":"Santos","given":"Alberto"},{"family":"Doncheva","given":"Nadezhda T."},{"family":"Roth","given":"Alexander"},{"family":"Bork","given":"Peer"},{"family":"Jensen","given":"Lars J."},{"family":"Mering","given":"Christian","non-dropping-particle":"von"}],"issued":{"date-parts":[["2017",1,4]]}}}],"schema":"https://github.com/citation-style-language/schema/raw/master/csl-citation.json"} </w:instrText>
      </w:r>
      <w:r w:rsidR="00B442C9">
        <w:rPr>
          <w:lang w:val="en-US" w:eastAsia="en-US"/>
        </w:rPr>
        <w:fldChar w:fldCharType="separate"/>
      </w:r>
      <w:r w:rsidR="00B3054F" w:rsidRPr="00031F55">
        <w:rPr>
          <w:vertAlign w:val="superscript"/>
          <w:lang w:val="en-US"/>
        </w:rPr>
        <w:t>8</w:t>
      </w:r>
      <w:r w:rsidR="00B442C9">
        <w:rPr>
          <w:lang w:val="en-US" w:eastAsia="en-US"/>
        </w:rPr>
        <w:fldChar w:fldCharType="end"/>
      </w:r>
      <w:r>
        <w:rPr>
          <w:lang w:val="en-US" w:eastAsia="en-US"/>
        </w:rPr>
        <w:t xml:space="preserve">) as explanatory variables. Only those genes for which accurate confidence interval </w:t>
      </w:r>
      <w:r w:rsidR="00A4143E">
        <w:rPr>
          <w:lang w:val="en-US" w:eastAsia="en-US"/>
        </w:rPr>
        <w:t>estimation</w:t>
      </w:r>
      <w:r>
        <w:rPr>
          <w:lang w:val="en-US" w:eastAsia="en-US"/>
        </w:rPr>
        <w:t xml:space="preserve"> for odds ratio was possible were taken into account. </w:t>
      </w:r>
    </w:p>
    <w:p w14:paraId="631F72D0" w14:textId="77777777" w:rsidR="00740BA0" w:rsidRPr="00C24985" w:rsidRDefault="00740BA0" w:rsidP="00740BA0">
      <w:pPr>
        <w:pStyle w:val="Nagwek3"/>
        <w:spacing w:line="480" w:lineRule="auto"/>
        <w:rPr>
          <w:rFonts w:ascii="Times New Roman" w:hAnsi="Times New Roman"/>
          <w:lang w:val="en-US" w:eastAsia="en-US"/>
        </w:rPr>
      </w:pPr>
      <w:r>
        <w:rPr>
          <w:rFonts w:ascii="Times New Roman" w:hAnsi="Times New Roman"/>
          <w:lang w:val="en-US" w:eastAsia="en-US"/>
        </w:rPr>
        <w:t>Analysis of other genes</w:t>
      </w:r>
    </w:p>
    <w:p w14:paraId="48847B64" w14:textId="77777777" w:rsidR="00740BA0" w:rsidRDefault="00740BA0" w:rsidP="00740BA0">
      <w:pPr>
        <w:spacing w:line="480" w:lineRule="auto"/>
        <w:ind w:firstLine="539"/>
        <w:rPr>
          <w:lang w:val="en-US" w:eastAsia="en-US"/>
        </w:rPr>
      </w:pPr>
      <w:r>
        <w:rPr>
          <w:lang w:val="en-US" w:eastAsia="en-US"/>
        </w:rPr>
        <w:t xml:space="preserve">For analysis without any </w:t>
      </w:r>
      <w:r w:rsidRPr="00177FCC">
        <w:rPr>
          <w:i/>
          <w:lang w:val="en-US" w:eastAsia="en-US"/>
        </w:rPr>
        <w:t>a</w:t>
      </w:r>
      <w:r w:rsidR="00A4143E" w:rsidRPr="00177FCC">
        <w:rPr>
          <w:i/>
          <w:lang w:val="en-US" w:eastAsia="en-US"/>
        </w:rPr>
        <w:t xml:space="preserve"> </w:t>
      </w:r>
      <w:r w:rsidRPr="00177FCC">
        <w:rPr>
          <w:i/>
          <w:lang w:val="en-US" w:eastAsia="en-US"/>
        </w:rPr>
        <w:t>priori</w:t>
      </w:r>
      <w:r>
        <w:rPr>
          <w:lang w:val="en-US" w:eastAsia="en-US"/>
        </w:rPr>
        <w:t xml:space="preserve"> hypothesis, t</w:t>
      </w:r>
      <w:r w:rsidRPr="00DE333A">
        <w:rPr>
          <w:lang w:val="en-US" w:eastAsia="en-US"/>
        </w:rPr>
        <w:t>wo main methods of were used: Fisher’s exact test for differences in single variants</w:t>
      </w:r>
      <w:r>
        <w:rPr>
          <w:lang w:val="en-US" w:eastAsia="en-US"/>
        </w:rPr>
        <w:t xml:space="preserve"> and alleles</w:t>
      </w:r>
      <w:r w:rsidRPr="00DE333A">
        <w:rPr>
          <w:lang w:val="en-US" w:eastAsia="en-US"/>
        </w:rPr>
        <w:t xml:space="preserve"> frequency and CMC aggregation followed by Fisher’s exact test for differences in variant frequency </w:t>
      </w:r>
      <w:r>
        <w:rPr>
          <w:lang w:val="en-US" w:eastAsia="en-US"/>
        </w:rPr>
        <w:t>at the</w:t>
      </w:r>
      <w:r w:rsidRPr="00DE333A">
        <w:rPr>
          <w:lang w:val="en-US" w:eastAsia="en-US"/>
        </w:rPr>
        <w:t xml:space="preserve"> gene level. P</w:t>
      </w:r>
      <w:r>
        <w:rPr>
          <w:lang w:val="en-US" w:eastAsia="en-US"/>
        </w:rPr>
        <w:t>-</w:t>
      </w:r>
      <w:r w:rsidRPr="00DE333A">
        <w:rPr>
          <w:lang w:val="en-US" w:eastAsia="en-US"/>
        </w:rPr>
        <w:t xml:space="preserve">values obtained in the latter test were corrected with </w:t>
      </w:r>
      <w:r>
        <w:rPr>
          <w:lang w:val="en-US" w:eastAsia="en-US"/>
        </w:rPr>
        <w:t xml:space="preserve">the </w:t>
      </w:r>
      <w:r w:rsidRPr="00DE333A">
        <w:rPr>
          <w:lang w:val="en-US" w:eastAsia="en-US"/>
        </w:rPr>
        <w:t xml:space="preserve">Bonferroni procedure. Variants were considered rare if their </w:t>
      </w:r>
      <w:r>
        <w:rPr>
          <w:lang w:val="en-US" w:eastAsia="en-US"/>
        </w:rPr>
        <w:t>minor allele frequency</w:t>
      </w:r>
      <w:r w:rsidRPr="00F823B5">
        <w:rPr>
          <w:lang w:val="en-US" w:eastAsia="en-US"/>
        </w:rPr>
        <w:t xml:space="preserve"> </w:t>
      </w:r>
      <w:r w:rsidRPr="00DE333A">
        <w:rPr>
          <w:lang w:val="en-US" w:eastAsia="en-US"/>
        </w:rPr>
        <w:t>was smaller than 0.02 in</w:t>
      </w:r>
      <w:r>
        <w:rPr>
          <w:lang w:val="en-US" w:eastAsia="en-US"/>
        </w:rPr>
        <w:t xml:space="preserve"> the</w:t>
      </w:r>
      <w:r w:rsidRPr="00DE333A">
        <w:rPr>
          <w:lang w:val="en-US" w:eastAsia="en-US"/>
        </w:rPr>
        <w:t xml:space="preserve"> overall population</w:t>
      </w:r>
      <w:r>
        <w:rPr>
          <w:lang w:val="en-US" w:eastAsia="en-US"/>
        </w:rPr>
        <w:t>s</w:t>
      </w:r>
      <w:r w:rsidRPr="00DE333A">
        <w:rPr>
          <w:lang w:val="en-US" w:eastAsia="en-US"/>
        </w:rPr>
        <w:t xml:space="preserve"> of </w:t>
      </w:r>
      <w:r>
        <w:rPr>
          <w:lang w:val="en-US" w:eastAsia="en-US"/>
        </w:rPr>
        <w:t xml:space="preserve">the </w:t>
      </w:r>
      <w:r w:rsidRPr="00DE333A">
        <w:rPr>
          <w:lang w:val="en-US" w:eastAsia="en-US"/>
        </w:rPr>
        <w:t>following projects: 1000 Genomes,</w:t>
      </w:r>
      <w:r w:rsidR="00B442C9" w:rsidRPr="00DE333A">
        <w:rPr>
          <w:lang w:val="en-US" w:eastAsia="en-US"/>
        </w:rPr>
        <w:fldChar w:fldCharType="begin"/>
      </w:r>
      <w:r w:rsidR="00B3054F">
        <w:rPr>
          <w:lang w:val="en-US" w:eastAsia="en-US"/>
        </w:rPr>
        <w:instrText xml:space="preserve"> ADDIN ZOTERO_ITEM CSL_CITATION {"citationID":"iIPWCDnq","properties":{"formattedCitation":"\\super 9\\nosupersub{}","plainCitation":"9","noteIndex":0},"citationItems":[{"id":6535,"uris":["http://zotero.org/users/177008/items/3CTTX5UY"],"uri":["http://zotero.org/users/177008/items/3CTTX5UY"],"itemData":{"id":6535,"type":"article-journal","title":"A global reference for human genetic variation","container-title":"Nature","page":"68-74","volume":"526","issue":"7571","source":"PubMed","abstract":"The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studies.","DOI":"10.1038/nature15393","ISSN":"1476-4687","note":"PMID: 26432245\nPMCID: PMC4750478","journalAbbreviation":"Nature","language":"eng","author":[{"literal":"1000 Genomes Project Consortium"},{"family":"Auton","given":"Adam"},{"family":"Brooks","given":"Lisa D."},{"family":"Durbin","given":"Richard M."},{"family":"Garrison","given":"Erik P."},{"family":"Kang","given":"Hyun Min"},{"family":"Korbel","given":"Jan O."},{"family":"Marchini","given":"Jonathan L."},{"family":"McCarthy","given":"Shane"},{"family":"McVean","given":"Gil A."},{"family":"Abecasis","given":"Gonçalo R."}],"issued":{"date-parts":[["2015",10,1]]}}}],"schema":"https://github.com/citation-style-language/schema/raw/master/csl-citation.json"}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9</w:t>
      </w:r>
      <w:r w:rsidR="00B442C9" w:rsidRPr="00DE333A">
        <w:rPr>
          <w:lang w:val="en-US" w:eastAsia="en-US"/>
        </w:rPr>
        <w:fldChar w:fldCharType="end"/>
      </w:r>
      <w:r w:rsidRPr="00DE333A">
        <w:rPr>
          <w:lang w:val="en-US" w:eastAsia="en-US"/>
        </w:rPr>
        <w:t xml:space="preserve"> NHLBI-ESP 6500 Exomes (http://evs.gs.washington.edu/EVS/)</w:t>
      </w:r>
      <w:r>
        <w:rPr>
          <w:lang w:val="en-US" w:eastAsia="en-US"/>
        </w:rPr>
        <w:t>,</w:t>
      </w:r>
      <w:r w:rsidRPr="00DE333A">
        <w:rPr>
          <w:lang w:val="en-US" w:eastAsia="en-US"/>
        </w:rPr>
        <w:t xml:space="preserve"> and ExAC.</w:t>
      </w:r>
      <w:r w:rsidR="00B442C9" w:rsidRPr="00DE333A">
        <w:rPr>
          <w:lang w:val="en-US" w:eastAsia="en-US"/>
        </w:rPr>
        <w:fldChar w:fldCharType="begin"/>
      </w:r>
      <w:r w:rsidR="00B3054F">
        <w:rPr>
          <w:lang w:val="en-US" w:eastAsia="en-US"/>
        </w:rPr>
        <w:instrText xml:space="preserve"> ADDIN ZOTERO_ITEM CSL_CITATION {"citationID":"a733pQrP","properties":{"formattedCitation":"\\super 10\\nosupersub{}","plainCitation":"10","noteIndex":0},"citationItems":[{"id":6534,"uris":["http://zotero.org/users/177008/items/RRPEK8WG"],"uri":["http://zotero.org/users/177008/items/RRPEK8WG"],"itemData":{"id":6534,"type":"article-journal","title":"Analysis of protein-coding genetic variation in 60,706 humans","container-title":"Nature","page":"285-291","volume":"536","issue":"7616","source":"PubMed","abstract":"Large-scale reference data sets of human genetic variation are critical for the medical and functional interpretation of DNA sequence changes. Here we describe the aggregation and analysis of high-quality exome (protein-coding region) DNA sequence data for 60,706 individuals of diverse ancestries generated as part of the Exome Aggregation Consortium (ExAC). This catalogue of human genetic diversity contains an average of one variant every eight bases of the exome, and provides direct evidence for the presence of widespread mutational recurrence. We have used this catalogue to calculate objective metrics of pathogenicity for sequence variants, and to identify genes subject to strong selection against various classes of mutation; identifying 3,230 genes with near-complete depletion of predicted protein-truncating variants, with 72% of these genes having no currently established human disease phenotype. Finally, we demonstrate that these data can be used for the efficient filtering of candidate disease-causing variants, and for the discovery of human 'knockout' variants in protein-coding genes.","DOI":"10.1038/nature19057","ISSN":"1476-4687","note":"PMID: 27535533\nPMCID: PMC5018207","journalAbbreviation":"Nature","language":"eng","author":[{"family":"Lek","given":"Monkol"},{"family":"Karczewski","given":"Konrad J."},{"family":"Minikel","given":"Eric V."},{"family":"Samocha","given":"Kaitlin E."},{"family":"Banks","given":"Eric"},{"family":"Fennell","given":"Timothy"},{"family":"O'Donnell-Luria","given":"Anne H."},{"family":"Ware","given":"James S."},{"family":"Hill","given":"Andrew J."},{"family":"Cummings","given":"Beryl B."},{"family":"Tukiainen","given":"Taru"},{"family":"Birnbaum","given":"Daniel P."},{"family":"Kosmicki","given":"Jack A."},{"family":"Duncan","given":"Laramie E."},{"family":"Estrada","given":"Karol"},{"family":"Zhao","given":"Fengmei"},{"family":"Zou","given":"James"},{"family":"Pierce-Hoffman","given":"Emma"},{"family":"Berghout","given":"Joanne"},{"family":"Cooper","given":"David N."},{"family":"Deflaux","given":"Nicole"},{"family":"DePristo","given":"Mark"},{"family":"Do","given":"Ron"},{"family":"Flannick","given":"Jason"},{"family":"Fromer","given":"Menachem"},{"family":"Gauthier","given":"Laura"},{"family":"Goldstein","given":"Jackie"},{"family":"Gupta","given":"Namrata"},{"family":"Howrigan","given":"Daniel"},{"family":"Kiezun","given":"Adam"},{"family":"Kurki","given":"Mitja I."},{"family":"Moonshine","given":"Ami Levy"},{"family":"Natarajan","given":"Pradeep"},{"family":"Orozco","given":"Lorena"},{"family":"Peloso","given":"Gina M."},{"family":"Poplin","given":"Ryan"},{"family":"Rivas","given":"Manuel A."},{"family":"Ruano-Rubio","given":"Valentin"},{"family":"Rose","given":"Samuel A."},{"family":"Ruderfer","given":"Douglas M."},{"family":"Shakir","given":"Khalid"},{"family":"Stenson","given":"Peter D."},{"family":"Stevens","given":"Christine"},{"family":"Thomas","given":"Brett P."},{"family":"Tiao","given":"Grace"},{"family":"Tusie-Luna","given":"Maria T."},{"family":"Weisburd","given":"Ben"},{"family":"Won","given":"Hong-Hee"},{"family":"Yu","given":"Dongmei"},{"family":"Altshuler","given":"David M."},{"family":"Ardissino","given":"Diego"},{"family":"Boehnke","given":"Michael"},{"family":"Danesh","given":"John"},{"family":"Donnelly","given":"Stacey"},{"family":"Elosua","given":"Roberto"},{"family":"Florez","given":"Jose C."},{"family":"Gabriel","given":"Stacey B."},{"family":"Getz","given":"Gad"},{"family":"Glatt","given":"Stephen J."},{"family":"Hultman","given":"Christina M."},{"family":"Kathiresan","given":"Sekar"},{"family":"Laakso","given":"Markku"},{"family":"McCarroll","given":"Steven"},{"family":"McCarthy","given":"Mark I."},{"family":"McGovern","given":"Dermot"},{"family":"McPherson","given":"Ruth"},{"family":"Neale","given":"Benjamin M."},{"family":"Palotie","given":"Aarno"},{"family":"Purcell","given":"Shaun M."},{"family":"Saleheen","given":"Danish"},{"family":"Scharf","given":"Jeremiah M."},{"family":"Sklar","given":"Pamela"},{"family":"Sullivan","given":"Patrick F."},{"family":"Tuomilehto","given":"Jaakko"},{"family":"Tsuang","given":"Ming T."},{"family":"Watkins","given":"Hugh C."},{"family":"Wilson","given":"James G."},{"family":"Daly","given":"Mark J."},{"family":"MacArthur","given":"Daniel G."},{"literal":"Exome Aggregation Consortium"}],"issued":{"date-parts":[["2016"]],"season":"18"}}}],"schema":"https://github.com/citation-style-language/schema/raw/master/csl-citation.json"}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10</w:t>
      </w:r>
      <w:r w:rsidR="00B442C9" w:rsidRPr="00DE333A">
        <w:rPr>
          <w:lang w:val="en-US" w:eastAsia="en-US"/>
        </w:rPr>
        <w:fldChar w:fldCharType="end"/>
      </w:r>
    </w:p>
    <w:p w14:paraId="1D7E7F66" w14:textId="77777777" w:rsidR="00740BA0" w:rsidRPr="00864E23" w:rsidRDefault="00740BA0" w:rsidP="00740BA0">
      <w:pPr>
        <w:pStyle w:val="Nagwek3"/>
        <w:spacing w:line="480" w:lineRule="auto"/>
        <w:rPr>
          <w:rFonts w:ascii="Times New Roman" w:hAnsi="Times New Roman"/>
          <w:lang w:val="en-US" w:eastAsia="en-US"/>
        </w:rPr>
      </w:pPr>
      <w:r w:rsidRPr="00864E23">
        <w:rPr>
          <w:rFonts w:ascii="Times New Roman" w:hAnsi="Times New Roman"/>
          <w:lang w:val="en-US" w:eastAsia="en-US"/>
        </w:rPr>
        <w:t xml:space="preserve">Additional variant filtering </w:t>
      </w:r>
    </w:p>
    <w:p w14:paraId="18EA3E41" w14:textId="08363FC8" w:rsidR="00740BA0" w:rsidRPr="00DE333A" w:rsidRDefault="00740BA0" w:rsidP="00740BA0">
      <w:pPr>
        <w:spacing w:line="480" w:lineRule="auto"/>
        <w:ind w:firstLine="539"/>
        <w:rPr>
          <w:lang w:val="en-US" w:eastAsia="en-US"/>
        </w:rPr>
      </w:pPr>
      <w:r>
        <w:rPr>
          <w:lang w:val="en-US" w:eastAsia="en-US"/>
        </w:rPr>
        <w:t xml:space="preserve">Variants with statistically significant frequency difference in the above-mentioned tests were additionally filtered with a </w:t>
      </w:r>
      <w:r w:rsidR="007F22C1">
        <w:rPr>
          <w:lang w:val="en-US" w:eastAsia="en-US"/>
        </w:rPr>
        <w:t>variation</w:t>
      </w:r>
      <w:r>
        <w:rPr>
          <w:lang w:val="en-US" w:eastAsia="en-US"/>
        </w:rPr>
        <w:t xml:space="preserve"> of variant-filter script (</w:t>
      </w:r>
      <w:hyperlink r:id="rId6" w:history="1">
        <w:r w:rsidRPr="00585B4A">
          <w:rPr>
            <w:rStyle w:val="Hipercze"/>
            <w:lang w:val="en-US" w:eastAsia="en-US"/>
          </w:rPr>
          <w:t>https://github.com/ckandoth/variant-filter</w:t>
        </w:r>
      </w:hyperlink>
      <w:r>
        <w:rPr>
          <w:lang w:val="en-US" w:eastAsia="en-US"/>
        </w:rPr>
        <w:t xml:space="preserve">) adapted to account for insertions and deletions. </w:t>
      </w:r>
    </w:p>
    <w:p w14:paraId="6D63010D" w14:textId="77777777" w:rsidR="00740BA0" w:rsidRPr="00864E23" w:rsidRDefault="00740BA0" w:rsidP="00740BA0">
      <w:pPr>
        <w:pStyle w:val="Nagwek3"/>
        <w:spacing w:line="480" w:lineRule="auto"/>
        <w:rPr>
          <w:rFonts w:ascii="Times New Roman" w:hAnsi="Times New Roman"/>
          <w:lang w:val="en-US" w:eastAsia="en-US"/>
        </w:rPr>
      </w:pPr>
      <w:r w:rsidRPr="00864E23">
        <w:rPr>
          <w:rFonts w:ascii="Times New Roman" w:hAnsi="Times New Roman"/>
          <w:lang w:val="en-US" w:eastAsia="en-US"/>
        </w:rPr>
        <w:t>Deleterious variant overrepresentation</w:t>
      </w:r>
    </w:p>
    <w:p w14:paraId="0A2C4DD5" w14:textId="5A8A4782" w:rsidR="00740BA0" w:rsidRDefault="00740BA0" w:rsidP="00740BA0">
      <w:pPr>
        <w:spacing w:line="480" w:lineRule="auto"/>
        <w:ind w:firstLine="539"/>
        <w:rPr>
          <w:lang w:val="en-US" w:eastAsia="en-US"/>
        </w:rPr>
      </w:pPr>
      <w:r w:rsidRPr="00DE333A">
        <w:rPr>
          <w:lang w:val="en-US" w:eastAsia="en-US"/>
        </w:rPr>
        <w:t xml:space="preserve">Deleterious variants were chosen among rare changes, based on their </w:t>
      </w:r>
      <w:bookmarkStart w:id="1" w:name="_Hlk523424453"/>
      <w:r>
        <w:rPr>
          <w:lang w:val="en-US"/>
        </w:rPr>
        <w:t>combined annotation-dependent deletion</w:t>
      </w:r>
      <w:r w:rsidRPr="00DE333A">
        <w:rPr>
          <w:lang w:val="en-US"/>
        </w:rPr>
        <w:t xml:space="preserve"> algorithm</w:t>
      </w:r>
      <w:r w:rsidRPr="00DE333A">
        <w:rPr>
          <w:lang w:val="en-US" w:eastAsia="en-US"/>
        </w:rPr>
        <w:t xml:space="preserve"> </w:t>
      </w:r>
      <w:r>
        <w:rPr>
          <w:lang w:val="en-US" w:eastAsia="en-US"/>
        </w:rPr>
        <w:t>(</w:t>
      </w:r>
      <w:r w:rsidRPr="00DE333A">
        <w:rPr>
          <w:lang w:val="en-US" w:eastAsia="en-US"/>
        </w:rPr>
        <w:t>CADD</w:t>
      </w:r>
      <w:bookmarkEnd w:id="1"/>
      <w:r>
        <w:rPr>
          <w:lang w:val="en-US" w:eastAsia="en-US"/>
        </w:rPr>
        <w:t>)</w:t>
      </w:r>
      <w:r w:rsidR="00B442C9" w:rsidRPr="00DE333A">
        <w:rPr>
          <w:lang w:val="en-US" w:eastAsia="en-US"/>
        </w:rPr>
        <w:fldChar w:fldCharType="begin"/>
      </w:r>
      <w:r w:rsidR="00B3054F">
        <w:rPr>
          <w:lang w:val="en-US" w:eastAsia="en-US"/>
        </w:rPr>
        <w:instrText xml:space="preserve"> ADDIN ZOTERO_ITEM CSL_CITATION {"citationID":"c2cz2L6x","properties":{"formattedCitation":"\\super 11\\nosupersub{}","plainCitation":"11","noteIndex":0},"citationItems":[{"id":6533,"uris":["http://zotero.org/users/177008/items/U839MPAX"],"uri":["http://zotero.org/users/177008/items/U839MPAX"],"itemData":{"id":6533,"type":"article-journal","title":"A general framework for estimating the relative pathogenicity of human genetic variants","container-title":"Nature Genetics","page":"310-315","volume":"46","issue":"3","source":"PubMed","abstract":"Current methods for annotating and interpreting human genetic variation tend to exploit a single information type (for example, conservation) and/or are restricted in scope (for example, to missense changes). Here we describe Combined Annotation-Dependent Depletion (CADD), a method for objectively integrating many diverse annotations into a single measure (C score) for each variant. We implement CADD as a support vector machine trained to differentiate 14.7 million high-frequency human-derived alleles from 14.7 million simulated variants. We precompute C scores for all 8.6 billion possible human single-nucleotide variants and enable scoring of short insertions-deletions. C scores correlate with allelic diversity, annotations of functionality, pathogenicity, disease severity, experimentally measured regulatory effects and complex trait associations, and they highly rank known pathogenic variants within individual genomes. The ability of CADD to prioritize functional, deleterious and pathogenic variants across many functional categories, effect sizes and genetic architectures is unmatched by any current single-annotation method.","DOI":"10.1038/ng.2892","ISSN":"1546-1718","note":"PMID: 24487276\nPMCID: PMC3992975","journalAbbreviation":"Nat. Genet.","language":"eng","author":[{"family":"Kircher","given":"Martin"},{"family":"Witten","given":"Daniela M."},{"family":"Jain","given":"Preti"},{"family":"O'Roak","given":"Brian J."},{"family":"Cooper","given":"Gregory M."},{"family":"Shendure","given":"Jay"}],"issued":{"date-parts":[["2014",3]]}}}],"schema":"https://github.com/citation-style-language/schema/raw/master/csl-citation.json"} </w:instrText>
      </w:r>
      <w:r w:rsidR="00B442C9" w:rsidRPr="00DE333A">
        <w:rPr>
          <w:lang w:val="en-US" w:eastAsia="en-US"/>
        </w:rPr>
        <w:fldChar w:fldCharType="separate"/>
      </w:r>
      <w:r w:rsidR="00B3054F" w:rsidRPr="00B3054F">
        <w:rPr>
          <w:vertAlign w:val="superscript"/>
          <w:lang w:val="en-US"/>
        </w:rPr>
        <w:t>11</w:t>
      </w:r>
      <w:r w:rsidR="00B442C9" w:rsidRPr="00DE333A">
        <w:rPr>
          <w:lang w:val="en-US" w:eastAsia="en-US"/>
        </w:rPr>
        <w:fldChar w:fldCharType="end"/>
      </w:r>
      <w:r>
        <w:rPr>
          <w:lang w:val="en-US" w:eastAsia="en-US"/>
        </w:rPr>
        <w:t xml:space="preserve"> </w:t>
      </w:r>
      <w:r w:rsidR="00177FCC" w:rsidRPr="00177FCC">
        <w:rPr>
          <w:lang w:val="en-US" w:eastAsia="en-US"/>
        </w:rPr>
        <w:t>PHRED</w:t>
      </w:r>
      <w:r w:rsidRPr="00DE333A">
        <w:rPr>
          <w:lang w:val="en-US" w:eastAsia="en-US"/>
        </w:rPr>
        <w:t xml:space="preserve">-scale value (deleterious </w:t>
      </w:r>
      <w:r>
        <w:rPr>
          <w:lang w:val="en-US" w:eastAsia="en-US"/>
        </w:rPr>
        <w:t>when &gt;</w:t>
      </w:r>
      <w:r w:rsidRPr="00DE333A">
        <w:rPr>
          <w:lang w:val="en-US" w:eastAsia="en-US"/>
        </w:rPr>
        <w:t xml:space="preserve">20). Numbers </w:t>
      </w:r>
      <w:r w:rsidRPr="00DE333A">
        <w:rPr>
          <w:lang w:val="en-US" w:eastAsia="en-US"/>
        </w:rPr>
        <w:lastRenderedPageBreak/>
        <w:t>of deleterious variants were then compared with Student’s t-test</w:t>
      </w:r>
      <w:r>
        <w:rPr>
          <w:lang w:val="en-US" w:eastAsia="en-US"/>
        </w:rPr>
        <w:t>s</w:t>
      </w:r>
      <w:r w:rsidRPr="00DE333A">
        <w:rPr>
          <w:lang w:val="en-US" w:eastAsia="en-US"/>
        </w:rPr>
        <w:t xml:space="preserve"> for a whole group of controls and </w:t>
      </w:r>
      <w:r>
        <w:rPr>
          <w:lang w:val="en-US" w:eastAsia="en-US"/>
        </w:rPr>
        <w:t xml:space="preserve">a </w:t>
      </w:r>
      <w:r w:rsidRPr="00DE333A">
        <w:rPr>
          <w:lang w:val="en-US" w:eastAsia="en-US"/>
        </w:rPr>
        <w:t>random select</w:t>
      </w:r>
      <w:r>
        <w:rPr>
          <w:lang w:val="en-US" w:eastAsia="en-US"/>
        </w:rPr>
        <w:t>ion of</w:t>
      </w:r>
      <w:r w:rsidRPr="00DE333A">
        <w:rPr>
          <w:lang w:val="en-US" w:eastAsia="en-US"/>
        </w:rPr>
        <w:t xml:space="preserve"> </w:t>
      </w:r>
      <w:r>
        <w:rPr>
          <w:lang w:val="en-US" w:eastAsia="en-US"/>
        </w:rPr>
        <w:t>95</w:t>
      </w:r>
      <w:r w:rsidRPr="00DE333A">
        <w:rPr>
          <w:lang w:val="en-US" w:eastAsia="en-US"/>
        </w:rPr>
        <w:t xml:space="preserve"> </w:t>
      </w:r>
      <w:r>
        <w:rPr>
          <w:lang w:val="en-US" w:eastAsia="en-US"/>
        </w:rPr>
        <w:t>WD</w:t>
      </w:r>
      <w:r w:rsidRPr="00DE333A">
        <w:rPr>
          <w:lang w:val="en-US" w:eastAsia="en-US"/>
        </w:rPr>
        <w:t xml:space="preserve"> patients. The test was repeated 1000 times. </w:t>
      </w:r>
    </w:p>
    <w:p w14:paraId="60B28C77" w14:textId="77777777" w:rsidR="00740BA0" w:rsidRPr="00864E23" w:rsidRDefault="00740BA0" w:rsidP="00740BA0">
      <w:pPr>
        <w:pStyle w:val="Nagwek3"/>
        <w:spacing w:line="480" w:lineRule="auto"/>
        <w:rPr>
          <w:rFonts w:ascii="Times New Roman" w:hAnsi="Times New Roman"/>
          <w:lang w:val="en-US" w:eastAsia="en-US"/>
        </w:rPr>
      </w:pPr>
      <w:r w:rsidRPr="00864E23">
        <w:rPr>
          <w:rFonts w:ascii="Times New Roman" w:hAnsi="Times New Roman"/>
          <w:lang w:val="en-US" w:eastAsia="en-US"/>
        </w:rPr>
        <w:t>Functional analysis</w:t>
      </w:r>
    </w:p>
    <w:p w14:paraId="3CC391E3" w14:textId="4925D9AC" w:rsidR="00740BA0" w:rsidRPr="000A21DF" w:rsidRDefault="00740BA0" w:rsidP="00740BA0">
      <w:pPr>
        <w:pStyle w:val="ListParagraph2"/>
        <w:spacing w:after="0" w:line="480" w:lineRule="auto"/>
        <w:ind w:left="0" w:firstLine="539"/>
        <w:jc w:val="both"/>
        <w:rPr>
          <w:rFonts w:ascii="Times New Roman" w:hAnsi="Times New Roman"/>
          <w:sz w:val="24"/>
          <w:szCs w:val="24"/>
          <w:lang w:val="en-US"/>
        </w:rPr>
      </w:pPr>
      <w:r w:rsidRPr="000A21DF">
        <w:rPr>
          <w:rFonts w:ascii="Times New Roman" w:hAnsi="Times New Roman"/>
          <w:sz w:val="24"/>
          <w:szCs w:val="24"/>
          <w:lang w:val="en-US"/>
        </w:rPr>
        <w:t>P-values on PHRED scale from two Fisher’s exact test comparisons: between disease subtypes and between ages of onset (&lt;18 years vs ≥ 18 years) were used as scores for M</w:t>
      </w:r>
      <w:r w:rsidR="00BB5C5B">
        <w:rPr>
          <w:rFonts w:ascii="Times New Roman" w:hAnsi="Times New Roman"/>
          <w:sz w:val="24"/>
          <w:szCs w:val="24"/>
          <w:lang w:val="en-US"/>
        </w:rPr>
        <w:t>arker Set Enrichment Analysis (MSEA)</w:t>
      </w:r>
      <w:r w:rsidRPr="000A21DF">
        <w:rPr>
          <w:rFonts w:ascii="Times New Roman" w:hAnsi="Times New Roman"/>
          <w:sz w:val="24"/>
          <w:szCs w:val="24"/>
          <w:lang w:val="en-US"/>
        </w:rPr>
        <w:t>.</w:t>
      </w:r>
      <w:r w:rsidR="00B442C9" w:rsidRPr="000A21DF">
        <w:rPr>
          <w:rFonts w:ascii="Times New Roman" w:hAnsi="Times New Roman"/>
          <w:sz w:val="24"/>
          <w:szCs w:val="24"/>
          <w:lang w:val="en-US"/>
        </w:rPr>
        <w:fldChar w:fldCharType="begin"/>
      </w:r>
      <w:r w:rsidR="00B3054F">
        <w:rPr>
          <w:rFonts w:ascii="Times New Roman" w:hAnsi="Times New Roman"/>
          <w:sz w:val="24"/>
          <w:szCs w:val="24"/>
          <w:lang w:val="en-US"/>
        </w:rPr>
        <w:instrText xml:space="preserve"> ADDIN ZOTERO_ITEM CSL_CITATION {"citationID":"pdt39ula","properties":{"formattedCitation":"\\super 12\\nosupersub{}","plainCitation":"12","noteIndex":0},"citationItems":[{"id":6920,"uris":["http://zotero.org/users/177008/items/MAZ7L4DT"],"uri":["http://zotero.org/users/177008/items/MAZ7L4DT"],"itemData":{"id":6920,"type":"article-journal","title":"Mergeomics: multidimensional data integration to identify pathogenic perturbations to biological systems","container-title":"BMC genomics","page":"874","volume":"17","issue":"1","source":"PubMed","abstract":"BACKGROUND: Complex diseases are characterized by multiple subtle perturbations to biological processes. New omics platforms can detect these perturbations, but translating the diverse molecular and statistical information into testable mechanistic hypotheses is challenging. Therefore, we set out to create a public tool that integrates these data across multiple datasets, platforms, study designs and species in order to detect the most promising targets for further mechanistic studies.\nRESULTS: We developed Mergeomics, a computational pipeline consisting of independent modules that 1) leverage multi-omics association data to identify biological processes that are perturbed in disease, and 2) overlay the disease-associated processes onto molecular interaction networks to pinpoint hubs as potential key regulators. Unlike existing tools that are mostly dedicated to specific data type or settings, the Mergeomics pipeline accepts and integrates datasets across platforms, data types and species. We optimized and evaluated the performance of Mergeomics using simulation and multiple independent datasets, and benchmarked the results against alternative methods. We also demonstrate the versatility of Mergeomics in two case studies that include genome-wide, epigenome-wide and transcriptome-wide datasets from human and mouse studies of total cholesterol and fasting glucose. In both cases, the Mergeomics pipeline provided statistical and contextual evidence to prioritize further investigations in the wet lab. The software implementation of Mergeomics is freely available as a Bioconductor R package.\nCONCLUSION: Mergeomics is a flexible and robust computational pipeline for multidimensional data integration. It outperforms existing tools, and is easily applicable to datasets from different studies, species and omics data types for the study of complex traits.","DOI":"10.1186/s12864-016-3198-9","ISSN":"1471-2164","note":"PMID: 27814671\nPMCID: PMC5097440","shortTitle":"Mergeomics","journalAbbreviation":"BMC Genomics","language":"eng","author":[{"family":"Shu","given":"Le"},{"family":"Zhao","given":"Yuqi"},{"family":"Kurt","given":"Zeyneb"},{"family":"Byars","given":"Sean Geoffrey"},{"family":"Tukiainen","given":"Taru"},{"family":"Kettunen","given":"Johannes"},{"family":"Orozco","given":"Luz D."},{"family":"Pellegrini","given":"Matteo"},{"family":"Lusis","given":"Aldons J."},{"family":"Ripatti","given":"Samuli"},{"family":"Zhang","given":"Bin"},{"family":"Inouye","given":"Michael"},{"family":"Mäkinen","given":"Ville-Petteri"},{"family":"Yang","given":"Xia"}],"issued":{"date-parts":[["2016"]],"season":"04"}}}],"schema":"https://github.com/citation-style-language/schema/raw/master/csl-citation.json"} </w:instrText>
      </w:r>
      <w:r w:rsidR="00B442C9" w:rsidRPr="000A21DF">
        <w:rPr>
          <w:rFonts w:ascii="Times New Roman" w:hAnsi="Times New Roman"/>
          <w:sz w:val="24"/>
          <w:szCs w:val="24"/>
          <w:lang w:val="en-US"/>
        </w:rPr>
        <w:fldChar w:fldCharType="separate"/>
      </w:r>
      <w:r w:rsidR="00B3054F" w:rsidRPr="00B3054F">
        <w:rPr>
          <w:rFonts w:ascii="Times New Roman" w:hAnsi="Times New Roman"/>
          <w:sz w:val="24"/>
          <w:szCs w:val="24"/>
          <w:vertAlign w:val="superscript"/>
          <w:lang w:val="en-US"/>
        </w:rPr>
        <w:t>12</w:t>
      </w:r>
      <w:r w:rsidR="00B442C9" w:rsidRPr="000A21DF">
        <w:rPr>
          <w:rFonts w:ascii="Times New Roman" w:hAnsi="Times New Roman"/>
          <w:sz w:val="24"/>
          <w:szCs w:val="24"/>
          <w:lang w:val="en-US"/>
        </w:rPr>
        <w:fldChar w:fldCharType="end"/>
      </w:r>
      <w:r w:rsidRPr="000A21DF">
        <w:rPr>
          <w:rFonts w:ascii="Times New Roman" w:hAnsi="Times New Roman"/>
          <w:sz w:val="24"/>
          <w:szCs w:val="24"/>
          <w:lang w:val="en-US"/>
        </w:rPr>
        <w:t xml:space="preserve"> The biological pathways definitions were downloaded directly from </w:t>
      </w:r>
      <w:proofErr w:type="spellStart"/>
      <w:r w:rsidRPr="000A21DF">
        <w:rPr>
          <w:rFonts w:ascii="Times New Roman" w:hAnsi="Times New Roman"/>
          <w:sz w:val="24"/>
          <w:szCs w:val="24"/>
          <w:lang w:val="en-US"/>
        </w:rPr>
        <w:t>Reactome</w:t>
      </w:r>
      <w:proofErr w:type="spellEnd"/>
      <w:r w:rsidRPr="000A21DF">
        <w:rPr>
          <w:rFonts w:ascii="Times New Roman" w:hAnsi="Times New Roman"/>
          <w:sz w:val="24"/>
          <w:szCs w:val="24"/>
          <w:lang w:val="en-US"/>
        </w:rPr>
        <w:t xml:space="preserve"> (</w:t>
      </w:r>
      <w:hyperlink r:id="rId7" w:history="1">
        <w:r w:rsidRPr="000A21DF">
          <w:rPr>
            <w:rStyle w:val="Hipercze"/>
            <w:sz w:val="24"/>
            <w:szCs w:val="24"/>
            <w:lang w:val="en-US"/>
          </w:rPr>
          <w:t>https://reactome.org/download/current/ReactomePathways.gmt.zip</w:t>
        </w:r>
      </w:hyperlink>
      <w:r w:rsidRPr="000A21DF">
        <w:rPr>
          <w:rFonts w:ascii="Times New Roman" w:hAnsi="Times New Roman"/>
          <w:sz w:val="24"/>
          <w:szCs w:val="24"/>
          <w:lang w:val="en-US"/>
        </w:rPr>
        <w:t>).</w:t>
      </w:r>
    </w:p>
    <w:p w14:paraId="35C09771" w14:textId="77777777" w:rsidR="000D3775" w:rsidRPr="00031F55" w:rsidRDefault="00740BA0">
      <w:pPr>
        <w:rPr>
          <w:b/>
        </w:rPr>
      </w:pPr>
      <w:proofErr w:type="spellStart"/>
      <w:r w:rsidRPr="00031F55">
        <w:rPr>
          <w:b/>
        </w:rPr>
        <w:t>References</w:t>
      </w:r>
      <w:proofErr w:type="spellEnd"/>
    </w:p>
    <w:p w14:paraId="387EAC0F" w14:textId="77777777" w:rsidR="00B3054F" w:rsidRPr="00B3054F" w:rsidRDefault="00B442C9" w:rsidP="00B3054F">
      <w:pPr>
        <w:pStyle w:val="Bibliografia"/>
        <w:rPr>
          <w:lang w:val="en-US"/>
        </w:rPr>
      </w:pPr>
      <w:r>
        <w:rPr>
          <w:lang w:val="en-US"/>
        </w:rPr>
        <w:fldChar w:fldCharType="begin"/>
      </w:r>
      <w:r w:rsidR="00B3054F" w:rsidRPr="00B3054F">
        <w:instrText xml:space="preserve"> ADDIN ZOTERO_BIBL {"uncited":[],"omitted":[],"custom":[]} CSL_BIBLIOGRAPHY </w:instrText>
      </w:r>
      <w:r>
        <w:rPr>
          <w:lang w:val="en-US"/>
        </w:rPr>
        <w:fldChar w:fldCharType="separate"/>
      </w:r>
      <w:r w:rsidR="00B3054F" w:rsidRPr="00B3054F">
        <w:t xml:space="preserve">1. Ostrowski J, Paziewska A, </w:t>
      </w:r>
      <w:proofErr w:type="spellStart"/>
      <w:r w:rsidR="00B3054F" w:rsidRPr="00B3054F">
        <w:t>Lazowska</w:t>
      </w:r>
      <w:proofErr w:type="spellEnd"/>
      <w:r w:rsidR="00B3054F" w:rsidRPr="00B3054F">
        <w:t xml:space="preserve"> I, et al. </w:t>
      </w:r>
      <w:r w:rsidR="00B3054F" w:rsidRPr="00B3054F">
        <w:rPr>
          <w:lang w:val="en-US"/>
        </w:rPr>
        <w:t xml:space="preserve">Genetic architecture differences between pediatric and adult-onset inflammatory bowel diseases in the Polish population. </w:t>
      </w:r>
      <w:r w:rsidR="00B3054F" w:rsidRPr="00B3054F">
        <w:rPr>
          <w:i/>
          <w:iCs/>
          <w:lang w:val="en-US"/>
        </w:rPr>
        <w:t>Scientific Reports</w:t>
      </w:r>
      <w:r w:rsidR="00B3054F" w:rsidRPr="00B3054F">
        <w:rPr>
          <w:lang w:val="en-US"/>
        </w:rPr>
        <w:t xml:space="preserve">. 2016;6:10. </w:t>
      </w:r>
    </w:p>
    <w:p w14:paraId="6E9B8567" w14:textId="77777777" w:rsidR="00B3054F" w:rsidRPr="00B3054F" w:rsidRDefault="00B3054F" w:rsidP="00B3054F">
      <w:pPr>
        <w:pStyle w:val="Bibliografia"/>
        <w:rPr>
          <w:lang w:val="en-US"/>
        </w:rPr>
      </w:pPr>
      <w:r w:rsidRPr="00B3054F">
        <w:rPr>
          <w:lang w:val="en-US"/>
        </w:rPr>
        <w:t xml:space="preserve">2. </w:t>
      </w:r>
      <w:proofErr w:type="spellStart"/>
      <w:r w:rsidRPr="00B3054F">
        <w:rPr>
          <w:lang w:val="en-US"/>
        </w:rPr>
        <w:t>Damiati</w:t>
      </w:r>
      <w:proofErr w:type="spellEnd"/>
      <w:r w:rsidRPr="00B3054F">
        <w:rPr>
          <w:lang w:val="en-US"/>
        </w:rPr>
        <w:t xml:space="preserve"> E, </w:t>
      </w:r>
      <w:proofErr w:type="spellStart"/>
      <w:r w:rsidRPr="00B3054F">
        <w:rPr>
          <w:lang w:val="en-US"/>
        </w:rPr>
        <w:t>Borsani</w:t>
      </w:r>
      <w:proofErr w:type="spellEnd"/>
      <w:r w:rsidRPr="00B3054F">
        <w:rPr>
          <w:lang w:val="en-US"/>
        </w:rPr>
        <w:t xml:space="preserve"> G, </w:t>
      </w:r>
      <w:proofErr w:type="spellStart"/>
      <w:r w:rsidRPr="00B3054F">
        <w:rPr>
          <w:lang w:val="en-US"/>
        </w:rPr>
        <w:t>Giacopuzzi</w:t>
      </w:r>
      <w:proofErr w:type="spellEnd"/>
      <w:r w:rsidRPr="00B3054F">
        <w:rPr>
          <w:lang w:val="en-US"/>
        </w:rPr>
        <w:t xml:space="preserve"> E. Amplicon-based semiconductor sequencing of human exomes: performance evaluation and optimization strategies. </w:t>
      </w:r>
      <w:r w:rsidRPr="00B3054F">
        <w:rPr>
          <w:i/>
          <w:iCs/>
          <w:lang w:val="en-US"/>
        </w:rPr>
        <w:t>Hum Genet</w:t>
      </w:r>
      <w:r w:rsidRPr="00B3054F">
        <w:rPr>
          <w:lang w:val="en-US"/>
        </w:rPr>
        <w:t xml:space="preserve">. 2016;135:499–511. </w:t>
      </w:r>
    </w:p>
    <w:p w14:paraId="5F59A4F8" w14:textId="77777777" w:rsidR="00B3054F" w:rsidRPr="00B3054F" w:rsidRDefault="00B3054F" w:rsidP="00B3054F">
      <w:pPr>
        <w:pStyle w:val="Bibliografia"/>
        <w:rPr>
          <w:lang w:val="en-US"/>
        </w:rPr>
      </w:pPr>
      <w:r w:rsidRPr="00B3054F">
        <w:rPr>
          <w:lang w:val="en-US"/>
        </w:rPr>
        <w:t xml:space="preserve">3. Li J, </w:t>
      </w:r>
      <w:proofErr w:type="spellStart"/>
      <w:r w:rsidRPr="00B3054F">
        <w:rPr>
          <w:lang w:val="en-US"/>
        </w:rPr>
        <w:t>Lupat</w:t>
      </w:r>
      <w:proofErr w:type="spellEnd"/>
      <w:r w:rsidRPr="00B3054F">
        <w:rPr>
          <w:lang w:val="en-US"/>
        </w:rPr>
        <w:t xml:space="preserve"> R, </w:t>
      </w:r>
      <w:proofErr w:type="spellStart"/>
      <w:r w:rsidRPr="00B3054F">
        <w:rPr>
          <w:lang w:val="en-US"/>
        </w:rPr>
        <w:t>Amarasinghe</w:t>
      </w:r>
      <w:proofErr w:type="spellEnd"/>
      <w:r w:rsidRPr="00B3054F">
        <w:rPr>
          <w:lang w:val="en-US"/>
        </w:rPr>
        <w:t xml:space="preserve"> KC, et al. CONTRA: copy number analysis for targeted resequencing. </w:t>
      </w:r>
      <w:r w:rsidRPr="00B3054F">
        <w:rPr>
          <w:i/>
          <w:iCs/>
          <w:lang w:val="en-US"/>
        </w:rPr>
        <w:t>Bioinformatics</w:t>
      </w:r>
      <w:r w:rsidRPr="00B3054F">
        <w:rPr>
          <w:lang w:val="en-US"/>
        </w:rPr>
        <w:t xml:space="preserve">. 2012;28:1307–1313. </w:t>
      </w:r>
    </w:p>
    <w:p w14:paraId="0D1AB54F" w14:textId="77777777" w:rsidR="00B3054F" w:rsidRPr="00B3054F" w:rsidRDefault="00B3054F" w:rsidP="00B3054F">
      <w:pPr>
        <w:pStyle w:val="Bibliografia"/>
        <w:rPr>
          <w:lang w:val="en-US"/>
        </w:rPr>
      </w:pPr>
      <w:r w:rsidRPr="00B3054F">
        <w:rPr>
          <w:lang w:val="en-US"/>
        </w:rPr>
        <w:t xml:space="preserve">4. McLaren W, Gil L, Hunt SE, et al. The </w:t>
      </w:r>
      <w:proofErr w:type="spellStart"/>
      <w:r w:rsidRPr="00B3054F">
        <w:rPr>
          <w:lang w:val="en-US"/>
        </w:rPr>
        <w:t>Ensembl</w:t>
      </w:r>
      <w:proofErr w:type="spellEnd"/>
      <w:r w:rsidRPr="00B3054F">
        <w:rPr>
          <w:lang w:val="en-US"/>
        </w:rPr>
        <w:t xml:space="preserve"> Variant Effect Predictor. </w:t>
      </w:r>
      <w:r w:rsidRPr="00B3054F">
        <w:rPr>
          <w:i/>
          <w:iCs/>
          <w:lang w:val="en-US"/>
        </w:rPr>
        <w:t>Genome Biol</w:t>
      </w:r>
      <w:r w:rsidRPr="00B3054F">
        <w:rPr>
          <w:lang w:val="en-US"/>
        </w:rPr>
        <w:t xml:space="preserve">. 2016;17:122. </w:t>
      </w:r>
    </w:p>
    <w:p w14:paraId="54AA4ACD" w14:textId="77777777" w:rsidR="00B3054F" w:rsidRPr="00B3054F" w:rsidRDefault="00B3054F" w:rsidP="00B3054F">
      <w:pPr>
        <w:pStyle w:val="Bibliografia"/>
        <w:rPr>
          <w:lang w:val="en-US"/>
        </w:rPr>
      </w:pPr>
      <w:r w:rsidRPr="00B3054F">
        <w:rPr>
          <w:lang w:val="en-US"/>
        </w:rPr>
        <w:t xml:space="preserve">5. Zhan X, Hu Y, Li B, </w:t>
      </w:r>
      <w:proofErr w:type="spellStart"/>
      <w:r w:rsidRPr="00B3054F">
        <w:rPr>
          <w:lang w:val="en-US"/>
        </w:rPr>
        <w:t>Abecasis</w:t>
      </w:r>
      <w:proofErr w:type="spellEnd"/>
      <w:r w:rsidRPr="00B3054F">
        <w:rPr>
          <w:lang w:val="en-US"/>
        </w:rPr>
        <w:t xml:space="preserve"> GR, Liu DJ. RVTESTS: an efficient and comprehensive tool for rare variant association analysis using sequence data. </w:t>
      </w:r>
      <w:r w:rsidRPr="00B3054F">
        <w:rPr>
          <w:i/>
          <w:iCs/>
          <w:lang w:val="en-US"/>
        </w:rPr>
        <w:t>Bioinformatics</w:t>
      </w:r>
      <w:r w:rsidRPr="00B3054F">
        <w:rPr>
          <w:lang w:val="en-US"/>
        </w:rPr>
        <w:t xml:space="preserve">. 2016;32:1423–1426. </w:t>
      </w:r>
    </w:p>
    <w:p w14:paraId="24046FAB" w14:textId="77777777" w:rsidR="00B3054F" w:rsidRPr="00B3054F" w:rsidRDefault="00B3054F" w:rsidP="00B3054F">
      <w:pPr>
        <w:pStyle w:val="Bibliografia"/>
        <w:rPr>
          <w:lang w:val="en-US"/>
        </w:rPr>
      </w:pPr>
      <w:r w:rsidRPr="00B3054F">
        <w:rPr>
          <w:lang w:val="en-US"/>
        </w:rPr>
        <w:t xml:space="preserve">6. Ala A, </w:t>
      </w:r>
      <w:proofErr w:type="spellStart"/>
      <w:r w:rsidRPr="00B3054F">
        <w:rPr>
          <w:lang w:val="en-US"/>
        </w:rPr>
        <w:t>Schilsky</w:t>
      </w:r>
      <w:proofErr w:type="spellEnd"/>
      <w:r w:rsidRPr="00B3054F">
        <w:rPr>
          <w:lang w:val="en-US"/>
        </w:rPr>
        <w:t xml:space="preserve"> M. Genetic modifiers of liver injury in hereditary liver disease. </w:t>
      </w:r>
      <w:proofErr w:type="spellStart"/>
      <w:r w:rsidRPr="00B3054F">
        <w:rPr>
          <w:i/>
          <w:iCs/>
          <w:lang w:val="en-US"/>
        </w:rPr>
        <w:t>Semin</w:t>
      </w:r>
      <w:proofErr w:type="spellEnd"/>
      <w:r w:rsidRPr="00B3054F">
        <w:rPr>
          <w:i/>
          <w:iCs/>
          <w:lang w:val="en-US"/>
        </w:rPr>
        <w:t xml:space="preserve"> Liver Dis</w:t>
      </w:r>
      <w:r w:rsidRPr="00B3054F">
        <w:rPr>
          <w:lang w:val="en-US"/>
        </w:rPr>
        <w:t xml:space="preserve">. 2011;31:208–214. </w:t>
      </w:r>
    </w:p>
    <w:p w14:paraId="593CBAC0" w14:textId="77777777" w:rsidR="00B3054F" w:rsidRPr="00B3054F" w:rsidRDefault="00B3054F" w:rsidP="00B3054F">
      <w:pPr>
        <w:pStyle w:val="Bibliografia"/>
        <w:rPr>
          <w:lang w:val="en-US"/>
        </w:rPr>
      </w:pPr>
      <w:r w:rsidRPr="00B3054F">
        <w:rPr>
          <w:lang w:val="en-US"/>
        </w:rPr>
        <w:t xml:space="preserve">7. Medici V, Weiss K-H. Genetic and environmental modifiers of Wilson disease. </w:t>
      </w:r>
      <w:proofErr w:type="spellStart"/>
      <w:r w:rsidRPr="00B3054F">
        <w:rPr>
          <w:i/>
          <w:iCs/>
          <w:lang w:val="en-US"/>
        </w:rPr>
        <w:t>Handb</w:t>
      </w:r>
      <w:proofErr w:type="spellEnd"/>
      <w:r w:rsidRPr="00B3054F">
        <w:rPr>
          <w:i/>
          <w:iCs/>
          <w:lang w:val="en-US"/>
        </w:rPr>
        <w:t xml:space="preserve"> </w:t>
      </w:r>
      <w:proofErr w:type="spellStart"/>
      <w:r w:rsidRPr="00B3054F">
        <w:rPr>
          <w:i/>
          <w:iCs/>
          <w:lang w:val="en-US"/>
        </w:rPr>
        <w:t>Clin</w:t>
      </w:r>
      <w:proofErr w:type="spellEnd"/>
      <w:r w:rsidRPr="00B3054F">
        <w:rPr>
          <w:i/>
          <w:iCs/>
          <w:lang w:val="en-US"/>
        </w:rPr>
        <w:t xml:space="preserve"> Neurol</w:t>
      </w:r>
      <w:r w:rsidRPr="00B3054F">
        <w:rPr>
          <w:lang w:val="en-US"/>
        </w:rPr>
        <w:t xml:space="preserve">. 2017;142:35–41. </w:t>
      </w:r>
    </w:p>
    <w:p w14:paraId="09D54A78" w14:textId="77777777" w:rsidR="00B3054F" w:rsidRPr="00B3054F" w:rsidRDefault="00B3054F" w:rsidP="00B3054F">
      <w:pPr>
        <w:pStyle w:val="Bibliografia"/>
        <w:rPr>
          <w:lang w:val="en-US"/>
        </w:rPr>
      </w:pPr>
      <w:r w:rsidRPr="00B3054F">
        <w:rPr>
          <w:lang w:val="en-US"/>
        </w:rPr>
        <w:t xml:space="preserve">8. </w:t>
      </w:r>
      <w:proofErr w:type="spellStart"/>
      <w:r w:rsidRPr="00B3054F">
        <w:rPr>
          <w:lang w:val="en-US"/>
        </w:rPr>
        <w:t>Szklarczyk</w:t>
      </w:r>
      <w:proofErr w:type="spellEnd"/>
      <w:r w:rsidRPr="00B3054F">
        <w:rPr>
          <w:lang w:val="en-US"/>
        </w:rPr>
        <w:t xml:space="preserve"> D, Morris JH, Cook H, et al. The STRING database in 2017: quality-controlled protein-protein association networks, made broadly accessible. </w:t>
      </w:r>
      <w:r w:rsidRPr="00B3054F">
        <w:rPr>
          <w:i/>
          <w:iCs/>
          <w:lang w:val="en-US"/>
        </w:rPr>
        <w:t>Nucleic Acids Res</w:t>
      </w:r>
      <w:r w:rsidRPr="00B3054F">
        <w:rPr>
          <w:lang w:val="en-US"/>
        </w:rPr>
        <w:t xml:space="preserve">. 2017;45:D362–D368. </w:t>
      </w:r>
    </w:p>
    <w:p w14:paraId="56969497" w14:textId="77777777" w:rsidR="00B3054F" w:rsidRPr="00B3054F" w:rsidRDefault="00B3054F" w:rsidP="00B3054F">
      <w:pPr>
        <w:pStyle w:val="Bibliografia"/>
        <w:rPr>
          <w:lang w:val="en-US"/>
        </w:rPr>
      </w:pPr>
      <w:r w:rsidRPr="00B3054F">
        <w:rPr>
          <w:lang w:val="en-US"/>
        </w:rPr>
        <w:t xml:space="preserve">9. 1000 Genomes Project Consortium, </w:t>
      </w:r>
      <w:proofErr w:type="spellStart"/>
      <w:r w:rsidRPr="00B3054F">
        <w:rPr>
          <w:lang w:val="en-US"/>
        </w:rPr>
        <w:t>Auton</w:t>
      </w:r>
      <w:proofErr w:type="spellEnd"/>
      <w:r w:rsidRPr="00B3054F">
        <w:rPr>
          <w:lang w:val="en-US"/>
        </w:rPr>
        <w:t xml:space="preserve"> A, Brooks LD, et al. A global reference for human genetic variation. </w:t>
      </w:r>
      <w:r w:rsidRPr="00B3054F">
        <w:rPr>
          <w:i/>
          <w:iCs/>
          <w:lang w:val="en-US"/>
        </w:rPr>
        <w:t>Nature</w:t>
      </w:r>
      <w:r w:rsidRPr="00B3054F">
        <w:rPr>
          <w:lang w:val="en-US"/>
        </w:rPr>
        <w:t xml:space="preserve">. 2015;526:68–74. </w:t>
      </w:r>
    </w:p>
    <w:p w14:paraId="69CF4B21" w14:textId="77777777" w:rsidR="00B3054F" w:rsidRPr="00B3054F" w:rsidRDefault="00B3054F" w:rsidP="00B3054F">
      <w:pPr>
        <w:pStyle w:val="Bibliografia"/>
        <w:rPr>
          <w:lang w:val="en-US"/>
        </w:rPr>
      </w:pPr>
      <w:r w:rsidRPr="00B3054F">
        <w:rPr>
          <w:lang w:val="en-US"/>
        </w:rPr>
        <w:t xml:space="preserve">10. </w:t>
      </w:r>
      <w:proofErr w:type="spellStart"/>
      <w:r w:rsidRPr="00B3054F">
        <w:rPr>
          <w:lang w:val="en-US"/>
        </w:rPr>
        <w:t>Lek</w:t>
      </w:r>
      <w:proofErr w:type="spellEnd"/>
      <w:r w:rsidRPr="00B3054F">
        <w:rPr>
          <w:lang w:val="en-US"/>
        </w:rPr>
        <w:t xml:space="preserve"> M, </w:t>
      </w:r>
      <w:proofErr w:type="spellStart"/>
      <w:r w:rsidRPr="00B3054F">
        <w:rPr>
          <w:lang w:val="en-US"/>
        </w:rPr>
        <w:t>Karczewski</w:t>
      </w:r>
      <w:proofErr w:type="spellEnd"/>
      <w:r w:rsidRPr="00B3054F">
        <w:rPr>
          <w:lang w:val="en-US"/>
        </w:rPr>
        <w:t xml:space="preserve"> KJ, </w:t>
      </w:r>
      <w:proofErr w:type="spellStart"/>
      <w:r w:rsidRPr="00B3054F">
        <w:rPr>
          <w:lang w:val="en-US"/>
        </w:rPr>
        <w:t>Minikel</w:t>
      </w:r>
      <w:proofErr w:type="spellEnd"/>
      <w:r w:rsidRPr="00B3054F">
        <w:rPr>
          <w:lang w:val="en-US"/>
        </w:rPr>
        <w:t xml:space="preserve"> EV, et al. Analysis of protein-coding genetic variation in 60,706 humans. </w:t>
      </w:r>
      <w:r w:rsidRPr="00B3054F">
        <w:rPr>
          <w:i/>
          <w:iCs/>
          <w:lang w:val="en-US"/>
        </w:rPr>
        <w:t>Nature</w:t>
      </w:r>
      <w:r w:rsidRPr="00B3054F">
        <w:rPr>
          <w:lang w:val="en-US"/>
        </w:rPr>
        <w:t xml:space="preserve">. 2016;536:285–291. </w:t>
      </w:r>
    </w:p>
    <w:p w14:paraId="50822EDE" w14:textId="77777777" w:rsidR="00B3054F" w:rsidRPr="00B3054F" w:rsidRDefault="00B3054F" w:rsidP="00B3054F">
      <w:pPr>
        <w:pStyle w:val="Bibliografia"/>
        <w:rPr>
          <w:lang w:val="en-US"/>
        </w:rPr>
      </w:pPr>
      <w:r w:rsidRPr="00B3054F">
        <w:rPr>
          <w:lang w:val="en-US"/>
        </w:rPr>
        <w:lastRenderedPageBreak/>
        <w:t xml:space="preserve">11. </w:t>
      </w:r>
      <w:proofErr w:type="spellStart"/>
      <w:r w:rsidRPr="00B3054F">
        <w:rPr>
          <w:lang w:val="en-US"/>
        </w:rPr>
        <w:t>Kircher</w:t>
      </w:r>
      <w:proofErr w:type="spellEnd"/>
      <w:r w:rsidRPr="00B3054F">
        <w:rPr>
          <w:lang w:val="en-US"/>
        </w:rPr>
        <w:t xml:space="preserve"> M, Witten DM, Jain P, </w:t>
      </w:r>
      <w:proofErr w:type="spellStart"/>
      <w:r w:rsidRPr="00B3054F">
        <w:rPr>
          <w:lang w:val="en-US"/>
        </w:rPr>
        <w:t>O’Roak</w:t>
      </w:r>
      <w:proofErr w:type="spellEnd"/>
      <w:r w:rsidRPr="00B3054F">
        <w:rPr>
          <w:lang w:val="en-US"/>
        </w:rPr>
        <w:t xml:space="preserve"> BJ, Cooper GM, </w:t>
      </w:r>
      <w:proofErr w:type="spellStart"/>
      <w:r w:rsidRPr="00B3054F">
        <w:rPr>
          <w:lang w:val="en-US"/>
        </w:rPr>
        <w:t>Shendure</w:t>
      </w:r>
      <w:proofErr w:type="spellEnd"/>
      <w:r w:rsidRPr="00B3054F">
        <w:rPr>
          <w:lang w:val="en-US"/>
        </w:rPr>
        <w:t xml:space="preserve"> J. A general framework for estimating the relative pathogenicity of human genetic variants. </w:t>
      </w:r>
      <w:r w:rsidRPr="00B3054F">
        <w:rPr>
          <w:i/>
          <w:iCs/>
          <w:lang w:val="en-US"/>
        </w:rPr>
        <w:t>Nat Genet</w:t>
      </w:r>
      <w:r w:rsidRPr="00B3054F">
        <w:rPr>
          <w:lang w:val="en-US"/>
        </w:rPr>
        <w:t xml:space="preserve">. 2014;46:310–315. </w:t>
      </w:r>
    </w:p>
    <w:p w14:paraId="2D4CDA7C" w14:textId="77777777" w:rsidR="00B3054F" w:rsidRPr="00EB071E" w:rsidRDefault="00B3054F" w:rsidP="00B3054F">
      <w:pPr>
        <w:pStyle w:val="Bibliografia"/>
        <w:rPr>
          <w:lang w:val="en-US"/>
        </w:rPr>
      </w:pPr>
      <w:r w:rsidRPr="00177FCC">
        <w:rPr>
          <w:lang w:val="en-US"/>
        </w:rPr>
        <w:t xml:space="preserve">12. Shu L, Zhao Y, Kurt Z, et al. </w:t>
      </w:r>
      <w:proofErr w:type="spellStart"/>
      <w:r w:rsidRPr="00B3054F">
        <w:rPr>
          <w:lang w:val="en-US"/>
        </w:rPr>
        <w:t>Mergeomics</w:t>
      </w:r>
      <w:proofErr w:type="spellEnd"/>
      <w:r w:rsidRPr="00B3054F">
        <w:rPr>
          <w:lang w:val="en-US"/>
        </w:rPr>
        <w:t xml:space="preserve">: multidimensional data integration to identify pathogenic perturbations to biological systems. </w:t>
      </w:r>
      <w:r w:rsidRPr="00EB071E">
        <w:rPr>
          <w:i/>
          <w:iCs/>
          <w:lang w:val="en-US"/>
        </w:rPr>
        <w:t>BMC Genomics</w:t>
      </w:r>
      <w:r w:rsidRPr="00EB071E">
        <w:rPr>
          <w:lang w:val="en-US"/>
        </w:rPr>
        <w:t xml:space="preserve">. 2016;17:874. </w:t>
      </w:r>
    </w:p>
    <w:p w14:paraId="6E4ECA34" w14:textId="7C965FFC" w:rsidR="00740BA0" w:rsidRPr="00740BA0" w:rsidRDefault="00B442C9" w:rsidP="007963A2">
      <w:pPr>
        <w:spacing w:line="480" w:lineRule="auto"/>
        <w:rPr>
          <w:lang w:val="en-US"/>
        </w:rPr>
      </w:pPr>
      <w:r>
        <w:rPr>
          <w:lang w:val="en-US"/>
        </w:rPr>
        <w:fldChar w:fldCharType="end"/>
      </w:r>
    </w:p>
    <w:sectPr w:rsidR="00740BA0" w:rsidRPr="00740BA0" w:rsidSect="000D377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B88FAA" w16cid:durableId="1F32D115"/>
  <w16cid:commentId w16cid:paraId="07146CEE" w16cid:durableId="1F32D1B2"/>
  <w16cid:commentId w16cid:paraId="23B9537F" w16cid:durableId="1F32D253"/>
  <w16cid:commentId w16cid:paraId="44A275B5" w16cid:durableId="1F32D30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szak">
    <w15:presenceInfo w15:providerId="None" w15:userId="Mysz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7A0tDQ3MjCwsLAwtLBU0lEKTi0uzszPAykwqgUAUsQasSwAAAA="/>
  </w:docVars>
  <w:rsids>
    <w:rsidRoot w:val="00740BA0"/>
    <w:rsid w:val="00031F55"/>
    <w:rsid w:val="00065E05"/>
    <w:rsid w:val="000D3775"/>
    <w:rsid w:val="00177FCC"/>
    <w:rsid w:val="00203E72"/>
    <w:rsid w:val="00740BA0"/>
    <w:rsid w:val="007963A2"/>
    <w:rsid w:val="007F22C1"/>
    <w:rsid w:val="00A4143E"/>
    <w:rsid w:val="00B3054F"/>
    <w:rsid w:val="00B442C9"/>
    <w:rsid w:val="00BB5C5B"/>
    <w:rsid w:val="00D90A12"/>
    <w:rsid w:val="00E54AF5"/>
    <w:rsid w:val="00EB0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0BA0"/>
    <w:pPr>
      <w:spacing w:after="0" w:line="360" w:lineRule="auto"/>
      <w:jc w:val="both"/>
    </w:pPr>
    <w:rPr>
      <w:rFonts w:ascii="Times New Roman" w:eastAsia="SimSun" w:hAnsi="Times New Roman" w:cs="Times New Roman"/>
      <w:sz w:val="24"/>
      <w:szCs w:val="24"/>
      <w:lang w:val="pl-PL" w:eastAsia="zh-CN"/>
    </w:rPr>
  </w:style>
  <w:style w:type="paragraph" w:styleId="Nagwek3">
    <w:name w:val="heading 3"/>
    <w:basedOn w:val="Normalny"/>
    <w:next w:val="Normalny"/>
    <w:link w:val="Nagwek3Znak"/>
    <w:qFormat/>
    <w:rsid w:val="00740BA0"/>
    <w:pPr>
      <w:keepNext/>
      <w:spacing w:line="240" w:lineRule="auto"/>
      <w:jc w:val="left"/>
      <w:outlineLvl w:val="2"/>
    </w:pPr>
    <w:rPr>
      <w:rFonts w:ascii="Cambria" w:eastAsia="Calibri"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740BA0"/>
    <w:rPr>
      <w:rFonts w:ascii="Cambria" w:eastAsia="Calibri" w:hAnsi="Cambria" w:cs="Times New Roman"/>
      <w:b/>
      <w:bCs/>
      <w:sz w:val="26"/>
      <w:szCs w:val="26"/>
      <w:lang w:val="pl-PL" w:eastAsia="zh-CN"/>
    </w:rPr>
  </w:style>
  <w:style w:type="character" w:styleId="Hipercze">
    <w:name w:val="Hyperlink"/>
    <w:rsid w:val="00740BA0"/>
    <w:rPr>
      <w:rFonts w:ascii="Times New Roman" w:hAnsi="Times New Roman" w:cs="Times New Roman" w:hint="default"/>
      <w:color w:val="0000FF"/>
      <w:u w:val="single"/>
    </w:rPr>
  </w:style>
  <w:style w:type="paragraph" w:customStyle="1" w:styleId="ListParagraph2">
    <w:name w:val="List Paragraph2"/>
    <w:basedOn w:val="Normalny"/>
    <w:rsid w:val="00740BA0"/>
    <w:pPr>
      <w:spacing w:after="200" w:line="276" w:lineRule="auto"/>
      <w:ind w:left="720"/>
      <w:contextualSpacing/>
      <w:jc w:val="left"/>
    </w:pPr>
    <w:rPr>
      <w:rFonts w:ascii="Calibri" w:eastAsia="Times New Roman" w:hAnsi="Calibri"/>
      <w:sz w:val="22"/>
      <w:szCs w:val="22"/>
      <w:lang w:eastAsia="en-US"/>
    </w:rPr>
  </w:style>
  <w:style w:type="paragraph" w:styleId="Bibliografia">
    <w:name w:val="Bibliography"/>
    <w:basedOn w:val="Normalny"/>
    <w:next w:val="Normalny"/>
    <w:uiPriority w:val="37"/>
    <w:unhideWhenUsed/>
    <w:rsid w:val="00B3054F"/>
    <w:pPr>
      <w:spacing w:after="240" w:line="240" w:lineRule="auto"/>
    </w:pPr>
  </w:style>
  <w:style w:type="table" w:styleId="Tabela-Siatka">
    <w:name w:val="Table Grid"/>
    <w:basedOn w:val="Standardowy"/>
    <w:rsid w:val="00EB07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143E"/>
    <w:rPr>
      <w:sz w:val="16"/>
      <w:szCs w:val="16"/>
    </w:rPr>
  </w:style>
  <w:style w:type="paragraph" w:styleId="Tekstkomentarza">
    <w:name w:val="annotation text"/>
    <w:basedOn w:val="Normalny"/>
    <w:link w:val="TekstkomentarzaZnak"/>
    <w:uiPriority w:val="99"/>
    <w:semiHidden/>
    <w:unhideWhenUsed/>
    <w:rsid w:val="00A414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43E"/>
    <w:rPr>
      <w:rFonts w:ascii="Times New Roman" w:eastAsia="SimSun" w:hAnsi="Times New Roman" w:cs="Times New Roman"/>
      <w:sz w:val="20"/>
      <w:szCs w:val="20"/>
      <w:lang w:val="pl-PL" w:eastAsia="zh-CN"/>
    </w:rPr>
  </w:style>
  <w:style w:type="paragraph" w:styleId="Tematkomentarza">
    <w:name w:val="annotation subject"/>
    <w:basedOn w:val="Tekstkomentarza"/>
    <w:next w:val="Tekstkomentarza"/>
    <w:link w:val="TematkomentarzaZnak"/>
    <w:uiPriority w:val="99"/>
    <w:semiHidden/>
    <w:unhideWhenUsed/>
    <w:rsid w:val="00A4143E"/>
    <w:rPr>
      <w:b/>
      <w:bCs/>
    </w:rPr>
  </w:style>
  <w:style w:type="character" w:customStyle="1" w:styleId="TematkomentarzaZnak">
    <w:name w:val="Temat komentarza Znak"/>
    <w:basedOn w:val="TekstkomentarzaZnak"/>
    <w:link w:val="Tematkomentarza"/>
    <w:uiPriority w:val="99"/>
    <w:semiHidden/>
    <w:rsid w:val="00A4143E"/>
    <w:rPr>
      <w:rFonts w:ascii="Times New Roman" w:eastAsia="SimSun" w:hAnsi="Times New Roman" w:cs="Times New Roman"/>
      <w:b/>
      <w:bCs/>
      <w:sz w:val="20"/>
      <w:szCs w:val="20"/>
      <w:lang w:val="pl-PL" w:eastAsia="zh-CN"/>
    </w:rPr>
  </w:style>
  <w:style w:type="paragraph" w:styleId="Tekstdymka">
    <w:name w:val="Balloon Text"/>
    <w:basedOn w:val="Normalny"/>
    <w:link w:val="TekstdymkaZnak"/>
    <w:uiPriority w:val="99"/>
    <w:semiHidden/>
    <w:unhideWhenUsed/>
    <w:rsid w:val="00A4143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143E"/>
    <w:rPr>
      <w:rFonts w:ascii="Segoe UI" w:eastAsia="SimSun" w:hAnsi="Segoe UI" w:cs="Segoe UI"/>
      <w:sz w:val="18"/>
      <w:szCs w:val="18"/>
      <w:lang w:val="pl-PL"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0BA0"/>
    <w:pPr>
      <w:spacing w:after="0" w:line="360" w:lineRule="auto"/>
      <w:jc w:val="both"/>
    </w:pPr>
    <w:rPr>
      <w:rFonts w:ascii="Times New Roman" w:eastAsia="SimSun" w:hAnsi="Times New Roman" w:cs="Times New Roman"/>
      <w:sz w:val="24"/>
      <w:szCs w:val="24"/>
      <w:lang w:val="pl-PL" w:eastAsia="zh-CN"/>
    </w:rPr>
  </w:style>
  <w:style w:type="paragraph" w:styleId="Nagwek3">
    <w:name w:val="heading 3"/>
    <w:basedOn w:val="Normalny"/>
    <w:next w:val="Normalny"/>
    <w:link w:val="Nagwek3Znak"/>
    <w:qFormat/>
    <w:rsid w:val="00740BA0"/>
    <w:pPr>
      <w:keepNext/>
      <w:spacing w:line="240" w:lineRule="auto"/>
      <w:jc w:val="left"/>
      <w:outlineLvl w:val="2"/>
    </w:pPr>
    <w:rPr>
      <w:rFonts w:ascii="Cambria" w:eastAsia="Calibri"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740BA0"/>
    <w:rPr>
      <w:rFonts w:ascii="Cambria" w:eastAsia="Calibri" w:hAnsi="Cambria" w:cs="Times New Roman"/>
      <w:b/>
      <w:bCs/>
      <w:sz w:val="26"/>
      <w:szCs w:val="26"/>
      <w:lang w:val="pl-PL" w:eastAsia="zh-CN"/>
    </w:rPr>
  </w:style>
  <w:style w:type="character" w:styleId="Hipercze">
    <w:name w:val="Hyperlink"/>
    <w:rsid w:val="00740BA0"/>
    <w:rPr>
      <w:rFonts w:ascii="Times New Roman" w:hAnsi="Times New Roman" w:cs="Times New Roman" w:hint="default"/>
      <w:color w:val="0000FF"/>
      <w:u w:val="single"/>
    </w:rPr>
  </w:style>
  <w:style w:type="paragraph" w:customStyle="1" w:styleId="ListParagraph2">
    <w:name w:val="List Paragraph2"/>
    <w:basedOn w:val="Normalny"/>
    <w:rsid w:val="00740BA0"/>
    <w:pPr>
      <w:spacing w:after="200" w:line="276" w:lineRule="auto"/>
      <w:ind w:left="720"/>
      <w:contextualSpacing/>
      <w:jc w:val="left"/>
    </w:pPr>
    <w:rPr>
      <w:rFonts w:ascii="Calibri" w:eastAsia="Times New Roman" w:hAnsi="Calibri"/>
      <w:sz w:val="22"/>
      <w:szCs w:val="22"/>
      <w:lang w:eastAsia="en-US"/>
    </w:rPr>
  </w:style>
  <w:style w:type="paragraph" w:styleId="Bibliografia">
    <w:name w:val="Bibliography"/>
    <w:basedOn w:val="Normalny"/>
    <w:next w:val="Normalny"/>
    <w:uiPriority w:val="37"/>
    <w:unhideWhenUsed/>
    <w:rsid w:val="00B3054F"/>
    <w:pPr>
      <w:spacing w:after="240" w:line="240" w:lineRule="auto"/>
    </w:pPr>
  </w:style>
  <w:style w:type="table" w:styleId="Tabela-Siatka">
    <w:name w:val="Table Grid"/>
    <w:basedOn w:val="Standardowy"/>
    <w:rsid w:val="00EB07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143E"/>
    <w:rPr>
      <w:sz w:val="16"/>
      <w:szCs w:val="16"/>
    </w:rPr>
  </w:style>
  <w:style w:type="paragraph" w:styleId="Tekstkomentarza">
    <w:name w:val="annotation text"/>
    <w:basedOn w:val="Normalny"/>
    <w:link w:val="TekstkomentarzaZnak"/>
    <w:uiPriority w:val="99"/>
    <w:semiHidden/>
    <w:unhideWhenUsed/>
    <w:rsid w:val="00A414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43E"/>
    <w:rPr>
      <w:rFonts w:ascii="Times New Roman" w:eastAsia="SimSun" w:hAnsi="Times New Roman" w:cs="Times New Roman"/>
      <w:sz w:val="20"/>
      <w:szCs w:val="20"/>
      <w:lang w:val="pl-PL" w:eastAsia="zh-CN"/>
    </w:rPr>
  </w:style>
  <w:style w:type="paragraph" w:styleId="Tematkomentarza">
    <w:name w:val="annotation subject"/>
    <w:basedOn w:val="Tekstkomentarza"/>
    <w:next w:val="Tekstkomentarza"/>
    <w:link w:val="TematkomentarzaZnak"/>
    <w:uiPriority w:val="99"/>
    <w:semiHidden/>
    <w:unhideWhenUsed/>
    <w:rsid w:val="00A4143E"/>
    <w:rPr>
      <w:b/>
      <w:bCs/>
    </w:rPr>
  </w:style>
  <w:style w:type="character" w:customStyle="1" w:styleId="TematkomentarzaZnak">
    <w:name w:val="Temat komentarza Znak"/>
    <w:basedOn w:val="TekstkomentarzaZnak"/>
    <w:link w:val="Tematkomentarza"/>
    <w:uiPriority w:val="99"/>
    <w:semiHidden/>
    <w:rsid w:val="00A4143E"/>
    <w:rPr>
      <w:rFonts w:ascii="Times New Roman" w:eastAsia="SimSun" w:hAnsi="Times New Roman" w:cs="Times New Roman"/>
      <w:b/>
      <w:bCs/>
      <w:sz w:val="20"/>
      <w:szCs w:val="20"/>
      <w:lang w:val="pl-PL" w:eastAsia="zh-CN"/>
    </w:rPr>
  </w:style>
  <w:style w:type="paragraph" w:styleId="Tekstdymka">
    <w:name w:val="Balloon Text"/>
    <w:basedOn w:val="Normalny"/>
    <w:link w:val="TekstdymkaZnak"/>
    <w:uiPriority w:val="99"/>
    <w:semiHidden/>
    <w:unhideWhenUsed/>
    <w:rsid w:val="00A4143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143E"/>
    <w:rPr>
      <w:rFonts w:ascii="Segoe UI" w:eastAsia="SimSun" w:hAnsi="Segoe UI" w:cs="Segoe UI"/>
      <w:sz w:val="18"/>
      <w:szCs w:val="18"/>
      <w:lang w:val="pl-P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hyperlink" Target="https://reactome.org/download/current/ReactomePathways.gmt.zip"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github.com/ckandoth/variant-filt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4C0CA-B90A-461A-80C8-BB2642A6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5507</Words>
  <Characters>31396</Characters>
  <Application>Microsoft Office Word</Application>
  <DocSecurity>0</DocSecurity>
  <Lines>261</Lines>
  <Paragraphs>73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mm</cp:lastModifiedBy>
  <cp:revision>4</cp:revision>
  <dcterms:created xsi:type="dcterms:W3CDTF">2018-09-01T14:40:00Z</dcterms:created>
  <dcterms:modified xsi:type="dcterms:W3CDTF">2018-09-14T07:31:00Z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zotero-version="5.0.54"&gt;&lt;session id="TQbsiW9Z"/&gt;&lt;style id="http://www.zotero.org/styles/liver-international" hasBibliography="1" bibliographyStyleHasBeenSet="1"/&gt;&lt;prefs&gt;&lt;pref name="fieldType" value="Field"/&gt;&lt;/prefs&gt;&lt;/data&gt;</vt:lpwstr>
  </property>
</Properties>
</file>