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05A82E" w14:textId="1AAFD69F" w:rsidR="008A05BB" w:rsidRDefault="008A05BB" w:rsidP="008A05BB">
      <w:pPr>
        <w:pStyle w:val="Heading1"/>
      </w:pPr>
      <w:bookmarkStart w:id="0" w:name="_Hlk16241155"/>
      <w:bookmarkStart w:id="1" w:name="_GoBack"/>
      <w:bookmarkEnd w:id="0"/>
      <w:bookmarkEnd w:id="1"/>
      <w:r>
        <w:t>Supplementary Materials</w:t>
      </w:r>
    </w:p>
    <w:p w14:paraId="77353819" w14:textId="21AA1C1F" w:rsidR="008A05BB" w:rsidRDefault="008A05BB" w:rsidP="008A05BB">
      <w:pPr>
        <w:pStyle w:val="Heading1"/>
      </w:pPr>
      <w:r>
        <w:t>The Role of the Microbiota in Acute Stress-Induced Myeloid Immune Cell Trafficking</w:t>
      </w:r>
    </w:p>
    <w:p w14:paraId="4FB61603" w14:textId="77777777" w:rsidR="008A05BB" w:rsidRDefault="008A05BB" w:rsidP="008A05BB">
      <w:pPr>
        <w:jc w:val="center"/>
      </w:pPr>
    </w:p>
    <w:p w14:paraId="0D72645D" w14:textId="77777777" w:rsidR="001F1B82" w:rsidRPr="00194912" w:rsidRDefault="001F1B82" w:rsidP="001F1B82">
      <w:pPr>
        <w:jc w:val="center"/>
        <w:rPr>
          <w:vertAlign w:val="superscript"/>
        </w:rPr>
      </w:pPr>
      <w:r>
        <w:t>Marcel van de Wouw</w:t>
      </w:r>
      <w:r>
        <w:rPr>
          <w:vertAlign w:val="superscript"/>
        </w:rPr>
        <w:t>1</w:t>
      </w:r>
      <w:r>
        <w:t>, Joshua M. Lyte</w:t>
      </w:r>
      <w:r w:rsidRPr="00817A70">
        <w:rPr>
          <w:vertAlign w:val="superscript"/>
        </w:rPr>
        <w:t>1</w:t>
      </w:r>
      <w:r>
        <w:rPr>
          <w:vertAlign w:val="superscript"/>
        </w:rPr>
        <w:t>#</w:t>
      </w:r>
      <w:r>
        <w:t>, Marcus Boehme</w:t>
      </w:r>
      <w:r w:rsidRPr="00817A70">
        <w:rPr>
          <w:vertAlign w:val="superscript"/>
        </w:rPr>
        <w:t>1</w:t>
      </w:r>
      <w:r>
        <w:t xml:space="preserve">, </w:t>
      </w:r>
      <w:proofErr w:type="spellStart"/>
      <w:r>
        <w:t>Marzia</w:t>
      </w:r>
      <w:proofErr w:type="spellEnd"/>
      <w:r>
        <w:t xml:space="preserve"> </w:t>
      </w:r>
      <w:r w:rsidRPr="000B2AF2">
        <w:t>Sichetti</w:t>
      </w:r>
      <w:r>
        <w:rPr>
          <w:vertAlign w:val="superscript"/>
        </w:rPr>
        <w:t>2</w:t>
      </w:r>
      <w:r>
        <w:t>, Gerard Moloney</w:t>
      </w:r>
      <w:r>
        <w:rPr>
          <w:vertAlign w:val="superscript"/>
        </w:rPr>
        <w:t>1,3</w:t>
      </w:r>
      <w:r>
        <w:t xml:space="preserve">, </w:t>
      </w:r>
      <w:r w:rsidRPr="00EC7E58">
        <w:t>Michael S. Goodson</w:t>
      </w:r>
      <w:r>
        <w:rPr>
          <w:vertAlign w:val="superscript"/>
        </w:rPr>
        <w:t>4</w:t>
      </w:r>
      <w:r w:rsidRPr="00EC7E58">
        <w:t>, Nancy Kelley-Loughnane</w:t>
      </w:r>
      <w:r>
        <w:rPr>
          <w:vertAlign w:val="superscript"/>
        </w:rPr>
        <w:t>4</w:t>
      </w:r>
      <w:r w:rsidRPr="00EC7E58">
        <w:t>,</w:t>
      </w:r>
      <w:r>
        <w:t xml:space="preserve"> Timothy G. Dinan</w:t>
      </w:r>
      <w:r>
        <w:rPr>
          <w:vertAlign w:val="superscript"/>
        </w:rPr>
        <w:t>1,5</w:t>
      </w:r>
      <w:r>
        <w:t xml:space="preserve">, </w:t>
      </w:r>
      <w:r w:rsidRPr="000B2AF2">
        <w:t>Gerard</w:t>
      </w:r>
      <w:r>
        <w:t xml:space="preserve"> Clarke</w:t>
      </w:r>
      <w:r w:rsidRPr="00817A70">
        <w:rPr>
          <w:vertAlign w:val="superscript"/>
        </w:rPr>
        <w:t>1,</w:t>
      </w:r>
      <w:r>
        <w:rPr>
          <w:vertAlign w:val="superscript"/>
        </w:rPr>
        <w:t>5</w:t>
      </w:r>
      <w:r>
        <w:t>,</w:t>
      </w:r>
      <w:r>
        <w:rPr>
          <w:vertAlign w:val="superscript"/>
        </w:rPr>
        <w:t xml:space="preserve"> </w:t>
      </w:r>
      <w:r>
        <w:t>John F. Cryan</w:t>
      </w:r>
      <w:r>
        <w:rPr>
          <w:vertAlign w:val="superscript"/>
        </w:rPr>
        <w:t>1,3</w:t>
      </w:r>
    </w:p>
    <w:p w14:paraId="54CD71CA" w14:textId="77777777" w:rsidR="008A05BB" w:rsidRDefault="008A05BB" w:rsidP="007967F5">
      <w:pPr>
        <w:pStyle w:val="Figure"/>
      </w:pPr>
    </w:p>
    <w:p w14:paraId="6893385C" w14:textId="77777777" w:rsidR="008A05BB" w:rsidRPr="005B4EE5" w:rsidRDefault="008A05BB" w:rsidP="007967F5">
      <w:pPr>
        <w:pStyle w:val="Figure"/>
      </w:pPr>
    </w:p>
    <w:p w14:paraId="0200257A" w14:textId="77777777" w:rsidR="001F1B82" w:rsidRDefault="001F1B82" w:rsidP="001F1B82">
      <w:pPr>
        <w:pStyle w:val="NoSpacing"/>
        <w:spacing w:beforeAutospacing="0" w:afterAutospacing="0"/>
        <w:rPr>
          <w:b w:val="0"/>
        </w:rPr>
      </w:pPr>
      <w:r w:rsidRPr="000B2AF2">
        <w:rPr>
          <w:b w:val="0"/>
          <w:vertAlign w:val="superscript"/>
        </w:rPr>
        <w:t>1</w:t>
      </w:r>
      <w:r w:rsidRPr="000B2AF2">
        <w:rPr>
          <w:b w:val="0"/>
        </w:rPr>
        <w:t>APC Microbiome Ireland, University College Cork, Cork, Ireland</w:t>
      </w:r>
    </w:p>
    <w:p w14:paraId="5AAA6CCB" w14:textId="77777777" w:rsidR="001F1B82" w:rsidRPr="000B2AF2" w:rsidRDefault="001F1B82" w:rsidP="001F1B82">
      <w:pPr>
        <w:pStyle w:val="NoSpacing"/>
        <w:spacing w:beforeAutospacing="0" w:afterAutospacing="0"/>
        <w:rPr>
          <w:b w:val="0"/>
        </w:rPr>
      </w:pPr>
      <w:r>
        <w:rPr>
          <w:b w:val="0"/>
          <w:vertAlign w:val="superscript"/>
        </w:rPr>
        <w:t>2</w:t>
      </w:r>
      <w:r w:rsidRPr="000B2AF2">
        <w:rPr>
          <w:b w:val="0"/>
        </w:rPr>
        <w:t>Unit of Biochemical Sciences and Health, Department of Pharmaceutical Sciences, University of Perugia, Italy</w:t>
      </w:r>
    </w:p>
    <w:p w14:paraId="571C9FC8" w14:textId="77777777" w:rsidR="001F1B82" w:rsidRDefault="001F1B82" w:rsidP="001F1B82">
      <w:pPr>
        <w:pStyle w:val="NoSpacing"/>
        <w:spacing w:beforeAutospacing="0" w:afterAutospacing="0"/>
        <w:rPr>
          <w:vertAlign w:val="superscript"/>
        </w:rPr>
      </w:pPr>
      <w:r w:rsidRPr="000B2AF2">
        <w:rPr>
          <w:b w:val="0"/>
          <w:vertAlign w:val="superscript"/>
        </w:rPr>
        <w:t>3</w:t>
      </w:r>
      <w:r w:rsidRPr="000B2AF2">
        <w:rPr>
          <w:b w:val="0"/>
        </w:rPr>
        <w:t>Department of Anatomy and Neuroscience, University College Cork, Cork, Ireland</w:t>
      </w:r>
      <w:r w:rsidRPr="00EC7E58">
        <w:rPr>
          <w:vertAlign w:val="superscript"/>
        </w:rPr>
        <w:t xml:space="preserve"> </w:t>
      </w:r>
    </w:p>
    <w:p w14:paraId="002AAC0E" w14:textId="77777777" w:rsidR="001F1B82" w:rsidRPr="00194912" w:rsidRDefault="001F1B82" w:rsidP="001F1B82">
      <w:pPr>
        <w:pStyle w:val="NoSpacing"/>
        <w:spacing w:beforeAutospacing="0" w:afterAutospacing="0"/>
        <w:rPr>
          <w:b w:val="0"/>
        </w:rPr>
      </w:pPr>
      <w:r w:rsidRPr="00194912">
        <w:rPr>
          <w:b w:val="0"/>
          <w:vertAlign w:val="superscript"/>
        </w:rPr>
        <w:t>4</w:t>
      </w:r>
      <w:r w:rsidRPr="00194912">
        <w:rPr>
          <w:b w:val="0"/>
        </w:rPr>
        <w:t>711</w:t>
      </w:r>
      <w:r w:rsidRPr="00194912">
        <w:rPr>
          <w:b w:val="0"/>
          <w:vertAlign w:val="superscript"/>
        </w:rPr>
        <w:t>th</w:t>
      </w:r>
      <w:r w:rsidRPr="00194912">
        <w:rPr>
          <w:b w:val="0"/>
        </w:rPr>
        <w:t xml:space="preserve"> Human Performance Wing, Air Force Research Laboratory, Wright-Patterson Air Force Base, Dayton, Ohio, USA. </w:t>
      </w:r>
      <w:hyperlink r:id="rId6" w:history="1">
        <w:r w:rsidRPr="00194912">
          <w:rPr>
            <w:rStyle w:val="Hyperlink"/>
            <w:rFonts w:eastAsiaTheme="majorEastAsia"/>
            <w:b w:val="0"/>
          </w:rPr>
          <w:t>michael.goodson.4@us.af.mil</w:t>
        </w:r>
      </w:hyperlink>
      <w:r w:rsidRPr="00194912">
        <w:rPr>
          <w:b w:val="0"/>
        </w:rPr>
        <w:t xml:space="preserve">; </w:t>
      </w:r>
      <w:hyperlink r:id="rId7" w:history="1">
        <w:r w:rsidRPr="00194912">
          <w:rPr>
            <w:rStyle w:val="Hyperlink"/>
            <w:rFonts w:eastAsiaTheme="majorEastAsia"/>
            <w:b w:val="0"/>
          </w:rPr>
          <w:t>nancy.kelley-loughnane.1@us.af.mil</w:t>
        </w:r>
      </w:hyperlink>
    </w:p>
    <w:p w14:paraId="001733E3" w14:textId="77777777" w:rsidR="001F1B82" w:rsidRDefault="001F1B82" w:rsidP="001F1B82">
      <w:pPr>
        <w:pStyle w:val="NoSpacing"/>
        <w:spacing w:beforeAutospacing="0" w:afterAutospacing="0"/>
        <w:rPr>
          <w:b w:val="0"/>
        </w:rPr>
      </w:pPr>
      <w:r>
        <w:rPr>
          <w:b w:val="0"/>
          <w:vertAlign w:val="superscript"/>
        </w:rPr>
        <w:t>5</w:t>
      </w:r>
      <w:r w:rsidRPr="000B2AF2">
        <w:rPr>
          <w:b w:val="0"/>
        </w:rPr>
        <w:t>Department of Psychiatry and Neurobehavioral Science, University College Cork, Cork, Ireland</w:t>
      </w:r>
    </w:p>
    <w:p w14:paraId="152E31AF" w14:textId="77777777" w:rsidR="001F1B82" w:rsidRPr="000B2AF2" w:rsidRDefault="001F1B82" w:rsidP="001F1B82">
      <w:pPr>
        <w:pStyle w:val="NoSpacing"/>
        <w:spacing w:beforeAutospacing="0" w:afterAutospacing="0"/>
        <w:rPr>
          <w:b w:val="0"/>
        </w:rPr>
      </w:pPr>
    </w:p>
    <w:p w14:paraId="2834BA7D" w14:textId="77777777" w:rsidR="001F1B82" w:rsidRPr="003F3F09" w:rsidRDefault="001F1B82" w:rsidP="001F1B82">
      <w:pPr>
        <w:pStyle w:val="NoSpacing"/>
        <w:spacing w:beforeAutospacing="0" w:afterAutospacing="0"/>
        <w:jc w:val="left"/>
        <w:rPr>
          <w:b w:val="0"/>
        </w:rPr>
      </w:pPr>
      <w:r w:rsidRPr="00477114">
        <w:rPr>
          <w:b w:val="0"/>
          <w:vertAlign w:val="superscript"/>
        </w:rPr>
        <w:t>#</w:t>
      </w:r>
      <w:r>
        <w:rPr>
          <w:b w:val="0"/>
        </w:rPr>
        <w:t xml:space="preserve">Present address: </w:t>
      </w:r>
      <w:r w:rsidRPr="00475960">
        <w:rPr>
          <w:b w:val="0"/>
          <w:bCs/>
        </w:rPr>
        <w:t>Poultry Production and Product Safety Research Unit, Agricultural Research Service, United States Department of Agriculture, Fayetteville, AR 72701, United States</w:t>
      </w:r>
    </w:p>
    <w:p w14:paraId="08D36262" w14:textId="77777777" w:rsidR="008A05BB" w:rsidRPr="000B2AF2" w:rsidRDefault="008A05BB" w:rsidP="008A05BB">
      <w:pPr>
        <w:pStyle w:val="NoSpacing"/>
        <w:jc w:val="left"/>
        <w:rPr>
          <w:b w:val="0"/>
        </w:rPr>
      </w:pPr>
    </w:p>
    <w:p w14:paraId="3071FCEE" w14:textId="77777777" w:rsidR="008A05BB" w:rsidRPr="000B2AF2" w:rsidRDefault="008A05BB" w:rsidP="008A05BB">
      <w:pPr>
        <w:pStyle w:val="NoSpacing"/>
        <w:spacing w:beforeAutospacing="0" w:afterAutospacing="0"/>
        <w:jc w:val="left"/>
        <w:rPr>
          <w:b w:val="0"/>
        </w:rPr>
      </w:pPr>
    </w:p>
    <w:p w14:paraId="2000FA33" w14:textId="77777777" w:rsidR="008A05BB" w:rsidRPr="000B2AF2" w:rsidRDefault="008A05BB" w:rsidP="008A05BB">
      <w:pPr>
        <w:pStyle w:val="NoSpacing"/>
        <w:spacing w:beforeAutospacing="0" w:afterAutospacing="0"/>
        <w:jc w:val="left"/>
        <w:rPr>
          <w:b w:val="0"/>
        </w:rPr>
      </w:pPr>
    </w:p>
    <w:p w14:paraId="608B31CB" w14:textId="77777777" w:rsidR="008A05BB" w:rsidRPr="000B2AF2" w:rsidRDefault="008A05BB" w:rsidP="008A05BB">
      <w:pPr>
        <w:pStyle w:val="NoSpacing"/>
        <w:spacing w:beforeAutospacing="0" w:afterAutospacing="0"/>
        <w:jc w:val="left"/>
        <w:rPr>
          <w:b w:val="0"/>
        </w:rPr>
      </w:pPr>
    </w:p>
    <w:p w14:paraId="57022C96" w14:textId="77777777" w:rsidR="008A05BB" w:rsidRPr="000B2AF2" w:rsidRDefault="008A05BB" w:rsidP="008A05BB">
      <w:pPr>
        <w:pStyle w:val="NoSpacing"/>
        <w:spacing w:beforeAutospacing="0" w:afterAutospacing="0"/>
        <w:jc w:val="left"/>
        <w:rPr>
          <w:b w:val="0"/>
          <w:i/>
        </w:rPr>
      </w:pPr>
    </w:p>
    <w:p w14:paraId="0975494B" w14:textId="77777777" w:rsidR="008A05BB" w:rsidRPr="000B2AF2" w:rsidRDefault="008A05BB" w:rsidP="008A05BB">
      <w:pPr>
        <w:pStyle w:val="NoSpacing"/>
        <w:spacing w:beforeAutospacing="0" w:afterAutospacing="0"/>
        <w:jc w:val="left"/>
        <w:rPr>
          <w:b w:val="0"/>
          <w:i/>
        </w:rPr>
      </w:pPr>
    </w:p>
    <w:p w14:paraId="73896AB4" w14:textId="77777777" w:rsidR="008A05BB" w:rsidRPr="000B2AF2" w:rsidRDefault="008A05BB" w:rsidP="008A05BB">
      <w:pPr>
        <w:pStyle w:val="NoSpacing"/>
        <w:rPr>
          <w:b w:val="0"/>
        </w:rPr>
      </w:pPr>
      <w:r w:rsidRPr="000B2AF2">
        <w:rPr>
          <w:b w:val="0"/>
        </w:rPr>
        <w:t>Corresponding author:</w:t>
      </w:r>
    </w:p>
    <w:p w14:paraId="79CF7EE3" w14:textId="77777777" w:rsidR="008A05BB" w:rsidRPr="000B2AF2" w:rsidRDefault="008A05BB" w:rsidP="008A05BB">
      <w:pPr>
        <w:pStyle w:val="NoSpacing"/>
        <w:rPr>
          <w:b w:val="0"/>
        </w:rPr>
      </w:pPr>
      <w:r w:rsidRPr="000B2AF2">
        <w:rPr>
          <w:b w:val="0"/>
        </w:rPr>
        <w:t xml:space="preserve">J.F. Cryan: APC Microbiome Ireland; Department of Anatomy and Neuroscience, University College Cork, Cork, Ireland. Email: </w:t>
      </w:r>
      <w:hyperlink r:id="rId8" w:history="1">
        <w:r w:rsidRPr="000B2AF2">
          <w:rPr>
            <w:rStyle w:val="Hyperlink"/>
            <w:b w:val="0"/>
          </w:rPr>
          <w:t>j.cryan@ucc.ie</w:t>
        </w:r>
      </w:hyperlink>
      <w:r w:rsidRPr="000B2AF2">
        <w:rPr>
          <w:b w:val="0"/>
        </w:rPr>
        <w:t>.</w:t>
      </w:r>
    </w:p>
    <w:p w14:paraId="2843C247" w14:textId="77777777" w:rsidR="008A05BB" w:rsidRDefault="008A05BB" w:rsidP="008A05BB">
      <w:pPr>
        <w:spacing w:line="240" w:lineRule="auto"/>
        <w:jc w:val="left"/>
      </w:pPr>
    </w:p>
    <w:p w14:paraId="6B6101B0" w14:textId="77777777" w:rsidR="00385AEC" w:rsidRDefault="00385AEC">
      <w:pPr>
        <w:sectPr w:rsidR="00385AEC">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p>
    <w:p w14:paraId="453B8097" w14:textId="0AABE577" w:rsidR="00385AEC" w:rsidRPr="009528BF" w:rsidRDefault="005F3B7F" w:rsidP="007967F5">
      <w:pPr>
        <w:pStyle w:val="Figure"/>
        <w:sectPr w:rsidR="00385AEC" w:rsidRPr="009528BF" w:rsidSect="00385AEC">
          <w:pgSz w:w="16838" w:h="11906" w:orient="landscape"/>
          <w:pgMar w:top="1440" w:right="1440" w:bottom="1440" w:left="1440" w:header="708" w:footer="708" w:gutter="0"/>
          <w:cols w:space="708"/>
          <w:docGrid w:linePitch="360"/>
        </w:sectPr>
      </w:pPr>
      <w:r>
        <w:lastRenderedPageBreak/>
        <w:drawing>
          <wp:inline distT="0" distB="0" distL="0" distR="0" wp14:anchorId="7C55AF97" wp14:editId="48F203EB">
            <wp:extent cx="8818904" cy="1932317"/>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860148" cy="1941354"/>
                    </a:xfrm>
                    <a:prstGeom prst="rect">
                      <a:avLst/>
                    </a:prstGeom>
                    <a:noFill/>
                    <a:ln>
                      <a:noFill/>
                    </a:ln>
                  </pic:spPr>
                </pic:pic>
              </a:graphicData>
            </a:graphic>
          </wp:inline>
        </w:drawing>
      </w:r>
      <w:r w:rsidR="006650AB" w:rsidRPr="006650AB">
        <w:t xml:space="preserve"> </w:t>
      </w:r>
      <w:r w:rsidR="006650AB" w:rsidRPr="007967F5">
        <w:t xml:space="preserve">sFigure 1. Flow cytometry gating strategy of splenic myeloid cells. </w:t>
      </w:r>
      <w:bookmarkStart w:id="2" w:name="_Hlk16245363"/>
      <w:r w:rsidR="00877EA1" w:rsidRPr="007967F5">
        <w:rPr>
          <w:b w:val="0"/>
        </w:rPr>
        <w:t xml:space="preserve">Gating was performed as following. </w:t>
      </w:r>
      <w:r w:rsidR="006650AB" w:rsidRPr="007967F5">
        <w:rPr>
          <w:b w:val="0"/>
        </w:rPr>
        <w:t>Cells were selected based on FSC-height and SSC-height. 1) LY6C</w:t>
      </w:r>
      <w:r w:rsidR="006650AB" w:rsidRPr="007967F5">
        <w:rPr>
          <w:b w:val="0"/>
          <w:vertAlign w:val="superscript"/>
        </w:rPr>
        <w:t>hi</w:t>
      </w:r>
      <w:r w:rsidR="006650AB" w:rsidRPr="007967F5">
        <w:rPr>
          <w:b w:val="0"/>
        </w:rPr>
        <w:t xml:space="preserve"> monocytes (CD11b+, LY6C</w:t>
      </w:r>
      <w:r w:rsidR="006650AB" w:rsidRPr="007967F5">
        <w:rPr>
          <w:b w:val="0"/>
          <w:vertAlign w:val="superscript"/>
        </w:rPr>
        <w:t>hi</w:t>
      </w:r>
      <w:r w:rsidR="006650AB" w:rsidRPr="007967F5">
        <w:rPr>
          <w:b w:val="0"/>
        </w:rPr>
        <w:t>) were subsequently selected, whereas CD11b+, LY6C</w:t>
      </w:r>
      <w:r w:rsidR="006650AB" w:rsidRPr="007967F5">
        <w:rPr>
          <w:b w:val="0"/>
          <w:vertAlign w:val="superscript"/>
        </w:rPr>
        <w:t>low</w:t>
      </w:r>
      <w:r w:rsidR="006650AB" w:rsidRPr="007967F5">
        <w:rPr>
          <w:b w:val="0"/>
        </w:rPr>
        <w:t>/- cells were used to select other populations. 2) Granulocytes (CD11b+, SSC</w:t>
      </w:r>
      <w:r w:rsidR="006650AB" w:rsidRPr="007967F5">
        <w:rPr>
          <w:b w:val="0"/>
          <w:vertAlign w:val="superscript"/>
        </w:rPr>
        <w:t>hi</w:t>
      </w:r>
      <w:r w:rsidR="006650AB" w:rsidRPr="007967F5">
        <w:rPr>
          <w:b w:val="0"/>
        </w:rPr>
        <w:t>) were then selected. 3) While SSC</w:t>
      </w:r>
      <w:r w:rsidR="006650AB" w:rsidRPr="007967F5">
        <w:rPr>
          <w:b w:val="0"/>
          <w:vertAlign w:val="superscript"/>
        </w:rPr>
        <w:t>hi</w:t>
      </w:r>
      <w:r w:rsidR="006650AB" w:rsidRPr="007967F5">
        <w:rPr>
          <w:b w:val="0"/>
        </w:rPr>
        <w:t>, LY6C- cells were used to gate LY6C</w:t>
      </w:r>
      <w:r w:rsidR="006650AB" w:rsidRPr="007967F5">
        <w:rPr>
          <w:b w:val="0"/>
          <w:vertAlign w:val="superscript"/>
        </w:rPr>
        <w:t>mid</w:t>
      </w:r>
      <w:r w:rsidR="006650AB" w:rsidRPr="007967F5">
        <w:rPr>
          <w:b w:val="0"/>
        </w:rPr>
        <w:t>, CCR2+ monocytes (CD11b+, SSC</w:t>
      </w:r>
      <w:r w:rsidR="006650AB" w:rsidRPr="007967F5">
        <w:rPr>
          <w:b w:val="0"/>
          <w:vertAlign w:val="superscript"/>
        </w:rPr>
        <w:t>low</w:t>
      </w:r>
      <w:r w:rsidR="006650AB" w:rsidRPr="007967F5">
        <w:rPr>
          <w:b w:val="0"/>
        </w:rPr>
        <w:t>, LY6C</w:t>
      </w:r>
      <w:r w:rsidR="006650AB" w:rsidRPr="007967F5">
        <w:rPr>
          <w:b w:val="0"/>
          <w:vertAlign w:val="superscript"/>
        </w:rPr>
        <w:t>mid</w:t>
      </w:r>
      <w:r w:rsidR="006650AB" w:rsidRPr="007967F5">
        <w:rPr>
          <w:b w:val="0"/>
        </w:rPr>
        <w:t>, CCR2+). 4) SSC</w:t>
      </w:r>
      <w:r w:rsidR="006650AB" w:rsidRPr="007967F5">
        <w:rPr>
          <w:b w:val="0"/>
          <w:vertAlign w:val="superscript"/>
        </w:rPr>
        <w:t>hi</w:t>
      </w:r>
      <w:r w:rsidR="006650AB" w:rsidRPr="007967F5">
        <w:rPr>
          <w:b w:val="0"/>
        </w:rPr>
        <w:t>, LY6C- cells were used to gate LY6C, CX3CR1+ monocytes (CD11b+, SSC</w:t>
      </w:r>
      <w:r w:rsidR="006650AB" w:rsidRPr="007967F5">
        <w:rPr>
          <w:b w:val="0"/>
          <w:vertAlign w:val="superscript"/>
        </w:rPr>
        <w:t>low</w:t>
      </w:r>
      <w:r w:rsidR="006650AB" w:rsidRPr="007967F5">
        <w:rPr>
          <w:b w:val="0"/>
        </w:rPr>
        <w:t>, LY6C-, CX3CR1+</w:t>
      </w:r>
      <w:r w:rsidR="009528BF" w:rsidRPr="007967F5">
        <w:rPr>
          <w:b w:val="0"/>
        </w:rPr>
        <w:t>).</w:t>
      </w:r>
      <w:bookmarkEnd w:id="2"/>
    </w:p>
    <w:p w14:paraId="619A4CD4" w14:textId="77777777" w:rsidR="009528BF" w:rsidRDefault="006650AB" w:rsidP="007967F5">
      <w:pPr>
        <w:pStyle w:val="Figure"/>
      </w:pPr>
      <w:r>
        <w:lastRenderedPageBreak/>
        <w:drawing>
          <wp:inline distT="0" distB="0" distL="0" distR="0" wp14:anchorId="0B575FB4" wp14:editId="24276380">
            <wp:extent cx="5667555" cy="250301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17719" cy="2525166"/>
                    </a:xfrm>
                    <a:prstGeom prst="rect">
                      <a:avLst/>
                    </a:prstGeom>
                    <a:noFill/>
                    <a:ln>
                      <a:noFill/>
                    </a:ln>
                  </pic:spPr>
                </pic:pic>
              </a:graphicData>
            </a:graphic>
          </wp:inline>
        </w:drawing>
      </w:r>
      <w:r w:rsidR="009528BF" w:rsidRPr="009528BF">
        <w:t xml:space="preserve"> </w:t>
      </w:r>
    </w:p>
    <w:p w14:paraId="2CB1D545" w14:textId="673CC9A0" w:rsidR="009528BF" w:rsidRPr="007967F5" w:rsidRDefault="009528BF" w:rsidP="007967F5">
      <w:pPr>
        <w:pStyle w:val="Figure"/>
      </w:pPr>
      <w:r w:rsidRPr="007967F5">
        <w:t xml:space="preserve">sFigure 2. Phenotyping of monocyte subtypes. </w:t>
      </w:r>
      <w:r w:rsidRPr="007967F5">
        <w:rPr>
          <w:b w:val="0"/>
        </w:rPr>
        <w:t xml:space="preserve">LY6C, CCR2 and CX3CR1 receptors expression patterns were similar to previous reports </w:t>
      </w:r>
      <w:r w:rsidRPr="007967F5">
        <w:rPr>
          <w:b w:val="0"/>
        </w:rPr>
        <w:fldChar w:fldCharType="begin">
          <w:fldData xml:space="preserve">PEVuZE5vdGU+PENpdGU+PEF1dGhvcj5ZYW5nPC9BdXRob3I+PFllYXI+MjAxNDwvWWVhcj48UmVj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</w:fldData>
        </w:fldChar>
      </w:r>
      <w:r w:rsidRPr="007967F5">
        <w:rPr>
          <w:b w:val="0"/>
        </w:rPr>
        <w:instrText xml:space="preserve"> ADDIN EN.CITE </w:instrText>
      </w:r>
      <w:r w:rsidRPr="007967F5">
        <w:rPr>
          <w:b w:val="0"/>
        </w:rPr>
        <w:fldChar w:fldCharType="begin">
          <w:fldData xml:space="preserve">PEVuZE5vdGU+PENpdGU+PEF1dGhvcj5ZYW5nPC9BdXRob3I+PFllYXI+MjAxNDwvWWVhcj48UmVj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</w:fldData>
        </w:fldChar>
      </w:r>
      <w:r w:rsidRPr="007967F5">
        <w:rPr>
          <w:b w:val="0"/>
        </w:rPr>
        <w:instrText xml:space="preserve"> ADDIN EN.CITE.DATA </w:instrText>
      </w:r>
      <w:r w:rsidRPr="007967F5">
        <w:rPr>
          <w:b w:val="0"/>
        </w:rPr>
      </w:r>
      <w:r w:rsidRPr="007967F5">
        <w:rPr>
          <w:b w:val="0"/>
        </w:rPr>
        <w:fldChar w:fldCharType="end"/>
      </w:r>
      <w:r w:rsidRPr="007967F5">
        <w:rPr>
          <w:b w:val="0"/>
        </w:rPr>
      </w:r>
      <w:r w:rsidRPr="007967F5">
        <w:rPr>
          <w:b w:val="0"/>
        </w:rPr>
        <w:fldChar w:fldCharType="separate"/>
      </w:r>
      <w:r w:rsidRPr="007967F5">
        <w:rPr>
          <w:b w:val="0"/>
        </w:rPr>
        <w:t>(Ginhoux et al. 2014, Yang et al. 2014)</w:t>
      </w:r>
      <w:r w:rsidRPr="007967F5">
        <w:rPr>
          <w:b w:val="0"/>
        </w:rPr>
        <w:fldChar w:fldCharType="end"/>
      </w:r>
      <w:r w:rsidRPr="007967F5">
        <w:rPr>
          <w:b w:val="0"/>
        </w:rPr>
        <w:t>. Specifically, LY6C</w:t>
      </w:r>
      <w:r w:rsidRPr="007967F5">
        <w:rPr>
          <w:b w:val="0"/>
          <w:vertAlign w:val="superscript"/>
        </w:rPr>
        <w:t>hi</w:t>
      </w:r>
      <w:r w:rsidRPr="007967F5">
        <w:rPr>
          <w:b w:val="0"/>
        </w:rPr>
        <w:t xml:space="preserve"> Monocytes: LY6C</w:t>
      </w:r>
      <w:r w:rsidRPr="007967F5">
        <w:rPr>
          <w:b w:val="0"/>
          <w:vertAlign w:val="superscript"/>
        </w:rPr>
        <w:t>hi</w:t>
      </w:r>
      <w:r w:rsidRPr="007967F5">
        <w:rPr>
          <w:b w:val="0"/>
        </w:rPr>
        <w:t>, CCR2+, CX3CR1-; LY6C</w:t>
      </w:r>
      <w:r w:rsidRPr="007967F5">
        <w:rPr>
          <w:b w:val="0"/>
          <w:vertAlign w:val="superscript"/>
        </w:rPr>
        <w:t>mid</w:t>
      </w:r>
      <w:r w:rsidRPr="007967F5">
        <w:rPr>
          <w:b w:val="0"/>
        </w:rPr>
        <w:t xml:space="preserve"> Monocytes: LY6C</w:t>
      </w:r>
      <w:r w:rsidRPr="007967F5">
        <w:rPr>
          <w:b w:val="0"/>
          <w:vertAlign w:val="superscript"/>
        </w:rPr>
        <w:t>mid</w:t>
      </w:r>
      <w:r w:rsidRPr="007967F5">
        <w:rPr>
          <w:b w:val="0"/>
        </w:rPr>
        <w:t>, CCR2+, CX3CR1+; LY6C</w:t>
      </w:r>
      <w:r w:rsidRPr="007967F5">
        <w:rPr>
          <w:b w:val="0"/>
          <w:vertAlign w:val="superscript"/>
        </w:rPr>
        <w:t>low</w:t>
      </w:r>
      <w:r w:rsidRPr="007967F5">
        <w:rPr>
          <w:b w:val="0"/>
        </w:rPr>
        <w:t xml:space="preserve"> Monocytes: LY6C-, CCR2-, CX3CR1+.</w:t>
      </w:r>
      <w:r w:rsidRPr="007967F5">
        <w:t xml:space="preserve"> </w:t>
      </w:r>
    </w:p>
    <w:p w14:paraId="6AAB7AFC" w14:textId="7301F21A" w:rsidR="005F3B7F" w:rsidRDefault="005F3B7F"/>
    <w:p w14:paraId="63E28833" w14:textId="77777777" w:rsidR="005F3B7F" w:rsidRDefault="005F3B7F">
      <w:pPr>
        <w:spacing w:before="0" w:beforeAutospacing="0" w:after="160" w:afterAutospacing="0" w:line="259" w:lineRule="auto"/>
        <w:jc w:val="left"/>
      </w:pPr>
      <w:r>
        <w:br w:type="page"/>
      </w:r>
    </w:p>
    <w:p w14:paraId="60D3258D" w14:textId="2A467CB9" w:rsidR="00385AEC" w:rsidRPr="00E6368A" w:rsidRDefault="00576D25" w:rsidP="007967F5">
      <w:pPr>
        <w:pStyle w:val="Figure"/>
      </w:pPr>
      <w:r>
        <w:lastRenderedPageBreak/>
        <w:drawing>
          <wp:inline distT="0" distB="0" distL="0" distR="0" wp14:anchorId="4D8B3987" wp14:editId="4FE5D9B2">
            <wp:extent cx="5353050" cy="3552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53050" cy="3552825"/>
                    </a:xfrm>
                    <a:prstGeom prst="rect">
                      <a:avLst/>
                    </a:prstGeom>
                    <a:noFill/>
                    <a:ln>
                      <a:noFill/>
                    </a:ln>
                  </pic:spPr>
                </pic:pic>
              </a:graphicData>
            </a:graphic>
          </wp:inline>
        </w:drawing>
      </w:r>
      <w:r w:rsidR="006650AB" w:rsidRPr="006650AB">
        <w:t xml:space="preserve"> </w:t>
      </w:r>
      <w:r w:rsidR="006650AB">
        <w:t xml:space="preserve">sFigure </w:t>
      </w:r>
      <w:r w:rsidR="00E6368A">
        <w:t>3</w:t>
      </w:r>
      <w:r w:rsidR="006650AB">
        <w:t xml:space="preserve">. GF and CGF mice have deficits in splenic macrophages. </w:t>
      </w:r>
      <w:r w:rsidR="00877EA1" w:rsidRPr="007967F5">
        <w:rPr>
          <w:b w:val="0"/>
        </w:rPr>
        <w:t xml:space="preserve">Gating was performed as following (A). </w:t>
      </w:r>
      <w:r w:rsidR="006650AB" w:rsidRPr="007967F5">
        <w:rPr>
          <w:b w:val="0"/>
        </w:rPr>
        <w:t xml:space="preserve">Cells were selected based on FSC-height and SSC-height. CD11b+, LY6G- cells were subsequently gated after which macrophages (CD11b+, LY6G-, F4/80+, MHC-II+) were selected. GF and CGF mice showed deficits in splenic macrophages (B), whereas stress did not impact splenic macrophages (C). </w:t>
      </w:r>
      <w:r w:rsidR="00EE5571" w:rsidRPr="007967F5">
        <w:rPr>
          <w:b w:val="0"/>
        </w:rPr>
        <w:t>There was an effect of microbiota status on splenic macrophage levels (</w:t>
      </w:r>
      <w:r w:rsidR="00EE5571" w:rsidRPr="007967F5">
        <w:rPr>
          <w:rFonts w:ascii="Cambria Math" w:hAnsi="Cambria Math" w:cs="Cambria Math"/>
          <w:b w:val="0"/>
        </w:rPr>
        <w:t>X</w:t>
      </w:r>
      <w:r w:rsidR="00EE5571" w:rsidRPr="007967F5">
        <w:rPr>
          <w:b w:val="0"/>
          <w:vertAlign w:val="superscript"/>
        </w:rPr>
        <w:t>2</w:t>
      </w:r>
      <w:r w:rsidR="00EE5571" w:rsidRPr="007967F5">
        <w:rPr>
          <w:b w:val="0"/>
        </w:rPr>
        <w:t xml:space="preserve">(2) = 13.079, </w:t>
      </w:r>
      <w:r w:rsidR="00EE5571" w:rsidRPr="007967F5">
        <w:rPr>
          <w:b w:val="0"/>
          <w:iCs/>
        </w:rPr>
        <w:t>p</w:t>
      </w:r>
      <w:r w:rsidR="00EE5571" w:rsidRPr="007967F5">
        <w:rPr>
          <w:b w:val="0"/>
        </w:rPr>
        <w:t xml:space="preserve"> &lt; 0.001), where levels were decreased in GF and CGF mice (</w:t>
      </w:r>
      <w:r w:rsidR="00EE5571" w:rsidRPr="007967F5">
        <w:rPr>
          <w:b w:val="0"/>
          <w:iCs/>
        </w:rPr>
        <w:t>p</w:t>
      </w:r>
      <w:r w:rsidR="00EE5571" w:rsidRPr="007967F5">
        <w:rPr>
          <w:b w:val="0"/>
        </w:rPr>
        <w:t xml:space="preserve"> &lt; 0.001; </w:t>
      </w:r>
      <w:r w:rsidR="00EE5571" w:rsidRPr="007967F5">
        <w:rPr>
          <w:b w:val="0"/>
          <w:iCs/>
        </w:rPr>
        <w:t>p</w:t>
      </w:r>
      <w:r w:rsidR="00EE5571" w:rsidRPr="007967F5">
        <w:rPr>
          <w:b w:val="0"/>
        </w:rPr>
        <w:t xml:space="preserve"> &lt; 0.001). </w:t>
      </w:r>
      <w:r w:rsidR="006650AB" w:rsidRPr="007967F5">
        <w:rPr>
          <w:b w:val="0"/>
        </w:rPr>
        <w:t>Data w</w:t>
      </w:r>
      <w:r w:rsidR="009C55AE" w:rsidRPr="007967F5">
        <w:rPr>
          <w:b w:val="0"/>
        </w:rPr>
        <w:t>ere</w:t>
      </w:r>
      <w:r w:rsidR="006650AB" w:rsidRPr="007967F5">
        <w:rPr>
          <w:b w:val="0"/>
        </w:rPr>
        <w:t xml:space="preserve"> non-normally distributed and analysed using the Mann-Whitney U test. Significant differences are depicted as: ***p &lt; 0.001 compa</w:t>
      </w:r>
      <w:r w:rsidR="009C55AE" w:rsidRPr="007967F5">
        <w:rPr>
          <w:b w:val="0"/>
        </w:rPr>
        <w:t>r</w:t>
      </w:r>
      <w:r w:rsidR="006650AB" w:rsidRPr="007967F5">
        <w:rPr>
          <w:b w:val="0"/>
        </w:rPr>
        <w:t xml:space="preserve">ed to CON. </w:t>
      </w:r>
      <w:r w:rsidR="00B148F5" w:rsidRPr="007967F5">
        <w:rPr>
          <w:b w:val="0"/>
        </w:rPr>
        <w:t xml:space="preserve">Post-stress data from animals were normalized to baseline data (pre-stress). </w:t>
      </w:r>
      <w:r w:rsidR="0000367E" w:rsidRPr="007967F5">
        <w:rPr>
          <w:b w:val="0"/>
        </w:rPr>
        <w:t xml:space="preserve">Data are presented as boxplots </w:t>
      </w:r>
      <w:r w:rsidR="00E6368A" w:rsidRPr="007967F5">
        <w:rPr>
          <w:b w:val="0"/>
        </w:rPr>
        <w:t xml:space="preserve">(n = 7-9). </w:t>
      </w:r>
      <w:r w:rsidR="006650AB" w:rsidRPr="007967F5">
        <w:rPr>
          <w:b w:val="0"/>
        </w:rPr>
        <w:t>Abbreviations: CON = Conventionally raised; GF = Germ-free; CGF = Conventionalized germ-free.</w:t>
      </w:r>
      <w:r w:rsidR="006650AB">
        <w:t xml:space="preserve"> </w:t>
      </w:r>
      <w:r w:rsidR="00385AEC">
        <w:br w:type="page"/>
      </w:r>
    </w:p>
    <w:p w14:paraId="0F31F5B5" w14:textId="77777777" w:rsidR="00576D25" w:rsidRDefault="00576D25" w:rsidP="007967F5">
      <w:pPr>
        <w:pStyle w:val="Figure"/>
      </w:pPr>
      <w:r>
        <w:lastRenderedPageBreak/>
        <w:drawing>
          <wp:inline distT="0" distB="0" distL="0" distR="0" wp14:anchorId="7FE64A03" wp14:editId="18D9768F">
            <wp:extent cx="5038725" cy="20193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38725" cy="2019300"/>
                    </a:xfrm>
                    <a:prstGeom prst="rect">
                      <a:avLst/>
                    </a:prstGeom>
                    <a:noFill/>
                    <a:ln>
                      <a:noFill/>
                    </a:ln>
                  </pic:spPr>
                </pic:pic>
              </a:graphicData>
            </a:graphic>
          </wp:inline>
        </w:drawing>
      </w:r>
      <w:r w:rsidR="00E6368A" w:rsidRPr="00E6368A">
        <w:t xml:space="preserve"> </w:t>
      </w:r>
    </w:p>
    <w:p w14:paraId="0A4BD86C" w14:textId="2BFA8E71" w:rsidR="00E6368A" w:rsidRPr="00E6368A" w:rsidRDefault="00E6368A" w:rsidP="007967F5">
      <w:pPr>
        <w:pStyle w:val="Figure"/>
      </w:pPr>
      <w:r>
        <w:t>sFigure 4. Stress does not impact circulatin</w:t>
      </w:r>
      <w:r w:rsidR="009C55AE">
        <w:t>g</w:t>
      </w:r>
      <w:r>
        <w:t xml:space="preserve"> and splenic LY6C-, CX3CR1+ monocytes. </w:t>
      </w:r>
      <w:bookmarkStart w:id="3" w:name="_Hlk16245855"/>
      <w:r w:rsidRPr="007967F5">
        <w:rPr>
          <w:b w:val="0"/>
        </w:rPr>
        <w:t xml:space="preserve">LY6C-, CX3CR1+ monocytes were quantified in blood (A), and the spleen (B), before and after acute stress. </w:t>
      </w:r>
      <w:bookmarkEnd w:id="3"/>
      <w:r w:rsidRPr="007967F5">
        <w:rPr>
          <w:b w:val="0"/>
        </w:rPr>
        <w:t xml:space="preserve">No differences were observed. </w:t>
      </w:r>
      <w:bookmarkStart w:id="4" w:name="_Hlk16245970"/>
      <w:r w:rsidR="00B148F5" w:rsidRPr="007967F5">
        <w:rPr>
          <w:b w:val="0"/>
        </w:rPr>
        <w:t xml:space="preserve">Post-stress data from animals were normalized to baseline data (pre-stress). </w:t>
      </w:r>
      <w:r w:rsidR="0000367E" w:rsidRPr="007967F5">
        <w:rPr>
          <w:b w:val="0"/>
        </w:rPr>
        <w:t xml:space="preserve">Data are presented as boxplots </w:t>
      </w:r>
      <w:r w:rsidRPr="007967F5">
        <w:rPr>
          <w:b w:val="0"/>
        </w:rPr>
        <w:t>(n = 7-9)</w:t>
      </w:r>
      <w:bookmarkEnd w:id="4"/>
      <w:r w:rsidRPr="007967F5">
        <w:rPr>
          <w:b w:val="0"/>
        </w:rPr>
        <w:t>. Abbreviations: CON = Conventionally raised; GF = Germ-free; CGF = Conventionalized germ-free.</w:t>
      </w:r>
    </w:p>
    <w:p w14:paraId="070CE492" w14:textId="19631C92" w:rsidR="00385AEC" w:rsidRDefault="00385AEC"/>
    <w:p w14:paraId="59AD9B5D" w14:textId="77777777" w:rsidR="005F3B7F" w:rsidRDefault="005F3B7F" w:rsidP="007967F5">
      <w:pPr>
        <w:pStyle w:val="Figure"/>
      </w:pPr>
      <w:r>
        <w:br w:type="page"/>
      </w:r>
    </w:p>
    <w:p w14:paraId="6AB9AB1D" w14:textId="7B8FD56F" w:rsidR="00385AEC" w:rsidRDefault="00576D25">
      <w:r>
        <w:rPr>
          <w:noProof/>
        </w:rPr>
        <w:lastRenderedPageBreak/>
        <w:drawing>
          <wp:inline distT="0" distB="0" distL="0" distR="0" wp14:anchorId="2B7DEA53" wp14:editId="315DEE68">
            <wp:extent cx="5724525" cy="50387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24525" cy="5038725"/>
                    </a:xfrm>
                    <a:prstGeom prst="rect">
                      <a:avLst/>
                    </a:prstGeom>
                    <a:noFill/>
                    <a:ln>
                      <a:noFill/>
                    </a:ln>
                  </pic:spPr>
                </pic:pic>
              </a:graphicData>
            </a:graphic>
          </wp:inline>
        </w:drawing>
      </w:r>
    </w:p>
    <w:p w14:paraId="13850676" w14:textId="5233CF88" w:rsidR="009528BF" w:rsidRDefault="006178D5" w:rsidP="007967F5">
      <w:pPr>
        <w:pStyle w:val="Figure"/>
      </w:pPr>
      <w:r w:rsidRPr="00C729F9">
        <w:t xml:space="preserve">sFigure 5. Acute stress does not impact MLN dendritic and macrophage levels. </w:t>
      </w:r>
      <w:r w:rsidR="00877EA1" w:rsidRPr="007967F5">
        <w:rPr>
          <w:b w:val="0"/>
        </w:rPr>
        <w:t xml:space="preserve">Gating was performed as following (A). </w:t>
      </w:r>
      <w:r w:rsidRPr="007967F5">
        <w:rPr>
          <w:b w:val="0"/>
        </w:rPr>
        <w:t xml:space="preserve">Cells were selected based on FSC-height and SSC-height. </w:t>
      </w:r>
      <w:r w:rsidR="00C729F9" w:rsidRPr="007967F5">
        <w:rPr>
          <w:b w:val="0"/>
        </w:rPr>
        <w:t xml:space="preserve">1,2) </w:t>
      </w:r>
      <w:r w:rsidRPr="007967F5">
        <w:rPr>
          <w:b w:val="0"/>
        </w:rPr>
        <w:t xml:space="preserve">CD11b+, LY6C- cells were subsequently gated, after which macrophages (CD11b+, LY6C-, F4/80+) were selected. </w:t>
      </w:r>
      <w:r w:rsidR="00C729F9" w:rsidRPr="007967F5">
        <w:rPr>
          <w:b w:val="0"/>
        </w:rPr>
        <w:t xml:space="preserve">3) In addition, MLN dendritic cells (CD11c+, MHC-II+) were selected. Both microbiota status and stress did not impact MLN macrophage levels (B, C). GF and CGF mice did have decreased MLN dendritic levels (D), which remained unaffected by stress (E). </w:t>
      </w:r>
      <w:r w:rsidR="00735A7A" w:rsidRPr="007967F5">
        <w:rPr>
          <w:b w:val="0"/>
        </w:rPr>
        <w:t>There was an effect of microbiota status on MLN dendritic cell levels (</w:t>
      </w:r>
      <w:r w:rsidR="00735A7A" w:rsidRPr="007967F5">
        <w:rPr>
          <w:rFonts w:ascii="Cambria Math" w:hAnsi="Cambria Math" w:cs="Cambria Math"/>
          <w:b w:val="0"/>
        </w:rPr>
        <w:t>X</w:t>
      </w:r>
      <w:r w:rsidR="00735A7A" w:rsidRPr="007967F5">
        <w:rPr>
          <w:b w:val="0"/>
          <w:vertAlign w:val="superscript"/>
        </w:rPr>
        <w:t>2</w:t>
      </w:r>
      <w:r w:rsidR="00735A7A" w:rsidRPr="007967F5">
        <w:rPr>
          <w:b w:val="0"/>
        </w:rPr>
        <w:t xml:space="preserve">(2) = 6.628, </w:t>
      </w:r>
      <w:r w:rsidR="00735A7A" w:rsidRPr="007967F5">
        <w:rPr>
          <w:b w:val="0"/>
          <w:iCs/>
        </w:rPr>
        <w:t>p</w:t>
      </w:r>
      <w:r w:rsidR="00735A7A" w:rsidRPr="007967F5">
        <w:rPr>
          <w:b w:val="0"/>
        </w:rPr>
        <w:t xml:space="preserve"> = 0.036), where levels were decreased in GF and CGF mice (</w:t>
      </w:r>
      <w:r w:rsidR="00735A7A" w:rsidRPr="007967F5">
        <w:rPr>
          <w:b w:val="0"/>
          <w:iCs/>
        </w:rPr>
        <w:t>p</w:t>
      </w:r>
      <w:r w:rsidR="00735A7A" w:rsidRPr="007967F5">
        <w:rPr>
          <w:b w:val="0"/>
        </w:rPr>
        <w:t xml:space="preserve"> = 0.037; </w:t>
      </w:r>
      <w:r w:rsidR="00735A7A" w:rsidRPr="007967F5">
        <w:rPr>
          <w:b w:val="0"/>
          <w:iCs/>
        </w:rPr>
        <w:t>p</w:t>
      </w:r>
      <w:r w:rsidR="00735A7A" w:rsidRPr="007967F5">
        <w:rPr>
          <w:b w:val="0"/>
        </w:rPr>
        <w:t xml:space="preserve"> = 0.023). </w:t>
      </w:r>
      <w:r w:rsidRPr="007967F5">
        <w:rPr>
          <w:b w:val="0"/>
        </w:rPr>
        <w:t>Data w</w:t>
      </w:r>
      <w:r w:rsidR="009C55AE" w:rsidRPr="007967F5">
        <w:rPr>
          <w:b w:val="0"/>
        </w:rPr>
        <w:t>ere</w:t>
      </w:r>
      <w:r w:rsidRPr="007967F5">
        <w:rPr>
          <w:b w:val="0"/>
        </w:rPr>
        <w:t xml:space="preserve"> non-normally distributed and analysed using the Mann-Whitney U test. Significant differences are depicted as: *p &lt; 0.0</w:t>
      </w:r>
      <w:r w:rsidR="001A3915" w:rsidRPr="007967F5">
        <w:rPr>
          <w:b w:val="0"/>
        </w:rPr>
        <w:t>5</w:t>
      </w:r>
      <w:r w:rsidRPr="007967F5">
        <w:rPr>
          <w:b w:val="0"/>
        </w:rPr>
        <w:t xml:space="preserve"> compa</w:t>
      </w:r>
      <w:r w:rsidR="009C55AE" w:rsidRPr="007967F5">
        <w:rPr>
          <w:b w:val="0"/>
        </w:rPr>
        <w:t>r</w:t>
      </w:r>
      <w:r w:rsidRPr="007967F5">
        <w:rPr>
          <w:b w:val="0"/>
        </w:rPr>
        <w:t xml:space="preserve">ed to CON. </w:t>
      </w:r>
      <w:r w:rsidR="00B148F5" w:rsidRPr="007967F5">
        <w:rPr>
          <w:b w:val="0"/>
        </w:rPr>
        <w:t xml:space="preserve">Post-stress data from animals were normalized to baseline data (pre-stress). </w:t>
      </w:r>
      <w:r w:rsidR="0000367E" w:rsidRPr="007967F5">
        <w:rPr>
          <w:b w:val="0"/>
        </w:rPr>
        <w:t xml:space="preserve">Data are presented as boxplots </w:t>
      </w:r>
      <w:r w:rsidRPr="007967F5">
        <w:rPr>
          <w:b w:val="0"/>
        </w:rPr>
        <w:t>(n = 7-9). Abbreviations: CON = Conventionally raised; GF = Germ-free; CGF = Conventionalized germ-free</w:t>
      </w:r>
      <w:r w:rsidR="009D1CB0" w:rsidRPr="007967F5">
        <w:rPr>
          <w:b w:val="0"/>
        </w:rPr>
        <w:t>; MLN = mesenteric lymph node</w:t>
      </w:r>
      <w:r w:rsidRPr="007967F5">
        <w:rPr>
          <w:b w:val="0"/>
        </w:rPr>
        <w:t>.</w:t>
      </w:r>
    </w:p>
    <w:p w14:paraId="33C6EC9B" w14:textId="77777777" w:rsidR="009528BF" w:rsidRDefault="009528BF">
      <w:pPr>
        <w:spacing w:before="0" w:beforeAutospacing="0" w:after="160" w:afterAutospacing="0" w:line="259" w:lineRule="auto"/>
        <w:jc w:val="left"/>
        <w:rPr>
          <w:rFonts w:eastAsiaTheme="minorHAnsi"/>
          <w:i/>
          <w:noProof/>
          <w:sz w:val="20"/>
          <w:szCs w:val="22"/>
          <w:lang w:val="en-IE" w:eastAsia="en-IE"/>
        </w:rPr>
      </w:pPr>
      <w:r>
        <w:rPr>
          <w:b/>
        </w:rPr>
        <w:br w:type="page"/>
      </w:r>
    </w:p>
    <w:p w14:paraId="7306DA94" w14:textId="581B2E54" w:rsidR="006178D5" w:rsidRDefault="009528BF" w:rsidP="009528BF">
      <w:pPr>
        <w:pStyle w:val="Heading2"/>
      </w:pPr>
      <w:r>
        <w:lastRenderedPageBreak/>
        <w:t>Literature</w:t>
      </w:r>
    </w:p>
    <w:p w14:paraId="0CA32D54" w14:textId="77777777" w:rsidR="009528BF" w:rsidRPr="009528BF" w:rsidRDefault="009528BF" w:rsidP="009528BF">
      <w:pPr>
        <w:pStyle w:val="EndNoteBibliography"/>
        <w:spacing w:after="0"/>
      </w:pPr>
      <w:r>
        <w:fldChar w:fldCharType="begin"/>
      </w:r>
      <w:r>
        <w:instrText xml:space="preserve"> ADDIN EN.REFLIST </w:instrText>
      </w:r>
      <w:r>
        <w:fldChar w:fldCharType="separate"/>
      </w:r>
      <w:r w:rsidRPr="009528BF">
        <w:t xml:space="preserve">Ginhoux, F. and S. Jung. (2014). Monocytes and macrophages: developmental pathways and tissue homeostasis. </w:t>
      </w:r>
      <w:r w:rsidRPr="009528BF">
        <w:rPr>
          <w:i/>
        </w:rPr>
        <w:t>Nat Rev Immunol, 14</w:t>
      </w:r>
      <w:r w:rsidRPr="009528BF">
        <w:t>(6), 392-404. doi:10.1038/nri3671</w:t>
      </w:r>
    </w:p>
    <w:p w14:paraId="4DEABAD6" w14:textId="77777777" w:rsidR="009528BF" w:rsidRPr="009528BF" w:rsidRDefault="009528BF" w:rsidP="009528BF">
      <w:pPr>
        <w:pStyle w:val="EndNoteBibliography"/>
      </w:pPr>
      <w:r w:rsidRPr="009528BF">
        <w:t xml:space="preserve">Yang, J., L. Zhang, C. Yu, X. F. Yang and H. Wang. (2014). Monocyte and macrophage differentiation: circulation inflammatory monocyte as biomarker for inflammatory diseases. </w:t>
      </w:r>
      <w:r w:rsidRPr="009528BF">
        <w:rPr>
          <w:i/>
        </w:rPr>
        <w:t>Biomark Res, 2</w:t>
      </w:r>
      <w:r w:rsidRPr="009528BF">
        <w:t>(1), 1. doi:10.1186/2050-7771-2-1</w:t>
      </w:r>
    </w:p>
    <w:p w14:paraId="25CD400F" w14:textId="2C1F757B" w:rsidR="009528BF" w:rsidRPr="009528BF" w:rsidRDefault="009528BF" w:rsidP="009528BF">
      <w:r>
        <w:fldChar w:fldCharType="end"/>
      </w:r>
    </w:p>
    <w:sectPr w:rsidR="009528BF" w:rsidRPr="009528BF" w:rsidSect="00385AE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08EC23" w14:textId="77777777" w:rsidR="006C60B1" w:rsidRDefault="006C60B1" w:rsidP="008A05BB">
      <w:pPr>
        <w:spacing w:before="0" w:after="0" w:line="240" w:lineRule="auto"/>
      </w:pPr>
      <w:r>
        <w:separator/>
      </w:r>
    </w:p>
  </w:endnote>
  <w:endnote w:type="continuationSeparator" w:id="0">
    <w:p w14:paraId="1198172B" w14:textId="77777777" w:rsidR="006C60B1" w:rsidRDefault="006C60B1" w:rsidP="008A05B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EEF3E" w14:textId="77777777" w:rsidR="009D1CB0" w:rsidRDefault="009D1C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A9D91" w14:textId="77777777" w:rsidR="009D1CB0" w:rsidRDefault="009D1C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85A0F" w14:textId="77777777" w:rsidR="009D1CB0" w:rsidRDefault="009D1C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1158B8" w14:textId="77777777" w:rsidR="006C60B1" w:rsidRDefault="006C60B1" w:rsidP="008A05BB">
      <w:pPr>
        <w:spacing w:before="0" w:after="0" w:line="240" w:lineRule="auto"/>
      </w:pPr>
      <w:r>
        <w:separator/>
      </w:r>
    </w:p>
  </w:footnote>
  <w:footnote w:type="continuationSeparator" w:id="0">
    <w:p w14:paraId="522102FF" w14:textId="77777777" w:rsidR="006C60B1" w:rsidRDefault="006C60B1" w:rsidP="008A05B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E3262" w14:textId="77777777" w:rsidR="009D1CB0" w:rsidRDefault="009D1C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C56C8" w14:textId="77777777" w:rsidR="009D1CB0" w:rsidRDefault="009D1C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58482" w14:textId="77777777" w:rsidR="009D1CB0" w:rsidRDefault="009D1CB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LQwtDAzMjE1NTY3NDFR0lEKTi0uzszPAymwrAUAny1nSSwAAAA="/>
    <w:docVar w:name="EN.Layout" w:val="&lt;ENLayout&gt;&lt;Style&gt;Author-Date V2&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rsvxfs59tddsneavabx5a0vpdrxdrtxttrr&quot;&gt;My EndNote Library_SCFA&lt;record-ids&gt;&lt;item&gt;1689&lt;/item&gt;&lt;item&gt;1906&lt;/item&gt;&lt;/record-ids&gt;&lt;/item&gt;&lt;/Libraries&gt;"/>
  </w:docVars>
  <w:rsids>
    <w:rsidRoot w:val="00A578F2"/>
    <w:rsid w:val="0000367E"/>
    <w:rsid w:val="001A3915"/>
    <w:rsid w:val="001F1B82"/>
    <w:rsid w:val="00241D91"/>
    <w:rsid w:val="003747F2"/>
    <w:rsid w:val="00385AEC"/>
    <w:rsid w:val="004F2D93"/>
    <w:rsid w:val="00576D25"/>
    <w:rsid w:val="005969C8"/>
    <w:rsid w:val="005A1414"/>
    <w:rsid w:val="005C048A"/>
    <w:rsid w:val="005F3B7F"/>
    <w:rsid w:val="006178D5"/>
    <w:rsid w:val="006650AB"/>
    <w:rsid w:val="006C60B1"/>
    <w:rsid w:val="006F3547"/>
    <w:rsid w:val="006F7E30"/>
    <w:rsid w:val="00735A7A"/>
    <w:rsid w:val="00784745"/>
    <w:rsid w:val="007967F5"/>
    <w:rsid w:val="008259E7"/>
    <w:rsid w:val="0086359E"/>
    <w:rsid w:val="00877EA1"/>
    <w:rsid w:val="008A05BB"/>
    <w:rsid w:val="008B31A8"/>
    <w:rsid w:val="00940FE6"/>
    <w:rsid w:val="009528BF"/>
    <w:rsid w:val="009C55AE"/>
    <w:rsid w:val="009C689F"/>
    <w:rsid w:val="009C758C"/>
    <w:rsid w:val="009D1CB0"/>
    <w:rsid w:val="00A46692"/>
    <w:rsid w:val="00A578F2"/>
    <w:rsid w:val="00B148F5"/>
    <w:rsid w:val="00C01055"/>
    <w:rsid w:val="00C729F9"/>
    <w:rsid w:val="00D76E2C"/>
    <w:rsid w:val="00E6368A"/>
    <w:rsid w:val="00EC49A6"/>
    <w:rsid w:val="00ED7BCD"/>
    <w:rsid w:val="00EE5571"/>
    <w:rsid w:val="00F25C3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787840"/>
  <w15:chartTrackingRefBased/>
  <w15:docId w15:val="{5B9AF81F-0C2B-4D8A-A27C-0CA2CA568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05BB"/>
    <w:pPr>
      <w:spacing w:before="100" w:beforeAutospacing="1" w:after="100" w:afterAutospacing="1" w:line="480" w:lineRule="auto"/>
      <w:jc w:val="both"/>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5969C8"/>
    <w:pPr>
      <w:keepNext/>
      <w:keepLines/>
      <w:spacing w:before="240" w:after="0"/>
      <w:jc w:val="center"/>
      <w:outlineLvl w:val="0"/>
    </w:pPr>
    <w:rPr>
      <w:rFonts w:eastAsiaTheme="majorEastAsia" w:cstheme="majorBidi"/>
      <w:b/>
      <w:sz w:val="40"/>
      <w:szCs w:val="32"/>
    </w:rPr>
  </w:style>
  <w:style w:type="paragraph" w:styleId="Heading2">
    <w:name w:val="heading 2"/>
    <w:basedOn w:val="Normal"/>
    <w:next w:val="Normal"/>
    <w:link w:val="Heading2Char"/>
    <w:uiPriority w:val="9"/>
    <w:unhideWhenUsed/>
    <w:qFormat/>
    <w:rsid w:val="005969C8"/>
    <w:pPr>
      <w:keepNext/>
      <w:keepLines/>
      <w:spacing w:after="0"/>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6F7E30"/>
    <w:pPr>
      <w:keepNext/>
      <w:keepLines/>
      <w:spacing w:before="40" w:after="0"/>
      <w:outlineLvl w:val="2"/>
    </w:pPr>
    <w:rPr>
      <w:rFonts w:asciiTheme="majorHAnsi" w:eastAsiaTheme="majorEastAsia" w:hAnsiTheme="majorHAnsi" w:cstheme="majorBidi"/>
      <w:b/>
    </w:rPr>
  </w:style>
  <w:style w:type="paragraph" w:styleId="Heading4">
    <w:name w:val="heading 4"/>
    <w:basedOn w:val="Normal"/>
    <w:next w:val="Normal"/>
    <w:link w:val="Heading4Char"/>
    <w:autoRedefine/>
    <w:uiPriority w:val="9"/>
    <w:unhideWhenUsed/>
    <w:qFormat/>
    <w:rsid w:val="004F2D93"/>
    <w:pPr>
      <w:keepNext/>
      <w:keepLines/>
      <w:spacing w:before="40" w:after="0"/>
      <w:outlineLvl w:val="3"/>
    </w:pPr>
    <w:rPr>
      <w:rFonts w:asciiTheme="majorHAnsi" w:eastAsiaTheme="majorEastAsia" w:hAnsiTheme="majorHAnsi"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9C8"/>
    <w:rPr>
      <w:rFonts w:ascii="Times New Roman" w:eastAsiaTheme="majorEastAsia" w:hAnsi="Times New Roman" w:cstheme="majorBidi"/>
      <w:b/>
      <w:sz w:val="40"/>
      <w:szCs w:val="32"/>
    </w:rPr>
  </w:style>
  <w:style w:type="character" w:customStyle="1" w:styleId="Heading2Char">
    <w:name w:val="Heading 2 Char"/>
    <w:basedOn w:val="DefaultParagraphFont"/>
    <w:link w:val="Heading2"/>
    <w:uiPriority w:val="9"/>
    <w:rsid w:val="005969C8"/>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6F7E30"/>
    <w:rPr>
      <w:rFonts w:asciiTheme="majorHAnsi" w:eastAsiaTheme="majorEastAsia" w:hAnsiTheme="majorHAnsi" w:cstheme="majorBidi"/>
      <w:b/>
      <w:sz w:val="24"/>
      <w:szCs w:val="24"/>
    </w:rPr>
  </w:style>
  <w:style w:type="paragraph" w:styleId="NoSpacing">
    <w:name w:val="No Spacing"/>
    <w:aliases w:val="Spacing"/>
    <w:uiPriority w:val="1"/>
    <w:qFormat/>
    <w:rsid w:val="005969C8"/>
    <w:pPr>
      <w:spacing w:before="100" w:beforeAutospacing="1" w:after="100" w:afterAutospacing="1" w:line="240" w:lineRule="auto"/>
      <w:contextualSpacing/>
      <w:jc w:val="both"/>
    </w:pPr>
    <w:rPr>
      <w:rFonts w:ascii="Times New Roman" w:eastAsia="Times New Roman" w:hAnsi="Times New Roman" w:cs="Times New Roman"/>
      <w:b/>
      <w:sz w:val="24"/>
      <w:szCs w:val="24"/>
      <w:lang w:val="en-US"/>
    </w:rPr>
  </w:style>
  <w:style w:type="character" w:customStyle="1" w:styleId="Heading4Char">
    <w:name w:val="Heading 4 Char"/>
    <w:basedOn w:val="DefaultParagraphFont"/>
    <w:link w:val="Heading4"/>
    <w:uiPriority w:val="9"/>
    <w:rsid w:val="004F2D93"/>
    <w:rPr>
      <w:rFonts w:asciiTheme="majorHAnsi" w:eastAsiaTheme="majorEastAsia" w:hAnsiTheme="majorHAnsi" w:cstheme="majorBidi"/>
      <w:b/>
      <w:iCs/>
    </w:rPr>
  </w:style>
  <w:style w:type="paragraph" w:customStyle="1" w:styleId="Figure">
    <w:name w:val="Figure"/>
    <w:basedOn w:val="NoSpacing"/>
    <w:link w:val="FigureChar"/>
    <w:autoRedefine/>
    <w:qFormat/>
    <w:rsid w:val="007967F5"/>
    <w:pPr>
      <w:keepNext/>
      <w:spacing w:before="220" w:beforeAutospacing="0" w:after="220" w:afterAutospacing="0"/>
    </w:pPr>
    <w:rPr>
      <w:rFonts w:eastAsiaTheme="minorHAnsi"/>
      <w:i/>
      <w:noProof/>
      <w:lang w:val="en-IE" w:eastAsia="en-IE"/>
    </w:rPr>
  </w:style>
  <w:style w:type="character" w:customStyle="1" w:styleId="FigureChar">
    <w:name w:val="Figure Char"/>
    <w:basedOn w:val="DefaultParagraphFont"/>
    <w:link w:val="Figure"/>
    <w:locked/>
    <w:rsid w:val="007967F5"/>
    <w:rPr>
      <w:rFonts w:ascii="Times New Roman" w:hAnsi="Times New Roman" w:cs="Times New Roman"/>
      <w:b/>
      <w:i/>
      <w:noProof/>
      <w:sz w:val="24"/>
      <w:szCs w:val="24"/>
      <w:lang w:eastAsia="en-IE"/>
    </w:rPr>
  </w:style>
  <w:style w:type="character" w:styleId="Hyperlink">
    <w:name w:val="Hyperlink"/>
    <w:basedOn w:val="DefaultParagraphFont"/>
    <w:uiPriority w:val="99"/>
    <w:unhideWhenUsed/>
    <w:rsid w:val="008A05BB"/>
    <w:rPr>
      <w:color w:val="0563C1" w:themeColor="hyperlink"/>
      <w:u w:val="single"/>
    </w:rPr>
  </w:style>
  <w:style w:type="paragraph" w:styleId="BalloonText">
    <w:name w:val="Balloon Text"/>
    <w:basedOn w:val="Normal"/>
    <w:link w:val="BalloonTextChar"/>
    <w:uiPriority w:val="99"/>
    <w:semiHidden/>
    <w:unhideWhenUsed/>
    <w:rsid w:val="00385AE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5AEC"/>
    <w:rPr>
      <w:rFonts w:ascii="Segoe UI" w:eastAsia="Times New Roman" w:hAnsi="Segoe UI" w:cs="Segoe UI"/>
      <w:sz w:val="18"/>
      <w:szCs w:val="18"/>
      <w:lang w:val="en-US"/>
    </w:rPr>
  </w:style>
  <w:style w:type="character" w:styleId="CommentReference">
    <w:name w:val="annotation reference"/>
    <w:basedOn w:val="DefaultParagraphFont"/>
    <w:uiPriority w:val="99"/>
    <w:semiHidden/>
    <w:unhideWhenUsed/>
    <w:rsid w:val="00E6368A"/>
    <w:rPr>
      <w:sz w:val="16"/>
      <w:szCs w:val="16"/>
    </w:rPr>
  </w:style>
  <w:style w:type="paragraph" w:styleId="CommentText">
    <w:name w:val="annotation text"/>
    <w:basedOn w:val="Normal"/>
    <w:link w:val="CommentTextChar"/>
    <w:uiPriority w:val="99"/>
    <w:semiHidden/>
    <w:unhideWhenUsed/>
    <w:rsid w:val="00E6368A"/>
    <w:pPr>
      <w:spacing w:line="240" w:lineRule="auto"/>
    </w:pPr>
    <w:rPr>
      <w:sz w:val="20"/>
      <w:szCs w:val="20"/>
    </w:rPr>
  </w:style>
  <w:style w:type="character" w:customStyle="1" w:styleId="CommentTextChar">
    <w:name w:val="Comment Text Char"/>
    <w:basedOn w:val="DefaultParagraphFont"/>
    <w:link w:val="CommentText"/>
    <w:uiPriority w:val="99"/>
    <w:semiHidden/>
    <w:rsid w:val="00E6368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6368A"/>
    <w:rPr>
      <w:b/>
      <w:bCs/>
    </w:rPr>
  </w:style>
  <w:style w:type="character" w:customStyle="1" w:styleId="CommentSubjectChar">
    <w:name w:val="Comment Subject Char"/>
    <w:basedOn w:val="CommentTextChar"/>
    <w:link w:val="CommentSubject"/>
    <w:uiPriority w:val="99"/>
    <w:semiHidden/>
    <w:rsid w:val="00E6368A"/>
    <w:rPr>
      <w:rFonts w:ascii="Times New Roman" w:eastAsia="Times New Roman" w:hAnsi="Times New Roman" w:cs="Times New Roman"/>
      <w:b/>
      <w:bCs/>
      <w:sz w:val="20"/>
      <w:szCs w:val="20"/>
      <w:lang w:val="en-US"/>
    </w:rPr>
  </w:style>
  <w:style w:type="paragraph" w:customStyle="1" w:styleId="EndNoteBibliographyTitle">
    <w:name w:val="EndNote Bibliography Title"/>
    <w:basedOn w:val="Normal"/>
    <w:link w:val="EndNoteBibliographyTitleChar"/>
    <w:rsid w:val="009528BF"/>
    <w:pPr>
      <w:spacing w:after="0"/>
      <w:jc w:val="center"/>
    </w:pPr>
    <w:rPr>
      <w:noProof/>
    </w:rPr>
  </w:style>
  <w:style w:type="character" w:customStyle="1" w:styleId="EndNoteBibliographyTitleChar">
    <w:name w:val="EndNote Bibliography Title Char"/>
    <w:basedOn w:val="DefaultParagraphFont"/>
    <w:link w:val="EndNoteBibliographyTitle"/>
    <w:rsid w:val="009528BF"/>
    <w:rPr>
      <w:rFonts w:ascii="Times New Roman" w:eastAsia="Times New Roman" w:hAnsi="Times New Roman" w:cs="Times New Roman"/>
      <w:noProof/>
      <w:sz w:val="24"/>
      <w:szCs w:val="24"/>
      <w:lang w:val="en-US"/>
    </w:rPr>
  </w:style>
  <w:style w:type="paragraph" w:customStyle="1" w:styleId="EndNoteBibliography">
    <w:name w:val="EndNote Bibliography"/>
    <w:basedOn w:val="Normal"/>
    <w:link w:val="EndNoteBibliographyChar"/>
    <w:rsid w:val="009528BF"/>
    <w:pPr>
      <w:spacing w:line="240" w:lineRule="auto"/>
    </w:pPr>
    <w:rPr>
      <w:noProof/>
    </w:rPr>
  </w:style>
  <w:style w:type="character" w:customStyle="1" w:styleId="EndNoteBibliographyChar">
    <w:name w:val="EndNote Bibliography Char"/>
    <w:basedOn w:val="DefaultParagraphFont"/>
    <w:link w:val="EndNoteBibliography"/>
    <w:rsid w:val="009528BF"/>
    <w:rPr>
      <w:rFonts w:ascii="Times New Roman" w:eastAsia="Times New Roman" w:hAnsi="Times New Roman" w:cs="Times New Roman"/>
      <w:noProof/>
      <w:sz w:val="24"/>
      <w:szCs w:val="24"/>
      <w:lang w:val="en-US"/>
    </w:rPr>
  </w:style>
  <w:style w:type="paragraph" w:styleId="Header">
    <w:name w:val="header"/>
    <w:basedOn w:val="Normal"/>
    <w:link w:val="HeaderChar"/>
    <w:uiPriority w:val="99"/>
    <w:unhideWhenUsed/>
    <w:rsid w:val="009D1CB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D1CB0"/>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D1CB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D1CB0"/>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cryan@ucc.ie" TargetMode="External"/><Relationship Id="rId13" Type="http://schemas.openxmlformats.org/officeDocument/2006/relationships/header" Target="header3.xml"/><Relationship Id="rId18" Type="http://schemas.openxmlformats.org/officeDocument/2006/relationships/image" Target="media/image4.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mailto:nancy.kelley-loughnane.1@us.af.mil" TargetMode="External"/><Relationship Id="rId12" Type="http://schemas.openxmlformats.org/officeDocument/2006/relationships/footer" Target="footer2.xml"/><Relationship Id="rId17" Type="http://schemas.openxmlformats.org/officeDocument/2006/relationships/image" Target="media/image3.jpeg"/><Relationship Id="rId2" Type="http://schemas.openxmlformats.org/officeDocument/2006/relationships/settings" Target="settings.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michael.goodson.4@us.af.mil"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1.jpeg"/><Relationship Id="rId10" Type="http://schemas.openxmlformats.org/officeDocument/2006/relationships/header" Target="header2.xml"/><Relationship Id="rId19"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764</Words>
  <Characters>4358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De Wouw, Marcel</dc:creator>
  <cp:keywords/>
  <dc:description/>
  <cp:lastModifiedBy>Bowman, Siobhan</cp:lastModifiedBy>
  <cp:revision>2</cp:revision>
  <dcterms:created xsi:type="dcterms:W3CDTF">2020-01-10T14:57:00Z</dcterms:created>
  <dcterms:modified xsi:type="dcterms:W3CDTF">2020-01-10T14:57:00Z</dcterms:modified>
</cp:coreProperties>
</file>