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5D9C39" w14:textId="24CF7547" w:rsidR="00091151" w:rsidRPr="00E20D94" w:rsidRDefault="00091151" w:rsidP="0009115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Supplemental </w:t>
      </w:r>
      <w:r w:rsidRPr="00E20D94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1</w:t>
      </w:r>
      <w:r w:rsidRPr="00075E77">
        <w:rPr>
          <w:rFonts w:ascii="Arial" w:hAnsi="Arial" w:cs="Arial"/>
          <w:b/>
        </w:rPr>
        <w:t>:</w:t>
      </w:r>
      <w:r w:rsidRPr="00E20D94">
        <w:rPr>
          <w:rFonts w:ascii="Arial" w:hAnsi="Arial" w:cs="Arial"/>
          <w:b/>
        </w:rPr>
        <w:t xml:space="preserve"> </w:t>
      </w:r>
      <w:r w:rsidRPr="00256AA0">
        <w:rPr>
          <w:rFonts w:ascii="Arial" w:hAnsi="Arial" w:cs="Arial"/>
          <w:b/>
        </w:rPr>
        <w:t>Clinical and tumor characteristics of long-term responders</w:t>
      </w:r>
      <w:r>
        <w:rPr>
          <w:rFonts w:ascii="Arial" w:hAnsi="Arial" w:cs="Arial"/>
          <w:b/>
        </w:rPr>
        <w:t xml:space="preserve"> </w:t>
      </w:r>
    </w:p>
    <w:p w14:paraId="283EFC64" w14:textId="77777777" w:rsidR="00091151" w:rsidRPr="00E20D94" w:rsidRDefault="00091151" w:rsidP="00091151">
      <w:pPr>
        <w:rPr>
          <w:rFonts w:ascii="Arial" w:hAnsi="Arial" w:cs="Arial"/>
          <w:b/>
        </w:rPr>
      </w:pPr>
    </w:p>
    <w:p w14:paraId="13655F53" w14:textId="77777777" w:rsidR="00091151" w:rsidRPr="00AF3C34" w:rsidRDefault="00091151" w:rsidP="00091151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leGrid"/>
        <w:tblW w:w="1035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810"/>
        <w:gridCol w:w="1260"/>
        <w:gridCol w:w="1350"/>
        <w:gridCol w:w="1530"/>
        <w:gridCol w:w="1260"/>
        <w:gridCol w:w="1170"/>
        <w:gridCol w:w="630"/>
        <w:gridCol w:w="810"/>
        <w:gridCol w:w="1530"/>
      </w:tblGrid>
      <w:tr w:rsidR="00091151" w:rsidRPr="000E7B96" w14:paraId="1B8ADC83" w14:textId="77777777" w:rsidTr="0055055B">
        <w:trPr>
          <w:trHeight w:val="775"/>
        </w:trPr>
        <w:tc>
          <w:tcPr>
            <w:tcW w:w="810" w:type="dxa"/>
          </w:tcPr>
          <w:p w14:paraId="3306A235" w14:textId="77777777" w:rsidR="00091151" w:rsidRPr="000E7B96" w:rsidRDefault="00091151" w:rsidP="0055055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Age </w:t>
            </w:r>
          </w:p>
          <w:p w14:paraId="2089A7CB" w14:textId="77777777" w:rsidR="00091151" w:rsidRPr="000E7B96" w:rsidRDefault="00091151" w:rsidP="0055055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(years)</w:t>
            </w:r>
          </w:p>
        </w:tc>
        <w:tc>
          <w:tcPr>
            <w:tcW w:w="1260" w:type="dxa"/>
            <w:noWrap/>
            <w:hideMark/>
          </w:tcPr>
          <w:p w14:paraId="5BF6D6BC" w14:textId="77777777" w:rsidR="00091151" w:rsidRPr="000E7B96" w:rsidRDefault="00091151" w:rsidP="0055055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Histopathology</w:t>
            </w:r>
          </w:p>
        </w:tc>
        <w:tc>
          <w:tcPr>
            <w:tcW w:w="1350" w:type="dxa"/>
            <w:noWrap/>
            <w:hideMark/>
          </w:tcPr>
          <w:p w14:paraId="2798C8C9" w14:textId="77777777" w:rsidR="00091151" w:rsidRPr="000E7B96" w:rsidRDefault="00091151" w:rsidP="0055055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Tumor burden and metastatic sites</w:t>
            </w:r>
          </w:p>
        </w:tc>
        <w:tc>
          <w:tcPr>
            <w:tcW w:w="1530" w:type="dxa"/>
          </w:tcPr>
          <w:p w14:paraId="2B5B7C5F" w14:textId="77777777" w:rsidR="00091151" w:rsidRPr="000E7B96" w:rsidRDefault="00091151" w:rsidP="0055055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Prior treatments</w:t>
            </w:r>
          </w:p>
        </w:tc>
        <w:tc>
          <w:tcPr>
            <w:tcW w:w="1260" w:type="dxa"/>
          </w:tcPr>
          <w:p w14:paraId="6FBF0893" w14:textId="77777777" w:rsidR="00091151" w:rsidRPr="000E7B96" w:rsidRDefault="00091151" w:rsidP="0055055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ORR and current status</w:t>
            </w:r>
          </w:p>
        </w:tc>
        <w:tc>
          <w:tcPr>
            <w:tcW w:w="1170" w:type="dxa"/>
          </w:tcPr>
          <w:p w14:paraId="0EB8D4DC" w14:textId="77777777" w:rsidR="00091151" w:rsidRPr="000E7B96" w:rsidRDefault="00091151" w:rsidP="0055055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0E7B9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irAEs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(and onset)</w:t>
            </w:r>
          </w:p>
        </w:tc>
        <w:tc>
          <w:tcPr>
            <w:tcW w:w="630" w:type="dxa"/>
            <w:noWrap/>
            <w:hideMark/>
          </w:tcPr>
          <w:p w14:paraId="63CAAD4C" w14:textId="77777777" w:rsidR="00091151" w:rsidRPr="000E7B96" w:rsidRDefault="00091151" w:rsidP="0055055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TILs</w:t>
            </w:r>
          </w:p>
        </w:tc>
        <w:tc>
          <w:tcPr>
            <w:tcW w:w="810" w:type="dxa"/>
          </w:tcPr>
          <w:p w14:paraId="71673158" w14:textId="77777777" w:rsidR="00091151" w:rsidRPr="000E7B96" w:rsidRDefault="00091151" w:rsidP="0055055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PD-L1</w:t>
            </w:r>
          </w:p>
          <w:p w14:paraId="1EDCFD06" w14:textId="77777777" w:rsidR="00091151" w:rsidRPr="000E7B96" w:rsidRDefault="00091151" w:rsidP="0055055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IHC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(assay)</w:t>
            </w:r>
          </w:p>
        </w:tc>
        <w:tc>
          <w:tcPr>
            <w:tcW w:w="1530" w:type="dxa"/>
          </w:tcPr>
          <w:p w14:paraId="1EE392FE" w14:textId="77777777" w:rsidR="00091151" w:rsidRPr="000E7B96" w:rsidRDefault="00091151" w:rsidP="0055055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Genomics (NGS)</w:t>
            </w:r>
          </w:p>
        </w:tc>
      </w:tr>
      <w:tr w:rsidR="00091151" w:rsidRPr="000E7B96" w14:paraId="734A5560" w14:textId="77777777" w:rsidTr="0055055B">
        <w:trPr>
          <w:trHeight w:val="214"/>
        </w:trPr>
        <w:tc>
          <w:tcPr>
            <w:tcW w:w="810" w:type="dxa"/>
          </w:tcPr>
          <w:p w14:paraId="393A56F2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71</w:t>
            </w:r>
          </w:p>
        </w:tc>
        <w:tc>
          <w:tcPr>
            <w:tcW w:w="1260" w:type="dxa"/>
            <w:noWrap/>
          </w:tcPr>
          <w:p w14:paraId="0E265516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Spindle cell</w:t>
            </w:r>
          </w:p>
          <w:p w14:paraId="6F9AF84B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27344424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ER 10% weak, PR neg, HER2 neg</w:t>
            </w:r>
          </w:p>
          <w:p w14:paraId="1B26EC53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F44FE6D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Grade 3</w:t>
            </w:r>
          </w:p>
          <w:p w14:paraId="54E16002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52D0058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Ki67 n/a</w:t>
            </w:r>
          </w:p>
        </w:tc>
        <w:tc>
          <w:tcPr>
            <w:tcW w:w="1350" w:type="dxa"/>
            <w:noWrap/>
          </w:tcPr>
          <w:p w14:paraId="0A732516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Baseline target lesion sum 6.3 cm (current 0)</w:t>
            </w:r>
          </w:p>
          <w:p w14:paraId="7E626CCB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20F4A39B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 xml:space="preserve">Chest wall </w:t>
            </w:r>
          </w:p>
        </w:tc>
        <w:tc>
          <w:tcPr>
            <w:tcW w:w="1530" w:type="dxa"/>
          </w:tcPr>
          <w:p w14:paraId="64352E86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Recurrence within 12 months of TC and surgery, additional local recurrences with progression after multiple resections and chest wall XRT</w:t>
            </w:r>
          </w:p>
          <w:p w14:paraId="6746B3E0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1E6F997B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CR ongoing at 28+ months</w:t>
            </w:r>
          </w:p>
          <w:p w14:paraId="3A5FB5E3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4D193C5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 xml:space="preserve">Treatment discontinued (after cycle* 14 (~84 </w:t>
            </w:r>
            <w:proofErr w:type="gramStart"/>
            <w:r w:rsidRPr="000E7B96">
              <w:rPr>
                <w:rFonts w:ascii="Arial" w:eastAsia="Times New Roman" w:hAnsi="Arial" w:cs="Arial"/>
                <w:sz w:val="16"/>
                <w:szCs w:val="16"/>
              </w:rPr>
              <w:t>weeks)*</w:t>
            </w:r>
            <w:proofErr w:type="gramEnd"/>
            <w:r w:rsidRPr="000E7B96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</w:tc>
        <w:tc>
          <w:tcPr>
            <w:tcW w:w="1170" w:type="dxa"/>
          </w:tcPr>
          <w:p w14:paraId="771E98EC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Secondary adrenal insufficiency, diarrhea and rash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(rash started in cycle 1, others started in cycle 4)</w:t>
            </w:r>
          </w:p>
        </w:tc>
        <w:tc>
          <w:tcPr>
            <w:tcW w:w="630" w:type="dxa"/>
            <w:noWrap/>
          </w:tcPr>
          <w:p w14:paraId="6BDD83F4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 xml:space="preserve">&lt;5% </w:t>
            </w:r>
          </w:p>
        </w:tc>
        <w:tc>
          <w:tcPr>
            <w:tcW w:w="810" w:type="dxa"/>
          </w:tcPr>
          <w:p w14:paraId="2C1C08F9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 xml:space="preserve">0 (SP142) </w:t>
            </w:r>
          </w:p>
        </w:tc>
        <w:tc>
          <w:tcPr>
            <w:tcW w:w="1530" w:type="dxa"/>
          </w:tcPr>
          <w:p w14:paraId="4A91107F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TMB 5 Mut/mb</w:t>
            </w:r>
          </w:p>
          <w:p w14:paraId="3A32C263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858192B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Microsatellite stable</w:t>
            </w:r>
          </w:p>
          <w:p w14:paraId="76CA7237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F8CA1E3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 xml:space="preserve">Alterations: CARD11, CDKN2A, CDKN2B, PIK3R1, SMARCB1, SUFU, TERT </w:t>
            </w:r>
          </w:p>
          <w:p w14:paraId="612B6FAF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(Foundation Medicine)</w:t>
            </w:r>
          </w:p>
          <w:p w14:paraId="5A686DD4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091151" w:rsidRPr="000E7B96" w14:paraId="4C42E97B" w14:textId="77777777" w:rsidTr="0055055B">
        <w:trPr>
          <w:trHeight w:val="214"/>
        </w:trPr>
        <w:tc>
          <w:tcPr>
            <w:tcW w:w="810" w:type="dxa"/>
          </w:tcPr>
          <w:p w14:paraId="05BA2B48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 xml:space="preserve">55 </w:t>
            </w:r>
          </w:p>
        </w:tc>
        <w:tc>
          <w:tcPr>
            <w:tcW w:w="1260" w:type="dxa"/>
            <w:noWrap/>
          </w:tcPr>
          <w:p w14:paraId="521B0FBE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Chondromyxoid</w:t>
            </w:r>
          </w:p>
          <w:p w14:paraId="7337DAC4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0D07CE0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ER neg/PR 10%/HER2 neg</w:t>
            </w:r>
          </w:p>
          <w:p w14:paraId="195377F7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22E095C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Grade 3</w:t>
            </w:r>
          </w:p>
          <w:p w14:paraId="2B29E4F7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141A9B5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Ki67 50%</w:t>
            </w:r>
          </w:p>
        </w:tc>
        <w:tc>
          <w:tcPr>
            <w:tcW w:w="1350" w:type="dxa"/>
            <w:noWrap/>
          </w:tcPr>
          <w:p w14:paraId="4F182D4A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Baseline target lesion sum 6.1 cm (current 1.1</w:t>
            </w:r>
            <w:r w:rsidRPr="000E7B96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 xml:space="preserve"> </w:t>
            </w: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cm)</w:t>
            </w:r>
          </w:p>
          <w:p w14:paraId="6D8E53FC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838E9A1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Lung, breast, lymph nodes</w:t>
            </w:r>
          </w:p>
        </w:tc>
        <w:tc>
          <w:tcPr>
            <w:tcW w:w="1530" w:type="dxa"/>
          </w:tcPr>
          <w:p w14:paraId="0A677B5E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 xml:space="preserve">Progression on AC; one cycle of </w:t>
            </w:r>
            <w:proofErr w:type="spellStart"/>
            <w:r w:rsidRPr="000E7B96">
              <w:rPr>
                <w:rFonts w:ascii="Arial" w:eastAsia="Times New Roman" w:hAnsi="Arial" w:cs="Arial"/>
                <w:sz w:val="16"/>
                <w:szCs w:val="16"/>
              </w:rPr>
              <w:t>eribulin</w:t>
            </w:r>
            <w:proofErr w:type="spellEnd"/>
            <w:r w:rsidRPr="000E7B96">
              <w:rPr>
                <w:rFonts w:ascii="Arial" w:eastAsia="Times New Roman" w:hAnsi="Arial" w:cs="Arial"/>
                <w:sz w:val="16"/>
                <w:szCs w:val="16"/>
              </w:rPr>
              <w:t xml:space="preserve"> (no response, stopped for liver toxicity)</w:t>
            </w:r>
          </w:p>
        </w:tc>
        <w:tc>
          <w:tcPr>
            <w:tcW w:w="1260" w:type="dxa"/>
          </w:tcPr>
          <w:p w14:paraId="3EF46944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PR ongoing at 34+ months</w:t>
            </w:r>
          </w:p>
          <w:p w14:paraId="41771E4F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1D296EB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 xml:space="preserve">Treatment ongoing (cycle* 26; ~156 weeks) </w:t>
            </w:r>
          </w:p>
          <w:p w14:paraId="56F45D28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7A6B2AD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Secondary adrenal insufficiency and diarrhea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(started in cycle 4)</w:t>
            </w:r>
          </w:p>
        </w:tc>
        <w:tc>
          <w:tcPr>
            <w:tcW w:w="630" w:type="dxa"/>
            <w:noWrap/>
          </w:tcPr>
          <w:p w14:paraId="51218D4F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0" w:type="dxa"/>
          </w:tcPr>
          <w:p w14:paraId="0F36F049" w14:textId="77777777" w:rsidR="00091151" w:rsidRPr="000E7B96" w:rsidRDefault="00091151" w:rsidP="0055055B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iCs/>
                <w:sz w:val="16"/>
                <w:szCs w:val="16"/>
              </w:rPr>
              <w:t>TPS 1-10% (22C3)</w:t>
            </w:r>
          </w:p>
          <w:p w14:paraId="49ACD92A" w14:textId="77777777" w:rsidR="00091151" w:rsidRPr="000E7B96" w:rsidRDefault="00091151" w:rsidP="0055055B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</w:p>
        </w:tc>
        <w:tc>
          <w:tcPr>
            <w:tcW w:w="1530" w:type="dxa"/>
          </w:tcPr>
          <w:p w14:paraId="07140664" w14:textId="77777777" w:rsidR="00091151" w:rsidRPr="000E7B96" w:rsidRDefault="00091151" w:rsidP="0055055B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iCs/>
                <w:sz w:val="16"/>
                <w:szCs w:val="16"/>
              </w:rPr>
              <w:t>TMB 4.31 mut/mb</w:t>
            </w:r>
          </w:p>
          <w:p w14:paraId="2645CD8C" w14:textId="77777777" w:rsidR="00091151" w:rsidRPr="000E7B96" w:rsidRDefault="00091151" w:rsidP="0055055B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</w:p>
          <w:p w14:paraId="5EEB3592" w14:textId="77777777" w:rsidR="00091151" w:rsidRPr="000E7B96" w:rsidRDefault="00091151" w:rsidP="0055055B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iCs/>
                <w:sz w:val="16"/>
                <w:szCs w:val="16"/>
              </w:rPr>
              <w:t>Mutations in</w:t>
            </w:r>
          </w:p>
          <w:p w14:paraId="00730759" w14:textId="77777777" w:rsidR="00091151" w:rsidRPr="000E7B96" w:rsidRDefault="00091151" w:rsidP="0055055B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iCs/>
                <w:sz w:val="16"/>
                <w:szCs w:val="16"/>
              </w:rPr>
              <w:t>PIK3CA, AR, TP53, RB1, PDGFR, PMS1</w:t>
            </w:r>
          </w:p>
          <w:p w14:paraId="57ED849F" w14:textId="77777777" w:rsidR="00091151" w:rsidRPr="000E7B96" w:rsidRDefault="00091151" w:rsidP="0055055B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iCs/>
                <w:sz w:val="16"/>
                <w:szCs w:val="16"/>
              </w:rPr>
              <w:t>(UTSW NGS Clinical Laboratory)</w:t>
            </w:r>
          </w:p>
          <w:p w14:paraId="4E05B6CE" w14:textId="77777777" w:rsidR="00091151" w:rsidRPr="000E7B96" w:rsidRDefault="00091151" w:rsidP="0055055B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</w:p>
        </w:tc>
      </w:tr>
      <w:tr w:rsidR="00091151" w:rsidRPr="000E7B96" w14:paraId="2A069871" w14:textId="77777777" w:rsidTr="0055055B">
        <w:trPr>
          <w:trHeight w:val="214"/>
        </w:trPr>
        <w:tc>
          <w:tcPr>
            <w:tcW w:w="810" w:type="dxa"/>
          </w:tcPr>
          <w:p w14:paraId="3E03FC0F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62</w:t>
            </w:r>
          </w:p>
        </w:tc>
        <w:tc>
          <w:tcPr>
            <w:tcW w:w="1260" w:type="dxa"/>
            <w:noWrap/>
          </w:tcPr>
          <w:p w14:paraId="39E9A643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 xml:space="preserve">Spindle cell </w:t>
            </w:r>
          </w:p>
          <w:p w14:paraId="539C37DF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2B18568E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ER/PR/HER2 neg</w:t>
            </w:r>
          </w:p>
          <w:p w14:paraId="5FBD58AE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DFFF5E8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Grade 3</w:t>
            </w:r>
          </w:p>
          <w:p w14:paraId="5F89B84B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1700E8E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Ki67 n/a</w:t>
            </w:r>
          </w:p>
        </w:tc>
        <w:tc>
          <w:tcPr>
            <w:tcW w:w="1350" w:type="dxa"/>
            <w:noWrap/>
          </w:tcPr>
          <w:p w14:paraId="02EB3A5A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 xml:space="preserve">Baseline target lesion sum 11.3 </w:t>
            </w:r>
            <w:proofErr w:type="gramStart"/>
            <w:r w:rsidRPr="000E7B96">
              <w:rPr>
                <w:rFonts w:ascii="Arial" w:eastAsia="Times New Roman" w:hAnsi="Arial" w:cs="Arial"/>
                <w:sz w:val="16"/>
                <w:szCs w:val="16"/>
              </w:rPr>
              <w:t>cm  (</w:t>
            </w:r>
            <w:proofErr w:type="gramEnd"/>
            <w:r w:rsidRPr="000E7B96">
              <w:rPr>
                <w:rFonts w:ascii="Arial" w:eastAsia="Times New Roman" w:hAnsi="Arial" w:cs="Arial"/>
                <w:sz w:val="16"/>
                <w:szCs w:val="16"/>
              </w:rPr>
              <w:t>current 2.6 cm)</w:t>
            </w:r>
          </w:p>
          <w:p w14:paraId="152A3D3B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07BAC33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Chest wall, lung, brain</w:t>
            </w:r>
          </w:p>
        </w:tc>
        <w:tc>
          <w:tcPr>
            <w:tcW w:w="1530" w:type="dxa"/>
          </w:tcPr>
          <w:p w14:paraId="7389C7A3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Recurrence 6 months after AC-T, surgery and XRT; 2</w:t>
            </w:r>
            <w:r w:rsidRPr="000E7B96"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t>nd</w:t>
            </w:r>
            <w:r w:rsidRPr="000E7B96">
              <w:rPr>
                <w:rFonts w:ascii="Arial" w:eastAsia="Times New Roman" w:hAnsi="Arial" w:cs="Arial"/>
                <w:sz w:val="16"/>
                <w:szCs w:val="16"/>
              </w:rPr>
              <w:t xml:space="preserve"> recurrence 5 months after capecitabine and surgery, SRS to 6 brain metastases</w:t>
            </w:r>
          </w:p>
        </w:tc>
        <w:tc>
          <w:tcPr>
            <w:tcW w:w="1260" w:type="dxa"/>
          </w:tcPr>
          <w:p w14:paraId="07BCB161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 xml:space="preserve">PR ongoing at 33+ months </w:t>
            </w:r>
          </w:p>
          <w:p w14:paraId="6CED7EC6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E255608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Treatment ongoing with single agent nivolumab (cycle* 23; ~138 weeks, ipilimumab discontinued cycle 20)</w:t>
            </w:r>
          </w:p>
        </w:tc>
        <w:tc>
          <w:tcPr>
            <w:tcW w:w="1170" w:type="dxa"/>
          </w:tcPr>
          <w:p w14:paraId="29626486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Panhypopituitarism (secondary adrenal insufficiency and hypothyroidism), colitis, rash, increase in ALT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(started in cycle 3)</w:t>
            </w:r>
          </w:p>
        </w:tc>
        <w:tc>
          <w:tcPr>
            <w:tcW w:w="630" w:type="dxa"/>
            <w:noWrap/>
          </w:tcPr>
          <w:p w14:paraId="3EB726A5" w14:textId="77777777" w:rsidR="00091151" w:rsidRPr="000E7B96" w:rsidRDefault="00091151" w:rsidP="0055055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sz w:val="16"/>
                <w:szCs w:val="16"/>
              </w:rPr>
              <w:t>25%</w:t>
            </w:r>
          </w:p>
        </w:tc>
        <w:tc>
          <w:tcPr>
            <w:tcW w:w="810" w:type="dxa"/>
          </w:tcPr>
          <w:p w14:paraId="13526A1A" w14:textId="77777777" w:rsidR="00091151" w:rsidRPr="000E7B96" w:rsidRDefault="00091151" w:rsidP="0055055B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iCs/>
                <w:sz w:val="16"/>
                <w:szCs w:val="16"/>
              </w:rPr>
              <w:t>≥1% (SP142)</w:t>
            </w:r>
          </w:p>
        </w:tc>
        <w:tc>
          <w:tcPr>
            <w:tcW w:w="1530" w:type="dxa"/>
          </w:tcPr>
          <w:p w14:paraId="5BBD18F9" w14:textId="77777777" w:rsidR="00091151" w:rsidRPr="000E7B96" w:rsidRDefault="00091151" w:rsidP="0055055B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iCs/>
                <w:sz w:val="16"/>
                <w:szCs w:val="16"/>
              </w:rPr>
              <w:t>TMB 1 Mut/mb</w:t>
            </w:r>
          </w:p>
          <w:p w14:paraId="0073E4C6" w14:textId="77777777" w:rsidR="00091151" w:rsidRPr="000E7B96" w:rsidRDefault="00091151" w:rsidP="0055055B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</w:p>
          <w:p w14:paraId="791C2B03" w14:textId="77777777" w:rsidR="00091151" w:rsidRPr="000E7B96" w:rsidRDefault="00091151" w:rsidP="0055055B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iCs/>
                <w:sz w:val="16"/>
                <w:szCs w:val="16"/>
              </w:rPr>
              <w:t>Microsatellite stable</w:t>
            </w:r>
          </w:p>
          <w:p w14:paraId="48AAFCF0" w14:textId="77777777" w:rsidR="00091151" w:rsidRPr="000E7B96" w:rsidRDefault="00091151" w:rsidP="0055055B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</w:p>
          <w:p w14:paraId="62B66950" w14:textId="77777777" w:rsidR="00091151" w:rsidRPr="000E7B96" w:rsidRDefault="00091151" w:rsidP="0055055B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Alterations: PTEN, CDKN2A, CDKN2B, PIK3R1, EZH2, TP53 </w:t>
            </w:r>
          </w:p>
          <w:p w14:paraId="0AF31202" w14:textId="77777777" w:rsidR="00091151" w:rsidRPr="000E7B96" w:rsidRDefault="00091151" w:rsidP="0055055B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0E7B96">
              <w:rPr>
                <w:rFonts w:ascii="Arial" w:eastAsia="Times New Roman" w:hAnsi="Arial" w:cs="Arial"/>
                <w:iCs/>
                <w:sz w:val="16"/>
                <w:szCs w:val="16"/>
              </w:rPr>
              <w:t>(Foundation Medicine)</w:t>
            </w:r>
          </w:p>
        </w:tc>
      </w:tr>
    </w:tbl>
    <w:p w14:paraId="5A12E5FD" w14:textId="77777777" w:rsidR="00091151" w:rsidRPr="00AF3C34" w:rsidRDefault="00091151" w:rsidP="00091151">
      <w:pPr>
        <w:jc w:val="both"/>
        <w:rPr>
          <w:rFonts w:ascii="Arial" w:hAnsi="Arial" w:cs="Arial"/>
          <w:sz w:val="18"/>
          <w:szCs w:val="18"/>
        </w:rPr>
      </w:pPr>
    </w:p>
    <w:p w14:paraId="220E0AEE" w14:textId="77777777" w:rsidR="00091151" w:rsidRPr="00AF3C34" w:rsidRDefault="00091151" w:rsidP="00091151">
      <w:pPr>
        <w:rPr>
          <w:rFonts w:ascii="Arial" w:hAnsi="Arial" w:cs="Arial"/>
          <w:bCs/>
          <w:sz w:val="18"/>
          <w:szCs w:val="18"/>
        </w:rPr>
      </w:pPr>
      <w:r w:rsidRPr="00AF3C34">
        <w:rPr>
          <w:rFonts w:ascii="Arial" w:hAnsi="Arial" w:cs="Arial"/>
          <w:bCs/>
          <w:sz w:val="18"/>
          <w:szCs w:val="18"/>
        </w:rPr>
        <w:t>One cycle length = 6 weeks</w:t>
      </w:r>
    </w:p>
    <w:p w14:paraId="0FC61525" w14:textId="77777777" w:rsidR="00091151" w:rsidRPr="00AF3C34" w:rsidRDefault="00091151" w:rsidP="00091151">
      <w:pPr>
        <w:rPr>
          <w:rFonts w:ascii="Arial" w:hAnsi="Arial" w:cs="Arial"/>
          <w:bCs/>
          <w:sz w:val="18"/>
          <w:szCs w:val="18"/>
        </w:rPr>
      </w:pPr>
      <w:r w:rsidRPr="00AF3C34">
        <w:rPr>
          <w:rFonts w:ascii="Arial" w:hAnsi="Arial" w:cs="Arial"/>
          <w:bCs/>
          <w:sz w:val="18"/>
          <w:szCs w:val="18"/>
        </w:rPr>
        <w:t xml:space="preserve">**Treatment discontinuation per treating physician discretion as patient already achieved a CR. </w:t>
      </w:r>
    </w:p>
    <w:p w14:paraId="3D25E743" w14:textId="77777777" w:rsidR="00091151" w:rsidRPr="00AF3C34" w:rsidRDefault="00091151" w:rsidP="00091151">
      <w:pPr>
        <w:rPr>
          <w:rFonts w:ascii="Arial" w:hAnsi="Arial" w:cs="Arial"/>
          <w:b/>
          <w:sz w:val="18"/>
          <w:szCs w:val="18"/>
        </w:rPr>
      </w:pPr>
    </w:p>
    <w:p w14:paraId="7225BF5E" w14:textId="77777777" w:rsidR="00091151" w:rsidRPr="00D629AD" w:rsidRDefault="00091151" w:rsidP="00091151">
      <w:pPr>
        <w:rPr>
          <w:rFonts w:ascii="Arial" w:hAnsi="Arial" w:cs="Arial"/>
          <w:sz w:val="18"/>
          <w:szCs w:val="18"/>
        </w:rPr>
      </w:pPr>
      <w:r w:rsidRPr="00AF3C34">
        <w:rPr>
          <w:rFonts w:ascii="Arial" w:hAnsi="Arial" w:cs="Arial"/>
          <w:b/>
          <w:sz w:val="18"/>
          <w:szCs w:val="18"/>
        </w:rPr>
        <w:t>Abbreviations</w:t>
      </w:r>
      <w:r w:rsidRPr="00AF3C34">
        <w:rPr>
          <w:rFonts w:ascii="Arial" w:hAnsi="Arial" w:cs="Arial"/>
          <w:sz w:val="18"/>
          <w:szCs w:val="18"/>
        </w:rPr>
        <w:t xml:space="preserve">:  AC-T = doxorubicin/cyclophosphamide followed by paclitaxel ; ALT = alanine transaminase; CR = complete response; ER = estrogen receptor; HER2 = human epidermal growth factor receptor 2; IHC = immunohistochemistry; </w:t>
      </w:r>
      <w:proofErr w:type="spellStart"/>
      <w:r w:rsidRPr="00AF3C34">
        <w:rPr>
          <w:rFonts w:ascii="Arial" w:hAnsi="Arial" w:cs="Arial"/>
          <w:sz w:val="18"/>
          <w:szCs w:val="18"/>
        </w:rPr>
        <w:t>irAE</w:t>
      </w:r>
      <w:proofErr w:type="spellEnd"/>
      <w:r w:rsidRPr="00AF3C34">
        <w:rPr>
          <w:rFonts w:ascii="Arial" w:hAnsi="Arial" w:cs="Arial"/>
          <w:sz w:val="18"/>
          <w:szCs w:val="18"/>
        </w:rPr>
        <w:t xml:space="preserve"> = immune-related adverse event; mut/mb = mutations/</w:t>
      </w:r>
      <w:proofErr w:type="spellStart"/>
      <w:r w:rsidRPr="00AF3C34">
        <w:rPr>
          <w:rFonts w:ascii="Arial" w:hAnsi="Arial" w:cs="Arial"/>
          <w:sz w:val="18"/>
          <w:szCs w:val="18"/>
        </w:rPr>
        <w:t>megabase</w:t>
      </w:r>
      <w:proofErr w:type="spellEnd"/>
      <w:r w:rsidRPr="00AF3C34">
        <w:rPr>
          <w:rFonts w:ascii="Arial" w:hAnsi="Arial" w:cs="Arial"/>
          <w:sz w:val="18"/>
          <w:szCs w:val="18"/>
        </w:rPr>
        <w:t xml:space="preserve">; n/a = not </w:t>
      </w:r>
      <w:r w:rsidRPr="00D629AD">
        <w:rPr>
          <w:rFonts w:ascii="Arial" w:hAnsi="Arial" w:cs="Arial"/>
          <w:sz w:val="18"/>
          <w:szCs w:val="18"/>
        </w:rPr>
        <w:t xml:space="preserve">available; neg= negative; NGS = next generation sequencing; ORR = objective response rate; PD-L1 = programmed death ligand 1; PR = partial response; PR = progesterone receptor; SRS = stereotactic radiosurgery ; TC = docetaxel/cyclophosphamide; TILs = tumor-infiltrating lymphocytes; TMB = tumor mutation burden; TPS = tumor proportion score; UTSW = </w:t>
      </w:r>
      <w:r w:rsidRPr="00D629AD">
        <w:rPr>
          <w:rFonts w:ascii="Arial" w:hAnsi="Arial" w:cs="Arial"/>
          <w:sz w:val="18"/>
          <w:szCs w:val="18"/>
          <w:shd w:val="clear" w:color="auto" w:fill="FFFFFF"/>
        </w:rPr>
        <w:t xml:space="preserve">University of Texas Southwestern Medical Center, </w:t>
      </w:r>
      <w:r w:rsidRPr="00D629AD">
        <w:rPr>
          <w:rFonts w:ascii="Arial" w:hAnsi="Arial" w:cs="Arial"/>
          <w:sz w:val="18"/>
          <w:szCs w:val="18"/>
        </w:rPr>
        <w:t>XRT = radiation therapy</w:t>
      </w:r>
    </w:p>
    <w:p w14:paraId="2D2B64AC" w14:textId="77777777" w:rsidR="00091151" w:rsidRPr="00E20D94" w:rsidRDefault="00091151" w:rsidP="00091151">
      <w:pPr>
        <w:jc w:val="both"/>
        <w:rPr>
          <w:rFonts w:ascii="Arial" w:hAnsi="Arial" w:cs="Arial"/>
        </w:rPr>
      </w:pPr>
    </w:p>
    <w:p w14:paraId="756288D5" w14:textId="77777777" w:rsidR="00E16264" w:rsidRDefault="00E16264"/>
    <w:sectPr w:rsidR="00E16264" w:rsidSect="000E7B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151"/>
    <w:rsid w:val="00091151"/>
    <w:rsid w:val="00E1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6B155"/>
  <w15:chartTrackingRefBased/>
  <w15:docId w15:val="{1D584B5D-92B2-4021-BF33-D8AA87141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15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1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Knab, Kate</dc:creator>
  <cp:keywords/>
  <dc:description/>
  <cp:lastModifiedBy>Knab, Kate</cp:lastModifiedBy>
  <cp:revision>1</cp:revision>
  <dcterms:created xsi:type="dcterms:W3CDTF">2021-10-15T17:34:00Z</dcterms:created>
  <dcterms:modified xsi:type="dcterms:W3CDTF">2021-10-15T17:35:00Z</dcterms:modified>
</cp:coreProperties>
</file>