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AA1" w:rsidRPr="00345002" w:rsidRDefault="00541AA1" w:rsidP="00541AA1">
      <w:pPr>
        <w:spacing w:after="0" w:line="360" w:lineRule="auto"/>
        <w:rPr>
          <w:rFonts w:ascii="Cambria" w:hAnsi="Cambria"/>
          <w:b/>
          <w:sz w:val="24"/>
          <w:szCs w:val="24"/>
          <w:u w:val="single"/>
        </w:rPr>
      </w:pPr>
      <w:r w:rsidRPr="00345002">
        <w:rPr>
          <w:rFonts w:ascii="Cambria" w:hAnsi="Cambria"/>
          <w:b/>
          <w:sz w:val="24"/>
          <w:szCs w:val="24"/>
          <w:u w:val="single"/>
        </w:rPr>
        <w:t>Supplemental figures</w:t>
      </w:r>
    </w:p>
    <w:p w:rsidR="00541AA1" w:rsidRPr="00345002" w:rsidRDefault="00541AA1" w:rsidP="00541AA1">
      <w:pPr>
        <w:spacing w:after="0" w:line="360" w:lineRule="auto"/>
        <w:rPr>
          <w:rFonts w:ascii="Cambria" w:hAnsi="Cambria"/>
          <w:sz w:val="24"/>
          <w:szCs w:val="24"/>
          <w:lang w:val="en-GB"/>
        </w:rPr>
      </w:pPr>
      <w:r w:rsidRPr="00345002">
        <w:rPr>
          <w:rFonts w:ascii="Cambria" w:hAnsi="Cambria"/>
          <w:noProof/>
          <w:sz w:val="24"/>
          <w:szCs w:val="24"/>
          <w:lang w:eastAsia="en-IN"/>
        </w:rPr>
        <w:drawing>
          <wp:inline distT="0" distB="0" distL="0" distR="0" wp14:anchorId="60C4B979" wp14:editId="760C33B7">
            <wp:extent cx="3081655" cy="4107681"/>
            <wp:effectExtent l="0" t="0" r="4445" b="762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385" cy="4163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AA1" w:rsidRPr="00345002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  <w:lang w:val="en-GB"/>
        </w:rPr>
      </w:pPr>
      <w:proofErr w:type="gramStart"/>
      <w:r w:rsidRPr="00345002">
        <w:rPr>
          <w:rFonts w:ascii="Cambria" w:hAnsi="Cambria"/>
          <w:b/>
          <w:sz w:val="24"/>
          <w:szCs w:val="24"/>
          <w:lang w:val="en-GB"/>
        </w:rPr>
        <w:t>Supplemental figure 1.</w:t>
      </w:r>
      <w:proofErr w:type="gramEnd"/>
      <w:r w:rsidRPr="00345002">
        <w:rPr>
          <w:rFonts w:ascii="Cambria" w:hAnsi="Cambria"/>
          <w:b/>
          <w:sz w:val="24"/>
          <w:szCs w:val="24"/>
          <w:lang w:val="en-GB"/>
        </w:rPr>
        <w:t xml:space="preserve"> (A) </w:t>
      </w:r>
      <w:r w:rsidRPr="00345002">
        <w:rPr>
          <w:rFonts w:ascii="Cambria" w:hAnsi="Cambria"/>
          <w:sz w:val="24"/>
          <w:szCs w:val="24"/>
          <w:lang w:val="en-GB"/>
        </w:rPr>
        <w:t xml:space="preserve">A total of 52 papers were analysed, and these were published in peer-reviewed journals in the period 1990 through to 2019. </w:t>
      </w:r>
      <w:r w:rsidRPr="00345002">
        <w:rPr>
          <w:rFonts w:ascii="Cambria" w:hAnsi="Cambria"/>
          <w:b/>
          <w:sz w:val="24"/>
          <w:szCs w:val="24"/>
          <w:lang w:val="en-GB"/>
        </w:rPr>
        <w:t>(B)</w:t>
      </w:r>
      <w:r w:rsidRPr="00345002">
        <w:rPr>
          <w:rFonts w:ascii="Cambria" w:hAnsi="Cambria"/>
          <w:sz w:val="24"/>
          <w:szCs w:val="24"/>
          <w:lang w:val="en-GB"/>
        </w:rPr>
        <w:t xml:space="preserve"> Variables investigated were grouped into two main categories characterising plant acclimation responses (black columns), and plant stress responses (white columns). Investigated variables are: Flavs = Flavonoid content, Antio = Antioxidant capacity, Prol = Proline content, H = Height, LA = Leaf area, LMA = Leaf mass per area, Cars = Carotenoid content, Bra = Branching, Anth = Anthocyanin content, R/S = Root-to-shoot ratio, Mass = Plant biomass, Pn = Photosynthetic CO</w:t>
      </w:r>
      <w:r w:rsidRPr="00345002">
        <w:rPr>
          <w:rFonts w:ascii="Cambria" w:hAnsi="Cambria"/>
          <w:sz w:val="24"/>
          <w:szCs w:val="24"/>
          <w:vertAlign w:val="subscript"/>
          <w:lang w:val="en-GB"/>
        </w:rPr>
        <w:t>2</w:t>
      </w:r>
      <w:r w:rsidRPr="00345002">
        <w:rPr>
          <w:rFonts w:ascii="Cambria" w:hAnsi="Cambria"/>
          <w:sz w:val="24"/>
          <w:szCs w:val="24"/>
          <w:lang w:val="en-GB"/>
        </w:rPr>
        <w:t xml:space="preserve"> uptake, Chls = Chlorophyll content, QY = Quantum yield of photosystem II photochemistry, Cond = Stomatal conductance, LWC = Leaf water content, Stress = Stress markers, ROS = Reactive Oxygen Species..</w:t>
      </w:r>
    </w:p>
    <w:p w:rsidR="00541AA1" w:rsidRPr="00345002" w:rsidRDefault="00541AA1" w:rsidP="00541AA1">
      <w:pPr>
        <w:jc w:val="both"/>
        <w:rPr>
          <w:rFonts w:ascii="Cambria" w:hAnsi="Cambria"/>
          <w:sz w:val="24"/>
          <w:szCs w:val="24"/>
          <w:lang w:val="en-GB"/>
        </w:rPr>
      </w:pPr>
      <w:r w:rsidRPr="00345002">
        <w:rPr>
          <w:rFonts w:ascii="Cambria" w:hAnsi="Cambria"/>
          <w:sz w:val="24"/>
          <w:szCs w:val="24"/>
          <w:lang w:val="en-GB"/>
        </w:rPr>
        <w:br w:type="page"/>
      </w:r>
    </w:p>
    <w:p w:rsidR="00541AA1" w:rsidRPr="00345002" w:rsidRDefault="00541AA1" w:rsidP="00541AA1">
      <w:pPr>
        <w:spacing w:after="0" w:line="360" w:lineRule="auto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noProof/>
          <w:sz w:val="24"/>
          <w:szCs w:val="24"/>
          <w:lang w:eastAsia="en-IN"/>
        </w:rPr>
        <w:lastRenderedPageBreak/>
        <w:drawing>
          <wp:inline distT="0" distB="0" distL="0" distR="0" wp14:anchorId="4D28EEBD" wp14:editId="365B9ADB">
            <wp:extent cx="3578257" cy="2578100"/>
            <wp:effectExtent l="0" t="0" r="3175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785" cy="259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AA1" w:rsidRPr="00345002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  <w:lang w:val="en-GB"/>
        </w:rPr>
      </w:pPr>
      <w:proofErr w:type="gramStart"/>
      <w:r w:rsidRPr="00345002">
        <w:rPr>
          <w:rFonts w:ascii="Cambria" w:hAnsi="Cambria"/>
          <w:b/>
          <w:sz w:val="24"/>
          <w:szCs w:val="24"/>
          <w:lang w:val="en-GB"/>
        </w:rPr>
        <w:t>Supplemental figure 2.</w:t>
      </w:r>
      <w:proofErr w:type="gramEnd"/>
      <w:r w:rsidRPr="00345002">
        <w:rPr>
          <w:rFonts w:ascii="Cambria" w:hAnsi="Cambria"/>
          <w:sz w:val="24"/>
          <w:szCs w:val="24"/>
          <w:lang w:val="en-GB"/>
        </w:rPr>
        <w:t xml:space="preserve"> A total of 89 experiments were analysed, of which just 32% were performed under field conditions (28 experiments). Some 68% of experiments were performed under more artificial conditions, including growth chambers and/or glasshouses (26 and 35 studies, respectively).</w:t>
      </w:r>
    </w:p>
    <w:p w:rsidR="00541AA1" w:rsidRPr="00345002" w:rsidRDefault="00541AA1" w:rsidP="00541AA1">
      <w:pPr>
        <w:spacing w:after="0" w:line="360" w:lineRule="auto"/>
        <w:jc w:val="both"/>
        <w:rPr>
          <w:rFonts w:ascii="Cambria" w:hAnsi="Cambria"/>
          <w:sz w:val="24"/>
          <w:szCs w:val="24"/>
          <w:lang w:val="en-GB"/>
        </w:rPr>
      </w:pPr>
      <w:r w:rsidRPr="00345002">
        <w:rPr>
          <w:rFonts w:ascii="Cambria" w:hAnsi="Cambria"/>
          <w:sz w:val="24"/>
          <w:szCs w:val="24"/>
          <w:lang w:val="en-GB"/>
        </w:rPr>
        <w:br w:type="page"/>
      </w:r>
    </w:p>
    <w:p w:rsidR="00541AA1" w:rsidRPr="00345002" w:rsidRDefault="00541AA1" w:rsidP="00541AA1">
      <w:pPr>
        <w:spacing w:after="0" w:line="360" w:lineRule="auto"/>
        <w:rPr>
          <w:rFonts w:ascii="Cambria" w:hAnsi="Cambria"/>
          <w:sz w:val="24"/>
          <w:szCs w:val="24"/>
          <w:lang w:val="en-GB"/>
        </w:rPr>
      </w:pPr>
      <w:r w:rsidRPr="00345002">
        <w:rPr>
          <w:rFonts w:ascii="Cambria" w:hAnsi="Cambria"/>
          <w:noProof/>
          <w:sz w:val="24"/>
          <w:szCs w:val="24"/>
          <w:lang w:eastAsia="en-IN"/>
        </w:rPr>
        <w:lastRenderedPageBreak/>
        <w:drawing>
          <wp:inline distT="0" distB="0" distL="0" distR="0" wp14:anchorId="7350A75C" wp14:editId="78317286">
            <wp:extent cx="3581400" cy="2575506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528" cy="2599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AA1" w:rsidRPr="00345002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  <w:lang w:val="en-GB"/>
        </w:rPr>
      </w:pPr>
      <w:proofErr w:type="gramStart"/>
      <w:r w:rsidRPr="00345002">
        <w:rPr>
          <w:rFonts w:ascii="Cambria" w:hAnsi="Cambria"/>
          <w:b/>
          <w:sz w:val="24"/>
          <w:szCs w:val="24"/>
          <w:lang w:val="en-GB"/>
        </w:rPr>
        <w:t>Supplemental figure 3.</w:t>
      </w:r>
      <w:proofErr w:type="gramEnd"/>
      <w:r w:rsidRPr="00345002">
        <w:rPr>
          <w:rFonts w:ascii="Cambria" w:hAnsi="Cambria"/>
          <w:sz w:val="24"/>
          <w:szCs w:val="24"/>
          <w:lang w:val="en-GB"/>
        </w:rPr>
        <w:t xml:space="preserve"> </w:t>
      </w:r>
      <w:proofErr w:type="gramStart"/>
      <w:r w:rsidRPr="00345002">
        <w:rPr>
          <w:rFonts w:ascii="Cambria" w:hAnsi="Cambria"/>
          <w:sz w:val="24"/>
          <w:szCs w:val="24"/>
          <w:lang w:val="en-GB"/>
        </w:rPr>
        <w:t>Duration of the analysed experiments.</w:t>
      </w:r>
      <w:proofErr w:type="gramEnd"/>
      <w:r w:rsidRPr="00345002">
        <w:rPr>
          <w:rFonts w:ascii="Cambria" w:hAnsi="Cambria"/>
          <w:sz w:val="24"/>
          <w:szCs w:val="24"/>
          <w:lang w:val="en-GB"/>
        </w:rPr>
        <w:t xml:space="preserve"> The duration of the experiments varied between 3 and 900 days. Moreover, there is one extraordinary long study by Arróniz-Crespo </w:t>
      </w:r>
      <w:r w:rsidRPr="00345002">
        <w:rPr>
          <w:rFonts w:ascii="Cambria" w:hAnsi="Cambria"/>
          <w:i/>
          <w:sz w:val="24"/>
          <w:szCs w:val="24"/>
          <w:lang w:val="en-GB"/>
        </w:rPr>
        <w:t>et al.</w:t>
      </w:r>
      <w:r w:rsidRPr="00345002">
        <w:rPr>
          <w:rFonts w:ascii="Cambria" w:hAnsi="Cambria"/>
          <w:sz w:val="24"/>
          <w:szCs w:val="24"/>
          <w:lang w:val="en-GB"/>
        </w:rPr>
        <w:t xml:space="preserve"> (2011) in Annals of Botany 108: 557-565 on Bryophytes – 13-15 years.</w:t>
      </w:r>
    </w:p>
    <w:p w:rsidR="00541AA1" w:rsidRPr="00345002" w:rsidRDefault="00541AA1" w:rsidP="00541AA1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sz w:val="24"/>
          <w:szCs w:val="24"/>
        </w:rPr>
        <w:br w:type="page"/>
      </w:r>
    </w:p>
    <w:p w:rsidR="00541AA1" w:rsidRPr="00345002" w:rsidRDefault="00541AA1" w:rsidP="00541AA1">
      <w:pPr>
        <w:spacing w:after="0" w:line="360" w:lineRule="auto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noProof/>
          <w:sz w:val="24"/>
          <w:szCs w:val="24"/>
          <w:lang w:eastAsia="en-IN"/>
        </w:rPr>
        <w:lastRenderedPageBreak/>
        <w:drawing>
          <wp:inline distT="0" distB="0" distL="0" distR="0" wp14:anchorId="1C03737F" wp14:editId="4B728981">
            <wp:extent cx="3232340" cy="6020435"/>
            <wp:effectExtent l="0" t="0" r="635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796" cy="6065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AA1" w:rsidRPr="00345002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gramStart"/>
      <w:r w:rsidRPr="00345002">
        <w:rPr>
          <w:rFonts w:ascii="Cambria" w:hAnsi="Cambria"/>
          <w:b/>
          <w:sz w:val="24"/>
          <w:szCs w:val="24"/>
          <w:lang w:val="en-GB"/>
        </w:rPr>
        <w:t>Supplemental figure 4.</w:t>
      </w:r>
      <w:proofErr w:type="gramEnd"/>
      <w:r w:rsidRPr="00345002">
        <w:rPr>
          <w:rFonts w:ascii="Cambria" w:hAnsi="Cambria"/>
          <w:b/>
          <w:sz w:val="24"/>
          <w:szCs w:val="24"/>
          <w:lang w:val="en-GB"/>
        </w:rPr>
        <w:t xml:space="preserve"> </w:t>
      </w:r>
      <w:r w:rsidRPr="00345002">
        <w:rPr>
          <w:rFonts w:ascii="Cambria" w:hAnsi="Cambria"/>
          <w:sz w:val="24"/>
          <w:szCs w:val="24"/>
        </w:rPr>
        <w:t xml:space="preserve">Relationship between observed (Measured effect) and calculated (Predicted effect) effects of combined exposure to UV radiation and drought for selected variables (Flavonoids – panel </w:t>
      </w:r>
      <w:r w:rsidRPr="00345002">
        <w:rPr>
          <w:rFonts w:ascii="Cambria" w:hAnsi="Cambria"/>
          <w:b/>
          <w:sz w:val="24"/>
          <w:szCs w:val="24"/>
        </w:rPr>
        <w:t>A</w:t>
      </w:r>
      <w:r w:rsidRPr="00345002">
        <w:rPr>
          <w:rFonts w:ascii="Cambria" w:hAnsi="Cambria"/>
          <w:sz w:val="24"/>
          <w:szCs w:val="24"/>
        </w:rPr>
        <w:t>, Photosynthetic CO</w:t>
      </w:r>
      <w:r w:rsidRPr="00345002">
        <w:rPr>
          <w:rFonts w:ascii="Cambria" w:hAnsi="Cambria"/>
          <w:sz w:val="24"/>
          <w:szCs w:val="24"/>
          <w:vertAlign w:val="subscript"/>
        </w:rPr>
        <w:t>2</w:t>
      </w:r>
      <w:r w:rsidRPr="00345002">
        <w:rPr>
          <w:rFonts w:ascii="Cambria" w:hAnsi="Cambria"/>
          <w:sz w:val="24"/>
          <w:szCs w:val="24"/>
        </w:rPr>
        <w:t xml:space="preserve"> uptake – panel </w:t>
      </w:r>
      <w:r w:rsidRPr="00345002">
        <w:rPr>
          <w:rFonts w:ascii="Cambria" w:hAnsi="Cambria"/>
          <w:b/>
          <w:sz w:val="24"/>
          <w:szCs w:val="24"/>
        </w:rPr>
        <w:t>B</w:t>
      </w:r>
      <w:r w:rsidRPr="00345002">
        <w:rPr>
          <w:rFonts w:ascii="Cambria" w:hAnsi="Cambria"/>
          <w:sz w:val="24"/>
          <w:szCs w:val="24"/>
        </w:rPr>
        <w:t xml:space="preserve">, and Biomass – panel </w:t>
      </w:r>
      <w:r w:rsidRPr="00345002">
        <w:rPr>
          <w:rFonts w:ascii="Cambria" w:hAnsi="Cambria"/>
          <w:b/>
          <w:sz w:val="24"/>
          <w:szCs w:val="24"/>
        </w:rPr>
        <w:t>C</w:t>
      </w:r>
      <w:r w:rsidRPr="00345002">
        <w:rPr>
          <w:rFonts w:ascii="Cambria" w:hAnsi="Cambria"/>
          <w:sz w:val="24"/>
          <w:szCs w:val="24"/>
        </w:rPr>
        <w:t xml:space="preserve">). The experiments where high UV doses </w:t>
      </w:r>
      <w:proofErr w:type="gramStart"/>
      <w:r w:rsidRPr="00345002">
        <w:rPr>
          <w:rFonts w:ascii="Cambria" w:hAnsi="Cambria"/>
          <w:sz w:val="24"/>
          <w:szCs w:val="24"/>
        </w:rPr>
        <w:t>(above 20 kJ m</w:t>
      </w:r>
      <w:r w:rsidRPr="00345002">
        <w:rPr>
          <w:rFonts w:ascii="Cambria" w:hAnsi="Cambria"/>
          <w:sz w:val="24"/>
          <w:szCs w:val="24"/>
          <w:vertAlign w:val="superscript"/>
        </w:rPr>
        <w:t>–2</w:t>
      </w:r>
      <w:r w:rsidRPr="00345002">
        <w:rPr>
          <w:rFonts w:ascii="Cambria" w:hAnsi="Cambria"/>
          <w:sz w:val="24"/>
          <w:szCs w:val="24"/>
        </w:rPr>
        <w:t xml:space="preserve"> day</w:t>
      </w:r>
      <w:r w:rsidRPr="00345002">
        <w:rPr>
          <w:rFonts w:ascii="Cambria" w:hAnsi="Cambria"/>
          <w:sz w:val="24"/>
          <w:szCs w:val="24"/>
          <w:vertAlign w:val="superscript"/>
        </w:rPr>
        <w:t>–1</w:t>
      </w:r>
      <w:r w:rsidRPr="00345002">
        <w:rPr>
          <w:rFonts w:ascii="Cambria" w:hAnsi="Cambria"/>
          <w:sz w:val="24"/>
          <w:szCs w:val="24"/>
        </w:rPr>
        <w:t>)</w:t>
      </w:r>
      <w:proofErr w:type="gramEnd"/>
      <w:r w:rsidRPr="00345002">
        <w:rPr>
          <w:rFonts w:ascii="Cambria" w:hAnsi="Cambria"/>
          <w:sz w:val="24"/>
          <w:szCs w:val="24"/>
        </w:rPr>
        <w:t xml:space="preserve"> were applied are shown in red. The data were fitted using linear regression (best linear fit). </w:t>
      </w:r>
    </w:p>
    <w:p w:rsidR="00541AA1" w:rsidRPr="00345002" w:rsidRDefault="00541AA1" w:rsidP="00541AA1">
      <w:pPr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sz w:val="24"/>
          <w:szCs w:val="24"/>
        </w:rPr>
        <w:br w:type="page"/>
      </w:r>
    </w:p>
    <w:p w:rsidR="00541AA1" w:rsidRPr="00345002" w:rsidRDefault="00541AA1" w:rsidP="00541AA1">
      <w:pPr>
        <w:spacing w:after="0" w:line="360" w:lineRule="auto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noProof/>
          <w:sz w:val="24"/>
          <w:szCs w:val="24"/>
          <w:lang w:eastAsia="en-IN"/>
        </w:rPr>
        <w:lastRenderedPageBreak/>
        <w:drawing>
          <wp:inline distT="0" distB="0" distL="0" distR="0" wp14:anchorId="041206D0" wp14:editId="429C1116">
            <wp:extent cx="5761990" cy="3780790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378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AA1" w:rsidRPr="00345002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gramStart"/>
      <w:r w:rsidRPr="00345002">
        <w:rPr>
          <w:rFonts w:ascii="Cambria" w:hAnsi="Cambria"/>
          <w:b/>
          <w:sz w:val="24"/>
          <w:szCs w:val="24"/>
          <w:lang w:val="en-GB"/>
        </w:rPr>
        <w:t>Supplemental figure 5.</w:t>
      </w:r>
      <w:proofErr w:type="gramEnd"/>
      <w:r w:rsidRPr="00345002">
        <w:rPr>
          <w:rFonts w:ascii="Cambria" w:hAnsi="Cambria"/>
          <w:b/>
          <w:sz w:val="24"/>
          <w:szCs w:val="24"/>
          <w:lang w:val="en-GB"/>
        </w:rPr>
        <w:t xml:space="preserve"> </w:t>
      </w:r>
      <w:proofErr w:type="gramStart"/>
      <w:r w:rsidRPr="00345002">
        <w:rPr>
          <w:rFonts w:ascii="Cambria" w:hAnsi="Cambria"/>
          <w:sz w:val="24"/>
          <w:szCs w:val="24"/>
        </w:rPr>
        <w:t>Detailed analysis of drought effects on flavonoid content (Flav), photosynthetic CO</w:t>
      </w:r>
      <w:r w:rsidRPr="00345002">
        <w:rPr>
          <w:rFonts w:ascii="Cambria" w:hAnsi="Cambria"/>
          <w:sz w:val="24"/>
          <w:szCs w:val="24"/>
          <w:vertAlign w:val="subscript"/>
        </w:rPr>
        <w:t>2</w:t>
      </w:r>
      <w:r w:rsidRPr="00345002">
        <w:rPr>
          <w:rFonts w:ascii="Cambria" w:hAnsi="Cambria"/>
          <w:sz w:val="24"/>
          <w:szCs w:val="24"/>
        </w:rPr>
        <w:t xml:space="preserve"> uptake (Pn), and plant biomass (Mass).</w:t>
      </w:r>
      <w:proofErr w:type="gramEnd"/>
      <w:r w:rsidRPr="00345002">
        <w:rPr>
          <w:rFonts w:ascii="Cambria" w:hAnsi="Cambria"/>
          <w:sz w:val="24"/>
          <w:szCs w:val="24"/>
        </w:rPr>
        <w:t xml:space="preserve"> The data are categorized according to anatomical structure (woody × non-woody plants), duration of the experiment (short- × long-term), treatment conditions (field × greenhouse × growth chamber), and UV application (supplementary × excluded). SDM = Standard Difference in Means, CI = 95% Confidence Interval, PI = 95% Prediction Interval. Stars (*) refer to significance of the experimental treatment 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0.05), **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0.01), ***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0.001), NS = Not Significant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/>
          <w:sz w:val="24"/>
          <w:szCs w:val="24"/>
          <w:lang w:val="en-US"/>
        </w:rPr>
        <w:t>&gt;</w:t>
      </w:r>
      <w:r w:rsidRPr="00345002">
        <w:rPr>
          <w:rFonts w:ascii="Cambria" w:hAnsi="Cambria"/>
          <w:sz w:val="24"/>
          <w:szCs w:val="24"/>
          <w:lang w:val="cs-CZ"/>
        </w:rPr>
        <w:t xml:space="preserve"> 0.05)</w:t>
      </w:r>
      <w:r w:rsidRPr="00345002">
        <w:rPr>
          <w:rFonts w:ascii="Cambria" w:hAnsi="Cambria"/>
          <w:sz w:val="24"/>
          <w:szCs w:val="24"/>
        </w:rPr>
        <w:t xml:space="preserve">. </w:t>
      </w:r>
      <w:proofErr w:type="gramStart"/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>-values</w:t>
      </w:r>
      <w:proofErr w:type="gramEnd"/>
      <w:r w:rsidRPr="00345002">
        <w:rPr>
          <w:rFonts w:ascii="Cambria" w:hAnsi="Cambria"/>
          <w:sz w:val="24"/>
          <w:szCs w:val="24"/>
        </w:rPr>
        <w:t xml:space="preserve"> in the top right-hand corner indicate the significance of the differential response between compared categories. The numbers indicate the number of experiments included in the meta-analysis.</w:t>
      </w:r>
    </w:p>
    <w:p w:rsidR="00541AA1" w:rsidRPr="00345002" w:rsidRDefault="00541AA1" w:rsidP="00541AA1">
      <w:pPr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sz w:val="24"/>
          <w:szCs w:val="24"/>
        </w:rPr>
        <w:br w:type="page"/>
      </w:r>
    </w:p>
    <w:p w:rsidR="00541AA1" w:rsidRPr="00345002" w:rsidRDefault="00541AA1" w:rsidP="00541AA1">
      <w:pPr>
        <w:spacing w:after="0" w:line="360" w:lineRule="auto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noProof/>
          <w:sz w:val="24"/>
          <w:szCs w:val="24"/>
          <w:lang w:eastAsia="en-IN"/>
        </w:rPr>
        <w:lastRenderedPageBreak/>
        <w:drawing>
          <wp:inline distT="0" distB="0" distL="0" distR="0" wp14:anchorId="78484351" wp14:editId="074B81D3">
            <wp:extent cx="5761990" cy="3895090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389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AA1" w:rsidRPr="00345002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gramStart"/>
      <w:r w:rsidRPr="00345002">
        <w:rPr>
          <w:rFonts w:ascii="Cambria" w:hAnsi="Cambria"/>
          <w:b/>
          <w:sz w:val="24"/>
          <w:szCs w:val="24"/>
          <w:lang w:val="en-GB"/>
        </w:rPr>
        <w:t>Supplemental figure 6.</w:t>
      </w:r>
      <w:proofErr w:type="gramEnd"/>
      <w:r w:rsidRPr="00345002">
        <w:rPr>
          <w:rFonts w:ascii="Cambria" w:hAnsi="Cambria"/>
          <w:b/>
          <w:sz w:val="24"/>
          <w:szCs w:val="24"/>
          <w:lang w:val="en-GB"/>
        </w:rPr>
        <w:t xml:space="preserve"> </w:t>
      </w:r>
      <w:r w:rsidRPr="00345002">
        <w:rPr>
          <w:rFonts w:ascii="Cambria" w:hAnsi="Cambria"/>
          <w:sz w:val="24"/>
          <w:szCs w:val="24"/>
        </w:rPr>
        <w:t>Detailed analysis of UV effects on flavonoid content (Flav), photosynthetic CO</w:t>
      </w:r>
      <w:r w:rsidRPr="00345002">
        <w:rPr>
          <w:rFonts w:ascii="Cambria" w:hAnsi="Cambria"/>
          <w:sz w:val="24"/>
          <w:szCs w:val="24"/>
          <w:vertAlign w:val="subscript"/>
        </w:rPr>
        <w:t>2</w:t>
      </w:r>
      <w:r w:rsidRPr="00345002">
        <w:rPr>
          <w:rFonts w:ascii="Cambria" w:hAnsi="Cambria"/>
          <w:sz w:val="24"/>
          <w:szCs w:val="24"/>
        </w:rPr>
        <w:t xml:space="preserve"> uptake (Pn), and plant biomass (Mass). The data are categorized according to anatomical structure (woody × non-woody plants), duration of the experiment (short- × long-term), treatment conditions (field × greenhouse × growth chamber), and UV application (supplementary × excluded). SDM = Standard Difference in Means, CI = 95% Confidence Interval, PI = 95% Prediction Interval. Stars (*) refer to significance of the experimental treatment 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0.05), **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0.01), ***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0.001), NS = Not Significant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/>
          <w:sz w:val="24"/>
          <w:szCs w:val="24"/>
          <w:lang w:val="en-US"/>
        </w:rPr>
        <w:t>&gt;</w:t>
      </w:r>
      <w:r w:rsidRPr="00345002">
        <w:rPr>
          <w:rFonts w:ascii="Cambria" w:hAnsi="Cambria"/>
          <w:sz w:val="24"/>
          <w:szCs w:val="24"/>
          <w:lang w:val="cs-CZ"/>
        </w:rPr>
        <w:t xml:space="preserve"> 0.05)</w:t>
      </w:r>
      <w:r w:rsidRPr="00345002">
        <w:rPr>
          <w:rFonts w:ascii="Cambria" w:hAnsi="Cambria"/>
          <w:sz w:val="24"/>
          <w:szCs w:val="24"/>
        </w:rPr>
        <w:t xml:space="preserve">. </w:t>
      </w:r>
      <w:proofErr w:type="gramStart"/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>-values</w:t>
      </w:r>
      <w:proofErr w:type="gramEnd"/>
      <w:r w:rsidRPr="00345002">
        <w:rPr>
          <w:rFonts w:ascii="Cambria" w:hAnsi="Cambria"/>
          <w:sz w:val="24"/>
          <w:szCs w:val="24"/>
        </w:rPr>
        <w:t xml:space="preserve"> in the top right-hand corner indicate the significance of the differential response between compared categories. The numbers indicate number of experiments included in the meta-analysis.</w:t>
      </w:r>
    </w:p>
    <w:p w:rsidR="00541AA1" w:rsidRPr="00345002" w:rsidRDefault="00541AA1" w:rsidP="00541AA1">
      <w:pPr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sz w:val="24"/>
          <w:szCs w:val="24"/>
        </w:rPr>
        <w:br w:type="page"/>
      </w:r>
    </w:p>
    <w:p w:rsidR="00541AA1" w:rsidRPr="00345002" w:rsidRDefault="00541AA1" w:rsidP="00541AA1">
      <w:pPr>
        <w:spacing w:after="0" w:line="360" w:lineRule="auto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noProof/>
          <w:sz w:val="24"/>
          <w:szCs w:val="24"/>
          <w:lang w:eastAsia="en-IN"/>
        </w:rPr>
        <w:lastRenderedPageBreak/>
        <w:drawing>
          <wp:inline distT="0" distB="0" distL="0" distR="0" wp14:anchorId="76C037D1" wp14:editId="472A47A9">
            <wp:extent cx="5761990" cy="3895090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389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AA1" w:rsidRPr="00345002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gramStart"/>
      <w:r w:rsidRPr="00345002">
        <w:rPr>
          <w:rFonts w:ascii="Cambria" w:hAnsi="Cambria"/>
          <w:b/>
          <w:sz w:val="24"/>
          <w:szCs w:val="24"/>
          <w:lang w:val="en-GB"/>
        </w:rPr>
        <w:t>Supplemental figure 7.</w:t>
      </w:r>
      <w:proofErr w:type="gramEnd"/>
      <w:r w:rsidRPr="00345002">
        <w:rPr>
          <w:rFonts w:ascii="Cambria" w:hAnsi="Cambria"/>
          <w:b/>
          <w:sz w:val="24"/>
          <w:szCs w:val="24"/>
          <w:lang w:val="en-GB"/>
        </w:rPr>
        <w:t xml:space="preserve"> </w:t>
      </w:r>
      <w:proofErr w:type="gramStart"/>
      <w:r w:rsidRPr="00345002">
        <w:rPr>
          <w:rFonts w:ascii="Cambria" w:hAnsi="Cambria"/>
          <w:sz w:val="24"/>
          <w:szCs w:val="24"/>
        </w:rPr>
        <w:t>Detailed analysis of combined effects of UV and drought on flavonoid content (Flav), photosynthetic CO</w:t>
      </w:r>
      <w:r w:rsidRPr="00345002">
        <w:rPr>
          <w:rFonts w:ascii="Cambria" w:hAnsi="Cambria"/>
          <w:sz w:val="24"/>
          <w:szCs w:val="24"/>
          <w:vertAlign w:val="subscript"/>
        </w:rPr>
        <w:t>2</w:t>
      </w:r>
      <w:r w:rsidRPr="00345002">
        <w:rPr>
          <w:rFonts w:ascii="Cambria" w:hAnsi="Cambria"/>
          <w:sz w:val="24"/>
          <w:szCs w:val="24"/>
        </w:rPr>
        <w:t xml:space="preserve"> uptake (Pn), and plant biomass (Mass).</w:t>
      </w:r>
      <w:proofErr w:type="gramEnd"/>
      <w:r w:rsidRPr="00345002">
        <w:rPr>
          <w:rFonts w:ascii="Cambria" w:hAnsi="Cambria"/>
          <w:sz w:val="24"/>
          <w:szCs w:val="24"/>
        </w:rPr>
        <w:t xml:space="preserve"> The data are categorized according to anatomical structure (woody × non-woody plants), duration of the experiment (short- × long-term), treatment conditions (field × greenhouse × growth chamber), and UV application (supplementary × excluded). SDM = Standard Difference in Means, CI = 95% Confidence Interval, PI = 95% Prediction Interval. Stars (*) refer to significance of the experimental treatment 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0.05), **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0.01), ***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 w:cstheme="minorHAnsi"/>
          <w:sz w:val="24"/>
          <w:szCs w:val="24"/>
        </w:rPr>
        <w:t>≤</w:t>
      </w:r>
      <w:r w:rsidRPr="00345002">
        <w:rPr>
          <w:rFonts w:ascii="Cambria" w:hAnsi="Cambria"/>
          <w:sz w:val="24"/>
          <w:szCs w:val="24"/>
        </w:rPr>
        <w:t xml:space="preserve"> 0.001), NS = Not Significant (</w:t>
      </w:r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 xml:space="preserve"> </w:t>
      </w:r>
      <w:r w:rsidRPr="00345002">
        <w:rPr>
          <w:rFonts w:ascii="Cambria" w:hAnsi="Cambria"/>
          <w:sz w:val="24"/>
          <w:szCs w:val="24"/>
          <w:lang w:val="en-US"/>
        </w:rPr>
        <w:t>&gt;</w:t>
      </w:r>
      <w:r w:rsidRPr="00345002">
        <w:rPr>
          <w:rFonts w:ascii="Cambria" w:hAnsi="Cambria"/>
          <w:sz w:val="24"/>
          <w:szCs w:val="24"/>
          <w:lang w:val="cs-CZ"/>
        </w:rPr>
        <w:t xml:space="preserve"> 0.05)</w:t>
      </w:r>
      <w:r w:rsidRPr="00345002">
        <w:rPr>
          <w:rFonts w:ascii="Cambria" w:hAnsi="Cambria"/>
          <w:sz w:val="24"/>
          <w:szCs w:val="24"/>
        </w:rPr>
        <w:t xml:space="preserve">. </w:t>
      </w:r>
      <w:proofErr w:type="gramStart"/>
      <w:r w:rsidRPr="00345002">
        <w:rPr>
          <w:rFonts w:ascii="Cambria" w:hAnsi="Cambria"/>
          <w:i/>
          <w:sz w:val="24"/>
          <w:szCs w:val="24"/>
        </w:rPr>
        <w:t>p</w:t>
      </w:r>
      <w:r w:rsidRPr="00345002">
        <w:rPr>
          <w:rFonts w:ascii="Cambria" w:hAnsi="Cambria"/>
          <w:sz w:val="24"/>
          <w:szCs w:val="24"/>
        </w:rPr>
        <w:t>-values</w:t>
      </w:r>
      <w:proofErr w:type="gramEnd"/>
      <w:r w:rsidRPr="00345002">
        <w:rPr>
          <w:rFonts w:ascii="Cambria" w:hAnsi="Cambria"/>
          <w:sz w:val="24"/>
          <w:szCs w:val="24"/>
        </w:rPr>
        <w:t xml:space="preserve"> in the top right-hand corner indicate the significance of the differential response between compared categories.  The numbers indicate number of experiments included in the meta-analysis.</w:t>
      </w:r>
    </w:p>
    <w:p w:rsidR="00541AA1" w:rsidRPr="00345002" w:rsidRDefault="00541AA1" w:rsidP="00541AA1">
      <w:pPr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sz w:val="24"/>
          <w:szCs w:val="24"/>
        </w:rPr>
        <w:br w:type="page"/>
      </w:r>
    </w:p>
    <w:p w:rsidR="00541AA1" w:rsidRPr="00345002" w:rsidRDefault="00541AA1" w:rsidP="00541AA1">
      <w:pPr>
        <w:spacing w:after="0" w:line="360" w:lineRule="auto"/>
        <w:rPr>
          <w:rFonts w:ascii="Cambria" w:hAnsi="Cambria"/>
          <w:b/>
          <w:sz w:val="24"/>
          <w:szCs w:val="24"/>
        </w:rPr>
      </w:pPr>
      <w:r w:rsidRPr="00345002">
        <w:rPr>
          <w:rFonts w:ascii="Cambria" w:hAnsi="Cambria"/>
          <w:b/>
          <w:sz w:val="24"/>
          <w:szCs w:val="24"/>
        </w:rPr>
        <w:lastRenderedPageBreak/>
        <w:t>Supplemental table 1</w:t>
      </w:r>
    </w:p>
    <w:p w:rsidR="00541AA1" w:rsidRPr="00345002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sz w:val="24"/>
          <w:szCs w:val="24"/>
        </w:rPr>
        <w:t xml:space="preserve">Overview of all analysed experiments including details on plant material, experimental set up and measured variables. </w:t>
      </w:r>
      <w:proofErr w:type="gramStart"/>
      <w:r w:rsidRPr="00345002">
        <w:rPr>
          <w:rFonts w:ascii="Cambria" w:hAnsi="Cambria"/>
          <w:sz w:val="24"/>
          <w:szCs w:val="24"/>
        </w:rPr>
        <w:t>(Uploaded as a separate supplementary file.)</w:t>
      </w:r>
      <w:proofErr w:type="gramEnd"/>
    </w:p>
    <w:p w:rsidR="00541AA1" w:rsidRPr="00345002" w:rsidRDefault="00541AA1" w:rsidP="00541AA1">
      <w:pPr>
        <w:spacing w:after="0" w:line="360" w:lineRule="auto"/>
        <w:rPr>
          <w:rFonts w:ascii="Cambria" w:hAnsi="Cambria"/>
          <w:b/>
          <w:sz w:val="24"/>
          <w:szCs w:val="24"/>
        </w:rPr>
      </w:pPr>
    </w:p>
    <w:p w:rsidR="00541AA1" w:rsidRPr="00345002" w:rsidRDefault="00541AA1" w:rsidP="00541AA1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345002">
        <w:rPr>
          <w:rFonts w:ascii="Cambria" w:hAnsi="Cambria"/>
          <w:b/>
          <w:sz w:val="24"/>
          <w:szCs w:val="24"/>
        </w:rPr>
        <w:t>Supplemental table 2</w:t>
      </w:r>
    </w:p>
    <w:p w:rsidR="00541AA1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sz w:val="24"/>
          <w:szCs w:val="24"/>
        </w:rPr>
        <w:t>The percentage of statistically significant (</w:t>
      </w:r>
      <w:r w:rsidRPr="00345002">
        <w:rPr>
          <w:rFonts w:ascii="Cambria" w:hAnsi="Cambria"/>
          <w:i/>
          <w:sz w:val="24"/>
          <w:szCs w:val="24"/>
        </w:rPr>
        <w:t xml:space="preserve">p </w:t>
      </w:r>
      <w:r w:rsidRPr="00345002">
        <w:rPr>
          <w:rFonts w:ascii="Cambria" w:hAnsi="Cambria"/>
          <w:sz w:val="24"/>
          <w:szCs w:val="24"/>
        </w:rPr>
        <w:t>&lt; 0.05) effects on specific variables, and across the experiments included in the database. Variables are grouped into two main categories characterising plant acclimation responses (dark grey; Prol = Proline content, Flavs = Flavonoid content, Antio = Antioxidant capacity, Anth = Anthocyanin content, Cars = Carotenoid content, LA = Leaf area, LMA = Leaf mass per area, H = Height, R/S = Root-to-shoot ratio), and stress responses (while cells; Stress = Stress markers, ROS = Reactive Oxygen Species, QY = Quantum yield of photosystem II photochemistry, Pn = Photosynthetic CO</w:t>
      </w:r>
      <w:r w:rsidRPr="00345002">
        <w:rPr>
          <w:rFonts w:ascii="Cambria" w:hAnsi="Cambria"/>
          <w:sz w:val="24"/>
          <w:szCs w:val="24"/>
          <w:vertAlign w:val="subscript"/>
        </w:rPr>
        <w:t>2</w:t>
      </w:r>
      <w:r w:rsidRPr="00345002">
        <w:rPr>
          <w:rFonts w:ascii="Cambria" w:hAnsi="Cambria"/>
          <w:sz w:val="24"/>
          <w:szCs w:val="24"/>
        </w:rPr>
        <w:t xml:space="preserve"> assimilation rate, Cond = Stomatal conductance, LWC = Leaf water content, Chls = Chlorophyll content, Mass = Plant biomass).</w:t>
      </w:r>
      <w:r w:rsidRPr="00F72A4B">
        <w:rPr>
          <w:rFonts w:ascii="Cambria" w:hAnsi="Cambria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816"/>
        <w:gridCol w:w="1816"/>
        <w:gridCol w:w="1808"/>
      </w:tblGrid>
      <w:tr w:rsidR="00541AA1" w:rsidRPr="00DA2837" w:rsidTr="00227ACB">
        <w:trPr>
          <w:trHeight w:val="290"/>
        </w:trPr>
        <w:tc>
          <w:tcPr>
            <w:tcW w:w="1168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DA2837">
              <w:rPr>
                <w:rFonts w:ascii="Cambria" w:hAnsi="Cambria" w:cstheme="minorHAnsi"/>
                <w:b/>
              </w:rPr>
              <w:t> 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DA2837">
              <w:rPr>
                <w:rFonts w:ascii="Cambria" w:hAnsi="Cambria" w:cstheme="minorHAnsi"/>
                <w:b/>
              </w:rPr>
              <w:t>UV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DA2837">
              <w:rPr>
                <w:rFonts w:ascii="Cambria" w:hAnsi="Cambria" w:cstheme="minorHAnsi"/>
                <w:b/>
              </w:rPr>
              <w:t>Drought</w:t>
            </w:r>
          </w:p>
        </w:tc>
        <w:tc>
          <w:tcPr>
            <w:tcW w:w="1808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DA2837">
              <w:rPr>
                <w:rFonts w:ascii="Cambria" w:hAnsi="Cambria" w:cstheme="minorHAnsi"/>
                <w:b/>
              </w:rPr>
              <w:t>UV + drought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Prol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47.6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71.4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71.4</w:t>
            </w:r>
          </w:p>
        </w:tc>
      </w:tr>
      <w:tr w:rsidR="00541AA1" w:rsidRPr="00DA2837" w:rsidTr="00227ACB">
        <w:trPr>
          <w:trHeight w:val="30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Flavs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60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9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43</w:t>
            </w:r>
            <w:r>
              <w:rPr>
                <w:rFonts w:ascii="Cambria" w:hAnsi="Cambria" w:cstheme="minorHAnsi"/>
              </w:rPr>
              <w:t>.8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70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3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Antio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38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2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75</w:t>
            </w:r>
            <w:r>
              <w:rPr>
                <w:rFonts w:ascii="Cambria" w:hAnsi="Cambria" w:cstheme="minorHAnsi"/>
              </w:rPr>
              <w:t>.0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25</w:t>
            </w:r>
            <w:r>
              <w:rPr>
                <w:rFonts w:ascii="Cambria" w:hAnsi="Cambria" w:cstheme="minorHAnsi"/>
              </w:rPr>
              <w:t>.0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Anth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  <w:bCs/>
              </w:rPr>
            </w:pPr>
            <w:r w:rsidRPr="00DA2837">
              <w:rPr>
                <w:rFonts w:ascii="Cambria" w:hAnsi="Cambria" w:cstheme="minorHAnsi"/>
                <w:bCs/>
              </w:rPr>
              <w:t>90</w:t>
            </w:r>
            <w:r>
              <w:rPr>
                <w:rFonts w:ascii="Cambria" w:hAnsi="Cambria" w:cstheme="minorHAnsi"/>
                <w:bCs/>
              </w:rPr>
              <w:t>.</w:t>
            </w:r>
            <w:r w:rsidRPr="00DA2837">
              <w:rPr>
                <w:rFonts w:ascii="Cambria" w:hAnsi="Cambria" w:cstheme="minorHAnsi"/>
                <w:bCs/>
              </w:rPr>
              <w:t>9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18</w:t>
            </w:r>
            <w:r>
              <w:rPr>
                <w:rFonts w:ascii="Cambria" w:hAnsi="Cambria" w:cstheme="minorHAnsi"/>
              </w:rPr>
              <w:t>.2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  <w:bCs/>
              </w:rPr>
            </w:pPr>
            <w:r w:rsidRPr="00DA2837">
              <w:rPr>
                <w:rFonts w:ascii="Cambria" w:hAnsi="Cambria" w:cstheme="minorHAnsi"/>
                <w:bCs/>
              </w:rPr>
              <w:t>81</w:t>
            </w:r>
            <w:r>
              <w:rPr>
                <w:rFonts w:ascii="Cambria" w:hAnsi="Cambria" w:cstheme="minorHAnsi"/>
                <w:bCs/>
              </w:rPr>
              <w:t>.</w:t>
            </w:r>
            <w:r w:rsidRPr="00DA2837">
              <w:rPr>
                <w:rFonts w:ascii="Cambria" w:hAnsi="Cambria" w:cstheme="minorHAnsi"/>
                <w:bCs/>
              </w:rPr>
              <w:t>8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Cars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20</w:t>
            </w:r>
            <w:r>
              <w:rPr>
                <w:rFonts w:ascii="Cambria" w:hAnsi="Cambria" w:cstheme="minorHAnsi"/>
              </w:rPr>
              <w:t>.0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10</w:t>
            </w:r>
            <w:r>
              <w:rPr>
                <w:rFonts w:ascii="Cambria" w:hAnsi="Cambria" w:cstheme="minorHAnsi"/>
              </w:rPr>
              <w:t>.0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10</w:t>
            </w:r>
            <w:r>
              <w:rPr>
                <w:rFonts w:ascii="Cambria" w:hAnsi="Cambria" w:cstheme="minorHAnsi"/>
              </w:rPr>
              <w:t>.0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LA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32</w:t>
            </w:r>
            <w:r>
              <w:rPr>
                <w:rFonts w:ascii="Cambria" w:hAnsi="Cambria" w:cstheme="minorHAnsi"/>
              </w:rPr>
              <w:t>.0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59</w:t>
            </w:r>
            <w:r>
              <w:rPr>
                <w:rFonts w:ascii="Cambria" w:hAnsi="Cambria" w:cstheme="minorHAnsi"/>
              </w:rPr>
              <w:t>.1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72</w:t>
            </w:r>
            <w:r>
              <w:rPr>
                <w:rFonts w:ascii="Cambria" w:hAnsi="Cambria" w:cstheme="minorHAnsi"/>
              </w:rPr>
              <w:t>.0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LMA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23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8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23</w:t>
            </w:r>
            <w:r>
              <w:rPr>
                <w:rFonts w:ascii="Cambria" w:hAnsi="Cambria" w:cstheme="minorHAnsi"/>
              </w:rPr>
              <w:t>.8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42</w:t>
            </w:r>
            <w:r>
              <w:rPr>
                <w:rFonts w:ascii="Cambria" w:hAnsi="Cambria" w:cstheme="minorHAnsi"/>
              </w:rPr>
              <w:t>.9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345002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345002">
              <w:rPr>
                <w:rFonts w:ascii="Cambria" w:hAnsi="Cambria" w:cstheme="minorHAnsi"/>
                <w:b/>
              </w:rPr>
              <w:t>H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345002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345002">
              <w:rPr>
                <w:rFonts w:ascii="Cambria" w:hAnsi="Cambria" w:cstheme="minorHAnsi"/>
              </w:rPr>
              <w:t>38.5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345002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345002">
              <w:rPr>
                <w:rFonts w:ascii="Cambria" w:hAnsi="Cambria" w:cstheme="minorHAnsi"/>
              </w:rPr>
              <w:t>38.5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345002">
              <w:rPr>
                <w:rFonts w:ascii="Cambria" w:hAnsi="Cambria" w:cstheme="minorHAnsi"/>
              </w:rPr>
              <w:t>50.0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BFBFBF" w:themeFill="background1" w:themeFillShade="BF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R/S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25.0</w:t>
            </w:r>
          </w:p>
        </w:tc>
        <w:tc>
          <w:tcPr>
            <w:tcW w:w="1816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71.4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  <w:bCs/>
              </w:rPr>
            </w:pPr>
            <w:r w:rsidRPr="00DA2837">
              <w:rPr>
                <w:rFonts w:ascii="Cambria" w:hAnsi="Cambria" w:cstheme="minorHAnsi"/>
                <w:bCs/>
              </w:rPr>
              <w:t>75.0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Stress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57</w:t>
            </w:r>
            <w:r>
              <w:rPr>
                <w:rFonts w:ascii="Cambria" w:hAnsi="Cambria" w:cstheme="minorHAnsi"/>
              </w:rPr>
              <w:t>.1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82</w:t>
            </w:r>
            <w:r>
              <w:rPr>
                <w:rFonts w:ascii="Cambria" w:hAnsi="Cambria" w:cstheme="minorHAnsi"/>
              </w:rPr>
              <w:t>.1</w:t>
            </w:r>
          </w:p>
        </w:tc>
        <w:tc>
          <w:tcPr>
            <w:tcW w:w="1808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78</w:t>
            </w:r>
            <w:r>
              <w:rPr>
                <w:rFonts w:ascii="Cambria" w:hAnsi="Cambria" w:cstheme="minorHAnsi"/>
              </w:rPr>
              <w:t>.6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ROS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70</w:t>
            </w:r>
            <w:r>
              <w:rPr>
                <w:rFonts w:ascii="Cambria" w:hAnsi="Cambria" w:cstheme="minorHAnsi"/>
              </w:rPr>
              <w:t>.0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70</w:t>
            </w:r>
            <w:r>
              <w:rPr>
                <w:rFonts w:ascii="Cambria" w:hAnsi="Cambria" w:cstheme="minorHAnsi"/>
              </w:rPr>
              <w:t>.0</w:t>
            </w:r>
          </w:p>
        </w:tc>
        <w:tc>
          <w:tcPr>
            <w:tcW w:w="1808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70</w:t>
            </w:r>
            <w:r>
              <w:rPr>
                <w:rFonts w:ascii="Cambria" w:hAnsi="Cambria" w:cstheme="minorHAnsi"/>
              </w:rPr>
              <w:t>.0</w:t>
            </w:r>
          </w:p>
        </w:tc>
      </w:tr>
      <w:tr w:rsidR="00541AA1" w:rsidRPr="00DA2837" w:rsidTr="00227ACB">
        <w:trPr>
          <w:trHeight w:val="300"/>
        </w:trPr>
        <w:tc>
          <w:tcPr>
            <w:tcW w:w="116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QY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38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2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64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7</w:t>
            </w:r>
          </w:p>
        </w:tc>
        <w:tc>
          <w:tcPr>
            <w:tcW w:w="1808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50</w:t>
            </w:r>
            <w:r>
              <w:rPr>
                <w:rFonts w:ascii="Cambria" w:hAnsi="Cambria" w:cstheme="minorHAnsi"/>
              </w:rPr>
              <w:t>.0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Pn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48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4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70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3</w:t>
            </w:r>
          </w:p>
        </w:tc>
        <w:tc>
          <w:tcPr>
            <w:tcW w:w="1808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65</w:t>
            </w:r>
            <w:r>
              <w:rPr>
                <w:rFonts w:ascii="Cambria" w:hAnsi="Cambria" w:cstheme="minorHAnsi"/>
              </w:rPr>
              <w:t>.</w:t>
            </w:r>
            <w:r w:rsidRPr="00DA2837">
              <w:rPr>
                <w:rFonts w:ascii="Cambria" w:hAnsi="Cambria" w:cstheme="minorHAnsi"/>
              </w:rPr>
              <w:t>6</w:t>
            </w:r>
          </w:p>
        </w:tc>
      </w:tr>
      <w:tr w:rsidR="00541AA1" w:rsidRPr="00A14E0F" w:rsidTr="00227ACB">
        <w:trPr>
          <w:trHeight w:val="290"/>
        </w:trPr>
        <w:tc>
          <w:tcPr>
            <w:tcW w:w="116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Cond</w:t>
            </w:r>
          </w:p>
        </w:tc>
        <w:tc>
          <w:tcPr>
            <w:tcW w:w="1816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A14E0F">
              <w:rPr>
                <w:rFonts w:ascii="Cambria" w:hAnsi="Cambria" w:cstheme="minorHAnsi"/>
              </w:rPr>
              <w:t>33.3</w:t>
            </w:r>
          </w:p>
        </w:tc>
        <w:tc>
          <w:tcPr>
            <w:tcW w:w="1816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Cs/>
              </w:rPr>
            </w:pPr>
            <w:r w:rsidRPr="00A14E0F">
              <w:rPr>
                <w:rFonts w:ascii="Cambria" w:hAnsi="Cambria" w:cstheme="minorHAnsi"/>
                <w:bCs/>
              </w:rPr>
              <w:t>81.0</w:t>
            </w:r>
          </w:p>
        </w:tc>
        <w:tc>
          <w:tcPr>
            <w:tcW w:w="180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A14E0F">
              <w:rPr>
                <w:rFonts w:ascii="Cambria" w:hAnsi="Cambria" w:cstheme="minorHAnsi"/>
              </w:rPr>
              <w:t>69.0</w:t>
            </w:r>
          </w:p>
        </w:tc>
      </w:tr>
      <w:tr w:rsidR="00541AA1" w:rsidRPr="00A14E0F" w:rsidTr="00227ACB">
        <w:trPr>
          <w:trHeight w:val="290"/>
        </w:trPr>
        <w:tc>
          <w:tcPr>
            <w:tcW w:w="116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LWC</w:t>
            </w:r>
          </w:p>
        </w:tc>
        <w:tc>
          <w:tcPr>
            <w:tcW w:w="1816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A14E0F">
              <w:rPr>
                <w:rFonts w:ascii="Cambria" w:hAnsi="Cambria" w:cstheme="minorHAnsi"/>
              </w:rPr>
              <w:t>10.3</w:t>
            </w:r>
          </w:p>
        </w:tc>
        <w:tc>
          <w:tcPr>
            <w:tcW w:w="1816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A14E0F">
              <w:rPr>
                <w:rFonts w:ascii="Cambria" w:hAnsi="Cambria" w:cstheme="minorHAnsi"/>
              </w:rPr>
              <w:t>62.1</w:t>
            </w:r>
          </w:p>
        </w:tc>
        <w:tc>
          <w:tcPr>
            <w:tcW w:w="180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A14E0F">
              <w:rPr>
                <w:rFonts w:ascii="Cambria" w:hAnsi="Cambria" w:cstheme="minorHAnsi"/>
              </w:rPr>
              <w:t>65.5</w:t>
            </w:r>
          </w:p>
        </w:tc>
      </w:tr>
      <w:tr w:rsidR="00541AA1" w:rsidRPr="00A14E0F" w:rsidTr="00227ACB">
        <w:trPr>
          <w:trHeight w:val="290"/>
        </w:trPr>
        <w:tc>
          <w:tcPr>
            <w:tcW w:w="116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  <w:bCs/>
              </w:rPr>
            </w:pPr>
            <w:r w:rsidRPr="00A14E0F">
              <w:rPr>
                <w:rFonts w:ascii="Cambria" w:hAnsi="Cambria" w:cstheme="minorHAnsi"/>
                <w:b/>
                <w:bCs/>
              </w:rPr>
              <w:t>Chls</w:t>
            </w:r>
          </w:p>
        </w:tc>
        <w:tc>
          <w:tcPr>
            <w:tcW w:w="1816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Cs/>
              </w:rPr>
            </w:pPr>
            <w:r w:rsidRPr="00A14E0F">
              <w:rPr>
                <w:rFonts w:ascii="Cambria" w:hAnsi="Cambria" w:cstheme="minorHAnsi"/>
                <w:bCs/>
              </w:rPr>
              <w:t>43.3</w:t>
            </w:r>
          </w:p>
        </w:tc>
        <w:tc>
          <w:tcPr>
            <w:tcW w:w="1816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Cs/>
              </w:rPr>
            </w:pPr>
            <w:r w:rsidRPr="00A14E0F">
              <w:rPr>
                <w:rFonts w:ascii="Cambria" w:hAnsi="Cambria" w:cstheme="minorHAnsi"/>
                <w:bCs/>
              </w:rPr>
              <w:t>30.0</w:t>
            </w:r>
          </w:p>
        </w:tc>
        <w:tc>
          <w:tcPr>
            <w:tcW w:w="180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Cs/>
              </w:rPr>
            </w:pPr>
            <w:r w:rsidRPr="00A14E0F">
              <w:rPr>
                <w:rFonts w:ascii="Cambria" w:hAnsi="Cambria" w:cstheme="minorHAnsi"/>
                <w:bCs/>
              </w:rPr>
              <w:t>43.3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noWrap/>
            <w:hideMark/>
          </w:tcPr>
          <w:p w:rsidR="00541AA1" w:rsidRPr="00A14E0F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A14E0F">
              <w:rPr>
                <w:rFonts w:ascii="Cambria" w:hAnsi="Cambria" w:cstheme="minorHAnsi"/>
                <w:b/>
              </w:rPr>
              <w:t>H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38</w:t>
            </w:r>
            <w:r>
              <w:rPr>
                <w:rFonts w:ascii="Cambria" w:hAnsi="Cambria" w:cstheme="minorHAnsi"/>
              </w:rPr>
              <w:t>.5</w:t>
            </w:r>
          </w:p>
        </w:tc>
        <w:tc>
          <w:tcPr>
            <w:tcW w:w="1816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38</w:t>
            </w:r>
            <w:r>
              <w:rPr>
                <w:rFonts w:ascii="Cambria" w:hAnsi="Cambria" w:cstheme="minorHAnsi"/>
              </w:rPr>
              <w:t>.5</w:t>
            </w:r>
          </w:p>
        </w:tc>
        <w:tc>
          <w:tcPr>
            <w:tcW w:w="1808" w:type="dxa"/>
            <w:noWrap/>
            <w:hideMark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DA2837">
              <w:rPr>
                <w:rFonts w:ascii="Cambria" w:hAnsi="Cambria" w:cstheme="minorHAnsi"/>
              </w:rPr>
              <w:t>50</w:t>
            </w:r>
            <w:r>
              <w:rPr>
                <w:rFonts w:ascii="Cambria" w:hAnsi="Cambria" w:cstheme="minorHAnsi"/>
              </w:rPr>
              <w:t>.0</w:t>
            </w:r>
          </w:p>
        </w:tc>
      </w:tr>
      <w:tr w:rsidR="00541AA1" w:rsidRPr="00DA2837" w:rsidTr="00227ACB">
        <w:trPr>
          <w:trHeight w:val="290"/>
        </w:trPr>
        <w:tc>
          <w:tcPr>
            <w:tcW w:w="1168" w:type="dxa"/>
            <w:shd w:val="clear" w:color="auto" w:fill="FFFFFF" w:themeFill="background1"/>
            <w:noWrap/>
          </w:tcPr>
          <w:p w:rsidR="00541AA1" w:rsidRPr="0069719E" w:rsidRDefault="00541AA1" w:rsidP="00227ACB">
            <w:pPr>
              <w:jc w:val="both"/>
              <w:rPr>
                <w:rFonts w:ascii="Cambria" w:hAnsi="Cambria" w:cstheme="minorHAnsi"/>
                <w:b/>
              </w:rPr>
            </w:pPr>
            <w:r w:rsidRPr="0069719E">
              <w:rPr>
                <w:rFonts w:ascii="Cambria" w:hAnsi="Cambria" w:cstheme="minorHAnsi"/>
                <w:b/>
              </w:rPr>
              <w:t>Mass</w:t>
            </w:r>
          </w:p>
        </w:tc>
        <w:tc>
          <w:tcPr>
            <w:tcW w:w="1816" w:type="dxa"/>
            <w:shd w:val="clear" w:color="auto" w:fill="FFFFFF" w:themeFill="background1"/>
            <w:noWrap/>
          </w:tcPr>
          <w:p w:rsidR="00541AA1" w:rsidRPr="0069719E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69719E">
              <w:rPr>
                <w:rFonts w:ascii="Cambria" w:hAnsi="Cambria" w:cstheme="minorHAnsi"/>
              </w:rPr>
              <w:t>45.8</w:t>
            </w:r>
          </w:p>
        </w:tc>
        <w:tc>
          <w:tcPr>
            <w:tcW w:w="1816" w:type="dxa"/>
            <w:shd w:val="clear" w:color="auto" w:fill="FFFFFF" w:themeFill="background1"/>
            <w:noWrap/>
          </w:tcPr>
          <w:p w:rsidR="00541AA1" w:rsidRPr="0069719E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69719E">
              <w:rPr>
                <w:rFonts w:ascii="Cambria" w:hAnsi="Cambria" w:cstheme="minorHAnsi"/>
              </w:rPr>
              <w:t>66.7</w:t>
            </w:r>
          </w:p>
        </w:tc>
        <w:tc>
          <w:tcPr>
            <w:tcW w:w="1808" w:type="dxa"/>
            <w:shd w:val="clear" w:color="auto" w:fill="FFFFFF" w:themeFill="background1"/>
            <w:noWrap/>
          </w:tcPr>
          <w:p w:rsidR="00541AA1" w:rsidRPr="00DA2837" w:rsidRDefault="00541AA1" w:rsidP="00227ACB">
            <w:pPr>
              <w:jc w:val="both"/>
              <w:rPr>
                <w:rFonts w:ascii="Cambria" w:hAnsi="Cambria" w:cstheme="minorHAnsi"/>
              </w:rPr>
            </w:pPr>
            <w:r w:rsidRPr="0069719E">
              <w:rPr>
                <w:rFonts w:ascii="Cambria" w:hAnsi="Cambria" w:cstheme="minorHAnsi"/>
              </w:rPr>
              <w:t>75.0</w:t>
            </w:r>
          </w:p>
        </w:tc>
      </w:tr>
    </w:tbl>
    <w:p w:rsidR="00541AA1" w:rsidRPr="00F72A4B" w:rsidRDefault="00541AA1" w:rsidP="00541AA1">
      <w:pPr>
        <w:spacing w:after="0" w:line="360" w:lineRule="auto"/>
        <w:rPr>
          <w:sz w:val="24"/>
          <w:szCs w:val="24"/>
        </w:rPr>
      </w:pPr>
      <w:r w:rsidRPr="00F72A4B">
        <w:rPr>
          <w:sz w:val="24"/>
          <w:szCs w:val="24"/>
        </w:rPr>
        <w:br w:type="page"/>
      </w:r>
    </w:p>
    <w:p w:rsidR="00541AA1" w:rsidRPr="00345002" w:rsidRDefault="00541AA1" w:rsidP="00541AA1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345002">
        <w:rPr>
          <w:rFonts w:ascii="Cambria" w:hAnsi="Cambria"/>
          <w:b/>
          <w:sz w:val="24"/>
          <w:szCs w:val="24"/>
        </w:rPr>
        <w:lastRenderedPageBreak/>
        <w:t>Supplemental table 3</w:t>
      </w:r>
    </w:p>
    <w:p w:rsidR="00541AA1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45002">
        <w:rPr>
          <w:rFonts w:ascii="Cambria" w:hAnsi="Cambria"/>
          <w:sz w:val="24"/>
          <w:szCs w:val="24"/>
        </w:rPr>
        <w:t>Summary of comprehensive meta-analysis outcomes: SDM = Standard Difference in Means, 95% CI = 95% confidence interval, 95% PI = 95% prediction interval. Effects of ultraviolet radiation (UV), drought (D) and their combination (UV+D) are shown. Variables are grouped into two main categories characterising plant acclimation responses (grey cells; Prol = Proline content, Flavs = Flavonoid content, Antio = Antioxidant capacity, Anth = Anthocyanin content, Cars = Carotenoid content, LA = Leaf area, LMA = Leaf mass per area, H = Height, R/S = Root-to-shoot ratio), and stress responses (while cells; Stress = Stress markers, ROS = Reactive Oxygen Species, QY = Quantum yield of photosystem II photochemistry, Pn = Photosynthetic CO</w:t>
      </w:r>
      <w:r w:rsidRPr="00345002">
        <w:rPr>
          <w:rFonts w:ascii="Cambria" w:hAnsi="Cambria"/>
          <w:sz w:val="24"/>
          <w:szCs w:val="24"/>
          <w:vertAlign w:val="subscript"/>
        </w:rPr>
        <w:t>2</w:t>
      </w:r>
      <w:r w:rsidRPr="00345002">
        <w:rPr>
          <w:rFonts w:ascii="Cambria" w:hAnsi="Cambria"/>
          <w:sz w:val="24"/>
          <w:szCs w:val="24"/>
        </w:rPr>
        <w:t xml:space="preserve"> assimilation rate, Cond = Stomatal conductance, LWC = Leaf water content, Chls = Chlorophyll content, Mass = Plant biomass).</w:t>
      </w:r>
      <w:r>
        <w:rPr>
          <w:rFonts w:ascii="Cambria" w:hAnsi="Cambria"/>
          <w:sz w:val="24"/>
          <w:szCs w:val="24"/>
        </w:rPr>
        <w:t xml:space="preserve"> Bold</w:t>
      </w:r>
      <w:r w:rsidRPr="00FB36BE">
        <w:rPr>
          <w:rFonts w:ascii="Cambria" w:hAnsi="Cambria"/>
          <w:sz w:val="24"/>
          <w:szCs w:val="24"/>
        </w:rPr>
        <w:t xml:space="preserve"> rows (</w:t>
      </w:r>
      <w:r w:rsidRPr="00320962">
        <w:rPr>
          <w:rFonts w:ascii="Cambria" w:hAnsi="Cambria"/>
          <w:b/>
          <w:sz w:val="24"/>
          <w:szCs w:val="24"/>
        </w:rPr>
        <w:t>Antio</w:t>
      </w:r>
      <w:r w:rsidRPr="00320962">
        <w:rPr>
          <w:rFonts w:ascii="Cambria" w:hAnsi="Cambria"/>
          <w:b/>
          <w:sz w:val="24"/>
          <w:szCs w:val="24"/>
          <w:lang w:val="en-US"/>
        </w:rPr>
        <w:t xml:space="preserve">* </w:t>
      </w:r>
      <w:r w:rsidRPr="00320962">
        <w:rPr>
          <w:rFonts w:ascii="Cambria" w:hAnsi="Cambria"/>
          <w:sz w:val="24"/>
          <w:szCs w:val="24"/>
          <w:lang w:val="en-US"/>
        </w:rPr>
        <w:t>and</w:t>
      </w:r>
      <w:r w:rsidRPr="00320962">
        <w:rPr>
          <w:rFonts w:ascii="Cambria" w:hAnsi="Cambria"/>
          <w:b/>
          <w:sz w:val="24"/>
          <w:szCs w:val="24"/>
          <w:lang w:val="en-US"/>
        </w:rPr>
        <w:t xml:space="preserve"> Mass*</w:t>
      </w:r>
      <w:r w:rsidRPr="00FB36BE">
        <w:rPr>
          <w:rFonts w:ascii="Cambria" w:hAnsi="Cambria"/>
          <w:sz w:val="24"/>
          <w:szCs w:val="24"/>
          <w:lang w:val="cs-CZ"/>
        </w:rPr>
        <w:t xml:space="preserve">) </w:t>
      </w:r>
      <w:r w:rsidRPr="00FB36BE">
        <w:rPr>
          <w:rFonts w:ascii="Cambria" w:hAnsi="Cambria"/>
          <w:sz w:val="24"/>
          <w:szCs w:val="24"/>
          <w:lang w:val="en-GB"/>
        </w:rPr>
        <w:t>indicate</w:t>
      </w:r>
      <w:r w:rsidRPr="00FB36BE">
        <w:rPr>
          <w:rFonts w:ascii="Cambria" w:hAnsi="Cambria"/>
          <w:sz w:val="24"/>
          <w:szCs w:val="24"/>
          <w:lang w:val="cs-CZ"/>
        </w:rPr>
        <w:t xml:space="preserve"> </w:t>
      </w:r>
      <w:r w:rsidRPr="00FB36BE">
        <w:rPr>
          <w:rFonts w:ascii="Cambria" w:hAnsi="Cambria"/>
          <w:sz w:val="24"/>
          <w:szCs w:val="24"/>
        </w:rPr>
        <w:t>additional analyses whereby duplicate (or triplicate) entries were removed from the “antioxidant” and “biomass” datasets.</w:t>
      </w:r>
    </w:p>
    <w:p w:rsidR="00541AA1" w:rsidRPr="00F72A4B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tbl>
      <w:tblPr>
        <w:tblW w:w="7386" w:type="dxa"/>
        <w:tblLook w:val="04A0" w:firstRow="1" w:lastRow="0" w:firstColumn="1" w:lastColumn="0" w:noHBand="0" w:noVBand="1"/>
      </w:tblPr>
      <w:tblGrid>
        <w:gridCol w:w="1413"/>
        <w:gridCol w:w="1153"/>
        <w:gridCol w:w="1134"/>
        <w:gridCol w:w="1263"/>
        <w:gridCol w:w="1289"/>
        <w:gridCol w:w="1134"/>
      </w:tblGrid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center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SDM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center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95% CI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center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95% PI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UV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 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Prol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1.63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2.99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Flavs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1.66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2.60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5.09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Antio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1.73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3.13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5.90</w:t>
            </w:r>
          </w:p>
        </w:tc>
      </w:tr>
      <w:tr w:rsidR="00541AA1" w:rsidRPr="00722345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722345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lang w:val="cs-CZ"/>
              </w:rPr>
            </w:pPr>
            <w:r w:rsidRPr="00722345">
              <w:rPr>
                <w:rFonts w:ascii="Cambria" w:eastAsia="Times New Roman" w:hAnsi="Cambria" w:cs="Calibri"/>
                <w:b/>
                <w:lang w:val="en-US"/>
              </w:rPr>
              <w:t>Antio*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722345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722345">
              <w:rPr>
                <w:rFonts w:ascii="Cambria" w:eastAsia="Times New Roman" w:hAnsi="Cambria" w:cs="Calibri"/>
                <w:b/>
                <w:lang w:val="en-US"/>
              </w:rPr>
              <w:t>2.02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722345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722345">
              <w:rPr>
                <w:rFonts w:ascii="Cambria" w:eastAsia="Times New Roman" w:hAnsi="Cambria" w:cs="Calibri"/>
                <w:b/>
                <w:lang w:val="en-US"/>
              </w:rPr>
              <w:t>1.27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722345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722345">
              <w:rPr>
                <w:rFonts w:ascii="Cambria" w:eastAsia="Times New Roman" w:hAnsi="Cambria" w:cs="Calibri"/>
                <w:b/>
                <w:lang w:val="en-US"/>
              </w:rPr>
              <w:t>2.77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722345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722345">
              <w:rPr>
                <w:rFonts w:ascii="Cambria" w:eastAsia="Times New Roman" w:hAnsi="Cambria" w:cs="Calibri"/>
                <w:b/>
                <w:lang w:val="en-US"/>
              </w:rPr>
              <w:t>1.24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722345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722345">
              <w:rPr>
                <w:rFonts w:ascii="Cambria" w:eastAsia="Times New Roman" w:hAnsi="Cambria" w:cs="Calibri"/>
                <w:b/>
                <w:lang w:val="en-US"/>
              </w:rPr>
              <w:t>5.28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Anth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2.20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4.18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7.36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Cars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0.17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0.92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3.93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LA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-1.17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-0.41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0.82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LMA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-0.21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0.93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2.31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H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-1.08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-1.66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-0.50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-3.38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1.21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R/S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0.71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1.45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Stress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1.43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2.93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5.69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ROS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1.78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3.57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5.26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QY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-1.31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-0.16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1.78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Pn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-1.32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-0.44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1.28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Cond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-1.32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-0.60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0.94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LWC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-0.68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0.58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Chls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-1.48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-0.51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1,12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Mass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0.66</w:t>
            </w:r>
          </w:p>
        </w:tc>
      </w:tr>
      <w:tr w:rsidR="00541AA1" w:rsidRPr="0032096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Mass*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-1.56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cs-CZ"/>
              </w:rPr>
              <w:t>-2.05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-1.08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-4.03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0.91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Drought (D)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Prol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1.88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3.07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4.76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Flavs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-0.02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0.87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3.96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Antio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0.33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1.32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3.22</w:t>
            </w:r>
          </w:p>
        </w:tc>
      </w:tr>
      <w:tr w:rsidR="00541AA1" w:rsidRPr="0032096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Antio*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0.62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0.20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1.21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-1.90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3.13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Anth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0.03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1.69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3.03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Cars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-0.69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0.84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1.12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lastRenderedPageBreak/>
              <w:t>LA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-2.46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-1.38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-4.43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0.59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LMA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-0.37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0.79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2.66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H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-1.68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-2.29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-1.07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4500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-4.05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345002">
              <w:rPr>
                <w:rFonts w:ascii="Cambria" w:eastAsia="Times New Roman" w:hAnsi="Cambria" w:cs="Calibri"/>
                <w:lang w:val="en-US"/>
              </w:rPr>
              <w:t>0.70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R/S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2.70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4.47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Stress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3.48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5.86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ROS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1.51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3.63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5.92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QY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-2.23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-5.27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1.99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Pn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-1.63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-5.76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1.58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Cond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-2.97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-1.81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-5.81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1.03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LWC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-2.29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-1.49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-4.10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0.33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Chls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-0.60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0.34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2.04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Mass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-5.49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0.43</w:t>
            </w:r>
          </w:p>
        </w:tc>
      </w:tr>
      <w:tr w:rsidR="00541AA1" w:rsidRPr="0032096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Mass*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-2.69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-3.33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-2.04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-6.07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0.70</w:t>
            </w:r>
          </w:p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UV+D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bCs/>
                <w:lang w:val="en-US"/>
              </w:rPr>
            </w:pPr>
            <w:r w:rsidRPr="006C54D2">
              <w:rPr>
                <w:rFonts w:ascii="Cambria" w:eastAsia="Times New Roman" w:hAnsi="Cambria" w:cs="Calibri"/>
                <w:b/>
                <w:bCs/>
                <w:lang w:val="en-US"/>
              </w:rPr>
              <w:t> 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Prol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1.74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2.93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4.82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Flavs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1.45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2.40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5.28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Antio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1.91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3.20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6.01</w:t>
            </w:r>
          </w:p>
        </w:tc>
      </w:tr>
      <w:tr w:rsidR="00541AA1" w:rsidRPr="0032096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Antio*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2.05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1.36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2.75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-0.86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4.97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Anth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1.36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3.22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5.13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Cars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0.16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.90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3.86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LA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-2.84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-1.73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-5.20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0.63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LMA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3.41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10743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10743">
              <w:rPr>
                <w:rFonts w:ascii="Cambria" w:eastAsia="Times New Roman" w:hAnsi="Cambria" w:cs="Calibri"/>
                <w:lang w:val="en-US"/>
              </w:rPr>
              <w:t>H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10743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10743">
              <w:rPr>
                <w:rFonts w:ascii="Cambria" w:eastAsia="Times New Roman" w:hAnsi="Cambria" w:cs="Calibri"/>
                <w:lang w:val="en-US"/>
              </w:rPr>
              <w:t>-1.50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10743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10743">
              <w:rPr>
                <w:rFonts w:ascii="Cambria" w:eastAsia="Times New Roman" w:hAnsi="Cambria" w:cs="Calibri"/>
                <w:lang w:val="en-US"/>
              </w:rPr>
              <w:t>-2.11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10743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10743">
              <w:rPr>
                <w:rFonts w:ascii="Cambria" w:eastAsia="Times New Roman" w:hAnsi="Cambria" w:cs="Calibri"/>
                <w:lang w:val="en-US"/>
              </w:rPr>
              <w:t>-0.90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10743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10743">
              <w:rPr>
                <w:rFonts w:ascii="Cambria" w:eastAsia="Times New Roman" w:hAnsi="Cambria" w:cs="Calibri"/>
                <w:lang w:val="en-US"/>
              </w:rPr>
              <w:t>-4.21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10743">
              <w:rPr>
                <w:rFonts w:ascii="Cambria" w:eastAsia="Times New Roman" w:hAnsi="Cambria" w:cs="Calibri"/>
                <w:lang w:val="en-US"/>
              </w:rPr>
              <w:t>1.20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R/S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0.18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7.24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Stress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1.28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3.08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6.04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ROS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1.51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3.63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5.92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QY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-2.17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-0.98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-5.96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2.81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Pn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-2.52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-1.58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-5.42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1.32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Cond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-3.35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-2.09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-6.42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1.00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LWC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-1.97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-1.19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0.24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Chls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-1.19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-0.22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2.10</w:t>
            </w:r>
          </w:p>
        </w:tc>
      </w:tr>
      <w:tr w:rsidR="00541AA1" w:rsidRPr="006C54D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Mass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-3.26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-2.31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-5.83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41AA1" w:rsidRPr="006C54D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lang w:val="en-US"/>
              </w:rPr>
            </w:pPr>
            <w:r w:rsidRPr="006C54D2">
              <w:rPr>
                <w:rFonts w:ascii="Cambria" w:eastAsia="Times New Roman" w:hAnsi="Cambria" w:cs="Calibri"/>
                <w:lang w:val="en-US"/>
              </w:rPr>
              <w:t>0.26</w:t>
            </w:r>
          </w:p>
        </w:tc>
      </w:tr>
      <w:tr w:rsidR="00541AA1" w:rsidRPr="00320962" w:rsidTr="00227ACB">
        <w:trPr>
          <w:trHeight w:hRule="exact" w:val="3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Mass*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ind w:right="31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-3.18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-3.93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-2.43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-7.08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41AA1" w:rsidRPr="00320962" w:rsidRDefault="00541AA1" w:rsidP="00227ACB">
            <w:pPr>
              <w:spacing w:after="0" w:line="360" w:lineRule="auto"/>
              <w:jc w:val="right"/>
              <w:rPr>
                <w:rFonts w:ascii="Cambria" w:eastAsia="Times New Roman" w:hAnsi="Cambria" w:cs="Calibri"/>
                <w:b/>
                <w:lang w:val="en-US"/>
              </w:rPr>
            </w:pPr>
            <w:r w:rsidRPr="00320962">
              <w:rPr>
                <w:rFonts w:ascii="Cambria" w:eastAsia="Times New Roman" w:hAnsi="Cambria" w:cs="Calibri"/>
                <w:b/>
                <w:lang w:val="en-US"/>
              </w:rPr>
              <w:t>0.73</w:t>
            </w:r>
          </w:p>
        </w:tc>
      </w:tr>
    </w:tbl>
    <w:p w:rsidR="00541AA1" w:rsidRPr="00F72A4B" w:rsidRDefault="00541AA1" w:rsidP="00541AA1">
      <w:pPr>
        <w:spacing w:after="0" w:line="360" w:lineRule="auto"/>
        <w:rPr>
          <w:rFonts w:ascii="Cambria" w:hAnsi="Cambria"/>
          <w:b/>
          <w:sz w:val="24"/>
          <w:szCs w:val="24"/>
        </w:rPr>
      </w:pPr>
      <w:r w:rsidRPr="00F72A4B">
        <w:rPr>
          <w:rFonts w:ascii="Cambria" w:hAnsi="Cambria"/>
          <w:b/>
          <w:sz w:val="24"/>
          <w:szCs w:val="24"/>
        </w:rPr>
        <w:br w:type="page"/>
      </w:r>
    </w:p>
    <w:p w:rsidR="00541AA1" w:rsidRPr="00610743" w:rsidRDefault="00541AA1" w:rsidP="00541AA1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610743">
        <w:rPr>
          <w:rFonts w:ascii="Cambria" w:hAnsi="Cambria"/>
          <w:b/>
          <w:sz w:val="24"/>
          <w:szCs w:val="24"/>
        </w:rPr>
        <w:lastRenderedPageBreak/>
        <w:t>Supplemental table 4</w:t>
      </w:r>
    </w:p>
    <w:p w:rsidR="00541AA1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610743">
        <w:rPr>
          <w:rFonts w:ascii="Cambria" w:hAnsi="Cambria"/>
          <w:sz w:val="24"/>
          <w:szCs w:val="24"/>
        </w:rPr>
        <w:t xml:space="preserve">Summary of slopes and intercepts of linear regression between observed and predicted values for individual variables, and their statistically significant differences from 1:1_fit. </w:t>
      </w:r>
      <w:r w:rsidRPr="00610743">
        <w:rPr>
          <w:sz w:val="24"/>
          <w:szCs w:val="24"/>
        </w:rPr>
        <w:t xml:space="preserve">Variables are grouped into two main categories characterising </w:t>
      </w:r>
      <w:r w:rsidRPr="00610743">
        <w:rPr>
          <w:rFonts w:ascii="Cambria" w:hAnsi="Cambria"/>
          <w:sz w:val="24"/>
          <w:szCs w:val="24"/>
        </w:rPr>
        <w:t>plant acclimation</w:t>
      </w:r>
      <w:r w:rsidRPr="00610743">
        <w:rPr>
          <w:sz w:val="24"/>
          <w:szCs w:val="24"/>
        </w:rPr>
        <w:t xml:space="preserve"> responses (</w:t>
      </w:r>
      <w:r w:rsidRPr="00610743">
        <w:rPr>
          <w:rFonts w:ascii="Cambria" w:hAnsi="Cambria"/>
          <w:sz w:val="24"/>
          <w:szCs w:val="24"/>
        </w:rPr>
        <w:t xml:space="preserve">Prol = Proline content, Flavs = Flavonoid content, Antio = Antioxidant capacity, Anth = Anthocyanin content, Cars = Carotenoid content, LMA = Leaf mass per area, LA = Leaf area, H = Plant height, R/S = Root-to-shoot ratio), and </w:t>
      </w:r>
      <w:r w:rsidRPr="00610743">
        <w:rPr>
          <w:sz w:val="24"/>
          <w:szCs w:val="24"/>
        </w:rPr>
        <w:t>plant stress responses (</w:t>
      </w:r>
      <w:r w:rsidRPr="00610743">
        <w:rPr>
          <w:rFonts w:ascii="Cambria" w:hAnsi="Cambria"/>
          <w:sz w:val="24"/>
          <w:szCs w:val="24"/>
        </w:rPr>
        <w:t xml:space="preserve">Stress = Stress markers content, ROS = Reactive Oxygen Species, Pn = Photosynthetic </w:t>
      </w:r>
      <w:r w:rsidRPr="00610743">
        <w:rPr>
          <w:rFonts w:ascii="Cambria" w:hAnsi="Cambria"/>
          <w:sz w:val="24"/>
          <w:szCs w:val="24"/>
          <w:lang w:val="en-GB"/>
        </w:rPr>
        <w:t>CO</w:t>
      </w:r>
      <w:r w:rsidRPr="00610743">
        <w:rPr>
          <w:rFonts w:ascii="Cambria" w:hAnsi="Cambria"/>
          <w:sz w:val="24"/>
          <w:szCs w:val="24"/>
          <w:vertAlign w:val="subscript"/>
          <w:lang w:val="en-GB"/>
        </w:rPr>
        <w:t>2</w:t>
      </w:r>
      <w:r w:rsidRPr="00610743">
        <w:rPr>
          <w:rFonts w:ascii="Cambria" w:hAnsi="Cambria"/>
          <w:sz w:val="24"/>
          <w:szCs w:val="24"/>
          <w:lang w:val="en-GB"/>
        </w:rPr>
        <w:t xml:space="preserve"> assimilation rate</w:t>
      </w:r>
      <w:r w:rsidRPr="00610743">
        <w:rPr>
          <w:rFonts w:ascii="Cambria" w:hAnsi="Cambria"/>
          <w:sz w:val="24"/>
          <w:szCs w:val="24"/>
        </w:rPr>
        <w:t xml:space="preserve">, QY = </w:t>
      </w:r>
      <w:r w:rsidRPr="00610743">
        <w:rPr>
          <w:rFonts w:ascii="Cambria" w:hAnsi="Cambria"/>
          <w:sz w:val="24"/>
          <w:szCs w:val="24"/>
          <w:lang w:val="en-GB"/>
        </w:rPr>
        <w:t xml:space="preserve">= Quantum yield of photosystem II photochemistry, </w:t>
      </w:r>
      <w:r w:rsidRPr="00610743">
        <w:rPr>
          <w:rFonts w:ascii="Cambria" w:hAnsi="Cambria"/>
          <w:sz w:val="24"/>
          <w:szCs w:val="24"/>
        </w:rPr>
        <w:t xml:space="preserve">Cond = Stomatal conductance, LWC = Leaf water content, Chls = Chlorophyll content, Mass = Plant biomass). DF = Degree of freedom, </w:t>
      </w:r>
      <w:proofErr w:type="gramStart"/>
      <w:r w:rsidRPr="00610743">
        <w:rPr>
          <w:rFonts w:ascii="Cambria" w:hAnsi="Cambria"/>
          <w:sz w:val="24"/>
          <w:szCs w:val="24"/>
        </w:rPr>
        <w:t>s.e</w:t>
      </w:r>
      <w:proofErr w:type="gramEnd"/>
      <w:r w:rsidRPr="00610743">
        <w:rPr>
          <w:rFonts w:ascii="Cambria" w:hAnsi="Cambria"/>
          <w:sz w:val="24"/>
          <w:szCs w:val="24"/>
        </w:rPr>
        <w:t>. = standard error; statistically significant differences in slopes and intercepts between 1:1_fit and best-linear_fit are shown in bold (p).</w:t>
      </w:r>
    </w:p>
    <w:p w:rsidR="00541AA1" w:rsidRPr="00F72A4B" w:rsidRDefault="00541AA1" w:rsidP="00541AA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541AA1" w:rsidRPr="00F72A4B" w:rsidRDefault="00541AA1" w:rsidP="00541AA1">
      <w:pPr>
        <w:spacing w:after="0" w:line="360" w:lineRule="auto"/>
        <w:rPr>
          <w:rFonts w:ascii="Cambria" w:hAnsi="Cambria"/>
          <w:b/>
          <w:sz w:val="24"/>
          <w:szCs w:val="24"/>
          <w:u w:val="single"/>
        </w:rPr>
      </w:pPr>
      <w:r w:rsidRPr="00F52EA5">
        <w:rPr>
          <w:noProof/>
          <w:lang w:eastAsia="en-IN"/>
        </w:rPr>
        <w:drawing>
          <wp:inline distT="0" distB="0" distL="0" distR="0" wp14:anchorId="3C0BE61A" wp14:editId="2F8746C4">
            <wp:extent cx="5731510" cy="3048676"/>
            <wp:effectExtent l="0" t="0" r="254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4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AA1" w:rsidRDefault="00541AA1" w:rsidP="00541AA1">
      <w:pPr>
        <w:spacing w:after="0" w:line="360" w:lineRule="auto"/>
        <w:rPr>
          <w:rFonts w:ascii="Cambria" w:hAnsi="Cambria"/>
          <w:sz w:val="24"/>
          <w:szCs w:val="24"/>
        </w:rPr>
      </w:pPr>
    </w:p>
    <w:p w:rsidR="00541AA1" w:rsidRDefault="00541AA1" w:rsidP="00541AA1">
      <w:pPr>
        <w:spacing w:after="0" w:line="360" w:lineRule="auto"/>
        <w:rPr>
          <w:rFonts w:ascii="Cambria" w:hAnsi="Cambria"/>
          <w:sz w:val="24"/>
          <w:szCs w:val="24"/>
        </w:rPr>
      </w:pPr>
    </w:p>
    <w:p w:rsidR="00FD6185" w:rsidRDefault="00FD6185">
      <w:bookmarkStart w:id="0" w:name="_GoBack"/>
      <w:bookmarkEnd w:id="0"/>
    </w:p>
    <w:sectPr w:rsidR="00FD6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revisionView w:markup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AA1"/>
    <w:rsid w:val="002B478F"/>
    <w:rsid w:val="00541AA1"/>
    <w:rsid w:val="00E70BE7"/>
    <w:rsid w:val="00FD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1AA1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1AA1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Sneha Rawat</dc:creator>
  <cp:lastModifiedBy>Sneha Rawat</cp:lastModifiedBy>
  <cp:revision>1</cp:revision>
  <dcterms:created xsi:type="dcterms:W3CDTF">2021-11-15T03:59:00Z</dcterms:created>
  <dcterms:modified xsi:type="dcterms:W3CDTF">2021-11-15T04:00:00Z</dcterms:modified>
</cp:coreProperties>
</file>