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C82A0" w14:textId="57A89E29" w:rsidR="009127E6" w:rsidRDefault="009127E6" w:rsidP="009127E6">
      <w:pPr>
        <w:keepNext/>
        <w:spacing w:after="0" w:line="480" w:lineRule="auto"/>
        <w:jc w:val="center"/>
      </w:pPr>
      <w:bookmarkStart w:id="0" w:name="_GoBack"/>
      <w:bookmarkEnd w:id="0"/>
    </w:p>
    <w:p w14:paraId="03B5A3B2" w14:textId="77777777" w:rsidR="001A4AA0" w:rsidRDefault="001A4AA0" w:rsidP="001A4AA0">
      <w:pPr>
        <w:spacing w:line="240" w:lineRule="auto"/>
      </w:pPr>
      <w:r w:rsidRPr="00294EDB">
        <w:rPr>
          <w:b/>
          <w:sz w:val="28"/>
          <w:szCs w:val="28"/>
        </w:rPr>
        <w:t>Appendix 1</w:t>
      </w:r>
      <w:r>
        <w:rPr>
          <w:b/>
          <w:sz w:val="28"/>
          <w:szCs w:val="28"/>
        </w:rPr>
        <w:t xml:space="preserve"> –NIR spectra data set</w:t>
      </w:r>
      <w:r w:rsidRPr="00C85CA5">
        <w:t xml:space="preserve"> </w:t>
      </w:r>
    </w:p>
    <w:p w14:paraId="6A55920B" w14:textId="64345B33" w:rsidR="00E35BB1" w:rsidRPr="00F95C03" w:rsidRDefault="00E35BB1" w:rsidP="001A4AA0">
      <w:pPr>
        <w:spacing w:after="0" w:line="240" w:lineRule="auto"/>
        <w:jc w:val="both"/>
        <w:rPr>
          <w:sz w:val="16"/>
          <w:szCs w:val="16"/>
        </w:rPr>
      </w:pPr>
      <w:r w:rsidRPr="00F95C03">
        <w:rPr>
          <w:sz w:val="16"/>
          <w:szCs w:val="16"/>
        </w:rPr>
        <w:t>The dataset consists of</w:t>
      </w:r>
      <w:r w:rsidR="001A4AA0" w:rsidRPr="00F95C03">
        <w:rPr>
          <w:sz w:val="16"/>
          <w:szCs w:val="16"/>
        </w:rPr>
        <w:t xml:space="preserve"> 60 NIR spectra for ribbons produced at 24 different </w:t>
      </w:r>
      <w:r w:rsidRPr="00F95C03">
        <w:rPr>
          <w:sz w:val="16"/>
          <w:szCs w:val="16"/>
        </w:rPr>
        <w:t xml:space="preserve">Roll Force/Blend </w:t>
      </w:r>
      <w:r w:rsidR="001A4AA0" w:rsidRPr="00F95C03">
        <w:rPr>
          <w:sz w:val="16"/>
          <w:szCs w:val="16"/>
        </w:rPr>
        <w:t xml:space="preserve">combinations. For each of these Roll Force/Blend combinations, a sample </w:t>
      </w:r>
      <w:r w:rsidRPr="00F95C03">
        <w:rPr>
          <w:sz w:val="16"/>
          <w:szCs w:val="16"/>
        </w:rPr>
        <w:t xml:space="preserve">of </w:t>
      </w:r>
      <w:r w:rsidR="001A4AA0" w:rsidRPr="00F95C03">
        <w:rPr>
          <w:sz w:val="16"/>
          <w:szCs w:val="16"/>
        </w:rPr>
        <w:t>3 ribbon sections were selected and scanned 5 times under MultiEye™ (NIR Spectrometer) using 4 probes at 29 wav</w:t>
      </w:r>
      <w:r w:rsidR="00697104">
        <w:rPr>
          <w:sz w:val="16"/>
          <w:szCs w:val="16"/>
        </w:rPr>
        <w:t>elengths (1550−</w:t>
      </w:r>
      <w:r w:rsidR="001A4AA0" w:rsidRPr="00F95C03">
        <w:rPr>
          <w:sz w:val="16"/>
          <w:szCs w:val="16"/>
        </w:rPr>
        <w:t>2110 nm in steps of 20 nm</w:t>
      </w:r>
      <w:r w:rsidRPr="00F95C03">
        <w:rPr>
          <w:sz w:val="16"/>
          <w:szCs w:val="16"/>
        </w:rPr>
        <w:t>)</w:t>
      </w:r>
      <w:r w:rsidR="001A4AA0" w:rsidRPr="00F95C03">
        <w:rPr>
          <w:sz w:val="16"/>
          <w:szCs w:val="16"/>
        </w:rPr>
        <w:t xml:space="preserve">. </w:t>
      </w:r>
      <w:r w:rsidRPr="00F95C03">
        <w:rPr>
          <w:sz w:val="16"/>
          <w:szCs w:val="16"/>
        </w:rPr>
        <w:t>T</w:t>
      </w:r>
      <w:r w:rsidR="001A4AA0" w:rsidRPr="00F95C03">
        <w:rPr>
          <w:sz w:val="16"/>
          <w:szCs w:val="16"/>
        </w:rPr>
        <w:t>h</w:t>
      </w:r>
      <w:r w:rsidRPr="00F95C03">
        <w:rPr>
          <w:sz w:val="16"/>
          <w:szCs w:val="16"/>
        </w:rPr>
        <w:t>e 3</w:t>
      </w:r>
      <w:r w:rsidR="001A4AA0" w:rsidRPr="00F95C03">
        <w:rPr>
          <w:sz w:val="16"/>
          <w:szCs w:val="16"/>
        </w:rPr>
        <w:t xml:space="preserve"> blends </w:t>
      </w:r>
      <w:r w:rsidRPr="00F95C03">
        <w:rPr>
          <w:sz w:val="16"/>
          <w:szCs w:val="16"/>
        </w:rPr>
        <w:t xml:space="preserve">differed only in the storage conditions </w:t>
      </w:r>
      <w:r w:rsidR="001A4AA0" w:rsidRPr="00F95C03">
        <w:rPr>
          <w:sz w:val="16"/>
          <w:szCs w:val="16"/>
        </w:rPr>
        <w:t>of microcrystalline cellulose</w:t>
      </w:r>
      <w:r w:rsidRPr="00F95C03">
        <w:rPr>
          <w:sz w:val="16"/>
          <w:szCs w:val="16"/>
        </w:rPr>
        <w:t xml:space="preserve"> (MCC) prior to blending</w:t>
      </w:r>
      <w:r w:rsidR="001A4AA0" w:rsidRPr="00F95C03">
        <w:rPr>
          <w:sz w:val="16"/>
          <w:szCs w:val="16"/>
        </w:rPr>
        <w:t xml:space="preserve"> </w:t>
      </w:r>
      <w:r w:rsidRPr="00F95C03">
        <w:rPr>
          <w:sz w:val="16"/>
          <w:szCs w:val="16"/>
        </w:rPr>
        <w:t>(low (11% RH/20</w:t>
      </w:r>
      <w:r w:rsidRPr="00F95C03">
        <w:rPr>
          <w:sz w:val="16"/>
          <w:szCs w:val="16"/>
          <w:vertAlign w:val="superscript"/>
        </w:rPr>
        <w:t>o</w:t>
      </w:r>
      <w:r w:rsidRPr="00F95C03">
        <w:rPr>
          <w:sz w:val="16"/>
          <w:szCs w:val="16"/>
        </w:rPr>
        <w:t>C), ambient (41% RH/20</w:t>
      </w:r>
      <w:r w:rsidRPr="00F95C03">
        <w:rPr>
          <w:sz w:val="16"/>
          <w:szCs w:val="16"/>
          <w:vertAlign w:val="superscript"/>
        </w:rPr>
        <w:t>o</w:t>
      </w:r>
      <w:r w:rsidRPr="00F95C03">
        <w:rPr>
          <w:sz w:val="16"/>
          <w:szCs w:val="16"/>
        </w:rPr>
        <w:t>C), and high (75% RH/40</w:t>
      </w:r>
      <w:r w:rsidRPr="00F95C03">
        <w:rPr>
          <w:sz w:val="16"/>
          <w:szCs w:val="16"/>
          <w:vertAlign w:val="superscript"/>
        </w:rPr>
        <w:t>o</w:t>
      </w:r>
      <w:r w:rsidRPr="00F95C03">
        <w:rPr>
          <w:sz w:val="16"/>
          <w:szCs w:val="16"/>
        </w:rPr>
        <w:t>C))</w:t>
      </w:r>
      <w:r w:rsidR="00F95C03" w:rsidRPr="00F95C03">
        <w:rPr>
          <w:sz w:val="16"/>
          <w:szCs w:val="16"/>
        </w:rPr>
        <w:t xml:space="preserve"> relative humidity</w:t>
      </w:r>
      <w:r w:rsidRPr="00F95C03">
        <w:rPr>
          <w:sz w:val="16"/>
          <w:szCs w:val="16"/>
        </w:rPr>
        <w:t xml:space="preserve">. Blends were compacted </w:t>
      </w:r>
      <w:r w:rsidR="001A4AA0" w:rsidRPr="00F95C03">
        <w:rPr>
          <w:sz w:val="16"/>
          <w:szCs w:val="16"/>
        </w:rPr>
        <w:t>at 8 rol</w:t>
      </w:r>
      <w:r w:rsidRPr="00F95C03">
        <w:rPr>
          <w:sz w:val="16"/>
          <w:szCs w:val="16"/>
        </w:rPr>
        <w:t>l force settings</w:t>
      </w:r>
      <w:r w:rsidR="00F95C03" w:rsidRPr="00F95C03">
        <w:rPr>
          <w:sz w:val="16"/>
          <w:szCs w:val="16"/>
        </w:rPr>
        <w:t xml:space="preserve"> which increased in intervals of 2 kN/cm between 2 – 16 kN/cm</w:t>
      </w:r>
      <w:r w:rsidRPr="00F95C03">
        <w:rPr>
          <w:sz w:val="16"/>
          <w:szCs w:val="16"/>
        </w:rPr>
        <w:t>.</w:t>
      </w:r>
    </w:p>
    <w:p w14:paraId="6FD09A8B" w14:textId="026A654E" w:rsidR="001A4AA0" w:rsidRPr="00F95C03" w:rsidRDefault="00E35BB1" w:rsidP="001A4AA0">
      <w:pPr>
        <w:spacing w:after="0" w:line="240" w:lineRule="auto"/>
        <w:jc w:val="both"/>
        <w:rPr>
          <w:sz w:val="16"/>
          <w:szCs w:val="16"/>
        </w:rPr>
      </w:pPr>
      <w:r w:rsidRPr="00F95C03">
        <w:rPr>
          <w:sz w:val="16"/>
          <w:szCs w:val="16"/>
        </w:rPr>
        <w:t>Left panel shows spectra by acquisition</w:t>
      </w:r>
      <w:r w:rsidR="001A4AA0" w:rsidRPr="00F95C03">
        <w:rPr>
          <w:sz w:val="16"/>
          <w:szCs w:val="16"/>
        </w:rPr>
        <w:t xml:space="preserve"> probes: Probe 1=Red, Probe 2=Green, Probe 3=Blue, Probe 4=Pink.</w:t>
      </w:r>
    </w:p>
    <w:p w14:paraId="30C5AB93" w14:textId="5FC2D680" w:rsidR="001A4AA0" w:rsidRPr="00F95C03" w:rsidRDefault="001A4AA0" w:rsidP="001A4AA0">
      <w:pPr>
        <w:spacing w:after="0" w:line="240" w:lineRule="auto"/>
        <w:rPr>
          <w:sz w:val="16"/>
          <w:szCs w:val="16"/>
        </w:rPr>
      </w:pPr>
      <w:r w:rsidRPr="00F95C03">
        <w:rPr>
          <w:sz w:val="16"/>
          <w:szCs w:val="16"/>
        </w:rPr>
        <w:t>Right panels</w:t>
      </w:r>
      <w:r w:rsidR="00A17784">
        <w:rPr>
          <w:sz w:val="16"/>
          <w:szCs w:val="16"/>
        </w:rPr>
        <w:t xml:space="preserve"> shows spectra </w:t>
      </w:r>
      <w:r w:rsidR="00E35BB1" w:rsidRPr="00F95C03">
        <w:rPr>
          <w:sz w:val="16"/>
          <w:szCs w:val="16"/>
        </w:rPr>
        <w:t>by ribbon sample: Sample 1 = Black, Sample 2= Red, Sample 3= Green</w:t>
      </w:r>
    </w:p>
    <w:p w14:paraId="2A540197" w14:textId="77777777" w:rsidR="001A4AA0" w:rsidRPr="00F95C03" w:rsidRDefault="001A4AA0" w:rsidP="001A4AA0">
      <w:pPr>
        <w:rPr>
          <w:b/>
          <w:sz w:val="16"/>
          <w:szCs w:val="16"/>
        </w:rPr>
      </w:pPr>
    </w:p>
    <w:p w14:paraId="691377D3" w14:textId="2CBEA706" w:rsidR="00135C3C" w:rsidRDefault="002026D2" w:rsidP="00F95C03">
      <w:pPr>
        <w:spacing w:line="240" w:lineRule="auto"/>
      </w:pPr>
      <w:r w:rsidRPr="00126F05">
        <w:rPr>
          <w:noProof/>
          <w:lang w:eastAsia="en-IE"/>
        </w:rPr>
        <w:drawing>
          <wp:inline distT="0" distB="0" distL="0" distR="0" wp14:anchorId="4BF34B48" wp14:editId="4F9BF2CE">
            <wp:extent cx="9705975" cy="418463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39" cy="41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76E6" w14:textId="77777777" w:rsidR="005F269B" w:rsidRDefault="005F269B">
      <w:pPr>
        <w:sectPr w:rsidR="005F269B" w:rsidSect="001A4AA0">
          <w:footerReference w:type="default" r:id="rId7"/>
          <w:pgSz w:w="16838" w:h="11906" w:orient="landscape"/>
          <w:pgMar w:top="1440" w:right="820" w:bottom="1440" w:left="709" w:header="708" w:footer="708" w:gutter="0"/>
          <w:cols w:space="708"/>
          <w:docGrid w:linePitch="360"/>
        </w:sectPr>
      </w:pPr>
    </w:p>
    <w:p w14:paraId="21E73098" w14:textId="203FBEE6" w:rsidR="005F269B" w:rsidRPr="00F95C03" w:rsidRDefault="005F269B" w:rsidP="005F269B">
      <w:pPr>
        <w:spacing w:line="240" w:lineRule="auto"/>
        <w:rPr>
          <w:b/>
        </w:rPr>
      </w:pPr>
      <w:r w:rsidRPr="00F95C03">
        <w:rPr>
          <w:b/>
        </w:rPr>
        <w:lastRenderedPageBreak/>
        <w:t xml:space="preserve">Appendix 2 </w:t>
      </w:r>
      <w:r w:rsidR="00F95C03" w:rsidRPr="00F95C03">
        <w:rPr>
          <w:rFonts w:ascii="Calibri" w:eastAsia="Calibri" w:hAnsi="Calibri" w:cs="Times New Roman"/>
          <w:b/>
        </w:rPr>
        <w:t>Comparison of Model 1 (equation 4) and Model 2 (equation 5) using the likelihood ratio test.</w:t>
      </w:r>
    </w:p>
    <w:p w14:paraId="3D40054B" w14:textId="77777777" w:rsidR="005F269B" w:rsidRDefault="005F269B" w:rsidP="005F269B">
      <w:pPr>
        <w:spacing w:line="240" w:lineRule="auto"/>
      </w:pPr>
      <w:r w:rsidRPr="00C36694">
        <w:rPr>
          <w:noProof/>
          <w:lang w:eastAsia="en-IE"/>
        </w:rPr>
        <w:drawing>
          <wp:inline distT="0" distB="0" distL="0" distR="0" wp14:anchorId="4FF83899" wp14:editId="00A02A5D">
            <wp:extent cx="3647683" cy="8258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46" cy="82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5F269B" w:rsidSect="00823D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37DF6" w14:textId="77777777" w:rsidR="00B93B2B" w:rsidRDefault="00B93B2B">
      <w:pPr>
        <w:spacing w:after="0" w:line="240" w:lineRule="auto"/>
      </w:pPr>
      <w:r>
        <w:separator/>
      </w:r>
    </w:p>
  </w:endnote>
  <w:endnote w:type="continuationSeparator" w:id="0">
    <w:p w14:paraId="57C5C795" w14:textId="77777777" w:rsidR="00B93B2B" w:rsidRDefault="00B9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5981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9F3BC8" w14:textId="0DA6EB76" w:rsidR="00874105" w:rsidRDefault="008741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9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C527F2" w14:textId="77777777" w:rsidR="00874105" w:rsidRDefault="008741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DCF9F" w14:textId="77777777" w:rsidR="00B93B2B" w:rsidRDefault="00B93B2B">
      <w:pPr>
        <w:spacing w:after="0" w:line="240" w:lineRule="auto"/>
      </w:pPr>
      <w:r>
        <w:separator/>
      </w:r>
    </w:p>
  </w:footnote>
  <w:footnote w:type="continuationSeparator" w:id="0">
    <w:p w14:paraId="2D107A71" w14:textId="77777777" w:rsidR="00B93B2B" w:rsidRDefault="00B93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CC"/>
    <w:rsid w:val="00000265"/>
    <w:rsid w:val="0005205E"/>
    <w:rsid w:val="00095019"/>
    <w:rsid w:val="000D1747"/>
    <w:rsid w:val="000E0A6C"/>
    <w:rsid w:val="00135C3C"/>
    <w:rsid w:val="0017299F"/>
    <w:rsid w:val="00193779"/>
    <w:rsid w:val="001A4AA0"/>
    <w:rsid w:val="002026D2"/>
    <w:rsid w:val="002A50E5"/>
    <w:rsid w:val="00365BFE"/>
    <w:rsid w:val="00395DF2"/>
    <w:rsid w:val="003C1F48"/>
    <w:rsid w:val="003D191E"/>
    <w:rsid w:val="00426642"/>
    <w:rsid w:val="004536E2"/>
    <w:rsid w:val="004F3583"/>
    <w:rsid w:val="005E61DD"/>
    <w:rsid w:val="005F269B"/>
    <w:rsid w:val="0066362A"/>
    <w:rsid w:val="00687011"/>
    <w:rsid w:val="00695E28"/>
    <w:rsid w:val="00697104"/>
    <w:rsid w:val="006B764C"/>
    <w:rsid w:val="006E1F84"/>
    <w:rsid w:val="006E2A1F"/>
    <w:rsid w:val="006F476A"/>
    <w:rsid w:val="00700F27"/>
    <w:rsid w:val="00747C91"/>
    <w:rsid w:val="007913CC"/>
    <w:rsid w:val="007C3CD6"/>
    <w:rsid w:val="00823D47"/>
    <w:rsid w:val="00874105"/>
    <w:rsid w:val="008C3CE7"/>
    <w:rsid w:val="008E27B6"/>
    <w:rsid w:val="009070C2"/>
    <w:rsid w:val="009127E6"/>
    <w:rsid w:val="009524EA"/>
    <w:rsid w:val="009831C7"/>
    <w:rsid w:val="00991F35"/>
    <w:rsid w:val="009C5F7A"/>
    <w:rsid w:val="009D39B8"/>
    <w:rsid w:val="009F5AB3"/>
    <w:rsid w:val="00A065BD"/>
    <w:rsid w:val="00A069C8"/>
    <w:rsid w:val="00A17784"/>
    <w:rsid w:val="00A50678"/>
    <w:rsid w:val="00AC7760"/>
    <w:rsid w:val="00AD424E"/>
    <w:rsid w:val="00B31897"/>
    <w:rsid w:val="00B72955"/>
    <w:rsid w:val="00B77DA1"/>
    <w:rsid w:val="00B93B2B"/>
    <w:rsid w:val="00C640EB"/>
    <w:rsid w:val="00C9186F"/>
    <w:rsid w:val="00D03763"/>
    <w:rsid w:val="00D102F8"/>
    <w:rsid w:val="00D21FBE"/>
    <w:rsid w:val="00D7761B"/>
    <w:rsid w:val="00DB0714"/>
    <w:rsid w:val="00DD20E7"/>
    <w:rsid w:val="00DF2061"/>
    <w:rsid w:val="00E1522A"/>
    <w:rsid w:val="00E35BB1"/>
    <w:rsid w:val="00E520B8"/>
    <w:rsid w:val="00E563B8"/>
    <w:rsid w:val="00E949A2"/>
    <w:rsid w:val="00EA513E"/>
    <w:rsid w:val="00F603E8"/>
    <w:rsid w:val="00F63347"/>
    <w:rsid w:val="00F9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71CFC9"/>
  <w15:docId w15:val="{5906C699-48A9-4A97-89F1-712CE901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3CC"/>
    <w:pPr>
      <w:spacing w:after="160" w:line="259" w:lineRule="auto"/>
    </w:pPr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3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39"/>
    <w:rsid w:val="007913CC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91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3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3CC"/>
    <w:rPr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CC"/>
    <w:rPr>
      <w:rFonts w:ascii="Tahoma" w:hAnsi="Tahoma" w:cs="Tahoma"/>
      <w:sz w:val="16"/>
      <w:szCs w:val="16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2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27E6"/>
    <w:rPr>
      <w:b/>
      <w:bCs/>
      <w:sz w:val="20"/>
      <w:szCs w:val="20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193779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1"/>
    <w:uiPriority w:val="99"/>
    <w:unhideWhenUsed/>
    <w:rsid w:val="00E94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  <w:semiHidden/>
    <w:rsid w:val="00E949A2"/>
    <w:rPr>
      <w:lang w:val="en-IE"/>
    </w:rPr>
  </w:style>
  <w:style w:type="character" w:customStyle="1" w:styleId="FooterChar1">
    <w:name w:val="Footer Char1"/>
    <w:basedOn w:val="DefaultParagraphFont"/>
    <w:link w:val="Footer"/>
    <w:uiPriority w:val="99"/>
    <w:rsid w:val="00E949A2"/>
    <w:rPr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Crean, Abina</dc:creator>
  <cp:lastModifiedBy>Noonan, Elizabeth</cp:lastModifiedBy>
  <cp:revision>2</cp:revision>
  <dcterms:created xsi:type="dcterms:W3CDTF">2017-08-18T11:43:00Z</dcterms:created>
  <dcterms:modified xsi:type="dcterms:W3CDTF">2017-08-18T11:43:00Z</dcterms:modified>
</cp:coreProperties>
</file>