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F" w:rsidRPr="007258AF" w:rsidRDefault="007258AF" w:rsidP="007258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b/>
        </w:rPr>
      </w:pPr>
      <w:r w:rsidRPr="007258AF">
        <w:rPr>
          <w:rFonts w:ascii="Cambria" w:hAnsi="Cambria" w:cs="Tahoma"/>
          <w:b/>
        </w:rPr>
        <w:t>Effect of ethanolamine on hemodynamic parameters in the Langendorf perfused rat heart</w:t>
      </w:r>
    </w:p>
    <w:p w:rsidR="007258AF" w:rsidRDefault="007258AF" w:rsidP="007258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Treatment with ethanolamine at different concentrations did not affect </w:t>
      </w:r>
      <w:r w:rsidRPr="00196D78">
        <w:rPr>
          <w:rFonts w:ascii="Cambria" w:hAnsi="Cambria" w:cs="Tahoma"/>
        </w:rPr>
        <w:t>hemodynamic parameters.</w:t>
      </w:r>
    </w:p>
    <w:p w:rsidR="007258AF" w:rsidRDefault="007258AF">
      <w:pPr>
        <w:rPr>
          <w:lang w:val="en-GB"/>
        </w:rPr>
      </w:pPr>
    </w:p>
    <w:p w:rsidR="007258AF" w:rsidRDefault="007258AF">
      <w:r>
        <w:rPr>
          <w:noProof/>
          <w:lang w:eastAsia="en-ZA"/>
        </w:rPr>
        <w:drawing>
          <wp:inline distT="0" distB="0" distL="0" distR="0">
            <wp:extent cx="5657850" cy="49530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8AF" w:rsidSect="004E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93F"/>
    <w:rsid w:val="00367D17"/>
    <w:rsid w:val="004E010D"/>
    <w:rsid w:val="005B0C24"/>
    <w:rsid w:val="007258AF"/>
    <w:rsid w:val="00734F78"/>
    <w:rsid w:val="00A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University of Cape Town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2010-09-23T13:46:00Z</dcterms:created>
  <dcterms:modified xsi:type="dcterms:W3CDTF">2010-10-01T08:03:00Z</dcterms:modified>
</cp:coreProperties>
</file>