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F91B0" w14:textId="77777777" w:rsidR="002456AE" w:rsidRPr="002456AE" w:rsidRDefault="002456AE" w:rsidP="004A560F">
      <w:pPr>
        <w:spacing w:line="480" w:lineRule="auto"/>
        <w:rPr>
          <w:rFonts w:ascii="Arial" w:hAnsi="Arial" w:cs="Arial"/>
          <w:b/>
          <w:sz w:val="22"/>
          <w:szCs w:val="22"/>
          <w:lang w:val="en-GB"/>
        </w:rPr>
      </w:pPr>
      <w:r w:rsidRPr="002456AE">
        <w:rPr>
          <w:rFonts w:ascii="Arial" w:hAnsi="Arial" w:cs="Arial"/>
          <w:b/>
          <w:sz w:val="22"/>
          <w:szCs w:val="22"/>
          <w:lang w:val="en-GB"/>
        </w:rPr>
        <w:t>Supplementary Material</w:t>
      </w:r>
    </w:p>
    <w:p w14:paraId="4429A008" w14:textId="563C5BEB" w:rsidR="007C0E94" w:rsidRPr="002456AE" w:rsidRDefault="002456AE" w:rsidP="004A560F">
      <w:pPr>
        <w:spacing w:line="480" w:lineRule="auto"/>
        <w:rPr>
          <w:rFonts w:ascii="Arial" w:hAnsi="Arial" w:cs="Arial"/>
          <w:b/>
          <w:sz w:val="22"/>
          <w:szCs w:val="22"/>
          <w:lang w:val="en-GB"/>
        </w:rPr>
      </w:pPr>
      <w:r w:rsidRPr="002456AE">
        <w:rPr>
          <w:rFonts w:ascii="Arial" w:hAnsi="Arial" w:cs="Arial"/>
          <w:b/>
          <w:sz w:val="22"/>
          <w:szCs w:val="22"/>
          <w:lang w:val="en-GB"/>
        </w:rPr>
        <w:t xml:space="preserve">Suppl. Table 1. </w:t>
      </w:r>
      <w:proofErr w:type="gramStart"/>
      <w:r w:rsidRPr="002456AE">
        <w:rPr>
          <w:rFonts w:ascii="Arial" w:hAnsi="Arial" w:cs="Arial"/>
          <w:b/>
          <w:sz w:val="22"/>
          <w:szCs w:val="22"/>
          <w:lang w:val="en-GB"/>
        </w:rPr>
        <w:t>Analysing the farm effect protective against allergy and asthma.</w:t>
      </w:r>
      <w:proofErr w:type="gram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36"/>
        <w:gridCol w:w="3685"/>
        <w:gridCol w:w="1585"/>
      </w:tblGrid>
      <w:tr w:rsidR="00B516A7" w:rsidRPr="002456AE" w14:paraId="4972BD6A" w14:textId="77777777" w:rsidTr="00B516A7">
        <w:tc>
          <w:tcPr>
            <w:tcW w:w="3936" w:type="dxa"/>
          </w:tcPr>
          <w:p w14:paraId="0BED1EBD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b/>
                <w:sz w:val="22"/>
                <w:szCs w:val="22"/>
                <w:lang w:val="en-GB"/>
              </w:rPr>
              <w:t>Topic</w:t>
            </w:r>
          </w:p>
        </w:tc>
        <w:tc>
          <w:tcPr>
            <w:tcW w:w="3685" w:type="dxa"/>
          </w:tcPr>
          <w:p w14:paraId="22C0E53F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b/>
                <w:sz w:val="22"/>
                <w:szCs w:val="22"/>
                <w:lang w:val="en-GB"/>
              </w:rPr>
              <w:t>Evidence</w:t>
            </w:r>
          </w:p>
        </w:tc>
        <w:tc>
          <w:tcPr>
            <w:tcW w:w="1585" w:type="dxa"/>
          </w:tcPr>
          <w:p w14:paraId="5D275849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b/>
                <w:sz w:val="22"/>
                <w:szCs w:val="22"/>
                <w:lang w:val="en-GB"/>
              </w:rPr>
              <w:t>Reference</w:t>
            </w:r>
          </w:p>
        </w:tc>
      </w:tr>
      <w:tr w:rsidR="00B516A7" w:rsidRPr="002456AE" w14:paraId="27407975" w14:textId="77777777" w:rsidTr="00B516A7">
        <w:tc>
          <w:tcPr>
            <w:tcW w:w="3936" w:type="dxa"/>
          </w:tcPr>
          <w:p w14:paraId="51D95DA1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Allergy is epidemic</w:t>
            </w:r>
          </w:p>
        </w:tc>
        <w:tc>
          <w:tcPr>
            <w:tcW w:w="3685" w:type="dxa"/>
          </w:tcPr>
          <w:p w14:paraId="1AE9C654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</w:t>
            </w:r>
          </w:p>
        </w:tc>
        <w:tc>
          <w:tcPr>
            <w:tcW w:w="1585" w:type="dxa"/>
          </w:tcPr>
          <w:p w14:paraId="156A3A04" w14:textId="29B7FBDD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Platts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Mills</w:t>
            </w:r>
            <w:r w:rsidR="00D6082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(1)</w:t>
            </w:r>
          </w:p>
        </w:tc>
      </w:tr>
      <w:tr w:rsidR="00B516A7" w:rsidRPr="002456AE" w14:paraId="6140417F" w14:textId="77777777" w:rsidTr="00B516A7">
        <w:tc>
          <w:tcPr>
            <w:tcW w:w="3936" w:type="dxa"/>
          </w:tcPr>
          <w:p w14:paraId="6F803459" w14:textId="0803EC25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Farms protect</w:t>
            </w:r>
            <w:r w:rsidR="00F301E3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against allerg</w:t>
            </w:r>
            <w:r w:rsidR="008A2722" w:rsidRPr="002456AE">
              <w:rPr>
                <w:rFonts w:ascii="Arial" w:hAnsi="Arial" w:cs="Arial"/>
                <w:sz w:val="22"/>
                <w:szCs w:val="22"/>
                <w:lang w:val="en-GB"/>
              </w:rPr>
              <w:t>y epidemic</w:t>
            </w:r>
          </w:p>
        </w:tc>
        <w:tc>
          <w:tcPr>
            <w:tcW w:w="3685" w:type="dxa"/>
          </w:tcPr>
          <w:p w14:paraId="2465390A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</w:t>
            </w:r>
          </w:p>
        </w:tc>
        <w:tc>
          <w:tcPr>
            <w:tcW w:w="1585" w:type="dxa"/>
          </w:tcPr>
          <w:p w14:paraId="5A49EE1A" w14:textId="0F3C265E" w:rsidR="007C0E94" w:rsidRPr="002456AE" w:rsidRDefault="00D6082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Von </w:t>
            </w:r>
            <w:proofErr w:type="spellStart"/>
            <w:r w:rsidR="007C0E94" w:rsidRPr="002456AE">
              <w:rPr>
                <w:rFonts w:ascii="Arial" w:hAnsi="Arial" w:cs="Arial"/>
                <w:sz w:val="22"/>
                <w:szCs w:val="22"/>
                <w:lang w:val="en-GB"/>
              </w:rPr>
              <w:t>Mutius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(2)</w:t>
            </w:r>
          </w:p>
        </w:tc>
      </w:tr>
      <w:tr w:rsidR="00B516A7" w:rsidRPr="002456AE" w14:paraId="39394F84" w14:textId="77777777" w:rsidTr="00B516A7">
        <w:tc>
          <w:tcPr>
            <w:tcW w:w="3936" w:type="dxa"/>
          </w:tcPr>
          <w:p w14:paraId="791D8E1C" w14:textId="5F2CE0A3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Farm effect </w:t>
            </w:r>
            <w:r w:rsidR="008A2722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is </w:t>
            </w:r>
            <w:r w:rsidR="00CA2F47">
              <w:rPr>
                <w:rFonts w:ascii="Arial" w:hAnsi="Arial" w:cs="Arial"/>
                <w:sz w:val="22"/>
                <w:szCs w:val="22"/>
                <w:lang w:val="en-GB"/>
              </w:rPr>
              <w:t>related to</w:t>
            </w:r>
            <w:bookmarkStart w:id="0" w:name="_GoBack"/>
            <w:bookmarkEnd w:id="0"/>
            <w:r w:rsidR="00F301E3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microbiome</w:t>
            </w:r>
          </w:p>
        </w:tc>
        <w:tc>
          <w:tcPr>
            <w:tcW w:w="3685" w:type="dxa"/>
          </w:tcPr>
          <w:p w14:paraId="7DE1B45D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</w:t>
            </w:r>
          </w:p>
        </w:tc>
        <w:tc>
          <w:tcPr>
            <w:tcW w:w="1585" w:type="dxa"/>
          </w:tcPr>
          <w:p w14:paraId="56D15F13" w14:textId="4A8AE402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Ege</w:t>
            </w:r>
            <w:proofErr w:type="spellEnd"/>
            <w:r w:rsidR="00D6082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(3)</w:t>
            </w:r>
          </w:p>
        </w:tc>
      </w:tr>
      <w:tr w:rsidR="00B516A7" w:rsidRPr="002456AE" w14:paraId="2B8A07C0" w14:textId="77777777" w:rsidTr="00B516A7">
        <w:tc>
          <w:tcPr>
            <w:tcW w:w="3936" w:type="dxa"/>
          </w:tcPr>
          <w:p w14:paraId="66AC5F35" w14:textId="51604B8E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Farms </w:t>
            </w:r>
            <w:r w:rsidR="00F435E2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effects in utero and early childhood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protect against </w:t>
            </w:r>
            <w:r w:rsidR="00F435E2" w:rsidRPr="002456AE">
              <w:rPr>
                <w:rFonts w:ascii="Arial" w:hAnsi="Arial" w:cs="Arial"/>
                <w:sz w:val="22"/>
                <w:szCs w:val="22"/>
                <w:lang w:val="en-GB"/>
              </w:rPr>
              <w:t>atopy</w:t>
            </w:r>
            <w:r w:rsidR="0080406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685" w:type="dxa"/>
          </w:tcPr>
          <w:p w14:paraId="7DCD4F70" w14:textId="5900304D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Epidemiology</w:t>
            </w:r>
            <w:proofErr w:type="gramStart"/>
            <w:r w:rsidR="0080406C" w:rsidRPr="002456AE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="0080406C"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>1746</w:t>
            </w:r>
            <w:proofErr w:type="gramEnd"/>
            <w:r w:rsidR="0080406C"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 xml:space="preserve"> farmers and 1555 spouses at</w:t>
            </w:r>
            <w:r w:rsidR="0080406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US farms</w:t>
            </w:r>
            <w:r w:rsidR="002E4D6A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. Maternal farming in pregnancy: </w:t>
            </w:r>
            <w:r w:rsidR="009D3630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OR = </w:t>
            </w:r>
            <w:r w:rsidR="002E4D6A"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>0.60; 95% CI, 0.48-0.74</w:t>
            </w:r>
          </w:p>
        </w:tc>
        <w:tc>
          <w:tcPr>
            <w:tcW w:w="1585" w:type="dxa"/>
          </w:tcPr>
          <w:p w14:paraId="486D7E10" w14:textId="4DBD5D8F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House</w:t>
            </w:r>
            <w:r w:rsidR="00D6082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(4)</w:t>
            </w:r>
          </w:p>
        </w:tc>
      </w:tr>
      <w:tr w:rsidR="00B516A7" w:rsidRPr="002456AE" w14:paraId="1E40AB5F" w14:textId="77777777" w:rsidTr="00B516A7">
        <w:tc>
          <w:tcPr>
            <w:tcW w:w="3936" w:type="dxa"/>
          </w:tcPr>
          <w:p w14:paraId="695825B7" w14:textId="306A4F12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Fa</w:t>
            </w:r>
            <w:r w:rsidR="0080406C" w:rsidRPr="002456AE">
              <w:rPr>
                <w:rFonts w:ascii="Arial" w:hAnsi="Arial" w:cs="Arial"/>
                <w:sz w:val="22"/>
                <w:szCs w:val="22"/>
                <w:lang w:val="en-GB"/>
              </w:rPr>
              <w:t>rm milk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protect</w:t>
            </w:r>
            <w:r w:rsidR="0080406C" w:rsidRPr="002456AE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against viruses</w:t>
            </w:r>
          </w:p>
        </w:tc>
        <w:tc>
          <w:tcPr>
            <w:tcW w:w="3685" w:type="dxa"/>
          </w:tcPr>
          <w:p w14:paraId="75ABDCEE" w14:textId="3AA4DFD1" w:rsidR="007C0E94" w:rsidRPr="002456AE" w:rsidRDefault="0080406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Epidemiology: 983 infants from Middle Europe. Risk for infections reduced by 30%</w:t>
            </w:r>
            <w:r w:rsidR="002E4D6A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. Raw milk consumption </w:t>
            </w:r>
            <w:r w:rsidR="002E4D6A"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>inversely associated with rhinitis (</w:t>
            </w:r>
            <w:r w:rsidR="009D3630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adjusted OR = </w:t>
            </w:r>
            <w:r w:rsidR="002E4D6A"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>0.71 [0.54-0.94]), respiratory tract infections (0.77 [0.59-0.99]), otitis (0.14 [0.05-0.42]), and fever (0.69 [0.47-1.01])</w:t>
            </w:r>
          </w:p>
        </w:tc>
        <w:tc>
          <w:tcPr>
            <w:tcW w:w="1585" w:type="dxa"/>
          </w:tcPr>
          <w:p w14:paraId="5D47958A" w14:textId="0D94BB1F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Loss</w:t>
            </w:r>
            <w:r w:rsidR="00D6082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(5)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Ludka</w:t>
            </w:r>
            <w:proofErr w:type="spellEnd"/>
            <w:r w:rsidR="00D6082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FB1831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(6)</w:t>
            </w:r>
          </w:p>
        </w:tc>
      </w:tr>
      <w:tr w:rsidR="00633A4D" w:rsidRPr="002456AE" w14:paraId="16913748" w14:textId="77777777" w:rsidTr="00B516A7">
        <w:tc>
          <w:tcPr>
            <w:tcW w:w="3936" w:type="dxa"/>
          </w:tcPr>
          <w:p w14:paraId="7C149BCF" w14:textId="0F5C6BF2" w:rsidR="00633A4D" w:rsidRPr="002456AE" w:rsidRDefault="00633A4D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Farm dust levels in </w:t>
            </w:r>
            <w:r w:rsidR="00753AB1" w:rsidRPr="002456AE">
              <w:rPr>
                <w:rFonts w:ascii="Arial" w:hAnsi="Arial" w:cs="Arial"/>
                <w:sz w:val="22"/>
                <w:szCs w:val="22"/>
                <w:lang w:val="en-GB"/>
              </w:rPr>
              <w:t>geocoded areas</w:t>
            </w:r>
          </w:p>
        </w:tc>
        <w:tc>
          <w:tcPr>
            <w:tcW w:w="3685" w:type="dxa"/>
          </w:tcPr>
          <w:p w14:paraId="3DAA4BA3" w14:textId="26079F11" w:rsidR="00633A4D" w:rsidRPr="002456AE" w:rsidRDefault="00753AB1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Proximity to farm &lt;100m is protective</w:t>
            </w:r>
          </w:p>
        </w:tc>
        <w:tc>
          <w:tcPr>
            <w:tcW w:w="1585" w:type="dxa"/>
          </w:tcPr>
          <w:p w14:paraId="4924745F" w14:textId="497D867A" w:rsidR="00633A4D" w:rsidRPr="002456AE" w:rsidRDefault="00633A4D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Müller et al </w:t>
            </w:r>
            <w:r w:rsidR="008E53DC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(7)</w:t>
            </w:r>
          </w:p>
        </w:tc>
      </w:tr>
      <w:tr w:rsidR="00394EAF" w:rsidRPr="002456AE" w14:paraId="072E4FDB" w14:textId="77777777" w:rsidTr="00B516A7">
        <w:tc>
          <w:tcPr>
            <w:tcW w:w="3936" w:type="dxa"/>
            <w:vMerge w:val="restart"/>
          </w:tcPr>
          <w:p w14:paraId="1753DEF5" w14:textId="16425427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Amish farms protect better</w:t>
            </w:r>
          </w:p>
        </w:tc>
        <w:tc>
          <w:tcPr>
            <w:tcW w:w="3685" w:type="dxa"/>
          </w:tcPr>
          <w:p w14:paraId="079D2AEF" w14:textId="040A4691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Review; </w:t>
            </w:r>
          </w:p>
        </w:tc>
        <w:tc>
          <w:tcPr>
            <w:tcW w:w="1585" w:type="dxa"/>
          </w:tcPr>
          <w:p w14:paraId="3384C2B4" w14:textId="77222E43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Ober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(8)</w:t>
            </w:r>
          </w:p>
        </w:tc>
      </w:tr>
      <w:tr w:rsidR="00394EAF" w:rsidRPr="002456AE" w14:paraId="1ED55CCB" w14:textId="77777777" w:rsidTr="00B516A7">
        <w:tc>
          <w:tcPr>
            <w:tcW w:w="3936" w:type="dxa"/>
            <w:vMerge/>
          </w:tcPr>
          <w:p w14:paraId="31FB25FE" w14:textId="5149C61E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685" w:type="dxa"/>
          </w:tcPr>
          <w:p w14:paraId="0AED49E2" w14:textId="3E200CCC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Original data: </w:t>
            </w:r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>allergic sensitization 4 and 6 times lower in Amish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, supported by mouse model</w:t>
            </w:r>
          </w:p>
        </w:tc>
        <w:tc>
          <w:tcPr>
            <w:tcW w:w="1585" w:type="dxa"/>
          </w:tcPr>
          <w:p w14:paraId="4C3816F4" w14:textId="3ED9FD89" w:rsidR="00394EAF" w:rsidRPr="002456AE" w:rsidRDefault="00394EA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Stein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(9)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B516A7" w:rsidRPr="002456AE" w14:paraId="783CE61D" w14:textId="77777777" w:rsidTr="00B516A7">
        <w:tc>
          <w:tcPr>
            <w:tcW w:w="3936" w:type="dxa"/>
          </w:tcPr>
          <w:p w14:paraId="3037A75D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Cohabitation protects mice</w:t>
            </w:r>
          </w:p>
        </w:tc>
        <w:tc>
          <w:tcPr>
            <w:tcW w:w="3685" w:type="dxa"/>
          </w:tcPr>
          <w:p w14:paraId="621C6470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Review </w:t>
            </w:r>
          </w:p>
        </w:tc>
        <w:tc>
          <w:tcPr>
            <w:tcW w:w="1585" w:type="dxa"/>
          </w:tcPr>
          <w:p w14:paraId="76460BBA" w14:textId="21525D4B" w:rsidR="007C0E94" w:rsidRPr="002456AE" w:rsidRDefault="00DC117D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Reardon</w:t>
            </w:r>
            <w:r w:rsidR="006E53DF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9E18CD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(10)</w:t>
            </w:r>
          </w:p>
        </w:tc>
      </w:tr>
      <w:tr w:rsidR="00B516A7" w:rsidRPr="002456AE" w14:paraId="0E8D049B" w14:textId="77777777" w:rsidTr="00B516A7">
        <w:tc>
          <w:tcPr>
            <w:tcW w:w="3936" w:type="dxa"/>
          </w:tcPr>
          <w:p w14:paraId="5354D700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Cohabitation protects mice</w:t>
            </w:r>
          </w:p>
        </w:tc>
        <w:tc>
          <w:tcPr>
            <w:tcW w:w="3685" w:type="dxa"/>
          </w:tcPr>
          <w:p w14:paraId="78C90D90" w14:textId="77777777" w:rsidR="007C0E94" w:rsidRPr="002456AE" w:rsidRDefault="007C0E94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</w:t>
            </w:r>
          </w:p>
        </w:tc>
        <w:tc>
          <w:tcPr>
            <w:tcW w:w="1585" w:type="dxa"/>
          </w:tcPr>
          <w:p w14:paraId="541A4319" w14:textId="5086D0C1" w:rsidR="007C0E94" w:rsidRPr="002456AE" w:rsidRDefault="00DC117D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Gupta</w:t>
            </w:r>
            <w:r w:rsidR="006E53DF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9E18CD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(11)</w:t>
            </w:r>
          </w:p>
        </w:tc>
      </w:tr>
      <w:tr w:rsidR="008A2722" w:rsidRPr="002456AE" w14:paraId="6ED45436" w14:textId="77777777" w:rsidTr="008248EB">
        <w:tc>
          <w:tcPr>
            <w:tcW w:w="9206" w:type="dxa"/>
            <w:gridSpan w:val="3"/>
          </w:tcPr>
          <w:p w14:paraId="1828C32D" w14:textId="6729ECAF" w:rsidR="008A2722" w:rsidRPr="002456AE" w:rsidRDefault="008A2722" w:rsidP="004A56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b/>
                <w:sz w:val="22"/>
                <w:szCs w:val="22"/>
                <w:lang w:val="en-GB"/>
              </w:rPr>
              <w:t>Protective Factors</w:t>
            </w:r>
          </w:p>
        </w:tc>
      </w:tr>
      <w:tr w:rsidR="00DD612C" w:rsidRPr="002456AE" w14:paraId="1CDD5BD5" w14:textId="77777777" w:rsidTr="00B516A7">
        <w:tc>
          <w:tcPr>
            <w:tcW w:w="3936" w:type="dxa"/>
            <w:vMerge w:val="restart"/>
          </w:tcPr>
          <w:p w14:paraId="62AF84AA" w14:textId="64FACD6B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Helminths support microflora</w:t>
            </w:r>
          </w:p>
        </w:tc>
        <w:tc>
          <w:tcPr>
            <w:tcW w:w="3685" w:type="dxa"/>
          </w:tcPr>
          <w:p w14:paraId="02816114" w14:textId="04177516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Review;</w:t>
            </w:r>
          </w:p>
        </w:tc>
        <w:tc>
          <w:tcPr>
            <w:tcW w:w="1585" w:type="dxa"/>
          </w:tcPr>
          <w:p w14:paraId="3875DE49" w14:textId="674A9DB8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Cruz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(12)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; </w:t>
            </w:r>
          </w:p>
        </w:tc>
      </w:tr>
      <w:tr w:rsidR="00DD612C" w:rsidRPr="002456AE" w14:paraId="3E539F45" w14:textId="77777777" w:rsidTr="00B516A7">
        <w:tc>
          <w:tcPr>
            <w:tcW w:w="3936" w:type="dxa"/>
            <w:vMerge/>
          </w:tcPr>
          <w:p w14:paraId="182520AF" w14:textId="77777777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685" w:type="dxa"/>
          </w:tcPr>
          <w:p w14:paraId="63638B8D" w14:textId="26496ABA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Mouse helminth infection model</w:t>
            </w:r>
          </w:p>
        </w:tc>
        <w:tc>
          <w:tcPr>
            <w:tcW w:w="1585" w:type="dxa"/>
          </w:tcPr>
          <w:p w14:paraId="7CED7FFA" w14:textId="2807C71A" w:rsidR="00DD612C" w:rsidRPr="002456AE" w:rsidRDefault="00DD612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Ramandan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(13)</w:t>
            </w:r>
          </w:p>
        </w:tc>
      </w:tr>
      <w:tr w:rsidR="00B516A7" w:rsidRPr="002456AE" w14:paraId="7F3578B1" w14:textId="77777777" w:rsidTr="00B516A7">
        <w:tc>
          <w:tcPr>
            <w:tcW w:w="3936" w:type="dxa"/>
          </w:tcPr>
          <w:p w14:paraId="7318C587" w14:textId="67049E09" w:rsidR="007C0E94" w:rsidRPr="002456AE" w:rsidRDefault="00647892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Viral influenza peptides</w:t>
            </w:r>
          </w:p>
        </w:tc>
        <w:tc>
          <w:tcPr>
            <w:tcW w:w="3685" w:type="dxa"/>
          </w:tcPr>
          <w:p w14:paraId="185ED35E" w14:textId="7238FD8C" w:rsidR="007C0E94" w:rsidRPr="002456AE" w:rsidRDefault="00DB0BDB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2 Mouse models and in vitro studies </w:t>
            </w:r>
          </w:p>
        </w:tc>
        <w:tc>
          <w:tcPr>
            <w:tcW w:w="1585" w:type="dxa"/>
          </w:tcPr>
          <w:p w14:paraId="08DF726D" w14:textId="6A57E3BD" w:rsidR="007C0E94" w:rsidRPr="002456AE" w:rsidRDefault="00647892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Skevaki</w:t>
            </w:r>
            <w:proofErr w:type="spellEnd"/>
            <w:r w:rsidR="003A1366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9E18CD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(14)</w:t>
            </w:r>
          </w:p>
        </w:tc>
      </w:tr>
      <w:tr w:rsidR="00B516A7" w:rsidRPr="002456AE" w14:paraId="0F8968C7" w14:textId="77777777" w:rsidTr="00B516A7">
        <w:tc>
          <w:tcPr>
            <w:tcW w:w="3936" w:type="dxa"/>
          </w:tcPr>
          <w:p w14:paraId="416407E0" w14:textId="3320C284" w:rsidR="007C0E94" w:rsidRPr="002456AE" w:rsidRDefault="00647892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Non-bacterial compound</w:t>
            </w:r>
            <w:r w:rsidR="00DA7D63" w:rsidRPr="002456AE">
              <w:rPr>
                <w:rFonts w:ascii="Arial" w:hAnsi="Arial" w:cs="Arial"/>
                <w:sz w:val="22"/>
                <w:szCs w:val="22"/>
                <w:lang w:val="en-GB"/>
              </w:rPr>
              <w:t>: sialic acid N-</w:t>
            </w:r>
            <w:proofErr w:type="spellStart"/>
            <w:r w:rsidR="00DA7D63" w:rsidRPr="002456AE">
              <w:rPr>
                <w:rFonts w:ascii="Arial" w:hAnsi="Arial" w:cs="Arial"/>
                <w:sz w:val="22"/>
                <w:szCs w:val="22"/>
                <w:lang w:val="en-GB"/>
              </w:rPr>
              <w:t>glycolylneuraminic</w:t>
            </w:r>
            <w:proofErr w:type="spellEnd"/>
            <w:r w:rsidR="00DA7D63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acid (Neu5Gc)</w:t>
            </w:r>
          </w:p>
        </w:tc>
        <w:tc>
          <w:tcPr>
            <w:tcW w:w="3685" w:type="dxa"/>
          </w:tcPr>
          <w:p w14:paraId="358EF3AB" w14:textId="60CBE977" w:rsidR="007C0E94" w:rsidRPr="002456AE" w:rsidRDefault="00593C3F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Anti-Neu5Gc IgG levels and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Tregs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correlated positively with living on a farm</w:t>
            </w:r>
            <w:proofErr w:type="gram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;  Neu5Gc</w:t>
            </w:r>
            <w:proofErr w:type="gram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antiinflammatory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in mouse models.</w:t>
            </w:r>
            <w:r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 xml:space="preserve"> </w:t>
            </w:r>
            <w:r w:rsidR="00DB0BDB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Epidemiology, serology from 2 studies: </w:t>
            </w:r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1.) from 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PARSIFAL </w:t>
            </w:r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>study</w:t>
            </w:r>
            <w:r w:rsidR="00130B42" w:rsidRPr="002456A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(n = 299), 2.) </w:t>
            </w:r>
            <w:proofErr w:type="gramStart"/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>from</w:t>
            </w:r>
            <w:proofErr w:type="gramEnd"/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B0BDB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the 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>PASTURE</w:t>
            </w:r>
            <w:r w:rsidR="00003D04" w:rsidRPr="002456A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B0BDB" w:rsidRPr="002456AE">
              <w:rPr>
                <w:rFonts w:ascii="Arial" w:hAnsi="Arial" w:cs="Arial"/>
                <w:sz w:val="22"/>
                <w:szCs w:val="22"/>
                <w:lang w:val="en-GB"/>
              </w:rPr>
              <w:t>birth cohort (cord blood [n = 836], 1 year [n = 734], 4.5 years [n = 700], and 6 years [n = 728])</w:t>
            </w:r>
            <w:r w:rsidR="00537A7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1585" w:type="dxa"/>
          </w:tcPr>
          <w:p w14:paraId="4826B20D" w14:textId="314D33AD" w:rsidR="007C0E94" w:rsidRPr="002456AE" w:rsidRDefault="00647892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Frei</w:t>
            </w:r>
            <w:r w:rsidR="009353C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9E18CD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(15)</w:t>
            </w:r>
          </w:p>
        </w:tc>
      </w:tr>
      <w:tr w:rsidR="00B516A7" w:rsidRPr="002456AE" w14:paraId="74A73E5D" w14:textId="77777777" w:rsidTr="00B516A7">
        <w:tc>
          <w:tcPr>
            <w:tcW w:w="3936" w:type="dxa"/>
          </w:tcPr>
          <w:p w14:paraId="25855BC8" w14:textId="0ACA9E0C" w:rsidR="007C0E94" w:rsidRPr="002456AE" w:rsidRDefault="008248EB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Bacterial LPS</w:t>
            </w:r>
            <w:r w:rsidR="001F3E9A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and ubiquitin-modifying enzyme A20</w:t>
            </w:r>
          </w:p>
        </w:tc>
        <w:tc>
          <w:tcPr>
            <w:tcW w:w="3685" w:type="dxa"/>
          </w:tcPr>
          <w:p w14:paraId="081ED80F" w14:textId="744A966F" w:rsidR="007C0E94" w:rsidRPr="002456AE" w:rsidRDefault="00130B42" w:rsidP="004A560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1.) </w:t>
            </w:r>
            <w:r w:rsidR="0043315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LPS and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dairy</w:t>
            </w:r>
            <w:r w:rsidR="0043315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stable dust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protected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transgenic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>Tnfaip3</w:t>
            </w:r>
            <w:r w:rsidR="002336FC" w:rsidRPr="002456A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EC-WT</w:t>
            </w:r>
            <w:r w:rsidR="002336F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, but not of </w:t>
            </w:r>
            <w:r w:rsidR="008B5EF4" w:rsidRPr="002456AE">
              <w:rPr>
                <w:rFonts w:ascii="Arial" w:hAnsi="Arial" w:cs="Arial"/>
                <w:sz w:val="22"/>
                <w:szCs w:val="22"/>
                <w:lang w:val="en-GB"/>
              </w:rPr>
              <w:t>Tnfaip3</w:t>
            </w:r>
            <w:r w:rsidR="008B5EF4" w:rsidRPr="002456A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EC-KO</w:t>
            </w:r>
            <w:r w:rsidR="008B5EF4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mice </w:t>
            </w:r>
            <w:r w:rsidR="0043315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from 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HDM-induced </w:t>
            </w:r>
            <w:r w:rsidR="0043315D" w:rsidRPr="002456AE">
              <w:rPr>
                <w:rFonts w:ascii="Arial" w:hAnsi="Arial" w:cs="Arial"/>
                <w:sz w:val="22"/>
                <w:szCs w:val="22"/>
                <w:lang w:val="en-GB"/>
              </w:rPr>
              <w:t>asthma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>; 2.)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LPS and dairy stable dust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3E21A1" w:rsidRPr="002456AE">
              <w:rPr>
                <w:rFonts w:ascii="Arial" w:hAnsi="Arial" w:cs="Arial"/>
                <w:i/>
                <w:sz w:val="22"/>
                <w:szCs w:val="22"/>
                <w:lang w:val="en-GB"/>
              </w:rPr>
              <w:t>in vitro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reduced 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>GM-CSF and IL-1</w:t>
            </w:r>
            <w:r w:rsidR="004A560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α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production upon </w:t>
            </w:r>
            <w:r w:rsidR="002C6E6F" w:rsidRPr="002456AE">
              <w:rPr>
                <w:rFonts w:ascii="Arial" w:hAnsi="Arial" w:cs="Arial"/>
                <w:sz w:val="22"/>
                <w:szCs w:val="22"/>
                <w:lang w:val="en-GB"/>
              </w:rPr>
              <w:t>HDM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stimulation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from human endobronchial biopsies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; 3.)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GABRIELA </w:t>
            </w:r>
            <w:r w:rsidR="00003D04" w:rsidRPr="002456A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3</w:t>
            </w:r>
            <w:r w:rsidR="00003D04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3E21A1" w:rsidRPr="002456AE">
              <w:rPr>
                <w:rFonts w:ascii="Arial" w:hAnsi="Arial" w:cs="Arial"/>
                <w:sz w:val="22"/>
                <w:szCs w:val="22"/>
                <w:lang w:val="en-GB"/>
              </w:rPr>
              <w:t>study samples</w:t>
            </w:r>
            <w:r w:rsidR="00F72FD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: the </w:t>
            </w:r>
            <w:r w:rsidR="00F72FDC" w:rsidRPr="002456AE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 xml:space="preserve">protective effect </w:t>
            </w:r>
            <w:r w:rsidR="00A02ED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of growing up on </w:t>
            </w:r>
            <w:r w:rsidR="00F72FD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farm </w:t>
            </w:r>
            <w:r w:rsidR="00A02ED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against asthma </w:t>
            </w:r>
            <w:r w:rsidR="00F72FDC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stronger in children with the G allele </w:t>
            </w:r>
            <w:r w:rsidR="00A02ED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of </w:t>
            </w:r>
            <w:r w:rsidR="00C17484" w:rsidRPr="002456AE">
              <w:rPr>
                <w:rFonts w:ascii="Arial" w:hAnsi="Arial" w:cs="Arial"/>
                <w:i/>
                <w:sz w:val="22"/>
                <w:szCs w:val="22"/>
                <w:lang w:val="en-GB"/>
              </w:rPr>
              <w:t>Tnfaip3</w:t>
            </w:r>
            <w:r w:rsidR="00A02EDE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1F3E9A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coding for A20 </w:t>
            </w:r>
            <w:r w:rsidR="00F72FDC" w:rsidRPr="002456AE">
              <w:rPr>
                <w:rFonts w:ascii="Arial" w:hAnsi="Arial" w:cs="Arial"/>
                <w:sz w:val="22"/>
                <w:szCs w:val="22"/>
                <w:lang w:val="en-GB"/>
              </w:rPr>
              <w:t>[adjusted OR = 0.14 (0.05 to 0.39)]</w:t>
            </w:r>
          </w:p>
        </w:tc>
        <w:tc>
          <w:tcPr>
            <w:tcW w:w="1585" w:type="dxa"/>
          </w:tcPr>
          <w:p w14:paraId="2253671B" w14:textId="0B78AB19" w:rsidR="007C0E94" w:rsidRPr="002456AE" w:rsidRDefault="00295659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Schujis</w:t>
            </w:r>
            <w:proofErr w:type="spellEnd"/>
            <w:r w:rsidR="009353CD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="009E18CD"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(16)</w:t>
            </w:r>
          </w:p>
        </w:tc>
      </w:tr>
      <w:tr w:rsidR="008A2722" w:rsidRPr="002456AE" w14:paraId="315F7DF8" w14:textId="77777777" w:rsidTr="008248EB">
        <w:tc>
          <w:tcPr>
            <w:tcW w:w="9206" w:type="dxa"/>
            <w:gridSpan w:val="3"/>
          </w:tcPr>
          <w:p w14:paraId="708ECD1B" w14:textId="5978BFB9" w:rsidR="008A2722" w:rsidRPr="002456AE" w:rsidRDefault="008A2722" w:rsidP="004A560F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b/>
                <w:sz w:val="22"/>
                <w:szCs w:val="22"/>
                <w:lang w:val="en-GB"/>
              </w:rPr>
              <w:lastRenderedPageBreak/>
              <w:t>Protective mechanisms</w:t>
            </w:r>
          </w:p>
        </w:tc>
      </w:tr>
      <w:tr w:rsidR="00A02EDE" w:rsidRPr="002456AE" w14:paraId="4EB68D2D" w14:textId="77777777" w:rsidTr="00B516A7">
        <w:tc>
          <w:tcPr>
            <w:tcW w:w="3936" w:type="dxa"/>
          </w:tcPr>
          <w:p w14:paraId="5D8D19CE" w14:textId="31941D04" w:rsidR="00A02EDE" w:rsidRPr="002456AE" w:rsidRDefault="001F3E9A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F</w:t>
            </w:r>
            <w:r w:rsidR="008248EB" w:rsidRPr="002456AE">
              <w:rPr>
                <w:rFonts w:ascii="Arial" w:hAnsi="Arial" w:cs="Arial"/>
                <w:sz w:val="22"/>
                <w:szCs w:val="22"/>
                <w:lang w:val="en-GB"/>
              </w:rPr>
              <w:t>arm dust and Endotoxin on bronchial epithelia counteract Th2 immunity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685" w:type="dxa"/>
          </w:tcPr>
          <w:p w14:paraId="0923CEBA" w14:textId="2611647E" w:rsidR="00A02EDE" w:rsidRPr="002456AE" w:rsidRDefault="001F3E9A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Gene-by-environment interaction: A single-nucleotide polymorphism results in a G-</w:t>
            </w:r>
            <w:r w:rsidR="00A01AE4" w:rsidRPr="002456AE">
              <w:rPr>
                <w:rFonts w:ascii="Arial" w:hAnsi="Arial" w:cs="Arial"/>
                <w:sz w:val="22"/>
                <w:szCs w:val="22"/>
                <w:lang w:val="en-GB"/>
              </w:rPr>
              <w:t>allele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of the </w:t>
            </w:r>
            <w:r w:rsidR="000A55A4" w:rsidRPr="002456AE">
              <w:rPr>
                <w:rFonts w:ascii="Arial" w:hAnsi="Arial" w:cs="Arial"/>
                <w:i/>
                <w:sz w:val="22"/>
                <w:szCs w:val="22"/>
                <w:lang w:val="en-GB"/>
              </w:rPr>
              <w:t>TNFAIP3</w:t>
            </w:r>
            <w:r w:rsidR="000A55A4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gene encoding </w:t>
            </w:r>
            <w:r w:rsidR="000A55A4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for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A20 is responsible for the protective effect</w:t>
            </w:r>
            <w:r w:rsidR="00130B42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(see </w:t>
            </w:r>
            <w:r w:rsidR="00510B4A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also section </w:t>
            </w:r>
            <w:r w:rsidR="00130B42" w:rsidRPr="002456AE">
              <w:rPr>
                <w:rFonts w:ascii="Arial" w:hAnsi="Arial" w:cs="Arial"/>
                <w:sz w:val="22"/>
                <w:szCs w:val="22"/>
                <w:lang w:val="en-GB"/>
              </w:rPr>
              <w:t>above)</w:t>
            </w:r>
          </w:p>
        </w:tc>
        <w:tc>
          <w:tcPr>
            <w:tcW w:w="1585" w:type="dxa"/>
          </w:tcPr>
          <w:p w14:paraId="3DBE75B6" w14:textId="2B046FFB" w:rsidR="00A02EDE" w:rsidRPr="002456AE" w:rsidRDefault="00A02ED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Schujis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(16)</w:t>
            </w:r>
          </w:p>
        </w:tc>
      </w:tr>
      <w:tr w:rsidR="00A02EDE" w:rsidRPr="002456AE" w14:paraId="5E29D7EC" w14:textId="77777777" w:rsidTr="008248EB">
        <w:tc>
          <w:tcPr>
            <w:tcW w:w="3936" w:type="dxa"/>
          </w:tcPr>
          <w:p w14:paraId="33E334D2" w14:textId="77777777" w:rsidR="00A02EDE" w:rsidRPr="002456AE" w:rsidRDefault="00A02ED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Farm milk exposure induces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Tregs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and FOXP3 demethylation</w:t>
            </w:r>
          </w:p>
        </w:tc>
        <w:tc>
          <w:tcPr>
            <w:tcW w:w="3685" w:type="dxa"/>
          </w:tcPr>
          <w:p w14:paraId="2E6E383A" w14:textId="19E5550C" w:rsidR="00A02EDE" w:rsidRPr="002456AE" w:rsidRDefault="00A02ED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 xml:space="preserve">298 children from </w:t>
            </w:r>
            <w:r w:rsidR="00510B4A"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 xml:space="preserve">PASTURE </w:t>
            </w:r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 xml:space="preserve">birth cohort study were included in this study (149 farm and 149 reference children): Elevated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>Tregs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 xml:space="preserve"> were significantly associated with asthma: odds ratio, 0.26; 95% CI, 0.08-0.88) and perennial IgE (odds ratio, 0.21; 95% CI, 0.08-0.59).  </w:t>
            </w:r>
          </w:p>
        </w:tc>
        <w:tc>
          <w:tcPr>
            <w:tcW w:w="1585" w:type="dxa"/>
          </w:tcPr>
          <w:p w14:paraId="556FDE0A" w14:textId="14F2BDCD" w:rsidR="00A02EDE" w:rsidRPr="002456AE" w:rsidRDefault="00A02ED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LLuis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(17)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,</w:t>
            </w:r>
          </w:p>
          <w:p w14:paraId="3FA5FEB9" w14:textId="77777777" w:rsidR="00A02EDE" w:rsidRPr="002456AE" w:rsidRDefault="00A02ED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795040" w:rsidRPr="002456AE" w14:paraId="119E2DEF" w14:textId="77777777" w:rsidTr="00B516A7">
        <w:tc>
          <w:tcPr>
            <w:tcW w:w="3936" w:type="dxa"/>
          </w:tcPr>
          <w:p w14:paraId="371F1AFE" w14:textId="090F83E5" w:rsidR="00795040" w:rsidRPr="002456AE" w:rsidRDefault="00B62886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M</w:t>
            </w:r>
            <w:r w:rsidR="000A477C" w:rsidRPr="002456AE">
              <w:rPr>
                <w:rFonts w:ascii="Arial" w:hAnsi="Arial" w:cs="Arial"/>
                <w:sz w:val="22"/>
                <w:szCs w:val="22"/>
                <w:lang w:val="en-GB"/>
              </w:rPr>
              <w:t>aternal farm expos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ure i</w:t>
            </w:r>
            <w:r w:rsidR="00795040" w:rsidRPr="002456AE">
              <w:rPr>
                <w:rFonts w:ascii="Arial" w:hAnsi="Arial" w:cs="Arial"/>
                <w:sz w:val="22"/>
                <w:szCs w:val="22"/>
                <w:lang w:val="en-GB"/>
              </w:rPr>
              <w:t>nduce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="00795040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795040" w:rsidRPr="002456AE">
              <w:rPr>
                <w:rFonts w:ascii="Arial" w:hAnsi="Arial" w:cs="Arial"/>
                <w:sz w:val="22"/>
                <w:szCs w:val="22"/>
                <w:lang w:val="en-GB"/>
              </w:rPr>
              <w:t>Tregs</w:t>
            </w:r>
            <w:proofErr w:type="spellEnd"/>
            <w:r w:rsidR="00795040"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and Th17 response</w:t>
            </w:r>
          </w:p>
        </w:tc>
        <w:tc>
          <w:tcPr>
            <w:tcW w:w="3685" w:type="dxa"/>
          </w:tcPr>
          <w:p w14:paraId="3F5B4C27" w14:textId="446D727E" w:rsidR="00795040" w:rsidRPr="002456AE" w:rsidRDefault="000A477C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</w:pPr>
            <w:r w:rsidRPr="002456AE">
              <w:rPr>
                <w:rFonts w:ascii="Arial" w:hAnsi="Arial" w:cs="Arial"/>
                <w:sz w:val="22"/>
                <w:szCs w:val="22"/>
                <w:u w:color="1800C0"/>
                <w:lang w:val="en-US"/>
              </w:rPr>
              <w:t xml:space="preserve">84 pregnant mothers: </w:t>
            </w:r>
            <w:r w:rsidRPr="002456AE">
              <w:rPr>
                <w:rFonts w:ascii="Arial" w:hAnsi="Arial" w:cs="Arial"/>
                <w:sz w:val="22"/>
                <w:szCs w:val="22"/>
                <w:u w:color="262626"/>
                <w:lang w:val="en-US"/>
              </w:rPr>
              <w:t>A positive correlation between TH17 lineage markers and FOXP3 (mRNA), influenced by maternal farming</w:t>
            </w:r>
          </w:p>
        </w:tc>
        <w:tc>
          <w:tcPr>
            <w:tcW w:w="1585" w:type="dxa"/>
          </w:tcPr>
          <w:p w14:paraId="2C8551C1" w14:textId="1A63E3EC" w:rsidR="00795040" w:rsidRPr="002456AE" w:rsidRDefault="00795040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LLuis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(18)</w:t>
            </w:r>
          </w:p>
        </w:tc>
      </w:tr>
      <w:tr w:rsidR="00CA22CE" w:rsidRPr="002456AE" w14:paraId="6E2F645E" w14:textId="77777777" w:rsidTr="00B516A7">
        <w:tc>
          <w:tcPr>
            <w:tcW w:w="3936" w:type="dxa"/>
            <w:vMerge w:val="restart"/>
          </w:tcPr>
          <w:p w14:paraId="5B2B2328" w14:textId="2AA8F871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Enhancement of epithelial barrier</w:t>
            </w:r>
          </w:p>
        </w:tc>
        <w:tc>
          <w:tcPr>
            <w:tcW w:w="3685" w:type="dxa"/>
          </w:tcPr>
          <w:p w14:paraId="20F0901F" w14:textId="0DFC79B7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CpG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r w:rsidRPr="002456AE">
              <w:rPr>
                <w:rFonts w:ascii="Arial" w:hAnsi="Arial" w:cs="Arial"/>
                <w:color w:val="262626"/>
                <w:sz w:val="22"/>
                <w:szCs w:val="22"/>
                <w:lang w:val="en-US"/>
              </w:rPr>
              <w:t>1 or 10 </w:t>
            </w:r>
            <w:r w:rsidRPr="002456AE">
              <w:rPr>
                <w:rFonts w:ascii="Arial" w:hAnsi="Arial" w:cs="Arial"/>
                <w:color w:val="262626"/>
                <w:sz w:val="22"/>
                <w:szCs w:val="22"/>
              </w:rPr>
              <w:t>μ</w:t>
            </w:r>
            <w:proofErr w:type="spellStart"/>
            <w:r w:rsidRPr="002456AE">
              <w:rPr>
                <w:rFonts w:ascii="Arial" w:hAnsi="Arial" w:cs="Arial"/>
                <w:color w:val="262626"/>
                <w:sz w:val="22"/>
                <w:szCs w:val="22"/>
                <w:lang w:val="en-US"/>
              </w:rPr>
              <w:t>mol</w:t>
            </w:r>
            <w:proofErr w:type="spellEnd"/>
            <w:r w:rsidRPr="002456AE">
              <w:rPr>
                <w:rFonts w:ascii="Arial" w:hAnsi="Arial" w:cs="Arial"/>
                <w:color w:val="262626"/>
                <w:sz w:val="22"/>
                <w:szCs w:val="22"/>
                <w:lang w:val="en-US"/>
              </w:rPr>
              <w:t xml:space="preserve">/L) 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enhances bronchial integrity in vitro; </w:t>
            </w:r>
          </w:p>
        </w:tc>
        <w:tc>
          <w:tcPr>
            <w:tcW w:w="1585" w:type="dxa"/>
          </w:tcPr>
          <w:p w14:paraId="47D5BFE4" w14:textId="69CFE12F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Kubo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(19)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</w:p>
        </w:tc>
      </w:tr>
      <w:tr w:rsidR="00CA22CE" w:rsidRPr="002456AE" w14:paraId="05B8AD64" w14:textId="77777777" w:rsidTr="00B516A7">
        <w:tc>
          <w:tcPr>
            <w:tcW w:w="3936" w:type="dxa"/>
            <w:vMerge/>
          </w:tcPr>
          <w:p w14:paraId="39CABB9B" w14:textId="77777777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685" w:type="dxa"/>
          </w:tcPr>
          <w:p w14:paraId="318BEC12" w14:textId="1B3833D9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Farm dust in vitro enhanced barrier function and antiviral response</w:t>
            </w:r>
          </w:p>
        </w:tc>
        <w:tc>
          <w:tcPr>
            <w:tcW w:w="1585" w:type="dxa"/>
          </w:tcPr>
          <w:p w14:paraId="5FEC424F" w14:textId="5D28F1C4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Perdijk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(20)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CA22CE" w:rsidRPr="002456AE" w14:paraId="28582524" w14:textId="77777777" w:rsidTr="00B516A7">
        <w:tc>
          <w:tcPr>
            <w:tcW w:w="3936" w:type="dxa"/>
            <w:vMerge/>
          </w:tcPr>
          <w:p w14:paraId="3CE19648" w14:textId="77777777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685" w:type="dxa"/>
          </w:tcPr>
          <w:p w14:paraId="354F28D1" w14:textId="00E8AAF3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Review</w:t>
            </w:r>
            <w:r w:rsidR="00795040" w:rsidRPr="002456AE">
              <w:rPr>
                <w:rFonts w:ascii="Arial" w:hAnsi="Arial" w:cs="Arial"/>
                <w:sz w:val="22"/>
                <w:szCs w:val="22"/>
                <w:lang w:val="en-GB"/>
              </w:rPr>
              <w:t>: Puts epithelial barrier in focus of correlation of microbiome dysregulation and allergy</w:t>
            </w:r>
          </w:p>
        </w:tc>
        <w:tc>
          <w:tcPr>
            <w:tcW w:w="1585" w:type="dxa"/>
          </w:tcPr>
          <w:p w14:paraId="38DD998A" w14:textId="65628C4C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Lambrecht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and </w:t>
            </w: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Hammad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(21)</w:t>
            </w:r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</w:p>
        </w:tc>
      </w:tr>
      <w:tr w:rsidR="00CA22CE" w:rsidRPr="002456AE" w14:paraId="33858DDA" w14:textId="77777777" w:rsidTr="00B516A7">
        <w:tc>
          <w:tcPr>
            <w:tcW w:w="3936" w:type="dxa"/>
            <w:vMerge/>
          </w:tcPr>
          <w:p w14:paraId="2B2A627C" w14:textId="22618E92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3685" w:type="dxa"/>
          </w:tcPr>
          <w:p w14:paraId="1410FE19" w14:textId="77777777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585" w:type="dxa"/>
          </w:tcPr>
          <w:p w14:paraId="6AF0D0C2" w14:textId="34FE3937" w:rsidR="00CA22CE" w:rsidRPr="002456AE" w:rsidRDefault="00CA22CE" w:rsidP="004A560F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>Vlugt</w:t>
            </w:r>
            <w:proofErr w:type="spellEnd"/>
            <w:r w:rsidRPr="002456AE">
              <w:rPr>
                <w:rFonts w:ascii="Arial" w:hAnsi="Arial" w:cs="Arial"/>
                <w:sz w:val="22"/>
                <w:szCs w:val="22"/>
                <w:lang w:val="en-GB"/>
              </w:rPr>
              <w:t xml:space="preserve"> et al </w:t>
            </w:r>
            <w:r w:rsidRPr="002456AE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(22)</w:t>
            </w:r>
          </w:p>
        </w:tc>
      </w:tr>
    </w:tbl>
    <w:p w14:paraId="2677CCAE" w14:textId="427E3046" w:rsidR="00D6082E" w:rsidRPr="002456AE" w:rsidRDefault="00130B42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  <w:r w:rsidRPr="002456AE">
        <w:rPr>
          <w:rFonts w:ascii="Arial" w:hAnsi="Arial" w:cs="Arial"/>
          <w:sz w:val="22"/>
          <w:szCs w:val="22"/>
          <w:lang w:val="en-GB"/>
        </w:rPr>
        <w:t>1…</w:t>
      </w:r>
      <w:r w:rsidR="00003D04" w:rsidRPr="002456AE">
        <w:rPr>
          <w:rFonts w:ascii="Arial" w:hAnsi="Arial" w:cs="Arial"/>
          <w:sz w:val="22"/>
          <w:szCs w:val="22"/>
          <w:lang w:val="en-GB"/>
        </w:rPr>
        <w:t>P</w:t>
      </w:r>
      <w:r w:rsidRPr="002456AE">
        <w:rPr>
          <w:rFonts w:ascii="Arial" w:hAnsi="Arial" w:cs="Arial"/>
          <w:sz w:val="22"/>
          <w:szCs w:val="22"/>
          <w:lang w:val="en-GB"/>
        </w:rPr>
        <w:t xml:space="preserve">ARSIFAL - Prevention of Allergy Risk factors for Sensitization in Children Related to Farming and </w:t>
      </w:r>
      <w:proofErr w:type="spellStart"/>
      <w:r w:rsidRPr="002456AE">
        <w:rPr>
          <w:rFonts w:ascii="Arial" w:hAnsi="Arial" w:cs="Arial"/>
          <w:sz w:val="22"/>
          <w:szCs w:val="22"/>
          <w:lang w:val="en-GB"/>
        </w:rPr>
        <w:t>Anthroposophic</w:t>
      </w:r>
      <w:proofErr w:type="spellEnd"/>
      <w:r w:rsidRPr="002456AE">
        <w:rPr>
          <w:rFonts w:ascii="Arial" w:hAnsi="Arial" w:cs="Arial"/>
          <w:sz w:val="22"/>
          <w:szCs w:val="22"/>
          <w:lang w:val="en-GB"/>
        </w:rPr>
        <w:t xml:space="preserve"> Lifestyle</w:t>
      </w:r>
    </w:p>
    <w:p w14:paraId="0F027414" w14:textId="1D7488E0" w:rsidR="00130B42" w:rsidRPr="002456AE" w:rsidRDefault="00130B42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  <w:r w:rsidRPr="002456AE">
        <w:rPr>
          <w:rFonts w:ascii="Arial" w:hAnsi="Arial" w:cs="Arial"/>
          <w:sz w:val="22"/>
          <w:szCs w:val="22"/>
          <w:lang w:val="en-GB"/>
        </w:rPr>
        <w:t>2…</w:t>
      </w:r>
      <w:r w:rsidR="00003D04" w:rsidRPr="002456AE">
        <w:rPr>
          <w:rFonts w:ascii="Arial" w:hAnsi="Arial" w:cs="Arial"/>
          <w:sz w:val="22"/>
          <w:szCs w:val="22"/>
          <w:lang w:val="en-GB"/>
        </w:rPr>
        <w:t xml:space="preserve">PASTURE - Protection </w:t>
      </w:r>
      <w:proofErr w:type="gramStart"/>
      <w:r w:rsidR="00003D04" w:rsidRPr="002456AE">
        <w:rPr>
          <w:rFonts w:ascii="Arial" w:hAnsi="Arial" w:cs="Arial"/>
          <w:sz w:val="22"/>
          <w:szCs w:val="22"/>
          <w:lang w:val="en-GB"/>
        </w:rPr>
        <w:t>Against</w:t>
      </w:r>
      <w:proofErr w:type="gramEnd"/>
      <w:r w:rsidR="00003D04" w:rsidRPr="002456AE">
        <w:rPr>
          <w:rFonts w:ascii="Arial" w:hAnsi="Arial" w:cs="Arial"/>
          <w:sz w:val="22"/>
          <w:szCs w:val="22"/>
          <w:lang w:val="en-GB"/>
        </w:rPr>
        <w:t xml:space="preserve"> Allergy Study in Rural Environments</w:t>
      </w:r>
    </w:p>
    <w:p w14:paraId="70182237" w14:textId="14F9762B" w:rsidR="00130B42" w:rsidRPr="002456AE" w:rsidRDefault="00130B42" w:rsidP="004A560F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sz w:val="22"/>
          <w:szCs w:val="22"/>
          <w:lang w:val="en-GB"/>
        </w:rPr>
      </w:pPr>
      <w:r w:rsidRPr="002456AE">
        <w:rPr>
          <w:rFonts w:ascii="Arial" w:hAnsi="Arial" w:cs="Arial"/>
          <w:sz w:val="22"/>
          <w:szCs w:val="22"/>
          <w:lang w:val="en-GB"/>
        </w:rPr>
        <w:t>3…</w:t>
      </w:r>
      <w:r w:rsidR="00003D04" w:rsidRPr="002456AE">
        <w:rPr>
          <w:rFonts w:ascii="Arial" w:hAnsi="Arial" w:cs="Arial"/>
          <w:sz w:val="22"/>
          <w:szCs w:val="22"/>
          <w:lang w:val="en-GB"/>
        </w:rPr>
        <w:t>GABRIELA – Multidisciplinary Study to Identify the Genetic and Environmental Causes of Asthma in the European Community [GABRIEL] Advanced Study</w:t>
      </w:r>
    </w:p>
    <w:p w14:paraId="6C2BD504" w14:textId="77777777" w:rsidR="00130B42" w:rsidRPr="002456AE" w:rsidRDefault="00130B42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</w:p>
    <w:p w14:paraId="26FB6098" w14:textId="77777777" w:rsidR="00130B42" w:rsidRPr="002456AE" w:rsidRDefault="00130B42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</w:p>
    <w:p w14:paraId="14B572C0" w14:textId="77777777" w:rsidR="00130B42" w:rsidRPr="002456AE" w:rsidRDefault="00130B42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</w:p>
    <w:p w14:paraId="2272F52A" w14:textId="77777777" w:rsidR="002456AE" w:rsidRDefault="002456AE" w:rsidP="004A560F">
      <w:pPr>
        <w:spacing w:line="48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2F3423C7" w14:textId="77777777" w:rsidR="002456AE" w:rsidRPr="00FE439C" w:rsidRDefault="002456AE" w:rsidP="004A560F">
      <w:pPr>
        <w:spacing w:line="480" w:lineRule="auto"/>
        <w:rPr>
          <w:rFonts w:ascii="Arial" w:hAnsi="Arial" w:cs="Arial"/>
          <w:b/>
          <w:lang w:val="en-GB"/>
        </w:rPr>
      </w:pPr>
      <w:r w:rsidRPr="00FE439C">
        <w:rPr>
          <w:rFonts w:ascii="Arial" w:hAnsi="Arial" w:cs="Arial"/>
          <w:b/>
          <w:lang w:val="en-GB"/>
        </w:rPr>
        <w:lastRenderedPageBreak/>
        <w:t>References to Suppl. Table 1</w:t>
      </w:r>
    </w:p>
    <w:p w14:paraId="5DBB2287" w14:textId="084C9831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Platts-Mills TA. The allergy epidemics: 1870-2010.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2015;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136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(1):3-13.</w:t>
      </w:r>
    </w:p>
    <w:p w14:paraId="7F54CD33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2.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von Mutius E. The microbial environment and its influence on asthma prevention in early life.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2016;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137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(3):680-689.</w:t>
      </w:r>
    </w:p>
    <w:p w14:paraId="0D967B44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3.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Ege MJ. The Hygiene Hypothesis in the Age of the Microbiome.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Ann Am Thorac Soc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14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(Supplement_5):S348-S353.</w:t>
      </w:r>
    </w:p>
    <w:p w14:paraId="550882E8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4.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House JS, Wyss AB, Hoppin JA, Richards M, Long S, Umbach DM, et al. Early-life farm exposures and adult asthma and atopy in the Agricultural Lung Health Study.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140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(1):249-256 e214.</w:t>
      </w:r>
    </w:p>
    <w:p w14:paraId="17E9C7C7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5.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Loss G, Depner M, Ulfman LH, van Neerven RJ, Hose AJ, Genuneit J, et al. Consumption of unprocessed cow's milk protects infants from common respiratory infections. </w:t>
      </w:r>
      <w:r w:rsidRPr="002456AE">
        <w:rPr>
          <w:rFonts w:ascii="Arial" w:hAnsi="Arial" w:cs="Arial"/>
          <w:i/>
          <w:noProof/>
          <w:sz w:val="22"/>
          <w:szCs w:val="22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</w:rPr>
        <w:t xml:space="preserve"> 2015;</w:t>
      </w:r>
      <w:r w:rsidRPr="002456AE">
        <w:rPr>
          <w:rFonts w:ascii="Arial" w:hAnsi="Arial" w:cs="Arial"/>
          <w:b/>
          <w:noProof/>
          <w:sz w:val="22"/>
          <w:szCs w:val="22"/>
        </w:rPr>
        <w:t>135</w:t>
      </w:r>
      <w:r w:rsidRPr="002456AE">
        <w:rPr>
          <w:rFonts w:ascii="Arial" w:hAnsi="Arial" w:cs="Arial"/>
          <w:noProof/>
          <w:sz w:val="22"/>
          <w:szCs w:val="22"/>
        </w:rPr>
        <w:t>(1):56-62.</w:t>
      </w:r>
    </w:p>
    <w:p w14:paraId="250E967C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</w:rPr>
        <w:t>6.</w:t>
      </w:r>
      <w:r w:rsidRPr="002456AE">
        <w:rPr>
          <w:rFonts w:ascii="Arial" w:hAnsi="Arial" w:cs="Arial"/>
          <w:noProof/>
          <w:sz w:val="22"/>
          <w:szCs w:val="22"/>
        </w:rPr>
        <w:tab/>
        <w:t xml:space="preserve">Ludka-Gaulke T, Ghera P, Waring SC, Keifer M, Seroogy C, Gern JE, et al. 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Farm exposure in early childhood is associated with a lower risk of severe respiratory illnesses.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2018;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141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(1):454-456 e454.</w:t>
      </w:r>
    </w:p>
    <w:p w14:paraId="41B29688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7.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Muller-Rompa SEK, Markevych I, Hose AJ, Loss G, Wouters IM, Genuneit J, et al. An approach to the asthma-protective farm effect by geocoding: Good farms and better farms.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Pediatr Allergy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2018.</w:t>
      </w:r>
    </w:p>
    <w:p w14:paraId="6E9F038E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8.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Ober C, Sperling AI, von Mutius E, Vercelli D. Immune development and environment: lessons from Amish and Hutterite children.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Curr Opin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48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:51-60.</w:t>
      </w:r>
    </w:p>
    <w:p w14:paraId="0471F3B3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9.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Stein MM, Hrusch CL, Gozdz J, Igartua C, Pivniouk V, Murray SE, et al. Innate Immunity and Asthma Risk in Amish and Hutterite Farm Children.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N Engl J Med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2016;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375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(5):411-421.</w:t>
      </w:r>
    </w:p>
    <w:p w14:paraId="40476AA8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10.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Reardon S. Dirty room-mates make lab mice more useful.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Nature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2016;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532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(7599):294-295.</w:t>
      </w:r>
    </w:p>
    <w:p w14:paraId="658415AE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11.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Gupta S. Microbiome: Puppy power.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Nature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543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(7647):S48-S49.</w:t>
      </w:r>
    </w:p>
    <w:p w14:paraId="4B5A5C8F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lastRenderedPageBreak/>
        <w:t>12.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Cruz AA, Cooper PJ, Figueiredo CA, Alcantara-Neves NM, Rodrigues LC, Barreto ML. Global issues in allergy and immunology: Parasitic infections and allergy.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140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(5):1217-1228.</w:t>
      </w:r>
    </w:p>
    <w:p w14:paraId="022193C8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13.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Ramanan D, Bowcutt R, Lee SC, Tang MS, Kurtz ZD, Ding Y, et al. Helminth infection promotes colonization resistance via type 2 immunity.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Science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2016;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352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(6285):608-612.</w:t>
      </w:r>
    </w:p>
    <w:p w14:paraId="741A38B6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14.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Skevaki C, Hudemann C, Matrosovich M, Mobs C, Paul S, Wachtendorf A, et al. Influenza-derived peptides cross-react with allergens and provide asthma protection. </w:t>
      </w:r>
      <w:r w:rsidRPr="002456AE">
        <w:rPr>
          <w:rFonts w:ascii="Arial" w:hAnsi="Arial" w:cs="Arial"/>
          <w:i/>
          <w:noProof/>
          <w:sz w:val="22"/>
          <w:szCs w:val="22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</w:rPr>
        <w:t xml:space="preserve"> 2017.</w:t>
      </w:r>
    </w:p>
    <w:p w14:paraId="6644C142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</w:rPr>
      </w:pPr>
      <w:r w:rsidRPr="002456AE">
        <w:rPr>
          <w:rFonts w:ascii="Arial" w:hAnsi="Arial" w:cs="Arial"/>
          <w:noProof/>
          <w:sz w:val="22"/>
          <w:szCs w:val="22"/>
        </w:rPr>
        <w:t>15.</w:t>
      </w:r>
      <w:r w:rsidRPr="002456AE">
        <w:rPr>
          <w:rFonts w:ascii="Arial" w:hAnsi="Arial" w:cs="Arial"/>
          <w:noProof/>
          <w:sz w:val="22"/>
          <w:szCs w:val="22"/>
        </w:rPr>
        <w:tab/>
        <w:t xml:space="preserve">Frei R, Ferstl R, Roduit C, Ziegler M, Schiavi E, Barcik W, et al. 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Exposure to nonmicrobial N-glycolylneuraminic acid protects farmers' children against airway inflammation and colitis. </w:t>
      </w:r>
      <w:r w:rsidRPr="002456AE">
        <w:rPr>
          <w:rFonts w:ascii="Arial" w:hAnsi="Arial" w:cs="Arial"/>
          <w:i/>
          <w:noProof/>
          <w:sz w:val="22"/>
          <w:szCs w:val="22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</w:rPr>
        <w:t xml:space="preserve"> 2018;</w:t>
      </w:r>
      <w:r w:rsidRPr="002456AE">
        <w:rPr>
          <w:rFonts w:ascii="Arial" w:hAnsi="Arial" w:cs="Arial"/>
          <w:b/>
          <w:noProof/>
          <w:sz w:val="22"/>
          <w:szCs w:val="22"/>
        </w:rPr>
        <w:t>141</w:t>
      </w:r>
      <w:r w:rsidRPr="002456AE">
        <w:rPr>
          <w:rFonts w:ascii="Arial" w:hAnsi="Arial" w:cs="Arial"/>
          <w:noProof/>
          <w:sz w:val="22"/>
          <w:szCs w:val="22"/>
        </w:rPr>
        <w:t>(1):382-390 e387.</w:t>
      </w:r>
    </w:p>
    <w:p w14:paraId="7AD97703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</w:rPr>
        <w:t>16.</w:t>
      </w:r>
      <w:r w:rsidRPr="002456AE">
        <w:rPr>
          <w:rFonts w:ascii="Arial" w:hAnsi="Arial" w:cs="Arial"/>
          <w:noProof/>
          <w:sz w:val="22"/>
          <w:szCs w:val="22"/>
        </w:rPr>
        <w:tab/>
        <w:t xml:space="preserve">Schuijs MJ, Willart MA, Vergote K, Gras D, Deswarte K, Ege MJ, et al. 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Farm dust and endotoxin protect against allergy through A20 induction in lung epithelial cells.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Science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2015;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349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(6252):1106-1110.</w:t>
      </w:r>
    </w:p>
    <w:p w14:paraId="6F6E1A9C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17.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Lluis A, Depner M, Gaugler B, Saas P, Casaca VI, Raedler D, et al. Increased regulatory T-cell numbers are associated with farm milk exposure and lower atopic sensitization and asthma in childhood. </w:t>
      </w:r>
      <w:r w:rsidRPr="002456AE">
        <w:rPr>
          <w:rFonts w:ascii="Arial" w:hAnsi="Arial" w:cs="Arial"/>
          <w:i/>
          <w:noProof/>
          <w:sz w:val="22"/>
          <w:szCs w:val="22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</w:rPr>
        <w:t xml:space="preserve"> 2014;</w:t>
      </w:r>
      <w:r w:rsidRPr="002456AE">
        <w:rPr>
          <w:rFonts w:ascii="Arial" w:hAnsi="Arial" w:cs="Arial"/>
          <w:b/>
          <w:noProof/>
          <w:sz w:val="22"/>
          <w:szCs w:val="22"/>
        </w:rPr>
        <w:t>133</w:t>
      </w:r>
      <w:r w:rsidRPr="002456AE">
        <w:rPr>
          <w:rFonts w:ascii="Arial" w:hAnsi="Arial" w:cs="Arial"/>
          <w:noProof/>
          <w:sz w:val="22"/>
          <w:szCs w:val="22"/>
        </w:rPr>
        <w:t>(2):551-559.</w:t>
      </w:r>
    </w:p>
    <w:p w14:paraId="793FB036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</w:rPr>
        <w:t>18.</w:t>
      </w:r>
      <w:r w:rsidRPr="002456AE">
        <w:rPr>
          <w:rFonts w:ascii="Arial" w:hAnsi="Arial" w:cs="Arial"/>
          <w:noProof/>
          <w:sz w:val="22"/>
          <w:szCs w:val="22"/>
        </w:rPr>
        <w:tab/>
        <w:t xml:space="preserve">Lluis A, Ballenberger N, Illi S, Schieck M, Kabesch M, Illig T, et al. 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Regulation of TH17 markers early in life through maternal farm exposure.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2014;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133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(3):864-871.</w:t>
      </w:r>
    </w:p>
    <w:p w14:paraId="74614536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19.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Kubo T, Wawrzyniak P, Morita H, Sugita K, Wanke K, Kast JI, et al. CpG-DNA enhances the tight junction integrity of the bronchial epithelial cell barrier.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2015;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136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(5):1413-1416 e1411-1418.</w:t>
      </w:r>
    </w:p>
    <w:p w14:paraId="3AF23BAE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20.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Perdijk O, van Splunter M, Savelkoul HFJ, Brugman S, van Neerven RJJ. Cow's Milk and Immune Function in the Respiratory Tract: Potential Mechanisms. </w:t>
      </w:r>
      <w:r w:rsidRPr="002456AE">
        <w:rPr>
          <w:rFonts w:ascii="Arial" w:hAnsi="Arial" w:cs="Arial"/>
          <w:i/>
          <w:noProof/>
          <w:sz w:val="22"/>
          <w:szCs w:val="22"/>
          <w:lang w:val="en-US"/>
        </w:rPr>
        <w:t>Front Immunol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 2018;</w:t>
      </w:r>
      <w:r w:rsidRPr="002456AE">
        <w:rPr>
          <w:rFonts w:ascii="Arial" w:hAnsi="Arial" w:cs="Arial"/>
          <w:b/>
          <w:noProof/>
          <w:sz w:val="22"/>
          <w:szCs w:val="22"/>
          <w:lang w:val="en-US"/>
        </w:rPr>
        <w:t>9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>:143.</w:t>
      </w:r>
    </w:p>
    <w:p w14:paraId="0C188B9C" w14:textId="77777777" w:rsidR="00A02EDE" w:rsidRPr="002456AE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</w:rPr>
      </w:pPr>
      <w:r w:rsidRPr="002456AE">
        <w:rPr>
          <w:rFonts w:ascii="Arial" w:hAnsi="Arial" w:cs="Arial"/>
          <w:noProof/>
          <w:sz w:val="22"/>
          <w:szCs w:val="22"/>
          <w:lang w:val="en-US"/>
        </w:rPr>
        <w:t>21.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ab/>
        <w:t xml:space="preserve">Lambrecht BN, Hammad H. The immunology of the allergy epidemic and the hygiene hypothesis. </w:t>
      </w:r>
      <w:r w:rsidRPr="002456AE">
        <w:rPr>
          <w:rFonts w:ascii="Arial" w:hAnsi="Arial" w:cs="Arial"/>
          <w:i/>
          <w:noProof/>
          <w:sz w:val="22"/>
          <w:szCs w:val="22"/>
        </w:rPr>
        <w:t>Nat Immunol</w:t>
      </w:r>
      <w:r w:rsidRPr="002456AE">
        <w:rPr>
          <w:rFonts w:ascii="Arial" w:hAnsi="Arial" w:cs="Arial"/>
          <w:noProof/>
          <w:sz w:val="22"/>
          <w:szCs w:val="22"/>
        </w:rPr>
        <w:t xml:space="preserve"> 2017;</w:t>
      </w:r>
      <w:r w:rsidRPr="002456AE">
        <w:rPr>
          <w:rFonts w:ascii="Arial" w:hAnsi="Arial" w:cs="Arial"/>
          <w:b/>
          <w:noProof/>
          <w:sz w:val="22"/>
          <w:szCs w:val="22"/>
        </w:rPr>
        <w:t>18</w:t>
      </w:r>
      <w:r w:rsidRPr="002456AE">
        <w:rPr>
          <w:rFonts w:ascii="Arial" w:hAnsi="Arial" w:cs="Arial"/>
          <w:noProof/>
          <w:sz w:val="22"/>
          <w:szCs w:val="22"/>
        </w:rPr>
        <w:t>(10):1076-1083.</w:t>
      </w:r>
    </w:p>
    <w:p w14:paraId="7512E3BF" w14:textId="77777777" w:rsidR="00A02EDE" w:rsidRPr="00CA2F47" w:rsidRDefault="00A02EDE" w:rsidP="004A560F">
      <w:pPr>
        <w:pStyle w:val="EndNoteBibliography"/>
        <w:spacing w:line="480" w:lineRule="auto"/>
        <w:rPr>
          <w:rFonts w:ascii="Arial" w:hAnsi="Arial" w:cs="Arial"/>
          <w:noProof/>
          <w:sz w:val="22"/>
          <w:szCs w:val="22"/>
          <w:lang w:val="en-US"/>
        </w:rPr>
      </w:pPr>
      <w:r w:rsidRPr="002456AE">
        <w:rPr>
          <w:rFonts w:ascii="Arial" w:hAnsi="Arial" w:cs="Arial"/>
          <w:noProof/>
          <w:sz w:val="22"/>
          <w:szCs w:val="22"/>
        </w:rPr>
        <w:lastRenderedPageBreak/>
        <w:t>22.</w:t>
      </w:r>
      <w:r w:rsidRPr="002456AE">
        <w:rPr>
          <w:rFonts w:ascii="Arial" w:hAnsi="Arial" w:cs="Arial"/>
          <w:noProof/>
          <w:sz w:val="22"/>
          <w:szCs w:val="22"/>
        </w:rPr>
        <w:tab/>
        <w:t xml:space="preserve">van der Vlugt L, Eger K, Muller C, Ninaber DK, Zarcone MC, Amatngalim GD, et al. </w:t>
      </w:r>
      <w:r w:rsidRPr="002456AE">
        <w:rPr>
          <w:rFonts w:ascii="Arial" w:hAnsi="Arial" w:cs="Arial"/>
          <w:noProof/>
          <w:sz w:val="22"/>
          <w:szCs w:val="22"/>
          <w:lang w:val="en-US"/>
        </w:rPr>
        <w:t xml:space="preserve">Farm dust reduces viral load in human bronchial epithelial cells by increasing barrier function and antiviral responses. </w:t>
      </w:r>
      <w:r w:rsidRPr="00CA2F47">
        <w:rPr>
          <w:rFonts w:ascii="Arial" w:hAnsi="Arial" w:cs="Arial"/>
          <w:i/>
          <w:noProof/>
          <w:sz w:val="22"/>
          <w:szCs w:val="22"/>
          <w:lang w:val="en-US"/>
        </w:rPr>
        <w:t>J Allergy Clin Immunol</w:t>
      </w:r>
      <w:r w:rsidRPr="00CA2F47">
        <w:rPr>
          <w:rFonts w:ascii="Arial" w:hAnsi="Arial" w:cs="Arial"/>
          <w:noProof/>
          <w:sz w:val="22"/>
          <w:szCs w:val="22"/>
          <w:lang w:val="en-US"/>
        </w:rPr>
        <w:t xml:space="preserve"> 2018.</w:t>
      </w:r>
    </w:p>
    <w:p w14:paraId="5D03472C" w14:textId="219C67F3" w:rsidR="007C0E94" w:rsidRPr="002456AE" w:rsidRDefault="007C0E94" w:rsidP="004A560F">
      <w:pPr>
        <w:spacing w:line="480" w:lineRule="auto"/>
        <w:rPr>
          <w:rFonts w:ascii="Arial" w:hAnsi="Arial" w:cs="Arial"/>
          <w:sz w:val="22"/>
          <w:szCs w:val="22"/>
          <w:lang w:val="en-GB"/>
        </w:rPr>
      </w:pPr>
    </w:p>
    <w:sectPr w:rsidR="007C0E94" w:rsidRPr="002456AE" w:rsidSect="0048024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ler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vwtdpwtaepezefa09xv0p42xxwwp5fwerp&quot;&gt;Hygiene PPP3 2018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7C0E94"/>
    <w:rsid w:val="00003D04"/>
    <w:rsid w:val="00031BDB"/>
    <w:rsid w:val="000719AA"/>
    <w:rsid w:val="000A477C"/>
    <w:rsid w:val="000A55A4"/>
    <w:rsid w:val="00130B42"/>
    <w:rsid w:val="00156F0B"/>
    <w:rsid w:val="001F3E9A"/>
    <w:rsid w:val="002336FC"/>
    <w:rsid w:val="002456AE"/>
    <w:rsid w:val="00295659"/>
    <w:rsid w:val="002C6E6F"/>
    <w:rsid w:val="002E4D6A"/>
    <w:rsid w:val="00305219"/>
    <w:rsid w:val="00394EAF"/>
    <w:rsid w:val="003A1366"/>
    <w:rsid w:val="003B41EA"/>
    <w:rsid w:val="003D7D3B"/>
    <w:rsid w:val="003E21A1"/>
    <w:rsid w:val="0043315D"/>
    <w:rsid w:val="0048024A"/>
    <w:rsid w:val="004A560F"/>
    <w:rsid w:val="00510B4A"/>
    <w:rsid w:val="00537A7D"/>
    <w:rsid w:val="00593C3F"/>
    <w:rsid w:val="00633A4D"/>
    <w:rsid w:val="00647892"/>
    <w:rsid w:val="006B368F"/>
    <w:rsid w:val="006B5EA4"/>
    <w:rsid w:val="006E53DF"/>
    <w:rsid w:val="00753AB1"/>
    <w:rsid w:val="00795040"/>
    <w:rsid w:val="007C0E94"/>
    <w:rsid w:val="007D6C1F"/>
    <w:rsid w:val="0080406C"/>
    <w:rsid w:val="008248EB"/>
    <w:rsid w:val="00843B5F"/>
    <w:rsid w:val="008A2722"/>
    <w:rsid w:val="008B5EF4"/>
    <w:rsid w:val="008E53DC"/>
    <w:rsid w:val="009353CD"/>
    <w:rsid w:val="009D3630"/>
    <w:rsid w:val="009E18CD"/>
    <w:rsid w:val="00A01AE4"/>
    <w:rsid w:val="00A02EDE"/>
    <w:rsid w:val="00AB3017"/>
    <w:rsid w:val="00B40CA9"/>
    <w:rsid w:val="00B516A7"/>
    <w:rsid w:val="00B62886"/>
    <w:rsid w:val="00BA5B19"/>
    <w:rsid w:val="00C17484"/>
    <w:rsid w:val="00C25E77"/>
    <w:rsid w:val="00CA22CE"/>
    <w:rsid w:val="00CA2F47"/>
    <w:rsid w:val="00D42507"/>
    <w:rsid w:val="00D6082E"/>
    <w:rsid w:val="00DA7D63"/>
    <w:rsid w:val="00DB0BDB"/>
    <w:rsid w:val="00DC117D"/>
    <w:rsid w:val="00DD2414"/>
    <w:rsid w:val="00DD612C"/>
    <w:rsid w:val="00F301E3"/>
    <w:rsid w:val="00F435E2"/>
    <w:rsid w:val="00F72FDC"/>
    <w:rsid w:val="00F977EE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A1F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0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rsid w:val="00D6082E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Standard"/>
    <w:rsid w:val="00D6082E"/>
    <w:rPr>
      <w:rFonts w:ascii="Calibri" w:hAnsi="Calibri"/>
    </w:rPr>
  </w:style>
  <w:style w:type="paragraph" w:styleId="Kommentartext">
    <w:name w:val="annotation text"/>
    <w:basedOn w:val="Standard"/>
    <w:link w:val="KommentartextZchn"/>
    <w:uiPriority w:val="99"/>
    <w:unhideWhenUsed/>
    <w:rsid w:val="002456AE"/>
    <w:rPr>
      <w:rFonts w:ascii="Times New Roman" w:eastAsia="MS Minngs" w:hAnsi="Times New Roman" w:cs="Times New Roman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56AE"/>
    <w:rPr>
      <w:rFonts w:ascii="Times New Roman" w:eastAsia="MS Minngs" w:hAnsi="Times New Roman" w:cs="Times New Roman"/>
      <w:lang w:val="en-GB"/>
    </w:rPr>
  </w:style>
  <w:style w:type="character" w:styleId="Kommentarzeichen">
    <w:name w:val="annotation reference"/>
    <w:uiPriority w:val="99"/>
    <w:semiHidden/>
    <w:unhideWhenUsed/>
    <w:rsid w:val="002456AE"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56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56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0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rsid w:val="00D6082E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Standard"/>
    <w:rsid w:val="00D6082E"/>
    <w:rPr>
      <w:rFonts w:ascii="Calibri" w:hAnsi="Calibri"/>
    </w:rPr>
  </w:style>
  <w:style w:type="paragraph" w:styleId="Kommentartext">
    <w:name w:val="annotation text"/>
    <w:basedOn w:val="Standard"/>
    <w:link w:val="KommentartextZchn"/>
    <w:uiPriority w:val="99"/>
    <w:unhideWhenUsed/>
    <w:rsid w:val="002456AE"/>
    <w:rPr>
      <w:rFonts w:ascii="Times New Roman" w:eastAsia="MS Minngs" w:hAnsi="Times New Roman" w:cs="Times New Roman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56AE"/>
    <w:rPr>
      <w:rFonts w:ascii="Times New Roman" w:eastAsia="MS Minngs" w:hAnsi="Times New Roman" w:cs="Times New Roman"/>
      <w:lang w:val="en-GB"/>
    </w:rPr>
  </w:style>
  <w:style w:type="character" w:styleId="Kommentarzeichen">
    <w:name w:val="annotation reference"/>
    <w:uiPriority w:val="99"/>
    <w:semiHidden/>
    <w:unhideWhenUsed/>
    <w:rsid w:val="002456AE"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56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5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2FA38-6074-4F89-8FE8-0A35E266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1068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MedUni Wien</Company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Jensen-Jarolim</dc:creator>
  <cp:lastModifiedBy>Eva Untersmayr</cp:lastModifiedBy>
  <cp:revision>2</cp:revision>
  <cp:lastPrinted>2018-12-21T11:05:00Z</cp:lastPrinted>
  <dcterms:created xsi:type="dcterms:W3CDTF">2018-12-21T11:08:00Z</dcterms:created>
  <dcterms:modified xsi:type="dcterms:W3CDTF">2018-12-21T11:08:00Z</dcterms:modified>
</cp:coreProperties>
</file>