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8077" w:type="dxa"/>
        <w:tblCellMar>
          <w:left w:w="70" w:type="dxa"/>
          <w:right w:w="70" w:type="dxa"/>
        </w:tblCellMar>
        <w:tblLook w:val="0000"/>
      </w:tblPr>
      <w:tblGrid>
        <w:gridCol w:w="62"/>
        <w:gridCol w:w="7946"/>
        <w:gridCol w:w="69"/>
      </w:tblGrid>
      <w:tr w:rsidR="002B1866" w:rsidRPr="00BB4117" w:rsidTr="004C6C5C">
        <w:tc>
          <w:tcPr>
            <w:tcW w:w="8077" w:type="dxa"/>
            <w:gridSpan w:val="3"/>
          </w:tcPr>
          <w:p w:rsidR="002B1866" w:rsidRPr="00BB4117" w:rsidRDefault="002B1866" w:rsidP="004C6C5C">
            <w:pPr>
              <w:pStyle w:val="Titel"/>
            </w:pPr>
            <w:bookmarkStart w:id="0" w:name="OLE_LINK1"/>
            <w:r w:rsidRPr="00BB4117">
              <w:t>Life cycle assessment of lithium-air battery cells</w:t>
            </w:r>
            <w:bookmarkEnd w:id="0"/>
          </w:p>
        </w:tc>
      </w:tr>
      <w:tr w:rsidR="002B1866" w:rsidRPr="00BB4117" w:rsidTr="004C6C5C">
        <w:tblPrEx>
          <w:tblCellMar>
            <w:left w:w="0" w:type="dxa"/>
            <w:right w:w="0" w:type="dxa"/>
          </w:tblCellMar>
        </w:tblPrEx>
        <w:trPr>
          <w:gridBefore w:val="1"/>
          <w:gridAfter w:val="1"/>
          <w:wBefore w:w="62" w:type="dxa"/>
          <w:wAfter w:w="69" w:type="dxa"/>
        </w:trPr>
        <w:tc>
          <w:tcPr>
            <w:tcW w:w="7946" w:type="dxa"/>
          </w:tcPr>
          <w:p w:rsidR="002B1866" w:rsidRPr="00BB4117" w:rsidRDefault="002B1866" w:rsidP="0001083A">
            <w:pPr>
              <w:pStyle w:val="Author"/>
              <w:rPr>
                <w:lang w:val="en-GB"/>
              </w:rPr>
            </w:pPr>
            <w:bookmarkStart w:id="1" w:name="Start"/>
            <w:bookmarkEnd w:id="1"/>
            <w:r w:rsidRPr="00BB4117">
              <w:rPr>
                <w:lang w:val="en-GB"/>
              </w:rPr>
              <w:t>Mats Zackrisson</w:t>
            </w:r>
            <w:r w:rsidRPr="00BB4117">
              <w:rPr>
                <w:vertAlign w:val="superscript"/>
                <w:lang w:val="en-GB"/>
              </w:rPr>
              <w:t>a</w:t>
            </w:r>
            <w:r w:rsidRPr="00BB4117">
              <w:rPr>
                <w:lang w:val="en-GB"/>
              </w:rPr>
              <w:t>, Kristin Fransson</w:t>
            </w:r>
            <w:r w:rsidRPr="00BB4117">
              <w:rPr>
                <w:vertAlign w:val="superscript"/>
                <w:lang w:val="en-GB"/>
              </w:rPr>
              <w:t>b</w:t>
            </w:r>
            <w:r w:rsidRPr="00BB4117">
              <w:rPr>
                <w:lang w:val="en-GB"/>
              </w:rPr>
              <w:t>,</w:t>
            </w:r>
            <w:r w:rsidR="00F34B24" w:rsidRPr="00BB4117">
              <w:rPr>
                <w:lang w:val="en-GB"/>
              </w:rPr>
              <w:t xml:space="preserve"> Jutta Hildenbrand</w:t>
            </w:r>
            <w:r w:rsidR="00F34B24" w:rsidRPr="00BB4117">
              <w:rPr>
                <w:vertAlign w:val="superscript"/>
                <w:lang w:val="en-GB"/>
              </w:rPr>
              <w:t>b</w:t>
            </w:r>
            <w:r w:rsidR="00F34B24" w:rsidRPr="00BB4117">
              <w:rPr>
                <w:lang w:val="en-GB"/>
              </w:rPr>
              <w:t>,</w:t>
            </w:r>
            <w:r w:rsidRPr="00BB4117">
              <w:rPr>
                <w:lang w:val="en-GB"/>
              </w:rPr>
              <w:t xml:space="preserve"> Gora</w:t>
            </w:r>
            <w:r w:rsidR="0001083A" w:rsidRPr="00BB4117">
              <w:rPr>
                <w:lang w:val="en-GB"/>
              </w:rPr>
              <w:t>zd</w:t>
            </w:r>
            <w:r w:rsidRPr="00BB4117">
              <w:rPr>
                <w:lang w:val="en-GB"/>
              </w:rPr>
              <w:t xml:space="preserve"> Lampic</w:t>
            </w:r>
            <w:r w:rsidR="00491354" w:rsidRPr="00BB4117">
              <w:rPr>
                <w:vertAlign w:val="superscript"/>
                <w:lang w:val="en-GB"/>
              </w:rPr>
              <w:t>c</w:t>
            </w:r>
            <w:r w:rsidRPr="00BB4117">
              <w:rPr>
                <w:lang w:val="en-GB"/>
              </w:rPr>
              <w:t xml:space="preserve"> </w:t>
            </w:r>
            <w:r w:rsidR="000F5C1D" w:rsidRPr="00BB4117">
              <w:rPr>
                <w:lang w:val="en-GB"/>
              </w:rPr>
              <w:t>, Colm O'Dwyer</w:t>
            </w:r>
            <w:r w:rsidR="000F5C1D" w:rsidRPr="00BB4117">
              <w:rPr>
                <w:vertAlign w:val="superscript"/>
                <w:lang w:val="en-GB"/>
              </w:rPr>
              <w:t>e</w:t>
            </w:r>
          </w:p>
        </w:tc>
      </w:tr>
      <w:tr w:rsidR="002B1866" w:rsidRPr="00BB4117" w:rsidTr="004C6C5C">
        <w:tblPrEx>
          <w:tblCellMar>
            <w:left w:w="0" w:type="dxa"/>
            <w:right w:w="0" w:type="dxa"/>
          </w:tblCellMar>
        </w:tblPrEx>
        <w:trPr>
          <w:gridBefore w:val="1"/>
          <w:gridAfter w:val="1"/>
          <w:wBefore w:w="62" w:type="dxa"/>
          <w:wAfter w:w="69" w:type="dxa"/>
        </w:trPr>
        <w:tc>
          <w:tcPr>
            <w:tcW w:w="7946" w:type="dxa"/>
          </w:tcPr>
          <w:p w:rsidR="002B1866" w:rsidRPr="00BB4117" w:rsidRDefault="002B1866" w:rsidP="004C6C5C">
            <w:pPr>
              <w:pStyle w:val="Affiliation"/>
              <w:spacing w:before="40" w:after="40"/>
              <w:rPr>
                <w:szCs w:val="18"/>
                <w:lang w:val="en-GB"/>
              </w:rPr>
            </w:pPr>
            <w:r w:rsidRPr="00BB4117">
              <w:rPr>
                <w:szCs w:val="18"/>
                <w:vertAlign w:val="superscript"/>
                <w:lang w:val="en-GB"/>
              </w:rPr>
              <w:t>a</w:t>
            </w:r>
            <w:r w:rsidRPr="00BB4117">
              <w:rPr>
                <w:lang w:val="en-GB"/>
              </w:rPr>
              <w:t>Corresponding author.</w:t>
            </w:r>
            <w:r w:rsidRPr="00BB4117">
              <w:rPr>
                <w:szCs w:val="18"/>
                <w:lang w:val="en-GB"/>
              </w:rPr>
              <w:t xml:space="preserve"> Swerea IVF AB, Brinellvägen 68, SE-100 44 Stockholm, Sweden. </w:t>
            </w:r>
            <w:r w:rsidRPr="00BB4117">
              <w:rPr>
                <w:szCs w:val="18"/>
                <w:lang w:val="en-GB"/>
              </w:rPr>
              <w:br/>
              <w:t>Telephone: +46 8 20 39 53. E-mail: mats.zackrisson@swerea.se.</w:t>
            </w:r>
          </w:p>
          <w:p w:rsidR="001029B7" w:rsidRPr="00BB4117" w:rsidRDefault="00294937" w:rsidP="00491354">
            <w:pPr>
              <w:pStyle w:val="Abstract"/>
              <w:spacing w:after="40"/>
              <w:jc w:val="center"/>
              <w:rPr>
                <w:i/>
                <w:szCs w:val="18"/>
              </w:rPr>
            </w:pPr>
            <w:proofErr w:type="spellStart"/>
            <w:r w:rsidRPr="00BB4117">
              <w:rPr>
                <w:i/>
                <w:vertAlign w:val="superscript"/>
              </w:rPr>
              <w:t>b</w:t>
            </w:r>
            <w:r w:rsidRPr="00BB4117">
              <w:rPr>
                <w:i/>
              </w:rPr>
              <w:t>Swerea</w:t>
            </w:r>
            <w:proofErr w:type="spellEnd"/>
            <w:r w:rsidRPr="00BB4117">
              <w:rPr>
                <w:i/>
              </w:rPr>
              <w:t xml:space="preserve"> IVF AB</w:t>
            </w:r>
            <w:r w:rsidRPr="00BB4117">
              <w:rPr>
                <w:i/>
                <w:szCs w:val="18"/>
              </w:rPr>
              <w:t xml:space="preserve">, </w:t>
            </w:r>
            <w:proofErr w:type="spellStart"/>
            <w:r w:rsidRPr="00BB4117">
              <w:rPr>
                <w:i/>
                <w:szCs w:val="18"/>
              </w:rPr>
              <w:t>Argongatan</w:t>
            </w:r>
            <w:proofErr w:type="spellEnd"/>
            <w:r w:rsidRPr="00BB4117">
              <w:rPr>
                <w:i/>
                <w:szCs w:val="18"/>
              </w:rPr>
              <w:t xml:space="preserve"> 30, SE-431 53 </w:t>
            </w:r>
            <w:proofErr w:type="spellStart"/>
            <w:r w:rsidRPr="00BB4117">
              <w:rPr>
                <w:i/>
                <w:szCs w:val="18"/>
              </w:rPr>
              <w:t>Mölndal</w:t>
            </w:r>
            <w:proofErr w:type="spellEnd"/>
            <w:r w:rsidRPr="00BB4117">
              <w:rPr>
                <w:i/>
                <w:szCs w:val="18"/>
              </w:rPr>
              <w:t xml:space="preserve">, Sweden, E-mail: </w:t>
            </w:r>
            <w:r w:rsidR="001029B7" w:rsidRPr="00BB4117">
              <w:rPr>
                <w:i/>
                <w:szCs w:val="18"/>
              </w:rPr>
              <w:t>kristin.fransson@swerea.se</w:t>
            </w:r>
            <w:r w:rsidR="00F7465A" w:rsidRPr="00BB4117">
              <w:t>;</w:t>
            </w:r>
            <w:r w:rsidR="00F7465A" w:rsidRPr="00BB4117">
              <w:rPr>
                <w:i/>
                <w:szCs w:val="18"/>
              </w:rPr>
              <w:t xml:space="preserve"> </w:t>
            </w:r>
            <w:r w:rsidR="00F7465A" w:rsidRPr="00BB4117">
              <w:rPr>
                <w:i/>
              </w:rPr>
              <w:t>jutta.hildenbrand@swerea.se</w:t>
            </w:r>
          </w:p>
          <w:p w:rsidR="000F5C1D" w:rsidRPr="00BB4117" w:rsidRDefault="00491354" w:rsidP="000F5C1D">
            <w:pPr>
              <w:pStyle w:val="Abstract"/>
              <w:spacing w:after="40"/>
              <w:jc w:val="center"/>
              <w:rPr>
                <w:i/>
                <w:szCs w:val="18"/>
              </w:rPr>
            </w:pPr>
            <w:proofErr w:type="spellStart"/>
            <w:r w:rsidRPr="00BB4117">
              <w:rPr>
                <w:i/>
                <w:vertAlign w:val="superscript"/>
              </w:rPr>
              <w:t>c</w:t>
            </w:r>
            <w:r w:rsidR="001029B7" w:rsidRPr="00BB4117">
              <w:rPr>
                <w:i/>
              </w:rPr>
              <w:t>Elaphe</w:t>
            </w:r>
            <w:proofErr w:type="spellEnd"/>
            <w:r w:rsidR="001029B7" w:rsidRPr="00BB4117">
              <w:rPr>
                <w:i/>
              </w:rPr>
              <w:t xml:space="preserve"> Ltd., </w:t>
            </w:r>
            <w:proofErr w:type="spellStart"/>
            <w:r w:rsidR="001029B7" w:rsidRPr="00BB4117">
              <w:rPr>
                <w:i/>
              </w:rPr>
              <w:t>Teslova</w:t>
            </w:r>
            <w:proofErr w:type="spellEnd"/>
            <w:r w:rsidR="001029B7" w:rsidRPr="00BB4117">
              <w:rPr>
                <w:i/>
              </w:rPr>
              <w:t xml:space="preserve"> 30, SI-1000, Ljubljana,</w:t>
            </w:r>
            <w:r w:rsidR="00F7465A" w:rsidRPr="00BB4117">
              <w:rPr>
                <w:i/>
              </w:rPr>
              <w:t xml:space="preserve"> Slovenia,</w:t>
            </w:r>
            <w:r w:rsidR="001029B7" w:rsidRPr="00BB4117">
              <w:rPr>
                <w:i/>
              </w:rPr>
              <w:t xml:space="preserve"> </w:t>
            </w:r>
            <w:r w:rsidR="001029B7" w:rsidRPr="00BB4117">
              <w:rPr>
                <w:i/>
                <w:szCs w:val="18"/>
              </w:rPr>
              <w:t>E-mail:</w:t>
            </w:r>
            <w:r w:rsidR="000F5C1D" w:rsidRPr="00BB4117">
              <w:rPr>
                <w:i/>
                <w:szCs w:val="18"/>
              </w:rPr>
              <w:t xml:space="preserve"> </w:t>
            </w:r>
            <w:r w:rsidR="001029B7" w:rsidRPr="00BB4117">
              <w:rPr>
                <w:i/>
                <w:szCs w:val="18"/>
              </w:rPr>
              <w:t>gorazd@elaphe-ev.com</w:t>
            </w:r>
          </w:p>
          <w:p w:rsidR="002B1866" w:rsidRPr="00BB4117" w:rsidRDefault="000F5C1D" w:rsidP="00221762">
            <w:pPr>
              <w:pStyle w:val="Abstract"/>
              <w:jc w:val="center"/>
              <w:rPr>
                <w:i/>
              </w:rPr>
            </w:pPr>
            <w:proofErr w:type="spellStart"/>
            <w:r w:rsidRPr="00BB4117">
              <w:rPr>
                <w:i/>
                <w:vertAlign w:val="superscript"/>
              </w:rPr>
              <w:t>e</w:t>
            </w:r>
            <w:r w:rsidRPr="00BB4117">
              <w:rPr>
                <w:i/>
              </w:rPr>
              <w:t>Department</w:t>
            </w:r>
            <w:proofErr w:type="spellEnd"/>
            <w:r w:rsidRPr="00BB4117">
              <w:rPr>
                <w:i/>
              </w:rPr>
              <w:t xml:space="preserve"> of Chemistry, University College Cork, Cork</w:t>
            </w:r>
            <w:r w:rsidR="00221762" w:rsidRPr="00BB4117">
              <w:rPr>
                <w:i/>
              </w:rPr>
              <w:t xml:space="preserve"> </w:t>
            </w:r>
            <w:r w:rsidR="00221762" w:rsidRPr="00BB4117">
              <w:rPr>
                <w:i/>
                <w:szCs w:val="24"/>
              </w:rPr>
              <w:t>T12 YN60,</w:t>
            </w:r>
            <w:r w:rsidRPr="00BB4117">
              <w:rPr>
                <w:i/>
              </w:rPr>
              <w:t xml:space="preserve"> Ireland, E-mail: c.odwyer@ucc.ie</w:t>
            </w:r>
            <w:hyperlink r:id="rId8" w:history="1"/>
          </w:p>
        </w:tc>
      </w:tr>
    </w:tbl>
    <w:p w:rsidR="002B1866" w:rsidRPr="00BB4117" w:rsidRDefault="002B1866" w:rsidP="002B1866"/>
    <w:p w:rsidR="007315C9" w:rsidRPr="00BB4117" w:rsidRDefault="002B1866" w:rsidP="002B1866">
      <w:pPr>
        <w:pStyle w:val="Sammanfattning"/>
        <w:outlineLvl w:val="0"/>
      </w:pPr>
      <w:r w:rsidRPr="00BB4117">
        <w:rPr>
          <w:bCs/>
          <w:sz w:val="28"/>
        </w:rPr>
        <w:t>Abstract</w:t>
      </w:r>
    </w:p>
    <w:p w:rsidR="002D45E5" w:rsidRPr="00BB4117" w:rsidRDefault="00EB0A05" w:rsidP="002D45E5">
      <w:pPr>
        <w:pStyle w:val="Brdtext"/>
      </w:pPr>
      <w:r w:rsidRPr="00BB4117">
        <w:t>Lithium-air</w:t>
      </w:r>
      <w:r w:rsidR="002D45E5" w:rsidRPr="00BB4117">
        <w:t xml:space="preserve"> batteries are </w:t>
      </w:r>
      <w:r w:rsidR="00184FD2" w:rsidRPr="00BB4117">
        <w:t>investigated</w:t>
      </w:r>
      <w:r w:rsidR="002D45E5" w:rsidRPr="00BB4117">
        <w:t xml:space="preserve"> for propulsion aggregates in vehicles as they theoretically offer </w:t>
      </w:r>
      <w:r w:rsidR="00001D4A" w:rsidRPr="00BB4117">
        <w:t xml:space="preserve">at least </w:t>
      </w:r>
      <w:r w:rsidR="002D45E5" w:rsidRPr="00BB4117">
        <w:t>10 times better energy density than the best battery technology (lithium-ion)</w:t>
      </w:r>
      <w:r w:rsidR="00CF7E24" w:rsidRPr="00BB4117">
        <w:t xml:space="preserve"> </w:t>
      </w:r>
      <w:r w:rsidR="002D45E5" w:rsidRPr="00BB4117">
        <w:t xml:space="preserve">of today. A possible input to guide development </w:t>
      </w:r>
      <w:r w:rsidR="00A9348F" w:rsidRPr="00BB4117">
        <w:t>is expected</w:t>
      </w:r>
      <w:r w:rsidR="002D45E5" w:rsidRPr="00BB4117">
        <w:t xml:space="preserve"> from </w:t>
      </w:r>
      <w:r w:rsidR="00221C45" w:rsidRPr="00BB4117">
        <w:t>L</w:t>
      </w:r>
      <w:r w:rsidR="002D45E5" w:rsidRPr="00BB4117">
        <w:t xml:space="preserve">ife </w:t>
      </w:r>
      <w:r w:rsidR="00221C45" w:rsidRPr="00BB4117">
        <w:t>C</w:t>
      </w:r>
      <w:r w:rsidR="002D45E5" w:rsidRPr="00BB4117">
        <w:t xml:space="preserve">ycle </w:t>
      </w:r>
      <w:r w:rsidR="00221C45" w:rsidRPr="00BB4117">
        <w:t>A</w:t>
      </w:r>
      <w:r w:rsidR="002D45E5" w:rsidRPr="00BB4117">
        <w:t>ssessment (LCA)</w:t>
      </w:r>
      <w:r w:rsidR="00242AF4" w:rsidRPr="00BB4117">
        <w:t xml:space="preserve"> </w:t>
      </w:r>
      <w:r w:rsidR="00937C20" w:rsidRPr="00BB4117">
        <w:t>of the manufacture</w:t>
      </w:r>
      <w:r w:rsidR="00CF7E24" w:rsidRPr="00BB4117">
        <w:t>, use</w:t>
      </w:r>
      <w:r w:rsidR="00937C20" w:rsidRPr="00BB4117">
        <w:t xml:space="preserve"> and recycling of the </w:t>
      </w:r>
      <w:r w:rsidR="00FE39E0" w:rsidRPr="00BB4117">
        <w:t>lithium</w:t>
      </w:r>
      <w:r w:rsidR="00937C20" w:rsidRPr="00BB4117">
        <w:t>-air</w:t>
      </w:r>
      <w:r w:rsidR="00FE39E0" w:rsidRPr="00BB4117">
        <w:t xml:space="preserve"> </w:t>
      </w:r>
      <w:r w:rsidR="00937C20" w:rsidRPr="00BB4117">
        <w:t>battery</w:t>
      </w:r>
      <w:r w:rsidR="002D45E5" w:rsidRPr="00BB4117">
        <w:t>.</w:t>
      </w:r>
    </w:p>
    <w:p w:rsidR="00681C06" w:rsidRPr="00BB4117" w:rsidRDefault="002D45E5">
      <w:pPr>
        <w:pStyle w:val="Brdtext"/>
      </w:pPr>
      <w:r w:rsidRPr="00BB4117">
        <w:t xml:space="preserve">For this purpose, </w:t>
      </w:r>
      <w:r w:rsidR="00EB0A05" w:rsidRPr="00BB4117">
        <w:t>lithium-air</w:t>
      </w:r>
      <w:r w:rsidRPr="00BB4117">
        <w:t xml:space="preserve"> cell</w:t>
      </w:r>
      <w:r w:rsidR="00681C06" w:rsidRPr="00BB4117">
        <w:t xml:space="preserve">s </w:t>
      </w:r>
      <w:r w:rsidR="007315C9" w:rsidRPr="00BB4117">
        <w:t xml:space="preserve">are analyzed from cradle to grave, </w:t>
      </w:r>
      <w:r w:rsidR="00477A1F" w:rsidRPr="00BB4117">
        <w:t>i.e.</w:t>
      </w:r>
      <w:r w:rsidR="007315C9" w:rsidRPr="00BB4117">
        <w:t>, from raw material production</w:t>
      </w:r>
      <w:r w:rsidR="00AA7999" w:rsidRPr="00BB4117">
        <w:t>, cathode</w:t>
      </w:r>
      <w:r w:rsidR="007315C9" w:rsidRPr="00BB4117">
        <w:t xml:space="preserve"> manufacturing,</w:t>
      </w:r>
      <w:r w:rsidR="00AA7999" w:rsidRPr="00BB4117">
        <w:t xml:space="preserve"> electrolyte preparation, cell assembly,</w:t>
      </w:r>
      <w:r w:rsidR="007315C9" w:rsidRPr="00BB4117">
        <w:t xml:space="preserve"> use in a typical </w:t>
      </w:r>
      <w:r w:rsidR="00AA7999" w:rsidRPr="00BB4117">
        <w:t>vehicle</w:t>
      </w:r>
      <w:r w:rsidR="007315C9" w:rsidRPr="00BB4117">
        <w:t xml:space="preserve"> </w:t>
      </w:r>
      <w:r w:rsidR="00666F59" w:rsidRPr="00BB4117">
        <w:t xml:space="preserve">to </w:t>
      </w:r>
      <w:r w:rsidR="007315C9" w:rsidRPr="00BB4117">
        <w:t xml:space="preserve">end-of-life </w:t>
      </w:r>
      <w:r w:rsidR="00AA7999" w:rsidRPr="00BB4117">
        <w:t xml:space="preserve">treatment and </w:t>
      </w:r>
      <w:r w:rsidR="007315C9" w:rsidRPr="00BB4117">
        <w:t>recycl</w:t>
      </w:r>
      <w:r w:rsidR="00AA7999" w:rsidRPr="00BB4117">
        <w:t>ing</w:t>
      </w:r>
      <w:r w:rsidR="00C00558" w:rsidRPr="00BB4117">
        <w:t xml:space="preserve">. The </w:t>
      </w:r>
      <w:r w:rsidRPr="00BB4117">
        <w:t xml:space="preserve">aim </w:t>
      </w:r>
      <w:r w:rsidR="00EC750F" w:rsidRPr="00BB4117">
        <w:t xml:space="preserve">of this investigation </w:t>
      </w:r>
      <w:r w:rsidRPr="00BB4117">
        <w:t xml:space="preserve">is </w:t>
      </w:r>
      <w:r w:rsidR="00666F59" w:rsidRPr="00BB4117">
        <w:t>highlighting</w:t>
      </w:r>
      <w:r w:rsidR="008370C0" w:rsidRPr="00BB4117">
        <w:t xml:space="preserve"> environmental hotspots </w:t>
      </w:r>
      <w:r w:rsidR="00666F59" w:rsidRPr="00BB4117">
        <w:t xml:space="preserve">of </w:t>
      </w:r>
      <w:r w:rsidR="008370C0" w:rsidRPr="00BB4117">
        <w:t xml:space="preserve">lithium-air batteries </w:t>
      </w:r>
      <w:r w:rsidR="00937C20" w:rsidRPr="00BB4117">
        <w:t>to facilitate their improvement</w:t>
      </w:r>
      <w:r w:rsidR="00EC750F" w:rsidRPr="00BB4117">
        <w:t>,</w:t>
      </w:r>
      <w:r w:rsidR="008370C0" w:rsidRPr="00BB4117">
        <w:t xml:space="preserve"> </w:t>
      </w:r>
      <w:r w:rsidR="00EC750F" w:rsidRPr="00BB4117">
        <w:t>in addition</w:t>
      </w:r>
      <w:r w:rsidR="008370C0" w:rsidRPr="00BB4117">
        <w:t xml:space="preserve"> to </w:t>
      </w:r>
      <w:r w:rsidR="00EC750F" w:rsidRPr="00BB4117">
        <w:t xml:space="preserve">scrutinizing </w:t>
      </w:r>
      <w:r w:rsidR="00547EA8" w:rsidRPr="00BB4117">
        <w:t xml:space="preserve">anticipated </w:t>
      </w:r>
      <w:r w:rsidR="008370C0" w:rsidRPr="00BB4117">
        <w:t>environmental benefits</w:t>
      </w:r>
      <w:r w:rsidR="00EC750F" w:rsidRPr="00BB4117">
        <w:t xml:space="preserve"> compared to other battery technologies</w:t>
      </w:r>
      <w:r w:rsidR="008370C0" w:rsidRPr="00BB4117">
        <w:t>.</w:t>
      </w:r>
      <w:r w:rsidR="00C00558" w:rsidRPr="00BB4117">
        <w:t xml:space="preserve"> </w:t>
      </w:r>
      <w:r w:rsidR="00547EA8" w:rsidRPr="00BB4117">
        <w:t xml:space="preserve">Life cycle </w:t>
      </w:r>
      <w:r w:rsidR="009E6886" w:rsidRPr="00BB4117">
        <w:t xml:space="preserve">impacts are quantified in terms of climate impact, abiotic resource depletion and toxicity. </w:t>
      </w:r>
      <w:r w:rsidR="00681C06" w:rsidRPr="00BB4117">
        <w:t>Data is partly based on assumptions and estimates</w:t>
      </w:r>
      <w:r w:rsidR="00937C20" w:rsidRPr="00BB4117">
        <w:t xml:space="preserve"> guided from similar materials and processes common to </w:t>
      </w:r>
      <w:r w:rsidR="00B46A1A" w:rsidRPr="00BB4117">
        <w:t>l</w:t>
      </w:r>
      <w:r w:rsidR="00FE39E0" w:rsidRPr="00BB4117">
        <w:t>ithium-ion</w:t>
      </w:r>
      <w:r w:rsidR="00937C20" w:rsidRPr="00BB4117">
        <w:t xml:space="preserve"> technologies</w:t>
      </w:r>
      <w:r w:rsidR="00681C06" w:rsidRPr="00BB4117">
        <w:t xml:space="preserve">. Laboratory scale results </w:t>
      </w:r>
      <w:r w:rsidR="000D3E28" w:rsidRPr="00BB4117">
        <w:t xml:space="preserve">for </w:t>
      </w:r>
      <w:r w:rsidR="00FE39E0" w:rsidRPr="00BB4117">
        <w:t>lithium-air</w:t>
      </w:r>
      <w:r w:rsidR="000D3E28" w:rsidRPr="00BB4117">
        <w:t xml:space="preserve"> systems </w:t>
      </w:r>
      <w:r w:rsidR="00681C06" w:rsidRPr="00BB4117">
        <w:t>are considered</w:t>
      </w:r>
      <w:r w:rsidR="000D3E28" w:rsidRPr="00BB4117">
        <w:t>,</w:t>
      </w:r>
      <w:r w:rsidR="00681C06" w:rsidRPr="00BB4117">
        <w:t xml:space="preserve"> </w:t>
      </w:r>
      <w:r w:rsidR="000D3E28" w:rsidRPr="00BB4117">
        <w:t xml:space="preserve">which include </w:t>
      </w:r>
      <w:r w:rsidR="00681C06" w:rsidRPr="00BB4117">
        <w:t xml:space="preserve">expectations </w:t>
      </w:r>
      <w:r w:rsidR="000D3E28" w:rsidRPr="00BB4117">
        <w:t xml:space="preserve">in their </w:t>
      </w:r>
      <w:r w:rsidR="00681C06" w:rsidRPr="00BB4117">
        <w:t>future development for efficiency gains.</w:t>
      </w:r>
    </w:p>
    <w:p w:rsidR="0067487A" w:rsidRPr="00BB4117" w:rsidRDefault="00666F59" w:rsidP="00A75689">
      <w:pPr>
        <w:pStyle w:val="Brdtext"/>
      </w:pPr>
      <w:r w:rsidRPr="00BB4117">
        <w:t>At the present level of lithium-air cell performance, production-related impacts dominate all environmental impact categories. However, as the performance of the lithium-air cell develops (and less cells are needed), battery-related losses during operation become the major source of environmental impacts. The battery internal electricity losses become heat that may need considerable amounts of additional energy for its transportation out of the battery.</w:t>
      </w:r>
      <w:r w:rsidR="00737D46" w:rsidRPr="00BB4117">
        <w:t xml:space="preserve"> </w:t>
      </w:r>
    </w:p>
    <w:p w:rsidR="00DC7389" w:rsidRPr="00BB4117" w:rsidRDefault="000C2C50" w:rsidP="00A75689">
      <w:pPr>
        <w:pStyle w:val="Brdtext"/>
      </w:pPr>
      <w:r w:rsidRPr="00BB4117">
        <w:t>I</w:t>
      </w:r>
      <w:r w:rsidR="00A75689" w:rsidRPr="00BB4117">
        <w:t>t is recommended that future battery cell development projects already at the design stage consider</w:t>
      </w:r>
      <w:r w:rsidRPr="00BB4117">
        <w:t xml:space="preserve"> suitable</w:t>
      </w:r>
      <w:r w:rsidR="005A1A35" w:rsidRPr="00BB4117">
        <w:t xml:space="preserve"> methods and processes for efficient and environmentally benign cell-level recycling</w:t>
      </w:r>
      <w:r w:rsidR="00A75689" w:rsidRPr="00BB4117">
        <w:t>. LCA could provide additional arguments</w:t>
      </w:r>
      <w:r w:rsidR="005A1A35" w:rsidRPr="00BB4117">
        <w:t xml:space="preserve"> and a quantitative basis</w:t>
      </w:r>
      <w:r w:rsidR="00A75689" w:rsidRPr="00BB4117">
        <w:t xml:space="preserve"> for lithium battery recycling. This emphasizes the need to develop LCA toxicity impact methods in order to properly assess lithium.</w:t>
      </w:r>
    </w:p>
    <w:p w:rsidR="002E41D0" w:rsidRPr="00BB4117" w:rsidRDefault="002E41D0" w:rsidP="00972995"/>
    <w:p w:rsidR="00E304F9" w:rsidRPr="00BB4117" w:rsidRDefault="00E304F9" w:rsidP="006022A9">
      <w:pPr>
        <w:keepNext/>
        <w:keepLines/>
        <w:rPr>
          <w:b/>
          <w:sz w:val="28"/>
        </w:rPr>
      </w:pPr>
      <w:r w:rsidRPr="00BB4117">
        <w:rPr>
          <w:b/>
          <w:sz w:val="28"/>
        </w:rPr>
        <w:lastRenderedPageBreak/>
        <w:t>Keywords</w:t>
      </w:r>
    </w:p>
    <w:p w:rsidR="00E304F9" w:rsidRPr="00BB4117" w:rsidRDefault="00E304F9" w:rsidP="006022A9">
      <w:pPr>
        <w:keepNext/>
        <w:keepLines/>
        <w:rPr>
          <w:szCs w:val="24"/>
        </w:rPr>
      </w:pPr>
      <w:r w:rsidRPr="00BB4117">
        <w:rPr>
          <w:szCs w:val="24"/>
        </w:rPr>
        <w:t>LCA</w:t>
      </w:r>
      <w:r w:rsidR="004136BF" w:rsidRPr="00BB4117">
        <w:rPr>
          <w:szCs w:val="24"/>
        </w:rPr>
        <w:t>;</w:t>
      </w:r>
      <w:r w:rsidRPr="00BB4117">
        <w:rPr>
          <w:szCs w:val="24"/>
        </w:rPr>
        <w:t xml:space="preserve"> Li-air battery</w:t>
      </w:r>
      <w:r w:rsidR="004136BF" w:rsidRPr="00BB4117">
        <w:rPr>
          <w:szCs w:val="24"/>
        </w:rPr>
        <w:t>;</w:t>
      </w:r>
      <w:r w:rsidRPr="00BB4117">
        <w:rPr>
          <w:szCs w:val="24"/>
        </w:rPr>
        <w:t xml:space="preserve"> </w:t>
      </w:r>
      <w:r w:rsidR="00737D46" w:rsidRPr="00BB4117">
        <w:rPr>
          <w:szCs w:val="24"/>
        </w:rPr>
        <w:t>Li-O</w:t>
      </w:r>
      <w:r w:rsidR="00737D46" w:rsidRPr="00BB4117">
        <w:rPr>
          <w:szCs w:val="24"/>
          <w:vertAlign w:val="subscript"/>
        </w:rPr>
        <w:t>2</w:t>
      </w:r>
      <w:r w:rsidR="00737D46" w:rsidRPr="00BB4117">
        <w:rPr>
          <w:szCs w:val="24"/>
        </w:rPr>
        <w:t xml:space="preserve"> battery</w:t>
      </w:r>
      <w:r w:rsidR="004136BF" w:rsidRPr="00BB4117">
        <w:rPr>
          <w:szCs w:val="24"/>
        </w:rPr>
        <w:t>;</w:t>
      </w:r>
      <w:r w:rsidR="00737D46" w:rsidRPr="00BB4117">
        <w:rPr>
          <w:szCs w:val="24"/>
        </w:rPr>
        <w:t xml:space="preserve"> </w:t>
      </w:r>
      <w:r w:rsidR="0098745C" w:rsidRPr="00BB4117">
        <w:rPr>
          <w:szCs w:val="24"/>
        </w:rPr>
        <w:t>L</w:t>
      </w:r>
      <w:r w:rsidR="004136BF" w:rsidRPr="00BB4117">
        <w:rPr>
          <w:szCs w:val="24"/>
        </w:rPr>
        <w:t xml:space="preserve">ife </w:t>
      </w:r>
      <w:r w:rsidR="0098745C" w:rsidRPr="00BB4117">
        <w:rPr>
          <w:szCs w:val="24"/>
        </w:rPr>
        <w:t>C</w:t>
      </w:r>
      <w:r w:rsidR="004136BF" w:rsidRPr="00BB4117">
        <w:rPr>
          <w:szCs w:val="24"/>
        </w:rPr>
        <w:t xml:space="preserve">ycle </w:t>
      </w:r>
      <w:r w:rsidR="0098745C" w:rsidRPr="00BB4117">
        <w:rPr>
          <w:szCs w:val="24"/>
        </w:rPr>
        <w:t>A</w:t>
      </w:r>
      <w:r w:rsidR="004136BF" w:rsidRPr="00BB4117">
        <w:rPr>
          <w:szCs w:val="24"/>
        </w:rPr>
        <w:t>ssessment</w:t>
      </w:r>
    </w:p>
    <w:p w:rsidR="00E304F9" w:rsidRPr="00BB4117" w:rsidRDefault="00E304F9" w:rsidP="006022A9">
      <w:pPr>
        <w:keepNext/>
        <w:keepLines/>
        <w:rPr>
          <w:b/>
          <w:sz w:val="28"/>
        </w:rPr>
      </w:pPr>
    </w:p>
    <w:p w:rsidR="006022A9" w:rsidRPr="00BB4117" w:rsidRDefault="006022A9" w:rsidP="006022A9">
      <w:pPr>
        <w:keepNext/>
        <w:keepLines/>
        <w:rPr>
          <w:b/>
          <w:sz w:val="28"/>
        </w:rPr>
      </w:pPr>
      <w:r w:rsidRPr="00BB4117">
        <w:rPr>
          <w:b/>
          <w:sz w:val="28"/>
        </w:rPr>
        <w:t>Highlights</w:t>
      </w:r>
    </w:p>
    <w:p w:rsidR="006022A9" w:rsidRPr="00BB4117" w:rsidRDefault="006022A9" w:rsidP="006022A9">
      <w:pPr>
        <w:pStyle w:val="Liststycke"/>
        <w:keepNext/>
        <w:keepLines/>
        <w:numPr>
          <w:ilvl w:val="0"/>
          <w:numId w:val="49"/>
        </w:numPr>
        <w:rPr>
          <w:lang w:val="en-GB"/>
        </w:rPr>
      </w:pPr>
      <w:r w:rsidRPr="00BB4117">
        <w:rPr>
          <w:lang w:val="en-GB"/>
        </w:rPr>
        <w:t>LCA of an emerging technology</w:t>
      </w:r>
      <w:r w:rsidR="00DD75DA" w:rsidRPr="00BB4117">
        <w:rPr>
          <w:lang w:val="en-GB"/>
        </w:rPr>
        <w:t>:</w:t>
      </w:r>
      <w:r w:rsidRPr="00BB4117">
        <w:rPr>
          <w:lang w:val="en-GB"/>
        </w:rPr>
        <w:t xml:space="preserve"> </w:t>
      </w:r>
      <w:r w:rsidR="00FE39E0" w:rsidRPr="00BB4117">
        <w:rPr>
          <w:lang w:val="en-GB"/>
        </w:rPr>
        <w:t>Lithium-air</w:t>
      </w:r>
      <w:r w:rsidRPr="00BB4117">
        <w:rPr>
          <w:lang w:val="en-GB"/>
        </w:rPr>
        <w:t xml:space="preserve"> batteries</w:t>
      </w:r>
    </w:p>
    <w:p w:rsidR="006022A9" w:rsidRPr="00BB4117" w:rsidRDefault="006022A9" w:rsidP="006022A9">
      <w:pPr>
        <w:pStyle w:val="Liststycke"/>
        <w:keepNext/>
        <w:keepLines/>
        <w:numPr>
          <w:ilvl w:val="0"/>
          <w:numId w:val="49"/>
        </w:numPr>
        <w:rPr>
          <w:lang w:val="en-GB"/>
        </w:rPr>
      </w:pPr>
      <w:r w:rsidRPr="00BB4117">
        <w:rPr>
          <w:lang w:val="en-GB"/>
        </w:rPr>
        <w:t xml:space="preserve">At present technology level, production related impacts </w:t>
      </w:r>
      <w:r w:rsidR="0068520A" w:rsidRPr="00BB4117">
        <w:rPr>
          <w:lang w:val="en-GB"/>
        </w:rPr>
        <w:t>dominate</w:t>
      </w:r>
      <w:r w:rsidRPr="00BB4117">
        <w:rPr>
          <w:lang w:val="en-GB"/>
        </w:rPr>
        <w:t xml:space="preserve"> environmental impact</w:t>
      </w:r>
    </w:p>
    <w:p w:rsidR="00DD75DA" w:rsidRPr="00BB4117" w:rsidRDefault="006022A9" w:rsidP="006022A9">
      <w:pPr>
        <w:pStyle w:val="Liststycke"/>
        <w:keepNext/>
        <w:keepLines/>
        <w:numPr>
          <w:ilvl w:val="0"/>
          <w:numId w:val="49"/>
        </w:numPr>
        <w:rPr>
          <w:lang w:val="en-GB"/>
        </w:rPr>
      </w:pPr>
      <w:r w:rsidRPr="00BB4117">
        <w:rPr>
          <w:lang w:val="en-GB"/>
        </w:rPr>
        <w:t xml:space="preserve">At future technology level, battery related losses </w:t>
      </w:r>
      <w:r w:rsidR="0068520A" w:rsidRPr="00BB4117">
        <w:rPr>
          <w:lang w:val="en-GB"/>
        </w:rPr>
        <w:t>dominate</w:t>
      </w:r>
      <w:r w:rsidRPr="00BB4117">
        <w:rPr>
          <w:lang w:val="en-GB"/>
        </w:rPr>
        <w:t xml:space="preserve"> environmental impact</w:t>
      </w:r>
    </w:p>
    <w:p w:rsidR="001A52AB" w:rsidRPr="00BB4117" w:rsidRDefault="001A52AB" w:rsidP="006022A9">
      <w:pPr>
        <w:pStyle w:val="Liststycke"/>
        <w:keepNext/>
        <w:keepLines/>
        <w:numPr>
          <w:ilvl w:val="0"/>
          <w:numId w:val="49"/>
        </w:numPr>
        <w:rPr>
          <w:lang w:val="en-GB"/>
        </w:rPr>
      </w:pPr>
      <w:r w:rsidRPr="00BB4117">
        <w:rPr>
          <w:lang w:val="en-GB"/>
        </w:rPr>
        <w:t>Recycling could reduce production related environmental impact by 10-30%</w:t>
      </w:r>
    </w:p>
    <w:tbl>
      <w:tblPr>
        <w:tblW w:w="7867" w:type="dxa"/>
        <w:tblCellMar>
          <w:left w:w="70" w:type="dxa"/>
          <w:right w:w="70" w:type="dxa"/>
        </w:tblCellMar>
        <w:tblLook w:val="0000"/>
      </w:tblPr>
      <w:tblGrid>
        <w:gridCol w:w="1488"/>
        <w:gridCol w:w="6379"/>
      </w:tblGrid>
      <w:tr w:rsidR="00410EAB" w:rsidRPr="00BB4117" w:rsidTr="00BA7891">
        <w:tc>
          <w:tcPr>
            <w:tcW w:w="7867" w:type="dxa"/>
            <w:gridSpan w:val="2"/>
          </w:tcPr>
          <w:p w:rsidR="00410EAB" w:rsidRPr="00BB4117" w:rsidRDefault="00410EAB" w:rsidP="00211FC8">
            <w:pPr>
              <w:keepNext/>
              <w:keepLines/>
              <w:rPr>
                <w:b/>
                <w:sz w:val="28"/>
              </w:rPr>
            </w:pPr>
            <w:r w:rsidRPr="00BB4117">
              <w:rPr>
                <w:b/>
                <w:sz w:val="28"/>
              </w:rPr>
              <w:t>List of acronyms and abbreviations</w:t>
            </w:r>
          </w:p>
        </w:tc>
      </w:tr>
      <w:tr w:rsidR="00972995" w:rsidRPr="00BB4117" w:rsidTr="00BA7891">
        <w:tc>
          <w:tcPr>
            <w:tcW w:w="1488" w:type="dxa"/>
          </w:tcPr>
          <w:p w:rsidR="00972995" w:rsidRPr="00BB4117" w:rsidRDefault="00972995" w:rsidP="00211FC8">
            <w:pPr>
              <w:pStyle w:val="Brdtext"/>
              <w:keepNext/>
              <w:keepLines/>
              <w:spacing w:before="0" w:after="0"/>
            </w:pPr>
            <w:r w:rsidRPr="00BB4117">
              <w:t>CO</w:t>
            </w:r>
            <w:r w:rsidRPr="00BB4117">
              <w:rPr>
                <w:vertAlign w:val="subscript"/>
              </w:rPr>
              <w:t>2</w:t>
            </w:r>
            <w:r w:rsidRPr="00BB4117">
              <w:t>-eq</w:t>
            </w:r>
          </w:p>
        </w:tc>
        <w:tc>
          <w:tcPr>
            <w:tcW w:w="6379" w:type="dxa"/>
          </w:tcPr>
          <w:p w:rsidR="00972995" w:rsidRPr="00BB4117" w:rsidRDefault="00972995" w:rsidP="00211FC8">
            <w:pPr>
              <w:pStyle w:val="Brdtext"/>
              <w:keepNext/>
              <w:keepLines/>
              <w:spacing w:before="0" w:after="0"/>
            </w:pPr>
            <w:r w:rsidRPr="00BB4117">
              <w:t>Carbon dioxide equivalents</w:t>
            </w:r>
          </w:p>
        </w:tc>
      </w:tr>
      <w:tr w:rsidR="00972995" w:rsidRPr="00BB4117" w:rsidTr="00BA7891">
        <w:tc>
          <w:tcPr>
            <w:tcW w:w="1488" w:type="dxa"/>
          </w:tcPr>
          <w:p w:rsidR="00972995" w:rsidRPr="00BB4117" w:rsidRDefault="00972995" w:rsidP="00211FC8">
            <w:pPr>
              <w:pStyle w:val="Brdtext"/>
              <w:keepNext/>
              <w:keepLines/>
              <w:spacing w:before="0" w:after="0"/>
            </w:pPr>
            <w:r w:rsidRPr="00BB4117">
              <w:t>CNT</w:t>
            </w:r>
          </w:p>
        </w:tc>
        <w:tc>
          <w:tcPr>
            <w:tcW w:w="6379" w:type="dxa"/>
          </w:tcPr>
          <w:p w:rsidR="00972995" w:rsidRPr="00BB4117" w:rsidRDefault="00972995" w:rsidP="00211FC8">
            <w:pPr>
              <w:pStyle w:val="Brdtext"/>
              <w:keepNext/>
              <w:keepLines/>
              <w:spacing w:before="0" w:after="0"/>
            </w:pPr>
            <w:r w:rsidRPr="00BB4117">
              <w:t xml:space="preserve">Carbon </w:t>
            </w:r>
            <w:proofErr w:type="spellStart"/>
            <w:r w:rsidR="0003183D" w:rsidRPr="00BB4117">
              <w:t>Nanotubes</w:t>
            </w:r>
            <w:proofErr w:type="spellEnd"/>
          </w:p>
        </w:tc>
      </w:tr>
      <w:tr w:rsidR="00972995" w:rsidRPr="00BB4117" w:rsidTr="00BA7891">
        <w:tc>
          <w:tcPr>
            <w:tcW w:w="1488" w:type="dxa"/>
          </w:tcPr>
          <w:p w:rsidR="00972995" w:rsidRPr="00BB4117" w:rsidRDefault="00972995" w:rsidP="00211FC8">
            <w:pPr>
              <w:pStyle w:val="Brdtext"/>
              <w:keepNext/>
              <w:keepLines/>
              <w:spacing w:before="0" w:after="0"/>
            </w:pPr>
            <w:r w:rsidRPr="00BB4117">
              <w:t>CTU</w:t>
            </w:r>
          </w:p>
        </w:tc>
        <w:tc>
          <w:tcPr>
            <w:tcW w:w="6379" w:type="dxa"/>
          </w:tcPr>
          <w:p w:rsidR="00972995" w:rsidRPr="00BB4117" w:rsidRDefault="00972995" w:rsidP="00211FC8">
            <w:pPr>
              <w:pStyle w:val="Brdtext"/>
              <w:keepNext/>
              <w:keepLines/>
              <w:spacing w:before="0" w:after="0"/>
              <w:rPr>
                <w:iCs/>
              </w:rPr>
            </w:pPr>
            <w:r w:rsidRPr="00BB4117">
              <w:rPr>
                <w:iCs/>
              </w:rPr>
              <w:t>Comparative Toxic Unit</w:t>
            </w:r>
          </w:p>
        </w:tc>
      </w:tr>
      <w:tr w:rsidR="00637B35" w:rsidRPr="00BB4117" w:rsidTr="00BA7891">
        <w:tc>
          <w:tcPr>
            <w:tcW w:w="1488" w:type="dxa"/>
          </w:tcPr>
          <w:p w:rsidR="00637B35" w:rsidRPr="00BB4117" w:rsidRDefault="00637B35" w:rsidP="00211FC8">
            <w:pPr>
              <w:pStyle w:val="Brdtext"/>
              <w:keepNext/>
              <w:keepLines/>
              <w:spacing w:before="0" w:after="0"/>
            </w:pPr>
            <w:r w:rsidRPr="00BB4117">
              <w:t>CVD</w:t>
            </w:r>
          </w:p>
        </w:tc>
        <w:tc>
          <w:tcPr>
            <w:tcW w:w="6379" w:type="dxa"/>
          </w:tcPr>
          <w:p w:rsidR="00637B35" w:rsidRPr="00BB4117" w:rsidRDefault="00637B35" w:rsidP="00637B35">
            <w:pPr>
              <w:pStyle w:val="Brdtext"/>
              <w:keepNext/>
              <w:keepLines/>
              <w:spacing w:before="0" w:after="0"/>
            </w:pPr>
            <w:r w:rsidRPr="00BB4117">
              <w:t>Chemical Vapour Deposition</w:t>
            </w:r>
          </w:p>
        </w:tc>
      </w:tr>
      <w:tr w:rsidR="00972995" w:rsidRPr="00BB4117" w:rsidTr="00BA7891">
        <w:tc>
          <w:tcPr>
            <w:tcW w:w="1488" w:type="dxa"/>
          </w:tcPr>
          <w:p w:rsidR="00972995" w:rsidRPr="00BB4117" w:rsidRDefault="00972995" w:rsidP="00211FC8">
            <w:pPr>
              <w:pStyle w:val="Brdtext"/>
              <w:keepNext/>
              <w:keepLines/>
              <w:spacing w:before="0" w:after="0"/>
            </w:pPr>
            <w:r w:rsidRPr="00BB4117">
              <w:t>EV</w:t>
            </w:r>
          </w:p>
        </w:tc>
        <w:tc>
          <w:tcPr>
            <w:tcW w:w="6379" w:type="dxa"/>
          </w:tcPr>
          <w:p w:rsidR="00972995" w:rsidRPr="00BB4117" w:rsidRDefault="00972995" w:rsidP="00221C45">
            <w:pPr>
              <w:pStyle w:val="Brdtext"/>
              <w:keepNext/>
              <w:keepLines/>
              <w:spacing w:before="0" w:after="0"/>
            </w:pPr>
            <w:r w:rsidRPr="00BB4117">
              <w:t xml:space="preserve">Electric </w:t>
            </w:r>
            <w:r w:rsidR="00221C45" w:rsidRPr="00BB4117">
              <w:t>V</w:t>
            </w:r>
            <w:r w:rsidRPr="00BB4117">
              <w:t>ehicle</w:t>
            </w:r>
          </w:p>
        </w:tc>
      </w:tr>
      <w:tr w:rsidR="00972995" w:rsidRPr="00BB4117" w:rsidTr="00BA7891">
        <w:tc>
          <w:tcPr>
            <w:tcW w:w="1488" w:type="dxa"/>
          </w:tcPr>
          <w:p w:rsidR="00972995" w:rsidRPr="00BB4117" w:rsidRDefault="00972995" w:rsidP="00211FC8">
            <w:pPr>
              <w:pStyle w:val="Brdtext"/>
              <w:keepNext/>
              <w:keepLines/>
              <w:spacing w:before="0" w:after="0"/>
            </w:pPr>
            <w:r w:rsidRPr="00BB4117">
              <w:t>GDL</w:t>
            </w:r>
          </w:p>
        </w:tc>
        <w:tc>
          <w:tcPr>
            <w:tcW w:w="6379" w:type="dxa"/>
          </w:tcPr>
          <w:p w:rsidR="00972995" w:rsidRPr="00BB4117" w:rsidRDefault="00972995" w:rsidP="00211FC8">
            <w:pPr>
              <w:pStyle w:val="Brdtext"/>
              <w:keepNext/>
              <w:keepLines/>
              <w:spacing w:before="0" w:after="0"/>
            </w:pPr>
            <w:r w:rsidRPr="00BB4117">
              <w:t>Gas Diffusion Layer</w:t>
            </w:r>
          </w:p>
        </w:tc>
      </w:tr>
      <w:tr w:rsidR="00972995" w:rsidRPr="00BB4117" w:rsidTr="00BA7891">
        <w:tc>
          <w:tcPr>
            <w:tcW w:w="1488" w:type="dxa"/>
          </w:tcPr>
          <w:p w:rsidR="00972995" w:rsidRPr="00BB4117" w:rsidRDefault="00972995" w:rsidP="00211FC8">
            <w:pPr>
              <w:pStyle w:val="Brdtext"/>
              <w:keepNext/>
              <w:keepLines/>
              <w:spacing w:before="0" w:after="0"/>
            </w:pPr>
            <w:r w:rsidRPr="00BB4117">
              <w:t>GLO</w:t>
            </w:r>
          </w:p>
        </w:tc>
        <w:tc>
          <w:tcPr>
            <w:tcW w:w="6379" w:type="dxa"/>
          </w:tcPr>
          <w:p w:rsidR="00972995" w:rsidRPr="00BB4117" w:rsidRDefault="00972995" w:rsidP="00211FC8">
            <w:pPr>
              <w:pStyle w:val="Brdtext"/>
              <w:keepNext/>
              <w:keepLines/>
              <w:spacing w:before="0" w:after="0"/>
            </w:pPr>
            <w:r w:rsidRPr="00BB4117">
              <w:t>Global</w:t>
            </w:r>
          </w:p>
        </w:tc>
      </w:tr>
      <w:tr w:rsidR="00972995" w:rsidRPr="00BB4117" w:rsidTr="00BA7891">
        <w:tc>
          <w:tcPr>
            <w:tcW w:w="1488" w:type="dxa"/>
          </w:tcPr>
          <w:p w:rsidR="00972995" w:rsidRPr="00BB4117" w:rsidRDefault="00972995" w:rsidP="00211FC8">
            <w:pPr>
              <w:pStyle w:val="Brdtext"/>
              <w:keepNext/>
              <w:keepLines/>
              <w:spacing w:before="0" w:after="0"/>
            </w:pPr>
            <w:r w:rsidRPr="00BB4117">
              <w:t>ICEV</w:t>
            </w:r>
          </w:p>
        </w:tc>
        <w:tc>
          <w:tcPr>
            <w:tcW w:w="6379" w:type="dxa"/>
          </w:tcPr>
          <w:p w:rsidR="00972995" w:rsidRPr="00BB4117" w:rsidRDefault="00972995" w:rsidP="00221C45">
            <w:pPr>
              <w:pStyle w:val="Brdtext"/>
              <w:keepNext/>
              <w:keepLines/>
              <w:spacing w:before="0" w:after="0"/>
            </w:pPr>
            <w:r w:rsidRPr="00BB4117">
              <w:t xml:space="preserve">Internal </w:t>
            </w:r>
            <w:r w:rsidR="00221C45" w:rsidRPr="00BB4117">
              <w:t>C</w:t>
            </w:r>
            <w:r w:rsidRPr="00BB4117">
              <w:t xml:space="preserve">ombustion </w:t>
            </w:r>
            <w:r w:rsidR="00221C45" w:rsidRPr="00BB4117">
              <w:t>E</w:t>
            </w:r>
            <w:r w:rsidRPr="00BB4117">
              <w:t xml:space="preserve">ngine </w:t>
            </w:r>
            <w:r w:rsidR="00221C45" w:rsidRPr="00BB4117">
              <w:t>V</w:t>
            </w:r>
            <w:r w:rsidRPr="00BB4117">
              <w:t>ehicle</w:t>
            </w:r>
          </w:p>
        </w:tc>
      </w:tr>
      <w:tr w:rsidR="00972995" w:rsidRPr="00BB4117" w:rsidTr="00BA7891">
        <w:tc>
          <w:tcPr>
            <w:tcW w:w="1488" w:type="dxa"/>
          </w:tcPr>
          <w:p w:rsidR="00972995" w:rsidRPr="00BB4117" w:rsidRDefault="00972995" w:rsidP="00211FC8">
            <w:pPr>
              <w:pStyle w:val="Brdtext"/>
              <w:keepNext/>
              <w:keepLines/>
              <w:spacing w:before="0" w:after="0"/>
            </w:pPr>
            <w:r w:rsidRPr="00BB4117">
              <w:t>LCA</w:t>
            </w:r>
          </w:p>
        </w:tc>
        <w:tc>
          <w:tcPr>
            <w:tcW w:w="6379" w:type="dxa"/>
          </w:tcPr>
          <w:p w:rsidR="00972995" w:rsidRPr="00BB4117" w:rsidRDefault="00972995" w:rsidP="00211FC8">
            <w:pPr>
              <w:pStyle w:val="Brdtext"/>
              <w:keepNext/>
              <w:keepLines/>
              <w:spacing w:before="0" w:after="0"/>
            </w:pPr>
            <w:r w:rsidRPr="00BB4117">
              <w:t>Life Cycle Assessment</w:t>
            </w:r>
          </w:p>
        </w:tc>
      </w:tr>
      <w:tr w:rsidR="00972995" w:rsidRPr="00BB4117" w:rsidTr="00BA7891">
        <w:tc>
          <w:tcPr>
            <w:tcW w:w="1488" w:type="dxa"/>
          </w:tcPr>
          <w:p w:rsidR="00972995" w:rsidRPr="00BB4117" w:rsidRDefault="00972995" w:rsidP="00211FC8">
            <w:pPr>
              <w:pStyle w:val="Brdtext"/>
              <w:keepNext/>
              <w:keepLines/>
              <w:spacing w:before="0" w:after="0"/>
            </w:pPr>
            <w:r w:rsidRPr="00BB4117">
              <w:t>LFP</w:t>
            </w:r>
          </w:p>
        </w:tc>
        <w:tc>
          <w:tcPr>
            <w:tcW w:w="6379" w:type="dxa"/>
          </w:tcPr>
          <w:p w:rsidR="00972995" w:rsidRPr="00BB4117" w:rsidRDefault="00972995" w:rsidP="00211FC8">
            <w:pPr>
              <w:pStyle w:val="Brdtext"/>
              <w:keepNext/>
              <w:keepLines/>
              <w:spacing w:before="0" w:after="0"/>
            </w:pPr>
            <w:r w:rsidRPr="00BB4117">
              <w:t>Lithium iron phosphate, LiFePO</w:t>
            </w:r>
            <w:r w:rsidRPr="00BB4117">
              <w:rPr>
                <w:vertAlign w:val="subscript"/>
              </w:rPr>
              <w:t>4</w:t>
            </w:r>
            <w:r w:rsidRPr="00BB4117">
              <w:t>, battery</w:t>
            </w:r>
          </w:p>
        </w:tc>
      </w:tr>
      <w:tr w:rsidR="00972995" w:rsidRPr="00BB4117" w:rsidTr="00BA7891">
        <w:tc>
          <w:tcPr>
            <w:tcW w:w="1488" w:type="dxa"/>
          </w:tcPr>
          <w:p w:rsidR="00972995" w:rsidRPr="00BB4117" w:rsidRDefault="00972995" w:rsidP="00211FC8">
            <w:pPr>
              <w:pStyle w:val="Brdtext"/>
              <w:keepNext/>
              <w:keepLines/>
              <w:spacing w:before="0" w:after="0"/>
            </w:pPr>
            <w:r w:rsidRPr="00BB4117">
              <w:t>LMO</w:t>
            </w:r>
          </w:p>
        </w:tc>
        <w:tc>
          <w:tcPr>
            <w:tcW w:w="6379" w:type="dxa"/>
          </w:tcPr>
          <w:p w:rsidR="00972995" w:rsidRPr="00BB4117" w:rsidRDefault="00972995" w:rsidP="00211FC8">
            <w:pPr>
              <w:pStyle w:val="Brdtext"/>
              <w:keepNext/>
              <w:keepLines/>
              <w:spacing w:before="0" w:after="0"/>
            </w:pPr>
            <w:r w:rsidRPr="00BB4117">
              <w:t>Lithium manganese oxide, LiMn</w:t>
            </w:r>
            <w:r w:rsidRPr="00BB4117">
              <w:rPr>
                <w:vertAlign w:val="subscript"/>
              </w:rPr>
              <w:t>2</w:t>
            </w:r>
            <w:r w:rsidRPr="00BB4117">
              <w:t>O</w:t>
            </w:r>
            <w:r w:rsidRPr="00BB4117">
              <w:rPr>
                <w:vertAlign w:val="subscript"/>
              </w:rPr>
              <w:t>4</w:t>
            </w:r>
            <w:r w:rsidRPr="00BB4117">
              <w:t>, battery</w:t>
            </w:r>
          </w:p>
        </w:tc>
      </w:tr>
      <w:tr w:rsidR="00637B35" w:rsidRPr="00BB4117" w:rsidTr="00BA7891">
        <w:tc>
          <w:tcPr>
            <w:tcW w:w="1488" w:type="dxa"/>
          </w:tcPr>
          <w:p w:rsidR="00637B35" w:rsidRPr="00BB4117" w:rsidRDefault="00637B35" w:rsidP="00211FC8">
            <w:pPr>
              <w:pStyle w:val="Brdtext"/>
              <w:keepNext/>
              <w:keepLines/>
              <w:spacing w:before="0" w:after="0"/>
            </w:pPr>
            <w:r w:rsidRPr="00BB4117">
              <w:t>MWCNT</w:t>
            </w:r>
          </w:p>
        </w:tc>
        <w:tc>
          <w:tcPr>
            <w:tcW w:w="6379" w:type="dxa"/>
          </w:tcPr>
          <w:p w:rsidR="00637B35" w:rsidRPr="00BB4117" w:rsidRDefault="00637B35" w:rsidP="00221C45">
            <w:pPr>
              <w:keepNext/>
              <w:keepLines/>
              <w:spacing w:before="0" w:after="0"/>
            </w:pPr>
            <w:r w:rsidRPr="00BB4117">
              <w:t xml:space="preserve">Multi </w:t>
            </w:r>
            <w:r w:rsidR="00221C45" w:rsidRPr="00BB4117">
              <w:t>W</w:t>
            </w:r>
            <w:r w:rsidRPr="00BB4117">
              <w:t xml:space="preserve">alled </w:t>
            </w:r>
            <w:r w:rsidR="00221C45" w:rsidRPr="00BB4117">
              <w:t>C</w:t>
            </w:r>
            <w:r w:rsidRPr="00BB4117">
              <w:t xml:space="preserve">arbon </w:t>
            </w:r>
            <w:proofErr w:type="spellStart"/>
            <w:r w:rsidR="00221C45" w:rsidRPr="00BB4117">
              <w:t>N</w:t>
            </w:r>
            <w:r w:rsidRPr="00BB4117">
              <w:t>ano</w:t>
            </w:r>
            <w:r w:rsidR="00221C45" w:rsidRPr="00BB4117">
              <w:t>t</w:t>
            </w:r>
            <w:r w:rsidRPr="00BB4117">
              <w:t>ubes</w:t>
            </w:r>
            <w:proofErr w:type="spellEnd"/>
          </w:p>
        </w:tc>
      </w:tr>
      <w:tr w:rsidR="00972995" w:rsidRPr="00BB4117" w:rsidTr="00BA7891">
        <w:tc>
          <w:tcPr>
            <w:tcW w:w="1488" w:type="dxa"/>
          </w:tcPr>
          <w:p w:rsidR="00972995" w:rsidRPr="00BB4117" w:rsidRDefault="00972995" w:rsidP="00211FC8">
            <w:pPr>
              <w:pStyle w:val="Brdtext"/>
              <w:keepNext/>
              <w:keepLines/>
              <w:spacing w:before="0" w:after="0"/>
            </w:pPr>
            <w:r w:rsidRPr="00BB4117">
              <w:t>NA</w:t>
            </w:r>
          </w:p>
        </w:tc>
        <w:tc>
          <w:tcPr>
            <w:tcW w:w="6379" w:type="dxa"/>
          </w:tcPr>
          <w:p w:rsidR="00972995" w:rsidRPr="00BB4117" w:rsidRDefault="00972995" w:rsidP="00221C45">
            <w:pPr>
              <w:keepNext/>
              <w:keepLines/>
              <w:spacing w:before="0" w:after="0"/>
            </w:pPr>
            <w:r w:rsidRPr="00BB4117">
              <w:t xml:space="preserve">Not </w:t>
            </w:r>
            <w:r w:rsidR="00221C45" w:rsidRPr="00BB4117">
              <w:t>A</w:t>
            </w:r>
            <w:r w:rsidRPr="00BB4117">
              <w:t>pplicable</w:t>
            </w:r>
          </w:p>
        </w:tc>
      </w:tr>
      <w:tr w:rsidR="00972995" w:rsidRPr="00BB4117" w:rsidTr="00BA7891">
        <w:tc>
          <w:tcPr>
            <w:tcW w:w="1488" w:type="dxa"/>
          </w:tcPr>
          <w:p w:rsidR="00972995" w:rsidRPr="00BB4117" w:rsidRDefault="00972995" w:rsidP="00211FC8">
            <w:pPr>
              <w:pStyle w:val="Brdtext"/>
              <w:keepNext/>
              <w:keepLines/>
              <w:spacing w:before="0" w:after="0"/>
            </w:pPr>
            <w:r w:rsidRPr="00BB4117">
              <w:t>NMC</w:t>
            </w:r>
          </w:p>
        </w:tc>
        <w:tc>
          <w:tcPr>
            <w:tcW w:w="6379" w:type="dxa"/>
          </w:tcPr>
          <w:p w:rsidR="00972995" w:rsidRPr="00BB4117" w:rsidRDefault="00972995" w:rsidP="00221C45">
            <w:pPr>
              <w:keepNext/>
              <w:keepLines/>
              <w:spacing w:before="0" w:after="0"/>
            </w:pPr>
            <w:r w:rsidRPr="00BB4117">
              <w:t xml:space="preserve">Lithium nickel </w:t>
            </w:r>
            <w:r w:rsidR="00221C45" w:rsidRPr="00BB4117">
              <w:t>M</w:t>
            </w:r>
            <w:r w:rsidRPr="00BB4117">
              <w:t xml:space="preserve">anganese </w:t>
            </w:r>
            <w:r w:rsidR="00221C45" w:rsidRPr="00BB4117">
              <w:t>C</w:t>
            </w:r>
            <w:r w:rsidRPr="00BB4117">
              <w:t>obalt oxide battery</w:t>
            </w:r>
          </w:p>
        </w:tc>
      </w:tr>
      <w:tr w:rsidR="00972995" w:rsidRPr="00BB4117" w:rsidTr="00BA7891">
        <w:tc>
          <w:tcPr>
            <w:tcW w:w="1488" w:type="dxa"/>
          </w:tcPr>
          <w:p w:rsidR="00972995" w:rsidRPr="00BB4117" w:rsidRDefault="00972995" w:rsidP="00211FC8">
            <w:pPr>
              <w:pStyle w:val="Brdtext"/>
              <w:keepNext/>
              <w:keepLines/>
              <w:spacing w:before="0" w:after="0"/>
            </w:pPr>
            <w:r w:rsidRPr="00BB4117">
              <w:t>NMP</w:t>
            </w:r>
          </w:p>
        </w:tc>
        <w:tc>
          <w:tcPr>
            <w:tcW w:w="6379" w:type="dxa"/>
          </w:tcPr>
          <w:p w:rsidR="00972995" w:rsidRPr="00BB4117" w:rsidRDefault="00972995" w:rsidP="00221C45">
            <w:pPr>
              <w:keepNext/>
              <w:keepLines/>
              <w:spacing w:before="0" w:after="0"/>
            </w:pPr>
            <w:r w:rsidRPr="00BB4117">
              <w:t>N-Methyl-2-</w:t>
            </w:r>
            <w:r w:rsidR="00221C45" w:rsidRPr="00BB4117">
              <w:t>P</w:t>
            </w:r>
            <w:r w:rsidRPr="00BB4117">
              <w:t xml:space="preserve">yrrolidone </w:t>
            </w:r>
          </w:p>
        </w:tc>
      </w:tr>
      <w:tr w:rsidR="00972995" w:rsidRPr="00BB4117" w:rsidTr="00BA7891">
        <w:tc>
          <w:tcPr>
            <w:tcW w:w="1488" w:type="dxa"/>
          </w:tcPr>
          <w:p w:rsidR="00972995" w:rsidRPr="00BB4117" w:rsidRDefault="00972995" w:rsidP="00211FC8">
            <w:pPr>
              <w:pStyle w:val="Brdtext"/>
              <w:keepNext/>
              <w:keepLines/>
              <w:spacing w:before="0" w:after="0"/>
            </w:pPr>
            <w:r w:rsidRPr="00BB4117">
              <w:t>PHEV</w:t>
            </w:r>
          </w:p>
        </w:tc>
        <w:tc>
          <w:tcPr>
            <w:tcW w:w="6379" w:type="dxa"/>
          </w:tcPr>
          <w:p w:rsidR="00972995" w:rsidRPr="00BB4117" w:rsidRDefault="00972995" w:rsidP="00221C45">
            <w:pPr>
              <w:pStyle w:val="Brdtext"/>
              <w:keepNext/>
              <w:keepLines/>
              <w:spacing w:before="0" w:after="0"/>
            </w:pPr>
            <w:r w:rsidRPr="00BB4117">
              <w:t xml:space="preserve">Plug-in </w:t>
            </w:r>
            <w:r w:rsidR="00221C45" w:rsidRPr="00BB4117">
              <w:t>H</w:t>
            </w:r>
            <w:r w:rsidRPr="00BB4117">
              <w:t xml:space="preserve">ybrid </w:t>
            </w:r>
            <w:r w:rsidR="00221C45" w:rsidRPr="00BB4117">
              <w:t>E</w:t>
            </w:r>
            <w:r w:rsidRPr="00BB4117">
              <w:t xml:space="preserve">lectric </w:t>
            </w:r>
            <w:r w:rsidR="00221C45" w:rsidRPr="00BB4117">
              <w:t>V</w:t>
            </w:r>
            <w:r w:rsidRPr="00BB4117">
              <w:t>ehicle</w:t>
            </w:r>
          </w:p>
        </w:tc>
      </w:tr>
      <w:tr w:rsidR="00972995" w:rsidRPr="00BB4117" w:rsidTr="00BA7891">
        <w:tc>
          <w:tcPr>
            <w:tcW w:w="1488" w:type="dxa"/>
          </w:tcPr>
          <w:p w:rsidR="00972995" w:rsidRPr="00BB4117" w:rsidRDefault="00972995" w:rsidP="00211FC8">
            <w:pPr>
              <w:pStyle w:val="Brdtext"/>
              <w:keepNext/>
              <w:keepLines/>
              <w:spacing w:before="0" w:after="0"/>
            </w:pPr>
            <w:r w:rsidRPr="00BB4117">
              <w:t>PVDF</w:t>
            </w:r>
          </w:p>
        </w:tc>
        <w:tc>
          <w:tcPr>
            <w:tcW w:w="6379" w:type="dxa"/>
          </w:tcPr>
          <w:p w:rsidR="00972995" w:rsidRPr="00BB4117" w:rsidRDefault="00972995" w:rsidP="00211FC8">
            <w:pPr>
              <w:pStyle w:val="Brdtext"/>
              <w:keepNext/>
              <w:keepLines/>
              <w:spacing w:before="0" w:after="0"/>
            </w:pPr>
            <w:proofErr w:type="spellStart"/>
            <w:r w:rsidRPr="00BB4117">
              <w:t>Polyvinylidenfluoride</w:t>
            </w:r>
            <w:proofErr w:type="spellEnd"/>
          </w:p>
        </w:tc>
      </w:tr>
      <w:tr w:rsidR="00972995" w:rsidRPr="00BB4117" w:rsidTr="00BA7891">
        <w:tc>
          <w:tcPr>
            <w:tcW w:w="1488" w:type="dxa"/>
          </w:tcPr>
          <w:p w:rsidR="00972995" w:rsidRPr="00BB4117" w:rsidRDefault="00972995" w:rsidP="00211FC8">
            <w:pPr>
              <w:pStyle w:val="Brdtext"/>
              <w:keepNext/>
              <w:keepLines/>
              <w:spacing w:before="0" w:after="0"/>
            </w:pPr>
            <w:r w:rsidRPr="00BB4117">
              <w:t>PP</w:t>
            </w:r>
          </w:p>
        </w:tc>
        <w:tc>
          <w:tcPr>
            <w:tcW w:w="6379" w:type="dxa"/>
          </w:tcPr>
          <w:p w:rsidR="00972995" w:rsidRPr="00BB4117" w:rsidRDefault="00972995" w:rsidP="00211FC8">
            <w:pPr>
              <w:pStyle w:val="Brdtext"/>
              <w:keepNext/>
              <w:keepLines/>
              <w:spacing w:before="0" w:after="0"/>
            </w:pPr>
            <w:r w:rsidRPr="00BB4117">
              <w:t>Polypropylene</w:t>
            </w:r>
          </w:p>
        </w:tc>
      </w:tr>
      <w:tr w:rsidR="00972995" w:rsidRPr="00BB4117" w:rsidTr="00BA7891">
        <w:tc>
          <w:tcPr>
            <w:tcW w:w="1488" w:type="dxa"/>
          </w:tcPr>
          <w:p w:rsidR="00972995" w:rsidRPr="00BB4117" w:rsidRDefault="00972995" w:rsidP="00211FC8">
            <w:pPr>
              <w:pStyle w:val="Brdtext"/>
              <w:keepNext/>
              <w:keepLines/>
              <w:spacing w:before="0" w:after="0"/>
            </w:pPr>
            <w:r w:rsidRPr="00BB4117">
              <w:t>RER S,U</w:t>
            </w:r>
          </w:p>
        </w:tc>
        <w:tc>
          <w:tcPr>
            <w:tcW w:w="6379" w:type="dxa"/>
          </w:tcPr>
          <w:p w:rsidR="00972995" w:rsidRPr="00BB4117" w:rsidRDefault="00972995" w:rsidP="00211FC8">
            <w:pPr>
              <w:pStyle w:val="Brdtext"/>
              <w:keepNext/>
              <w:keepLines/>
              <w:spacing w:before="0" w:after="0"/>
            </w:pPr>
            <w:r w:rsidRPr="00BB4117">
              <w:t>RER = Region Europe,  S=system process, U=unit process</w:t>
            </w:r>
          </w:p>
        </w:tc>
      </w:tr>
      <w:tr w:rsidR="00972995" w:rsidRPr="00BB4117" w:rsidTr="00BA7891">
        <w:tc>
          <w:tcPr>
            <w:tcW w:w="1488" w:type="dxa"/>
          </w:tcPr>
          <w:p w:rsidR="00972995" w:rsidRPr="00BB4117" w:rsidRDefault="00972995" w:rsidP="00211FC8">
            <w:pPr>
              <w:pStyle w:val="Brdtext"/>
              <w:keepNext/>
              <w:keepLines/>
              <w:spacing w:before="0" w:after="0"/>
            </w:pPr>
            <w:proofErr w:type="spellStart"/>
            <w:r w:rsidRPr="00BB4117">
              <w:t>Sb</w:t>
            </w:r>
            <w:proofErr w:type="spellEnd"/>
          </w:p>
        </w:tc>
        <w:tc>
          <w:tcPr>
            <w:tcW w:w="6379" w:type="dxa"/>
          </w:tcPr>
          <w:p w:rsidR="00972995" w:rsidRPr="00BB4117" w:rsidRDefault="00972995" w:rsidP="00211FC8">
            <w:pPr>
              <w:pStyle w:val="Brdtext"/>
              <w:keepNext/>
              <w:keepLines/>
              <w:spacing w:before="0" w:after="0"/>
            </w:pPr>
            <w:r w:rsidRPr="00BB4117">
              <w:t>Antimony</w:t>
            </w:r>
          </w:p>
        </w:tc>
      </w:tr>
      <w:tr w:rsidR="00972995" w:rsidRPr="00BB4117" w:rsidTr="00BA7891">
        <w:tc>
          <w:tcPr>
            <w:tcW w:w="1488" w:type="dxa"/>
          </w:tcPr>
          <w:p w:rsidR="00972995" w:rsidRPr="00BB4117" w:rsidRDefault="00972995" w:rsidP="00211FC8">
            <w:pPr>
              <w:pStyle w:val="Brdtext"/>
              <w:keepNext/>
              <w:keepLines/>
              <w:spacing w:before="0" w:after="0"/>
            </w:pPr>
            <w:r w:rsidRPr="00BB4117">
              <w:t>STABLE</w:t>
            </w:r>
          </w:p>
        </w:tc>
        <w:tc>
          <w:tcPr>
            <w:tcW w:w="6379" w:type="dxa"/>
          </w:tcPr>
          <w:p w:rsidR="00972995" w:rsidRPr="00BB4117" w:rsidRDefault="00972995" w:rsidP="00211FC8">
            <w:pPr>
              <w:pStyle w:val="Brdtext"/>
              <w:keepNext/>
              <w:keepLines/>
              <w:spacing w:before="0" w:after="0"/>
            </w:pPr>
            <w:proofErr w:type="spellStart"/>
            <w:r w:rsidRPr="00BB4117">
              <w:t>STable</w:t>
            </w:r>
            <w:proofErr w:type="spellEnd"/>
            <w:r w:rsidRPr="00BB4117">
              <w:t xml:space="preserve"> high-capacity lithium-Air Batteries with Long cycle life for Electric Cars</w:t>
            </w:r>
          </w:p>
        </w:tc>
      </w:tr>
      <w:tr w:rsidR="00972995" w:rsidRPr="00BB4117" w:rsidTr="00BA7891">
        <w:tc>
          <w:tcPr>
            <w:tcW w:w="1488" w:type="dxa"/>
          </w:tcPr>
          <w:p w:rsidR="00972995" w:rsidRPr="00BB4117" w:rsidRDefault="00972995" w:rsidP="00211FC8">
            <w:pPr>
              <w:pStyle w:val="Brdtext"/>
              <w:keepNext/>
              <w:keepLines/>
              <w:spacing w:before="0" w:after="0"/>
            </w:pPr>
            <w:r w:rsidRPr="00BB4117">
              <w:t>TEGDME</w:t>
            </w:r>
          </w:p>
        </w:tc>
        <w:tc>
          <w:tcPr>
            <w:tcW w:w="6379" w:type="dxa"/>
          </w:tcPr>
          <w:p w:rsidR="00972995" w:rsidRPr="00BB4117" w:rsidRDefault="00972995" w:rsidP="000C2C50">
            <w:pPr>
              <w:pStyle w:val="Brdtext"/>
              <w:keepNext/>
              <w:keepLines/>
              <w:spacing w:before="0" w:after="0"/>
            </w:pPr>
            <w:r w:rsidRPr="00BB4117">
              <w:t xml:space="preserve">Tetra </w:t>
            </w:r>
            <w:r w:rsidR="000C2C50" w:rsidRPr="00BB4117">
              <w:t>E</w:t>
            </w:r>
            <w:r w:rsidRPr="00BB4117">
              <w:t xml:space="preserve">thylene </w:t>
            </w:r>
            <w:r w:rsidR="000C2C50" w:rsidRPr="00BB4117">
              <w:t>G</w:t>
            </w:r>
            <w:r w:rsidRPr="00BB4117">
              <w:t xml:space="preserve">lycol </w:t>
            </w:r>
            <w:proofErr w:type="spellStart"/>
            <w:r w:rsidR="000C2C50" w:rsidRPr="00BB4117">
              <w:t>D</w:t>
            </w:r>
            <w:r w:rsidRPr="00BB4117">
              <w:t>imethyl</w:t>
            </w:r>
            <w:proofErr w:type="spellEnd"/>
            <w:r w:rsidRPr="00BB4117">
              <w:t xml:space="preserve"> </w:t>
            </w:r>
            <w:r w:rsidR="000C2C50" w:rsidRPr="00BB4117">
              <w:t>E</w:t>
            </w:r>
            <w:r w:rsidRPr="00BB4117">
              <w:t>ther</w:t>
            </w:r>
          </w:p>
        </w:tc>
      </w:tr>
      <w:tr w:rsidR="002657B6" w:rsidRPr="00BB4117" w:rsidTr="00BA7891">
        <w:tc>
          <w:tcPr>
            <w:tcW w:w="1488" w:type="dxa"/>
          </w:tcPr>
          <w:p w:rsidR="002657B6" w:rsidRPr="00BB4117" w:rsidRDefault="002657B6" w:rsidP="00211FC8">
            <w:pPr>
              <w:pStyle w:val="Brdtext"/>
              <w:keepNext/>
              <w:keepLines/>
              <w:spacing w:before="0" w:after="0"/>
            </w:pPr>
            <w:r w:rsidRPr="00BB4117">
              <w:t>UCTE</w:t>
            </w:r>
          </w:p>
        </w:tc>
        <w:tc>
          <w:tcPr>
            <w:tcW w:w="6379" w:type="dxa"/>
          </w:tcPr>
          <w:p w:rsidR="002657B6" w:rsidRPr="00BB4117" w:rsidRDefault="002657B6" w:rsidP="002657B6">
            <w:pPr>
              <w:pStyle w:val="Brdtext"/>
              <w:keepNext/>
              <w:keepLines/>
              <w:spacing w:before="0" w:after="0"/>
            </w:pPr>
            <w:r w:rsidRPr="00BB4117">
              <w:t>Union for the Co-ordination of Transmission of Electricity (association of transmission system operators in continental Europe)</w:t>
            </w:r>
          </w:p>
        </w:tc>
      </w:tr>
    </w:tbl>
    <w:p w:rsidR="00972995" w:rsidRPr="00BB4117" w:rsidRDefault="00972995" w:rsidP="00972995">
      <w:pPr>
        <w:pStyle w:val="Brdtext"/>
      </w:pPr>
    </w:p>
    <w:p w:rsidR="00972995" w:rsidRPr="00BB4117" w:rsidRDefault="00972995" w:rsidP="00972995"/>
    <w:p w:rsidR="007315C9" w:rsidRPr="00BB4117" w:rsidRDefault="00074360" w:rsidP="002D62FE">
      <w:pPr>
        <w:pStyle w:val="Rubrik1"/>
        <w:rPr>
          <w:lang w:val="en-GB"/>
        </w:rPr>
      </w:pPr>
      <w:bookmarkStart w:id="2" w:name="_Toc197942745"/>
      <w:r w:rsidRPr="00BB4117">
        <w:rPr>
          <w:lang w:val="en-GB"/>
        </w:rPr>
        <w:br w:type="page"/>
      </w:r>
      <w:bookmarkStart w:id="3" w:name="_Toc428370297"/>
      <w:r w:rsidR="007315C9" w:rsidRPr="00BB4117">
        <w:rPr>
          <w:lang w:val="en-GB"/>
        </w:rPr>
        <w:lastRenderedPageBreak/>
        <w:t>Introduction</w:t>
      </w:r>
      <w:bookmarkEnd w:id="2"/>
      <w:bookmarkEnd w:id="3"/>
    </w:p>
    <w:p w:rsidR="00F8116B" w:rsidRPr="00BB4117" w:rsidRDefault="00397612" w:rsidP="0005084A">
      <w:pPr>
        <w:pStyle w:val="Brdtext"/>
      </w:pPr>
      <w:r w:rsidRPr="00BB4117">
        <w:t>Lithium</w:t>
      </w:r>
      <w:r w:rsidR="006D5DE4" w:rsidRPr="00BB4117">
        <w:t>-</w:t>
      </w:r>
      <w:r w:rsidRPr="00BB4117">
        <w:t>air batter</w:t>
      </w:r>
      <w:r w:rsidR="0005084A" w:rsidRPr="00BB4117">
        <w:t>y cells</w:t>
      </w:r>
      <w:r w:rsidRPr="00BB4117">
        <w:t xml:space="preserve"> </w:t>
      </w:r>
      <w:r w:rsidR="00A9348F" w:rsidRPr="00BB4117">
        <w:t>are currently being investigated</w:t>
      </w:r>
      <w:r w:rsidRPr="00BB4117">
        <w:t xml:space="preserve"> </w:t>
      </w:r>
      <w:r w:rsidR="0047051E" w:rsidRPr="00BB4117">
        <w:t>for propulsion</w:t>
      </w:r>
      <w:r w:rsidRPr="00BB4117">
        <w:t xml:space="preserve"> </w:t>
      </w:r>
      <w:r w:rsidR="0047051E" w:rsidRPr="00BB4117">
        <w:t xml:space="preserve">aggregates </w:t>
      </w:r>
      <w:r w:rsidRPr="00BB4117">
        <w:t xml:space="preserve">in vehicles as they </w:t>
      </w:r>
      <w:r w:rsidR="0047051E" w:rsidRPr="00BB4117">
        <w:t xml:space="preserve">theoretically </w:t>
      </w:r>
      <w:r w:rsidR="00DB13D3" w:rsidRPr="00BB4117">
        <w:t xml:space="preserve">can </w:t>
      </w:r>
      <w:r w:rsidR="00A9348F" w:rsidRPr="00BB4117">
        <w:t xml:space="preserve">provide a </w:t>
      </w:r>
      <w:r w:rsidR="00DB13D3" w:rsidRPr="00BB4117">
        <w:t>1</w:t>
      </w:r>
      <w:r w:rsidR="0047051E" w:rsidRPr="00BB4117">
        <w:t>0</w:t>
      </w:r>
      <w:r w:rsidR="00A9348F" w:rsidRPr="00BB4117">
        <w:t>-fold increase in</w:t>
      </w:r>
      <w:r w:rsidR="0047051E" w:rsidRPr="00BB4117">
        <w:t xml:space="preserve"> energy density </w:t>
      </w:r>
      <w:r w:rsidR="00311D28" w:rsidRPr="00BB4117">
        <w:t>compared to</w:t>
      </w:r>
      <w:r w:rsidR="0047051E" w:rsidRPr="00BB4117">
        <w:t xml:space="preserve"> the best battery technology (lithium-ion) of today</w:t>
      </w:r>
      <w:r w:rsidR="00DB13D3" w:rsidRPr="00BB4117">
        <w:t xml:space="preserve"> </w:t>
      </w:r>
      <w:r w:rsidR="00524197" w:rsidRPr="00BB4117">
        <w:fldChar w:fldCharType="begin" w:fldLock="1"/>
      </w:r>
      <w:r w:rsidR="000B492B" w:rsidRPr="00BB4117">
        <w:instrText>ADDIN CSL_CITATION { "citationItems" : [ { "id" : "ITEM-1", "itemData" : { "author" : [ { "dropping-particle" : "", "family" : "Badwal, Sukhvinder P. S., Sarbjit S. Giddey, Christopher Munnings", "given" : "Anand I. Bhatt and Anthony F. Hollenkamp", "non-dropping-particle" : "", "parse-names" : false, "suffix" : "" } ], "container-title" : "Frontiers in Chemistry", "id" : "ITEM-1", "issued" : { "date-parts" : [ [ "2014" ] ] }, "title" : "Emerging electrochemical energy conversion and storage technologies", "type" : "article-journal" }, "uris" : [ "http://www.mendeley.com/documents/?uuid=fbdbe144-2c29-477c-a079-98d8a3e9cf6d" ] } ], "mendeley" : { "formattedCitation" : "(Badwal, Sukhvinder P. S., Sarbjit S. Giddey, Christopher Munnings 2014)", "manualFormatting" : "(Badwal et al 2014)", "plainTextFormattedCitation" : "(Badwal, Sukhvinder P. S., Sarbjit S. Giddey, Christopher Munnings 2014)", "previouslyFormattedCitation" : "(Badwal, Sukhvinder P. S., Sarbjit S. Giddey, Christopher Munnings 2014)" }, "properties" : { "noteIndex" : 0 }, "schema" : "https://github.com/citation-style-language/schema/raw/master/csl-citation.json" }</w:instrText>
      </w:r>
      <w:r w:rsidR="00524197" w:rsidRPr="00BB4117">
        <w:fldChar w:fldCharType="separate"/>
      </w:r>
      <w:r w:rsidR="00DB13D3" w:rsidRPr="00BB4117">
        <w:rPr>
          <w:noProof/>
        </w:rPr>
        <w:t>(Badwal</w:t>
      </w:r>
      <w:r w:rsidR="00095833" w:rsidRPr="00BB4117">
        <w:rPr>
          <w:noProof/>
        </w:rPr>
        <w:t xml:space="preserve"> et al</w:t>
      </w:r>
      <w:r w:rsidR="00DB13D3" w:rsidRPr="00BB4117">
        <w:rPr>
          <w:noProof/>
        </w:rPr>
        <w:t xml:space="preserve"> 2014)</w:t>
      </w:r>
      <w:r w:rsidR="00524197" w:rsidRPr="00BB4117">
        <w:fldChar w:fldCharType="end"/>
      </w:r>
      <w:r w:rsidR="0047051E" w:rsidRPr="00BB4117">
        <w:t>.</w:t>
      </w:r>
      <w:r w:rsidRPr="00BB4117">
        <w:t xml:space="preserve"> </w:t>
      </w:r>
      <w:r w:rsidR="00EC750F" w:rsidRPr="00BB4117">
        <w:t xml:space="preserve">The current state of research is however far from large scale implementation, and the technology must overcome many hurdles involving voltage stability, charge </w:t>
      </w:r>
      <w:r w:rsidR="00BA7891" w:rsidRPr="00BB4117">
        <w:t>over potential</w:t>
      </w:r>
      <w:r w:rsidR="00EC750F" w:rsidRPr="00BB4117">
        <w:t xml:space="preserve">, electrolyte stability, and many other </w:t>
      </w:r>
      <w:r w:rsidR="00BA7891" w:rsidRPr="00BB4117">
        <w:t>physic</w:t>
      </w:r>
      <w:r w:rsidR="00946006" w:rsidRPr="00BB4117">
        <w:t>al</w:t>
      </w:r>
      <w:r w:rsidR="00EC750F" w:rsidRPr="00BB4117">
        <w:t>-chemical factors that should ideally include full cell development that operate</w:t>
      </w:r>
      <w:r w:rsidR="00666F59" w:rsidRPr="00BB4117">
        <w:t>s</w:t>
      </w:r>
      <w:r w:rsidR="00EC750F" w:rsidRPr="00BB4117">
        <w:t xml:space="preserve"> in ambient air</w:t>
      </w:r>
      <w:r w:rsidR="00710481" w:rsidRPr="00BB4117">
        <w:t xml:space="preserve"> </w:t>
      </w:r>
      <w:r w:rsidR="00524197" w:rsidRPr="00BB4117">
        <w:fldChar w:fldCharType="begin" w:fldLock="1"/>
      </w:r>
      <w:r w:rsidR="000B14A6" w:rsidRPr="00BB4117">
        <w:instrText>ADDIN CSL_CITATION { "citationItems" : [ { "id" : "ITEM-1", "itemData" : { "author" : [ { "dropping-particle" : "", "family" : "Bhatt", "given" : "M. D.", "non-dropping-particle" : "", "parse-names" : false, "suffix" : "" }, { "dropping-particle" : "", "family" : "Geaney", "given" : "H.", "non-dropping-particle" : "", "parse-names" : false, "suffix" : "" }, { "dropping-particle" : "", "family" : "Nolan", "given" : "M.", "non-dropping-particle" : "", "parse-names" : false, "suffix" : "" }, { "dropping-particle" : "", "family" : "O'Dwyer", "given" : "C.", "non-dropping-particle" : "", "parse-names" : false, "suffix" : "" } ], "container-title" : "Physical Chemistry Chemical Physics", "id" : "ITEM-1", "issue" : "16", "issued" : { "date-parts" : [ [ "2014" ] ] }, "page" : "12093-12130", "title" : "Key Scientific Challenges in Current Rechargeable Non-aqueous Li-O2 Batteries: Experiment and Theory", "type" : "article-journal" }, "uris" : [ "http://www.mendeley.com/documents/?uuid=072dfdb8-cfd5-4bb2-88fb-98ae486fedd3" ] } ], "mendeley" : { "formattedCitation" : "(Bhatt et al. 2014)", "plainTextFormattedCitation" : "(Bhatt et al. 2014)", "previouslyFormattedCitation" : "(Bhatt et al. 2014)" }, "properties" : { "noteIndex" : 0 }, "schema" : "https://github.com/citation-style-language/schema/raw/master/csl-citation.json" }</w:instrText>
      </w:r>
      <w:r w:rsidR="00524197" w:rsidRPr="00BB4117">
        <w:fldChar w:fldCharType="separate"/>
      </w:r>
      <w:r w:rsidR="00710481" w:rsidRPr="00BB4117">
        <w:rPr>
          <w:noProof/>
        </w:rPr>
        <w:t>(Bhatt et al. 2014)</w:t>
      </w:r>
      <w:r w:rsidR="00524197" w:rsidRPr="00BB4117">
        <w:fldChar w:fldCharType="end"/>
      </w:r>
      <w:r w:rsidR="00EC750F" w:rsidRPr="00BB4117">
        <w:t xml:space="preserve">. </w:t>
      </w:r>
      <w:r w:rsidR="0005084A" w:rsidRPr="00BB4117">
        <w:t>The</w:t>
      </w:r>
      <w:r w:rsidR="00B07EA6" w:rsidRPr="00BB4117">
        <w:t xml:space="preserve"> </w:t>
      </w:r>
      <w:r w:rsidR="0087526A" w:rsidRPr="00BB4117">
        <w:t xml:space="preserve">purpose </w:t>
      </w:r>
      <w:r w:rsidR="00EC750F" w:rsidRPr="00BB4117">
        <w:t xml:space="preserve">of this work </w:t>
      </w:r>
      <w:r w:rsidR="0087526A" w:rsidRPr="00BB4117">
        <w:t xml:space="preserve">is to </w:t>
      </w:r>
      <w:r w:rsidR="003477F5" w:rsidRPr="00BB4117">
        <w:t xml:space="preserve">highlight environmental hotspots </w:t>
      </w:r>
      <w:r w:rsidR="00B07EA6" w:rsidRPr="00BB4117">
        <w:t xml:space="preserve">linked </w:t>
      </w:r>
      <w:r w:rsidR="003477F5" w:rsidRPr="00BB4117">
        <w:t xml:space="preserve">with lithium-air batteries in order to </w:t>
      </w:r>
      <w:r w:rsidR="00EC750F" w:rsidRPr="00BB4117">
        <w:t xml:space="preserve">guide </w:t>
      </w:r>
      <w:r w:rsidR="003477F5" w:rsidRPr="00BB4117">
        <w:t>improve</w:t>
      </w:r>
      <w:r w:rsidR="00EC750F" w:rsidRPr="00BB4117">
        <w:t>ment at full cell level, and</w:t>
      </w:r>
      <w:r w:rsidR="003477F5" w:rsidRPr="00BB4117">
        <w:t xml:space="preserve"> to </w:t>
      </w:r>
      <w:r w:rsidR="0031237A" w:rsidRPr="00BB4117">
        <w:t xml:space="preserve">illustrate </w:t>
      </w:r>
      <w:r w:rsidR="00EC750F" w:rsidRPr="00BB4117">
        <w:t xml:space="preserve">some </w:t>
      </w:r>
      <w:r w:rsidR="00547EA8" w:rsidRPr="00BB4117">
        <w:t>potential</w:t>
      </w:r>
      <w:r w:rsidR="0031237A" w:rsidRPr="00BB4117">
        <w:t xml:space="preserve"> </w:t>
      </w:r>
      <w:r w:rsidR="003477F5" w:rsidRPr="00BB4117">
        <w:t xml:space="preserve">benefits </w:t>
      </w:r>
      <w:r w:rsidR="00EC750F" w:rsidRPr="00BB4117">
        <w:t xml:space="preserve">to the adaption of </w:t>
      </w:r>
      <w:r w:rsidR="003477F5" w:rsidRPr="00BB4117">
        <w:t xml:space="preserve">lithium-air batteries in vehicles. </w:t>
      </w:r>
    </w:p>
    <w:p w:rsidR="0005084A" w:rsidRPr="00BB4117" w:rsidRDefault="00F8116B" w:rsidP="00F8116B">
      <w:pPr>
        <w:pStyle w:val="Brdtext"/>
      </w:pPr>
      <w:r w:rsidRPr="00BB4117">
        <w:t xml:space="preserve">Electric vehicles are seen as the main answer to the transport sector´s problems of </w:t>
      </w:r>
      <w:r w:rsidR="00A867CB" w:rsidRPr="00BB4117">
        <w:t xml:space="preserve">climate impact and </w:t>
      </w:r>
      <w:r w:rsidRPr="00BB4117">
        <w:t xml:space="preserve">diminishing oil supplies. </w:t>
      </w:r>
      <w:r w:rsidR="008C1DE2" w:rsidRPr="00BB4117">
        <w:t>Provided that the electricity can be generated from renewable energy sources, considerable reductions of CO</w:t>
      </w:r>
      <w:r w:rsidR="008C1DE2" w:rsidRPr="00BB4117">
        <w:rPr>
          <w:vertAlign w:val="subscript"/>
        </w:rPr>
        <w:t>2</w:t>
      </w:r>
      <w:r w:rsidR="008C1DE2" w:rsidRPr="00BB4117">
        <w:t xml:space="preserve"> emissions from the transport sector are possible</w:t>
      </w:r>
      <w:r w:rsidRPr="00BB4117">
        <w:t xml:space="preserve"> </w:t>
      </w:r>
      <w:r w:rsidR="00524197" w:rsidRPr="00BB4117">
        <w:fldChar w:fldCharType="begin" w:fldLock="1"/>
      </w:r>
      <w:r w:rsidR="00611DCF" w:rsidRPr="00BB4117">
        <w:instrText>ADDIN CSL_CITATION { "citationItems" : [ { "id" : "ITEM-1", "itemData" : { "author" : [ { "dropping-particle" : "", "family" : "Notter", "given" : "Dominic", "non-dropping-particle" : "", "parse-names" : false, "suffix" : "" }, { "dropping-particle" : "", "family" : "Gauch", "given" : "Marcel", "non-dropping-particle" : "", "parse-names" : false, "suffix" : "" }, { "dropping-particle" : "", "family" : "Widmer", "given" : "Rolf", "non-dropping-particle" : "", "parse-names" : false, "suffix" : "" }, { "dropping-particle" : "", "family" : "W\u00e4ger", "given" : "Patrick", "non-dropping-particle" : "", "parse-names" : false, "suffix" : "" }, { "dropping-particle" : "", "family" : "Stamp", "given" : "Anna", "non-dropping-particle" : "", "parse-names" : false, "suffix" : "" }, { "dropping-particle" : "", "family" : "Zah", "given" : "Rainer", "non-dropping-particle" : "", "parse-names" : false, "suffix" : "" }, { "dropping-particle" : "", "family" : "Althaus", "given" : "Hans-Jorg", "non-dropping-particle" : "", "parse-names" : false, "suffix" : "" } ], "container-title" : "Environmental Science &amp;Technology", "id" : "ITEM-1", "issued" : { "date-parts" : [ [ "2010" ] ] }, "title" : "Contribution of Li-Ion Batteries to the Environmental Impact of Electric Vehicles", "type" : "article-journal" }, "uris" : [ "http://www.mendeley.com/documents/?uuid=43b3e366-1532-461e-a9f1-f946b34ca970" ] } ], "mendeley" : { "formattedCitation" : "(Notter et al. 2010)", "plainTextFormattedCitation" : "(Notter et al. 2010)", "previouslyFormattedCitation" : "(Notter et al. 2010)" }, "properties" : { "noteIndex" : 0 }, "schema" : "https://github.com/citation-style-language/schema/raw/master/csl-citation.json" }</w:instrText>
      </w:r>
      <w:r w:rsidR="00524197" w:rsidRPr="00BB4117">
        <w:fldChar w:fldCharType="separate"/>
      </w:r>
      <w:r w:rsidRPr="00BB4117">
        <w:rPr>
          <w:noProof/>
        </w:rPr>
        <w:t>(Notter et al. 2010)</w:t>
      </w:r>
      <w:r w:rsidR="00524197" w:rsidRPr="00BB4117">
        <w:fldChar w:fldCharType="end"/>
      </w:r>
      <w:r w:rsidR="008C1DE2" w:rsidRPr="00BB4117">
        <w:t xml:space="preserve">. </w:t>
      </w:r>
      <w:r w:rsidRPr="00BB4117">
        <w:t xml:space="preserve">However, development of battery performance is crucial in the transition from combustion engines to electric motors in automobiles. </w:t>
      </w:r>
    </w:p>
    <w:p w:rsidR="006F3D8C" w:rsidRPr="00BB4117" w:rsidRDefault="00F8116B" w:rsidP="00F8116B">
      <w:pPr>
        <w:pStyle w:val="Brdtext"/>
      </w:pPr>
      <w:r w:rsidRPr="00BB4117">
        <w:rPr>
          <w:iCs/>
        </w:rPr>
        <w:t xml:space="preserve">The LCA </w:t>
      </w:r>
      <w:r w:rsidR="00B07EA6" w:rsidRPr="00BB4117">
        <w:rPr>
          <w:iCs/>
        </w:rPr>
        <w:t xml:space="preserve">presented here </w:t>
      </w:r>
      <w:r w:rsidRPr="00BB4117">
        <w:rPr>
          <w:iCs/>
        </w:rPr>
        <w:t xml:space="preserve">was performed in the context of the European STABLE project aiming at </w:t>
      </w:r>
      <w:proofErr w:type="spellStart"/>
      <w:r w:rsidRPr="00BB4117">
        <w:rPr>
          <w:iCs/>
        </w:rPr>
        <w:t>S</w:t>
      </w:r>
      <w:r w:rsidR="00BE176D" w:rsidRPr="00BB4117">
        <w:rPr>
          <w:iCs/>
        </w:rPr>
        <w:t>T</w:t>
      </w:r>
      <w:r w:rsidRPr="00BB4117">
        <w:rPr>
          <w:iCs/>
        </w:rPr>
        <w:t>able</w:t>
      </w:r>
      <w:proofErr w:type="spellEnd"/>
      <w:r w:rsidRPr="00BB4117">
        <w:rPr>
          <w:iCs/>
        </w:rPr>
        <w:t xml:space="preserve"> high-capacity lithium-</w:t>
      </w:r>
      <w:r w:rsidR="006D5DE4" w:rsidRPr="00BB4117">
        <w:rPr>
          <w:iCs/>
        </w:rPr>
        <w:t>A</w:t>
      </w:r>
      <w:r w:rsidRPr="00BB4117">
        <w:rPr>
          <w:iCs/>
        </w:rPr>
        <w:t>ir Batteries with Long cycle life for Electric cars</w:t>
      </w:r>
      <w:r w:rsidR="0047051E" w:rsidRPr="00BB4117">
        <w:rPr>
          <w:iCs/>
        </w:rPr>
        <w:t xml:space="preserve"> carried out 2012-2015</w:t>
      </w:r>
      <w:r w:rsidRPr="00BB4117">
        <w:rPr>
          <w:iCs/>
        </w:rPr>
        <w:t>.</w:t>
      </w:r>
      <w:r w:rsidR="00BC4E9D" w:rsidRPr="00BB4117">
        <w:t xml:space="preserve"> LCA is generally considered very useful in the product development stage in order to identify environmental hot-spots and aid in directing development efforts in relevant areas</w:t>
      </w:r>
      <w:r w:rsidR="0005690A" w:rsidRPr="00BB4117">
        <w:t xml:space="preserve"> </w:t>
      </w:r>
      <w:r w:rsidR="00524197" w:rsidRPr="00BB4117">
        <w:fldChar w:fldCharType="begin" w:fldLock="1"/>
      </w:r>
      <w:r w:rsidR="007D67AB">
        <w:instrText>ADDIN CSL_CITATION { "citationItems" : [ { "id" : "ITEM-1", "itemData" : { "ISBN" : "0160-4120", "abstract" : "Sustainable development requires methods and tools to measure and compare the environmental impacts of human activities for the provision of goods and services (both of which are summarized under the term \"products\"). Environmental impacts include those from emissions into the environment and through the consumption of resources, as well as other interventions (e.g., land use) associated with providing products that occur when extracting resources, producing materials, manufacturing the products, during consumption/use, and at the products' end-of-life (collection/sorting, reuse, recycling, waste disposal). These emissions and consumptions contribute to a wide range of impacts, such as climate change, stratospheric ozone depletion, tropospheric ozone (smog) creation, eutrophication, acidification, toxicological stress on human health and ecosystems, the depletion of resources, water use, land use, and noise--among others. A clear need, therefore, exists to be proactive and to provide complimentary insights, apart from current regulatory practices, to help reduce such impacts. Practitioners and researchers from many domains come together in life cycle assessment (LCA) to calculate indicators of the aforementioned potential environmental impacts that are linked to products--supporting the identification of opportunities for pollution prevention and reductions in resource consumption while taking the entire product life cycle into consideration. This paper, part 1 in a series of two, introduces the LCA framework and procedure, outlines how to define and model a product's life cycle, and provides an overview of available methods and tools for tabulating and compiling associated emissions and resource consumption data in a life cycle inventory (LCI). It also discusses the application of LCA in industry and policy making. The second paper, by Pennington et al. (Environ. Int. 2003, in press), highlights the key features, summarises available approaches, and outlines the key challenges of assessing the aforementioned inventory data in terms of contributions to environmental impacts (life cycle impact assessment, LCIA).", "author" : [ { "dropping-particle" : "", "family" : "Rebitzer", "given" : "G", "non-dropping-particle" : "", "parse-names" : false, "suffix" : "" }, { "dropping-particle" : "", "family" : "Ekvall", "given" : "T", "non-dropping-particle" : "", "parse-names" : false, "suffix" : "" }, { "dropping-particle" : "", "family" : "Frischknecht", "given" : "R", "non-dropping-particle" : "", "parse-names" : false, "suffix" : "" }, { "dropping-particle" : "", "family" : "Hunkeler", "given" : "D", "non-dropping-particle" : "", "parse-names" : false, "suffix" : "" }, { "dropping-particle" : "", "family" : "Norris", "given" : "G", "non-dropping-particle" : "", "parse-names" : false, "suffix" : "" }, { "dropping-particle" : "", "family" : "Rydberg", "given" : "T", "non-dropping-particle" : "", "parse-names" : false, "suffix" : "" }, { "dropping-particle" : "", "family" : "Schmidt", "given" : "W P", "non-dropping-particle" : "", "parse-names" : false, "suffix" : "" }, { "dropping-particle" : "", "family" : "Suh", "given" : "S", "non-dropping-particle" : "", "parse-names" : false, "suffix" : "" }, { "dropping-particle" : "", "family" : "Weidema", "given" : "B P", "non-dropping-particle" : "", "parse-names" : false, "suffix" : "" }, { "dropping-particle" : "", "family" : "Pennington", "given" : "D W", "non-dropping-particle" : "", "parse-names" : false, "suffix" : "" } ], "container-title" : "Environment International", "id" : "ITEM-1", "issue" : "5", "issued" : { "date-parts" : [ [ "2004" ] ] }, "note" : "doi: DOI: 10.1016/j.envint.2003.11.005", "page" : "701-720", "title" : "Life cycle assessment: Part 1: Framework, goal and scope definition, inventory analysis, and applications", "type" : "article-journal", "volume" : "30" }, "uris" : [ "http://www.mendeley.com/documents/?uuid=3a771cd7-5492-49a6-ae5e-eeff7839800b" ] } ], "mendeley" : { "formattedCitation" : "(Rebitzer et al. 2004)", "manualFormatting" : "(Rebitzer et al. 2004,", "plainTextFormattedCitation" : "(Rebitzer et al. 2004)", "previouslyFormattedCitation" : "(Rebitzer et al. 2004)" }, "properties" : { "noteIndex" : 0 }, "schema" : "https://github.com/citation-style-language/schema/raw/master/csl-citation.json" }</w:instrText>
      </w:r>
      <w:r w:rsidR="00524197" w:rsidRPr="00BB4117">
        <w:fldChar w:fldCharType="separate"/>
      </w:r>
      <w:r w:rsidR="0005690A" w:rsidRPr="00BB4117">
        <w:rPr>
          <w:noProof/>
        </w:rPr>
        <w:t>(Rebitzer et al. 2004</w:t>
      </w:r>
      <w:r w:rsidR="007D67AB">
        <w:rPr>
          <w:noProof/>
        </w:rPr>
        <w:t>,</w:t>
      </w:r>
      <w:r w:rsidR="00524197" w:rsidRPr="00BB4117">
        <w:fldChar w:fldCharType="end"/>
      </w:r>
      <w:r w:rsidR="007D67AB">
        <w:t xml:space="preserve"> </w:t>
      </w:r>
      <w:r w:rsidR="00524197" w:rsidRPr="00BB4117">
        <w:fldChar w:fldCharType="begin"/>
      </w:r>
      <w:r w:rsidR="007B1EB4" w:rsidRPr="00BB4117">
        <w:instrText xml:space="preserve"> ADDIN EN.CITE &lt;EndNote&gt;&lt;Cite&gt;&lt;Author&gt;Zackrisson&lt;/Author&gt;&lt;Year&gt;2009&lt;/Year&gt;&lt;RecNum&gt;445&lt;/RecNum&gt;&lt;record&gt;&lt;rec-number&gt;445&lt;/rec-number&gt;&lt;foreign-keys&gt;&lt;key app="EN" db-id="90zrzfdf0s5vxpe9fpbppxwgww22tezx5zaz"&gt;445&lt;/key&gt;&lt;/foreign-keys&gt;&lt;ref-type name="Thesis"&gt;32&lt;/ref-type&gt;&lt;contributors&gt;&lt;authors&gt;&lt;author&gt;Zackrisson, Mats&lt;/author&gt;&lt;/authors&gt;&lt;/contributors&gt;&lt;titles&gt;&lt;title&gt;Product orientation of environmental work : barriers &amp;amp; incentives&lt;/title&gt;&lt;/titles&gt;&lt;dates&gt;&lt;year&gt;2009&lt;/year&gt;&lt;/dates&gt;&lt;pub-location&gt;Stockholm&lt;/pub-location&gt;&lt;publisher&gt;Department of Machine Design, Royal Institute of Technology&lt;/publisher&gt;&lt;isbn&gt;978-91-7415-319-4&lt;/isbn&gt;&lt;urls&gt;&lt;related-urls&gt;&lt;url&gt;http://urn.kb.se/resolve?urn=urn:nbn:se:kth:diva-10585&lt;/url&gt;&lt;/related-urls&gt;&lt;/urls&gt;&lt;/record&gt;&lt;/Cite&gt;&lt;/EndNote&gt;</w:instrText>
      </w:r>
      <w:r w:rsidR="00524197" w:rsidRPr="00BB4117">
        <w:fldChar w:fldCharType="separate"/>
      </w:r>
      <w:r w:rsidR="003477F5" w:rsidRPr="00BB4117">
        <w:t>Zackrisson 2009)</w:t>
      </w:r>
      <w:r w:rsidR="00524197" w:rsidRPr="00BB4117">
        <w:fldChar w:fldCharType="end"/>
      </w:r>
      <w:r w:rsidR="00466085" w:rsidRPr="00BB4117">
        <w:t xml:space="preserve">. </w:t>
      </w:r>
    </w:p>
    <w:p w:rsidR="00F72605" w:rsidRPr="00BB4117" w:rsidRDefault="005E6868" w:rsidP="00F8116B">
      <w:pPr>
        <w:pStyle w:val="Brdtext"/>
      </w:pPr>
      <w:r w:rsidRPr="00BB4117">
        <w:t>The LCA is targeting one of the best working lithium-air cell prototypes developed in the project. All in all, the project built five working lithium-air prototypes. The LCA was focused on prototype number four</w:t>
      </w:r>
      <w:r w:rsidR="00953A87" w:rsidRPr="00BB4117">
        <w:t xml:space="preserve"> (one of the best achieved)</w:t>
      </w:r>
      <w:r w:rsidRPr="00BB4117">
        <w:t xml:space="preserve"> and include a futuristic long-term scenario in which the prototype is assumed to have close to the theoretical maximum energy density of lithium-air technology.</w:t>
      </w:r>
    </w:p>
    <w:p w:rsidR="007315C9" w:rsidRPr="00BB4117" w:rsidRDefault="007315C9" w:rsidP="002D62FE">
      <w:pPr>
        <w:pStyle w:val="Rubrik1"/>
        <w:rPr>
          <w:lang w:val="en-GB"/>
        </w:rPr>
      </w:pPr>
      <w:bookmarkStart w:id="4" w:name="_Toc197942746"/>
      <w:bookmarkStart w:id="5" w:name="_Toc428370298"/>
      <w:r w:rsidRPr="00BB4117">
        <w:rPr>
          <w:lang w:val="en-GB"/>
        </w:rPr>
        <w:t>Method</w:t>
      </w:r>
      <w:bookmarkEnd w:id="4"/>
      <w:bookmarkEnd w:id="5"/>
    </w:p>
    <w:p w:rsidR="007315C9" w:rsidRPr="00BB4117" w:rsidRDefault="001D2D0A">
      <w:pPr>
        <w:pStyle w:val="Brdtext"/>
      </w:pPr>
      <w:r w:rsidRPr="00BB4117">
        <w:rPr>
          <w:iCs/>
        </w:rPr>
        <w:t xml:space="preserve">Members of the </w:t>
      </w:r>
      <w:r w:rsidR="007B0C58" w:rsidRPr="00BB4117">
        <w:rPr>
          <w:iCs/>
        </w:rPr>
        <w:t xml:space="preserve">STABLE </w:t>
      </w:r>
      <w:r w:rsidRPr="00BB4117">
        <w:rPr>
          <w:iCs/>
        </w:rPr>
        <w:t xml:space="preserve">consortium have delivered detailed data about raw materials, manufacturing, use and recycling related to </w:t>
      </w:r>
      <w:r w:rsidR="00EB0A05" w:rsidRPr="00BB4117">
        <w:rPr>
          <w:iCs/>
        </w:rPr>
        <w:t>lithium-air</w:t>
      </w:r>
      <w:r w:rsidRPr="00BB4117">
        <w:rPr>
          <w:iCs/>
        </w:rPr>
        <w:t xml:space="preserve"> batteries. </w:t>
      </w:r>
      <w:r w:rsidR="00982245" w:rsidRPr="00BB4117">
        <w:t xml:space="preserve">Material needs were determined </w:t>
      </w:r>
      <w:r w:rsidR="00954326" w:rsidRPr="00BB4117">
        <w:t xml:space="preserve">based on </w:t>
      </w:r>
      <w:r w:rsidR="00D95D1E" w:rsidRPr="00BB4117">
        <w:t>one of the</w:t>
      </w:r>
      <w:r w:rsidR="00953A87" w:rsidRPr="00BB4117">
        <w:t xml:space="preserve"> best</w:t>
      </w:r>
      <w:r w:rsidR="00D95D1E" w:rsidRPr="00BB4117">
        <w:t xml:space="preserve"> </w:t>
      </w:r>
      <w:r w:rsidR="00954326" w:rsidRPr="00BB4117">
        <w:t>prototype</w:t>
      </w:r>
      <w:r w:rsidR="00D95D1E" w:rsidRPr="00BB4117">
        <w:t>s</w:t>
      </w:r>
      <w:r w:rsidR="00954326" w:rsidRPr="00BB4117">
        <w:t xml:space="preserve"> achieved in the project</w:t>
      </w:r>
      <w:r w:rsidR="00CE654F" w:rsidRPr="00BB4117">
        <w:t>, using materials, methods and advancements guided by the current state of the art</w:t>
      </w:r>
      <w:r w:rsidR="000A4265" w:rsidRPr="00BB4117">
        <w:t xml:space="preserve"> </w:t>
      </w:r>
      <w:r w:rsidR="00524197" w:rsidRPr="00BB4117">
        <w:fldChar w:fldCharType="begin" w:fldLock="1"/>
      </w:r>
      <w:r w:rsidR="00710481" w:rsidRPr="00BB4117">
        <w:instrText>ADDIN CSL_CITATION { "citationItems" : [ { "id" : "ITEM-1", "itemData" : { "author" : [ { "dropping-particle" : "", "family" : "Luntz", "given" : "Alan C.", "non-dropping-particle" : "", "parse-names" : false, "suffix" : "" }, { "dropping-particle" : "", "family" : "McCloskey", "given" : "Brian D.", "non-dropping-particle" : "", "parse-names" : false, "suffix" : "" } ], "container-title" : "Chemical Reviews", "id" : "ITEM-1", "issue" : "23", "issued" : { "date-parts" : [ [ "2014" ] ] }, "page" : "11721-11750", "title" : "Nonaqueous Li\u2013Air Batteries: A Status Report", "type" : "article-journal", "volume" : "114" }, "uris" : [ "http://www.mendeley.com/documents/?uuid=1b75135e-5d66-4a60-bb5d-20934506a6e5" ] } ], "mendeley" : { "formattedCitation" : "(Luntz &amp; McCloskey 2014)", "plainTextFormattedCitation" : "(Luntz &amp; McCloskey 2014)", "previouslyFormattedCitation" : "(Luntz &amp; McCloskey 2014)" }, "properties" : { "noteIndex" : 0 }, "schema" : "https://github.com/citation-style-language/schema/raw/master/csl-citation.json" }</w:instrText>
      </w:r>
      <w:r w:rsidR="00524197" w:rsidRPr="00BB4117">
        <w:fldChar w:fldCharType="separate"/>
      </w:r>
      <w:r w:rsidR="000A4265" w:rsidRPr="00BB4117">
        <w:rPr>
          <w:noProof/>
        </w:rPr>
        <w:t>(Luntz &amp; McCloskey 2014)</w:t>
      </w:r>
      <w:r w:rsidR="00524197" w:rsidRPr="00BB4117">
        <w:fldChar w:fldCharType="end"/>
      </w:r>
      <w:r w:rsidR="00982245" w:rsidRPr="00BB4117">
        <w:t>. Associated resources and emissions</w:t>
      </w:r>
      <w:r w:rsidR="00220AEB" w:rsidRPr="00BB4117">
        <w:t xml:space="preserve"> were</w:t>
      </w:r>
      <w:r w:rsidR="007315C9" w:rsidRPr="00BB4117">
        <w:t xml:space="preserve"> found in existing databases for LCA and represent in </w:t>
      </w:r>
      <w:proofErr w:type="gramStart"/>
      <w:r w:rsidR="007315C9" w:rsidRPr="00BB4117">
        <w:t>general</w:t>
      </w:r>
      <w:proofErr w:type="gramEnd"/>
      <w:r w:rsidR="007315C9" w:rsidRPr="00BB4117">
        <w:t xml:space="preserve"> European or global averages. Data ha</w:t>
      </w:r>
      <w:r w:rsidR="00946006" w:rsidRPr="00BB4117">
        <w:t>ve</w:t>
      </w:r>
      <w:r w:rsidR="007315C9" w:rsidRPr="00BB4117">
        <w:t xml:space="preserve"> mainly been drawn from the database </w:t>
      </w:r>
      <w:proofErr w:type="spellStart"/>
      <w:r w:rsidR="007315C9" w:rsidRPr="00BB4117">
        <w:t>Ecoinvent</w:t>
      </w:r>
      <w:proofErr w:type="spellEnd"/>
      <w:r w:rsidR="007315C9" w:rsidRPr="00BB4117">
        <w:t xml:space="preserve"> </w:t>
      </w:r>
      <w:r w:rsidRPr="00BB4117">
        <w:t>3</w:t>
      </w:r>
      <w:r w:rsidR="007315C9" w:rsidRPr="00BB4117">
        <w:t>.</w:t>
      </w:r>
      <w:r w:rsidRPr="00BB4117">
        <w:t xml:space="preserve">1 </w:t>
      </w:r>
      <w:r w:rsidR="00524197" w:rsidRPr="00BB4117">
        <w:fldChar w:fldCharType="begin" w:fldLock="1"/>
      </w:r>
      <w:r w:rsidR="00646144" w:rsidRPr="00BB4117">
        <w:instrText>ADDIN CSL_CITATION { "citationItems" : [ { "id" : "ITEM-1", "itemData" : { "author" : [ { "dropping-particle" : "", "family" : "Ruiz", "given" : "Moreno", "non-dropping-particle" : "", "parse-names" : false, "suffix" : "" }, { "dropping-particle" : "", "family" : "Althaus", "given" : "Hans-j\u00f6rg", "non-dropping-particle" : "", "parse-names" : false, "suffix" : "" }, { "dropping-particle" : "", "family" : "Bauer", "given" : "Christian", "non-dropping-particle" : "", "parse-names" : false, "suffix" : "" }, { "dropping-particle" : "", "family" : "Doka", "given" : "Gabor", "non-dropping-particle" : "", "parse-names" : false, "suffix" : "" }, { "dropping-particle" : "", "family" : "Jungbluth", "given" : "Niels", "non-dropping-particle" : "", "parse-names" : false, "suffix" : "" }, { "dropping-particle" : "", "family" : "Nemecek", "given" : "Thomas", "non-dropping-particle" : "", "parse-names" : false, "suffix" : "" }, { "dropping-particle" : "", "family" : "Stucki", "given" : "Matthias", "non-dropping-particle" : "", "parse-names" : false, "suffix" : "" }, { "dropping-particle" : "", "family" : "Sutter", "given" : "J\u00fcrgen", "non-dropping-particle" : "", "parse-names" : false, "suffix" : "" }, { "dropping-particle" : "", "family" : "Tuchschmid", "given" : "Matthias", "non-dropping-particle" : "", "parse-names" : false, "suffix" : "" } ], "container-title" : "Ecoinvent", "id" : "ITEM-1", "issued" : { "date-parts" : [ [ "2014" ] ] }, "title" : "Documentation of changes implemented in ecoinvent version 3.1", "type" : "article-journal", "volume" : "1" }, "uris" : [ "http://www.mendeley.com/documents/?uuid=a4b95bc9-5de6-41fa-bf02-177c4e34dba0" ] } ], "mendeley" : { "formattedCitation" : "(Ruiz et al. 2014)", "plainTextFormattedCitation" : "(Ruiz et al. 2014)", "previouslyFormattedCitation" : "(Ruiz et al. 2014)" }, "properties" : { "noteIndex" : 0 }, "schema" : "https://github.com/citation-style-language/schema/raw/master/csl-citation.json" }</w:instrText>
      </w:r>
      <w:r w:rsidR="00524197" w:rsidRPr="00BB4117">
        <w:fldChar w:fldCharType="separate"/>
      </w:r>
      <w:r w:rsidRPr="00BB4117">
        <w:rPr>
          <w:noProof/>
        </w:rPr>
        <w:t>(Ruiz et al. 2014)</w:t>
      </w:r>
      <w:r w:rsidR="00524197" w:rsidRPr="00BB4117">
        <w:fldChar w:fldCharType="end"/>
      </w:r>
      <w:r w:rsidR="007315C9" w:rsidRPr="00BB4117">
        <w:t>.</w:t>
      </w:r>
    </w:p>
    <w:p w:rsidR="00881A15" w:rsidRPr="00BB4117" w:rsidRDefault="00327B2E" w:rsidP="00881A15">
      <w:pPr>
        <w:pStyle w:val="Brdtext"/>
      </w:pPr>
      <w:r w:rsidRPr="00BB4117">
        <w:t>With the aim of influencing the design and development of the lithium-air technology, a screening LCA was carried out early on in the project.</w:t>
      </w:r>
    </w:p>
    <w:p w:rsidR="007315C9" w:rsidRPr="00BB4117" w:rsidRDefault="00F9182D" w:rsidP="00F9182D">
      <w:pPr>
        <w:pStyle w:val="Rubrik2"/>
        <w:numPr>
          <w:ilvl w:val="0"/>
          <w:numId w:val="0"/>
        </w:numPr>
        <w:ind w:left="720"/>
        <w:rPr>
          <w:lang w:val="en-GB"/>
        </w:rPr>
      </w:pPr>
      <w:bookmarkStart w:id="6" w:name="_Toc197942747"/>
      <w:bookmarkStart w:id="7" w:name="_Toc428370299"/>
      <w:r w:rsidRPr="00BB4117">
        <w:rPr>
          <w:lang w:val="en-GB"/>
        </w:rPr>
        <w:lastRenderedPageBreak/>
        <w:t xml:space="preserve">2.1 </w:t>
      </w:r>
      <w:r w:rsidR="00D976E2" w:rsidRPr="00BB4117">
        <w:rPr>
          <w:lang w:val="en-GB"/>
        </w:rPr>
        <w:tab/>
      </w:r>
      <w:r w:rsidR="007315C9" w:rsidRPr="00BB4117">
        <w:rPr>
          <w:lang w:val="en-GB"/>
        </w:rPr>
        <w:t>Functional unit</w:t>
      </w:r>
      <w:bookmarkEnd w:id="6"/>
      <w:r w:rsidR="00104E48" w:rsidRPr="00BB4117">
        <w:rPr>
          <w:lang w:val="en-GB"/>
        </w:rPr>
        <w:t>s</w:t>
      </w:r>
      <w:bookmarkEnd w:id="7"/>
    </w:p>
    <w:p w:rsidR="00104E48" w:rsidRPr="00BB4117" w:rsidRDefault="00563D38" w:rsidP="00563D38">
      <w:pPr>
        <w:pStyle w:val="Brdtext"/>
      </w:pPr>
      <w:r w:rsidRPr="00BB4117">
        <w:t>I</w:t>
      </w:r>
      <w:r w:rsidR="00646144" w:rsidRPr="00BB4117">
        <w:t xml:space="preserve">n order to put the battery in the </w:t>
      </w:r>
      <w:r w:rsidR="00A867CB" w:rsidRPr="00BB4117">
        <w:t xml:space="preserve">application </w:t>
      </w:r>
      <w:r w:rsidR="00646144" w:rsidRPr="00BB4117">
        <w:t>context of a vehicle</w:t>
      </w:r>
      <w:r w:rsidR="00A873CD" w:rsidRPr="00BB4117">
        <w:t xml:space="preserve"> </w:t>
      </w:r>
      <w:r w:rsidR="00524197" w:rsidRPr="00BB4117">
        <w:fldChar w:fldCharType="begin" w:fldLock="1"/>
      </w:r>
      <w:r w:rsidR="0005690A" w:rsidRPr="00BB4117">
        <w:instrText>ADDIN CSL_CITATION { "citationItems" : [ { "id" : "ITEM-1", "itemData" : { "author" : [ { "dropping-particle" : "", "family" : "Andrea Del Duce, Patricia Egede, Gerlind \u00d6hlschl\u00e4ger", "given" : "Tina Dettmer", "non-dropping-particle" : "", "parse-names" : false, "suffix" : "" } ], "id" : "ITEM-1", "issued" : { "date-parts" : [ [ "2013" ] ] }, "title" : "Guidelines for the LCA of electric vehicles", "type" : "report" }, "uris" : [ "http://www.mendeley.com/documents/?uuid=9640bed8-fd1a-4a63-9f08-e9cea8b69709" ] } ], "mendeley" : { "formattedCitation" : "(Andrea Del Duce, Patricia Egede, Gerlind \u00d6hlschl\u00e4ger 2013)", "manualFormatting" : "(Del Duce et al 2013)", "plainTextFormattedCitation" : "(Andrea Del Duce, Patricia Egede, Gerlind \u00d6hlschl\u00e4ger 2013)", "previouslyFormattedCitation" : "(Andrea Del Duce, Patricia Egede, Gerlind \u00d6hlschl\u00e4ger 2013)" }, "properties" : { "noteIndex" : 0 }, "schema" : "https://github.com/citation-style-language/schema/raw/master/csl-citation.json" }</w:instrText>
      </w:r>
      <w:r w:rsidR="00524197" w:rsidRPr="00BB4117">
        <w:fldChar w:fldCharType="separate"/>
      </w:r>
      <w:r w:rsidR="00A873CD" w:rsidRPr="00BB4117">
        <w:rPr>
          <w:noProof/>
        </w:rPr>
        <w:t>(Del Duce</w:t>
      </w:r>
      <w:r w:rsidR="007B0C58" w:rsidRPr="00BB4117">
        <w:rPr>
          <w:noProof/>
        </w:rPr>
        <w:t xml:space="preserve"> et al</w:t>
      </w:r>
      <w:r w:rsidR="00A873CD" w:rsidRPr="00BB4117">
        <w:rPr>
          <w:noProof/>
        </w:rPr>
        <w:t xml:space="preserve"> 2013)</w:t>
      </w:r>
      <w:r w:rsidR="00524197" w:rsidRPr="00BB4117">
        <w:fldChar w:fldCharType="end"/>
      </w:r>
      <w:r w:rsidR="00A873CD" w:rsidRPr="00BB4117">
        <w:t>,</w:t>
      </w:r>
      <w:r w:rsidR="00646144" w:rsidRPr="00BB4117">
        <w:t xml:space="preserve"> this </w:t>
      </w:r>
      <w:r w:rsidR="00A873CD" w:rsidRPr="00BB4117">
        <w:t>study</w:t>
      </w:r>
      <w:r w:rsidR="00646144" w:rsidRPr="00BB4117">
        <w:t xml:space="preserve"> present</w:t>
      </w:r>
      <w:r w:rsidR="000D1E5E" w:rsidRPr="00BB4117">
        <w:t>s</w:t>
      </w:r>
      <w:r w:rsidR="00646144" w:rsidRPr="00BB4117">
        <w:t xml:space="preserve"> the results as environmental impact  per vehicle kilometre</w:t>
      </w:r>
      <w:r w:rsidR="001C4200" w:rsidRPr="00BB4117">
        <w:t>. The vehicle context is realized via assumptions about car weight, electricity consumption and total mileage.</w:t>
      </w:r>
      <w:r w:rsidR="00646144" w:rsidRPr="00BB4117">
        <w:t xml:space="preserve"> Th</w:t>
      </w:r>
      <w:r w:rsidR="006A7990" w:rsidRPr="00BB4117">
        <w:t xml:space="preserve">ereby, </w:t>
      </w:r>
      <w:r w:rsidR="00646144" w:rsidRPr="00BB4117">
        <w:t xml:space="preserve">the results can easily be compared and </w:t>
      </w:r>
      <w:r w:rsidR="00B5578F" w:rsidRPr="00BB4117">
        <w:t xml:space="preserve">classified </w:t>
      </w:r>
      <w:r w:rsidR="00646144" w:rsidRPr="00BB4117">
        <w:t xml:space="preserve">in relation </w:t>
      </w:r>
      <w:r w:rsidR="00B5578F" w:rsidRPr="00BB4117">
        <w:t xml:space="preserve">to </w:t>
      </w:r>
      <w:r w:rsidR="00646144" w:rsidRPr="00BB4117">
        <w:t xml:space="preserve">vehicle </w:t>
      </w:r>
      <w:r w:rsidR="003E40AC" w:rsidRPr="00BB4117">
        <w:t>emissions</w:t>
      </w:r>
      <w:r w:rsidR="00646144" w:rsidRPr="00BB4117">
        <w:t xml:space="preserve"> targets, e.g. the</w:t>
      </w:r>
      <w:r w:rsidR="00E52C17" w:rsidRPr="00BB4117">
        <w:t xml:space="preserve"> E</w:t>
      </w:r>
      <w:r w:rsidR="007B0C58" w:rsidRPr="00BB4117">
        <w:t>uropean</w:t>
      </w:r>
      <w:r w:rsidR="00E52C17" w:rsidRPr="00BB4117">
        <w:t xml:space="preserve"> passenger car standards </w:t>
      </w:r>
      <w:r w:rsidR="00B5578F" w:rsidRPr="00BB4117">
        <w:t xml:space="preserve">of </w:t>
      </w:r>
      <w:r w:rsidR="00E52C17" w:rsidRPr="00BB4117">
        <w:t>95 g CO</w:t>
      </w:r>
      <w:r w:rsidR="00E52C17" w:rsidRPr="00BB4117">
        <w:rPr>
          <w:vertAlign w:val="subscript"/>
        </w:rPr>
        <w:t>2</w:t>
      </w:r>
      <w:r w:rsidR="00E52C17" w:rsidRPr="00BB4117">
        <w:t xml:space="preserve">-eq/km </w:t>
      </w:r>
      <w:r w:rsidR="004578EF" w:rsidRPr="00BB4117">
        <w:t xml:space="preserve">fleet average </w:t>
      </w:r>
      <w:r w:rsidR="00E52C17" w:rsidRPr="00BB4117">
        <w:t>to be reached by 202</w:t>
      </w:r>
      <w:r w:rsidR="004578EF" w:rsidRPr="00BB4117">
        <w:t>1</w:t>
      </w:r>
      <w:r w:rsidR="006C2AA9" w:rsidRPr="00BB4117">
        <w:t xml:space="preserve"> by </w:t>
      </w:r>
      <w:r w:rsidR="004578EF" w:rsidRPr="00BB4117">
        <w:t>all manufacturers</w:t>
      </w:r>
      <w:r w:rsidR="007B0C58" w:rsidRPr="00BB4117">
        <w:t xml:space="preserve"> </w:t>
      </w:r>
      <w:r w:rsidR="00524197" w:rsidRPr="00BB4117">
        <w:fldChar w:fldCharType="begin" w:fldLock="1"/>
      </w:r>
      <w:r w:rsidR="00795BE3" w:rsidRPr="00BB4117">
        <w:instrText>ADDIN CSL_CITATION { "citationItems" : [ { "id" : "ITEM-1", "itemData" : { "ISBN" : "9789279122552", "abstract" : "The European Parliament and of the Council of European Union, 2000. Directive 2000/53/Ec of the European Parliament and of the Council of 18 September2000 on End-of-life Vehicles, Brussels: Official Journal of the European Communities.", "author" : [ { "dropping-particle" : "", "family" : "EC", "given" : "", "non-dropping-particle" : "", "parse-names" : false, "suffix" : "" } ], "container-title" : "Official Journal of the European Communities", "id" : "ITEM-1", "issue" : "September 2009", "issued" : { "date-parts" : [ [ "2009" ] ] }, "page" : "1-15", "title" : "Regulation (EC) No 443/2009 to define the modalities for reaching the 2020 target to reduce CO2 emissions from new passenger cars", "type" : "legislation", "volume" : "L 269" }, "uris" : [ "http://www.mendeley.com/documents/?uuid=088bb3d2-5a32-49f7-ab26-111a98c2f7be" ] } ], "mendeley" : { "formattedCitation" : "(EC 2009)", "manualFormatting" : "(EC 2009)", "plainTextFormattedCitation" : "(EC 2009)", "previouslyFormattedCitation" : "(EC 2009)" }, "properties" : { "noteIndex" : 0 }, "schema" : "https://github.com/citation-style-language/schema/raw/master/csl-citation.json" }</w:instrText>
      </w:r>
      <w:r w:rsidR="00524197" w:rsidRPr="00BB4117">
        <w:fldChar w:fldCharType="separate"/>
      </w:r>
      <w:r w:rsidR="007B0C58" w:rsidRPr="00BB4117">
        <w:rPr>
          <w:noProof/>
        </w:rPr>
        <w:t>(EC 200</w:t>
      </w:r>
      <w:r w:rsidR="00FB6DD5" w:rsidRPr="00BB4117">
        <w:rPr>
          <w:noProof/>
        </w:rPr>
        <w:t>9</w:t>
      </w:r>
      <w:r w:rsidR="007B0C58" w:rsidRPr="00BB4117">
        <w:rPr>
          <w:noProof/>
        </w:rPr>
        <w:t>)</w:t>
      </w:r>
      <w:r w:rsidR="00524197" w:rsidRPr="00BB4117">
        <w:fldChar w:fldCharType="end"/>
      </w:r>
      <w:r w:rsidR="00E52C17" w:rsidRPr="00BB4117">
        <w:t xml:space="preserve">. </w:t>
      </w:r>
      <w:r w:rsidR="007315C9" w:rsidRPr="00BB4117">
        <w:t>The principal functional unit</w:t>
      </w:r>
      <w:r w:rsidR="000D1E5E" w:rsidRPr="00BB4117">
        <w:t xml:space="preserve"> of the study is</w:t>
      </w:r>
      <w:r w:rsidR="009F1545" w:rsidRPr="00BB4117">
        <w:t xml:space="preserve"> one vehicle </w:t>
      </w:r>
      <w:r w:rsidR="00094C5D" w:rsidRPr="00BB4117">
        <w:t>kilometre</w:t>
      </w:r>
      <w:r w:rsidR="009F1545" w:rsidRPr="00BB4117">
        <w:t xml:space="preserve"> and the corresponding reference flow</w:t>
      </w:r>
      <w:r w:rsidR="00BD7A39" w:rsidRPr="00BB4117">
        <w:t xml:space="preserve"> is</w:t>
      </w:r>
      <w:r w:rsidR="000D1E5E" w:rsidRPr="00BB4117">
        <w:t xml:space="preserve"> battery capacity </w:t>
      </w:r>
      <w:r w:rsidR="00242294" w:rsidRPr="00BB4117">
        <w:t xml:space="preserve">and battery </w:t>
      </w:r>
      <w:r w:rsidR="00BD7A39" w:rsidRPr="00BB4117">
        <w:t>power</w:t>
      </w:r>
      <w:r w:rsidR="00242294" w:rsidRPr="00BB4117">
        <w:t xml:space="preserve"> losses for one vehicle </w:t>
      </w:r>
      <w:r w:rsidR="00094C5D" w:rsidRPr="00BB4117">
        <w:t>kilometre</w:t>
      </w:r>
      <w:r w:rsidR="000D1E5E" w:rsidRPr="00BB4117">
        <w:t>.</w:t>
      </w:r>
      <w:r w:rsidR="008370BA" w:rsidRPr="00BB4117">
        <w:t xml:space="preserve"> </w:t>
      </w:r>
      <w:r w:rsidR="00104E48" w:rsidRPr="00BB4117">
        <w:t xml:space="preserve">LCA-databases typically contain vehicle </w:t>
      </w:r>
      <w:r w:rsidR="003E40AC" w:rsidRPr="00BB4117">
        <w:t>emissions</w:t>
      </w:r>
      <w:r w:rsidR="00104E48" w:rsidRPr="00BB4117">
        <w:t xml:space="preserve"> data per person kilometre, which </w:t>
      </w:r>
      <w:r w:rsidR="00A96390" w:rsidRPr="00BB4117">
        <w:t>can be converted</w:t>
      </w:r>
      <w:r w:rsidR="00104E48" w:rsidRPr="00BB4117">
        <w:t xml:space="preserve"> to vehicle kilometre. </w:t>
      </w:r>
      <w:r w:rsidR="004C6752" w:rsidRPr="00BB4117">
        <w:t xml:space="preserve">The LCA database </w:t>
      </w:r>
      <w:proofErr w:type="spellStart"/>
      <w:r w:rsidR="00104E48" w:rsidRPr="00BB4117">
        <w:t>Ecoinvent</w:t>
      </w:r>
      <w:proofErr w:type="spellEnd"/>
      <w:r w:rsidR="00104E48" w:rsidRPr="00BB4117">
        <w:t xml:space="preserve">, for example, </w:t>
      </w:r>
      <w:r w:rsidR="00A96390" w:rsidRPr="00BB4117">
        <w:t xml:space="preserve">uses 1.59 </w:t>
      </w:r>
      <w:r w:rsidR="002C6857" w:rsidRPr="00BB4117">
        <w:t>passengers</w:t>
      </w:r>
      <w:r w:rsidR="00A96390" w:rsidRPr="00BB4117">
        <w:t xml:space="preserve"> per vehicle </w:t>
      </w:r>
      <w:r w:rsidR="00104E48" w:rsidRPr="00BB4117">
        <w:t xml:space="preserve">to convert from vehicle </w:t>
      </w:r>
      <w:r w:rsidR="00F70CBE" w:rsidRPr="00BB4117">
        <w:t>kilometre</w:t>
      </w:r>
      <w:r w:rsidR="00104E48" w:rsidRPr="00BB4117">
        <w:t xml:space="preserve"> to person </w:t>
      </w:r>
      <w:r w:rsidR="00F70CBE" w:rsidRPr="00BB4117">
        <w:t>kilometre</w:t>
      </w:r>
      <w:r w:rsidR="00104E48" w:rsidRPr="00BB4117">
        <w:t>.</w:t>
      </w:r>
      <w:r w:rsidR="00EA5B79" w:rsidRPr="00BB4117">
        <w:t xml:space="preserve"> </w:t>
      </w:r>
      <w:r w:rsidR="008827B9" w:rsidRPr="00BB4117">
        <w:t xml:space="preserve">It could be argued that larger vehicles carry more passengers, but occupancy rates of passenger cars in Europe fell from 2.0 in the early 1970s to 1.5 in the early 1990s, due to increasing car ownership, extended use of cars for commuting and a continued decline in household size </w:t>
      </w:r>
      <w:r w:rsidR="00524197" w:rsidRPr="00BB4117">
        <w:fldChar w:fldCharType="begin" w:fldLock="1"/>
      </w:r>
      <w:r w:rsidR="00795BE3" w:rsidRPr="00BB4117">
        <w:instrText>ADDIN CSL_CITATION { "citationItems" : [ { "id" : "ITEM-1", "itemData" : { "URL" : "http://www.eea.europa.eu/publications/ENVISSUENo12/page029.html", "accessed" : { "date-parts" : [ [ "2016", "4", "20" ] ] }, "author" : [ { "dropping-particle" : "", "family" : "EEA", "given" : "", "non-dropping-particle" : "", "parse-names" : false, "suffix" : "" } ], "container-title" : "European Environment Agency", "id" : "ITEM-1", "issued" : { "date-parts" : [ [ "2016" ] ] }, "title" : "Are we moving in the right direction? Indicators on transport and environmental integration in the EU: TERM 2000 / Occupancy rates", "type" : "webpage" }, "uris" : [ "http://www.mendeley.com/documents/?uuid=8dd0674a-79d9-456a-8841-4f3e7e2b8b55" ] } ], "mendeley" : { "formattedCitation" : "(EEA 2016)", "plainTextFormattedCitation" : "(EEA 2016)", "previouslyFormattedCitation" : "(EEA 2016)" }, "properties" : { "noteIndex" : 0 }, "schema" : "https://github.com/citation-style-language/schema/raw/master/csl-citation.json" }</w:instrText>
      </w:r>
      <w:r w:rsidR="00524197" w:rsidRPr="00BB4117">
        <w:fldChar w:fldCharType="separate"/>
      </w:r>
      <w:r w:rsidR="008827B9" w:rsidRPr="00BB4117">
        <w:rPr>
          <w:noProof/>
        </w:rPr>
        <w:t>(EEA 2016)</w:t>
      </w:r>
      <w:r w:rsidR="00524197" w:rsidRPr="00BB4117">
        <w:fldChar w:fldCharType="end"/>
      </w:r>
      <w:r w:rsidR="008827B9" w:rsidRPr="00BB4117">
        <w:t>. It indicates that the</w:t>
      </w:r>
      <w:r w:rsidR="00C02167" w:rsidRPr="00BB4117">
        <w:t xml:space="preserve"> actual</w:t>
      </w:r>
      <w:r w:rsidR="008827B9" w:rsidRPr="00BB4117">
        <w:t xml:space="preserve"> number of passengers per car is largely decoupled from the size of the car.</w:t>
      </w:r>
    </w:p>
    <w:p w:rsidR="004149FA" w:rsidRPr="00BB4117" w:rsidRDefault="00563D38" w:rsidP="00563D38">
      <w:pPr>
        <w:pStyle w:val="Brdtext"/>
      </w:pPr>
      <w:r w:rsidRPr="00BB4117">
        <w:t>It should be n</w:t>
      </w:r>
      <w:r w:rsidR="004149FA" w:rsidRPr="00BB4117">
        <w:t>ote</w:t>
      </w:r>
      <w:r w:rsidRPr="00BB4117">
        <w:t>d</w:t>
      </w:r>
      <w:r w:rsidR="000B492B" w:rsidRPr="00BB4117">
        <w:t xml:space="preserve"> that the</w:t>
      </w:r>
      <w:r w:rsidR="004149FA" w:rsidRPr="00BB4117">
        <w:t xml:space="preserve"> </w:t>
      </w:r>
      <w:r w:rsidR="003E40AC" w:rsidRPr="00BB4117">
        <w:t>emissions</w:t>
      </w:r>
      <w:r w:rsidR="00666F59" w:rsidRPr="00BB4117">
        <w:t xml:space="preserve"> target</w:t>
      </w:r>
      <w:r w:rsidR="004149FA" w:rsidRPr="00BB4117">
        <w:t xml:space="preserve"> </w:t>
      </w:r>
      <w:r w:rsidR="000348F1" w:rsidRPr="00BB4117">
        <w:t xml:space="preserve">in a legal sense </w:t>
      </w:r>
      <w:r w:rsidR="00C259BE" w:rsidRPr="00BB4117">
        <w:t xml:space="preserve">only </w:t>
      </w:r>
      <w:r w:rsidR="000348F1" w:rsidRPr="00BB4117">
        <w:t>applies</w:t>
      </w:r>
      <w:r w:rsidR="004149FA" w:rsidRPr="00BB4117">
        <w:t xml:space="preserve"> to tail-pipe emissions</w:t>
      </w:r>
      <w:r w:rsidR="00A96390" w:rsidRPr="00BB4117">
        <w:t xml:space="preserve"> and does not include a life cycle perspective</w:t>
      </w:r>
      <w:r w:rsidR="004149FA" w:rsidRPr="00BB4117">
        <w:t xml:space="preserve">. </w:t>
      </w:r>
      <w:r w:rsidR="002C6857" w:rsidRPr="00BB4117">
        <w:t>However, i</w:t>
      </w:r>
      <w:r w:rsidR="004149FA" w:rsidRPr="00BB4117">
        <w:t>t</w:t>
      </w:r>
      <w:r w:rsidR="000348F1" w:rsidRPr="00BB4117">
        <w:t xml:space="preserve"> is still a useful benchmark</w:t>
      </w:r>
      <w:r w:rsidR="004149FA" w:rsidRPr="00BB4117">
        <w:t>.</w:t>
      </w:r>
    </w:p>
    <w:p w:rsidR="00912247" w:rsidRPr="00BB4117" w:rsidRDefault="00B5578F" w:rsidP="00E52C17">
      <w:pPr>
        <w:pStyle w:val="Brdtext"/>
      </w:pPr>
      <w:r w:rsidRPr="00BB4117">
        <w:t xml:space="preserve">The use of </w:t>
      </w:r>
      <w:r w:rsidR="00912247" w:rsidRPr="00BB4117">
        <w:t xml:space="preserve">vehicle </w:t>
      </w:r>
      <w:r w:rsidR="00094C5D" w:rsidRPr="00BB4117">
        <w:t>kilometre</w:t>
      </w:r>
      <w:r w:rsidR="00912247" w:rsidRPr="00BB4117">
        <w:t xml:space="preserve"> as </w:t>
      </w:r>
      <w:r w:rsidRPr="00BB4117">
        <w:t xml:space="preserve">the </w:t>
      </w:r>
      <w:r w:rsidR="00912247" w:rsidRPr="00BB4117">
        <w:t xml:space="preserve">functional unit </w:t>
      </w:r>
      <w:r w:rsidR="00C259BE" w:rsidRPr="00BB4117">
        <w:t xml:space="preserve">facilitates </w:t>
      </w:r>
      <w:r w:rsidR="00912247" w:rsidRPr="00BB4117">
        <w:t>comparisons with combustion vehicles</w:t>
      </w:r>
      <w:r w:rsidR="00C259BE" w:rsidRPr="00BB4117">
        <w:t xml:space="preserve"> and of different battery technologies in the same vehicle</w:t>
      </w:r>
      <w:r w:rsidR="00912247" w:rsidRPr="00BB4117">
        <w:t>. However, it does not facilitate comparisons between different size batteries; smaller batteries</w:t>
      </w:r>
      <w:r w:rsidR="00A873CD" w:rsidRPr="00BB4117">
        <w:t>, e.g. batteries for hybrid vehicles</w:t>
      </w:r>
      <w:r w:rsidR="00912247" w:rsidRPr="00BB4117">
        <w:t xml:space="preserve"> would </w:t>
      </w:r>
      <w:r w:rsidR="00A873CD" w:rsidRPr="00BB4117">
        <w:t>normally</w:t>
      </w:r>
      <w:r w:rsidR="00912247" w:rsidRPr="00BB4117">
        <w:t xml:space="preserve"> have less environmental impact per vehicle </w:t>
      </w:r>
      <w:r w:rsidR="00094C5D" w:rsidRPr="00BB4117">
        <w:t>kilometre</w:t>
      </w:r>
      <w:r w:rsidR="00912247" w:rsidRPr="00BB4117">
        <w:t xml:space="preserve">. For </w:t>
      </w:r>
      <w:r w:rsidR="00C259BE" w:rsidRPr="00BB4117">
        <w:t xml:space="preserve">such </w:t>
      </w:r>
      <w:r w:rsidR="00912247" w:rsidRPr="00BB4117">
        <w:t>comparisons, the functional unit per delivered kWh</w:t>
      </w:r>
      <w:r w:rsidR="001E6A1A" w:rsidRPr="00BB4117">
        <w:t xml:space="preserve"> over the lifetime</w:t>
      </w:r>
      <w:r w:rsidR="00912247" w:rsidRPr="00BB4117">
        <w:t xml:space="preserve"> is more appropriate</w:t>
      </w:r>
      <w:r w:rsidR="00A873CD" w:rsidRPr="00BB4117">
        <w:t>.</w:t>
      </w:r>
    </w:p>
    <w:p w:rsidR="007315C9" w:rsidRPr="00BB4117" w:rsidRDefault="007315C9" w:rsidP="007A4E98">
      <w:pPr>
        <w:pStyle w:val="Rubrik2"/>
        <w:numPr>
          <w:ilvl w:val="0"/>
          <w:numId w:val="43"/>
        </w:numPr>
        <w:rPr>
          <w:lang w:val="en-GB"/>
        </w:rPr>
      </w:pPr>
      <w:bookmarkStart w:id="8" w:name="_Toc197942748"/>
      <w:bookmarkStart w:id="9" w:name="_Toc428370300"/>
      <w:r w:rsidRPr="00BB4117">
        <w:rPr>
          <w:lang w:val="en-GB"/>
        </w:rPr>
        <w:t xml:space="preserve">System </w:t>
      </w:r>
      <w:bookmarkEnd w:id="8"/>
      <w:r w:rsidRPr="00BB4117">
        <w:rPr>
          <w:lang w:val="en-GB"/>
        </w:rPr>
        <w:t>boundary</w:t>
      </w:r>
      <w:r w:rsidR="00346753" w:rsidRPr="00BB4117">
        <w:rPr>
          <w:lang w:val="en-GB"/>
        </w:rPr>
        <w:t xml:space="preserve"> and data</w:t>
      </w:r>
      <w:bookmarkEnd w:id="9"/>
    </w:p>
    <w:p w:rsidR="00E571B6" w:rsidRPr="00BB4117" w:rsidRDefault="00E571B6" w:rsidP="007762D9">
      <w:pPr>
        <w:pStyle w:val="Brdtext"/>
      </w:pPr>
      <w:r w:rsidRPr="00BB4117">
        <w:t xml:space="preserve">The system boundary for the study is shown </w:t>
      </w:r>
      <w:r w:rsidR="00104E48" w:rsidRPr="00BB4117">
        <w:t>in Figure 1</w:t>
      </w:r>
      <w:r w:rsidRPr="00BB4117">
        <w:t xml:space="preserve">. </w:t>
      </w:r>
      <w:r w:rsidR="00666F59" w:rsidRPr="00BB4117">
        <w:t>The</w:t>
      </w:r>
      <w:r w:rsidRPr="00BB4117">
        <w:t xml:space="preserve"> vehicle itself </w:t>
      </w:r>
      <w:r w:rsidR="00BF21DD" w:rsidRPr="00BB4117">
        <w:t xml:space="preserve">is </w:t>
      </w:r>
      <w:r w:rsidRPr="00BB4117">
        <w:t>not present in the system, only the use of the battery cell in the vehicle. In essence</w:t>
      </w:r>
      <w:r w:rsidR="00CC59EC" w:rsidRPr="00BB4117">
        <w:t>,</w:t>
      </w:r>
      <w:r w:rsidRPr="00BB4117">
        <w:t xml:space="preserve"> the study will </w:t>
      </w:r>
      <w:r w:rsidR="00666F59" w:rsidRPr="00BB4117">
        <w:t xml:space="preserve">include </w:t>
      </w:r>
      <w:r w:rsidRPr="00BB4117">
        <w:t>the production phase of the battery cell</w:t>
      </w:r>
      <w:r w:rsidR="00666F59" w:rsidRPr="00BB4117">
        <w:t>,</w:t>
      </w:r>
      <w:r w:rsidRPr="00BB4117">
        <w:t xml:space="preserve"> those use phase losses that can be related to the cell itself and the recycling of the cell materials. </w:t>
      </w:r>
      <w:r w:rsidR="00104E48" w:rsidRPr="00BB4117">
        <w:t>In this study</w:t>
      </w:r>
      <w:r w:rsidR="003E121B" w:rsidRPr="00BB4117">
        <w:t>,</w:t>
      </w:r>
      <w:r w:rsidRPr="00BB4117">
        <w:t xml:space="preserve"> </w:t>
      </w:r>
      <w:r w:rsidR="0052616F" w:rsidRPr="00BB4117">
        <w:t>we address only</w:t>
      </w:r>
      <w:r w:rsidRPr="00BB4117">
        <w:t xml:space="preserve"> the battery cell including its packaging. Electronics, wiring, packaging of modules and battery casing </w:t>
      </w:r>
      <w:r w:rsidR="003E121B" w:rsidRPr="00BB4117">
        <w:t xml:space="preserve">are </w:t>
      </w:r>
      <w:r w:rsidRPr="00BB4117">
        <w:t>not included</w:t>
      </w:r>
      <w:r w:rsidR="003E121B" w:rsidRPr="00BB4117">
        <w:t>,</w:t>
      </w:r>
      <w:r w:rsidRPr="00BB4117">
        <w:t xml:space="preserve"> nor are the other parts of the drive train </w:t>
      </w:r>
      <w:r w:rsidR="003E121B" w:rsidRPr="00BB4117">
        <w:t xml:space="preserve">that </w:t>
      </w:r>
      <w:r w:rsidRPr="00BB4117">
        <w:t xml:space="preserve">deliver </w:t>
      </w:r>
      <w:r w:rsidR="003E121B" w:rsidRPr="00BB4117">
        <w:t xml:space="preserve">power </w:t>
      </w:r>
      <w:r w:rsidRPr="00BB4117">
        <w:t>from plug to wheel: charger</w:t>
      </w:r>
      <w:r w:rsidR="00224005" w:rsidRPr="00BB4117">
        <w:t>, inverter</w:t>
      </w:r>
      <w:r w:rsidR="000348F1" w:rsidRPr="00BB4117">
        <w:t>(s)</w:t>
      </w:r>
      <w:r w:rsidR="00224005" w:rsidRPr="00BB4117">
        <w:t xml:space="preserve"> and mo</w:t>
      </w:r>
      <w:r w:rsidR="00204753" w:rsidRPr="00BB4117">
        <w:t>tor</w:t>
      </w:r>
      <w:r w:rsidR="000348F1" w:rsidRPr="00BB4117">
        <w:t>(s)</w:t>
      </w:r>
      <w:r w:rsidR="00224005" w:rsidRPr="00BB4117">
        <w:t>.</w:t>
      </w:r>
    </w:p>
    <w:p w:rsidR="00C40414" w:rsidRPr="00BB4117" w:rsidRDefault="00C40414" w:rsidP="00B279ED">
      <w:pPr>
        <w:pStyle w:val="Beskrivning"/>
      </w:pPr>
      <w:r w:rsidRPr="00BB4117">
        <w:rPr>
          <w:noProof/>
          <w:lang w:val="sv-SE"/>
        </w:rPr>
        <w:lastRenderedPageBreak/>
        <w:drawing>
          <wp:inline distT="0" distB="0" distL="0" distR="0">
            <wp:extent cx="5039995" cy="3230686"/>
            <wp:effectExtent l="19050" t="0" r="8255" b="0"/>
            <wp:docPr id="4"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5039995" cy="3230686"/>
                    </a:xfrm>
                    <a:prstGeom prst="rect">
                      <a:avLst/>
                    </a:prstGeom>
                    <a:noFill/>
                    <a:ln w="9525">
                      <a:noFill/>
                      <a:miter lim="800000"/>
                      <a:headEnd/>
                      <a:tailEnd/>
                    </a:ln>
                  </pic:spPr>
                </pic:pic>
              </a:graphicData>
            </a:graphic>
          </wp:inline>
        </w:drawing>
      </w:r>
    </w:p>
    <w:p w:rsidR="00B279ED" w:rsidRPr="00BB4117" w:rsidRDefault="00B279ED" w:rsidP="00B279ED">
      <w:pPr>
        <w:pStyle w:val="Beskrivning"/>
      </w:pPr>
      <w:bookmarkStart w:id="10" w:name="_Toc428360858"/>
      <w:r w:rsidRPr="00BB4117">
        <w:t xml:space="preserve">Figure </w:t>
      </w:r>
      <w:r w:rsidR="00524197" w:rsidRPr="00BB4117">
        <w:fldChar w:fldCharType="begin"/>
      </w:r>
      <w:r w:rsidR="004C6C5C" w:rsidRPr="00BB4117">
        <w:instrText xml:space="preserve"> SEQ Figure \* ARABIC </w:instrText>
      </w:r>
      <w:r w:rsidR="00524197" w:rsidRPr="00BB4117">
        <w:fldChar w:fldCharType="separate"/>
      </w:r>
      <w:r w:rsidR="00094C5D">
        <w:rPr>
          <w:noProof/>
        </w:rPr>
        <w:t>1</w:t>
      </w:r>
      <w:r w:rsidR="00524197" w:rsidRPr="00BB4117">
        <w:rPr>
          <w:noProof/>
        </w:rPr>
        <w:fldChar w:fldCharType="end"/>
      </w:r>
      <w:r w:rsidRPr="00BB4117">
        <w:tab/>
      </w:r>
      <w:r w:rsidRPr="00BB4117">
        <w:rPr>
          <w:iCs/>
        </w:rPr>
        <w:t>System boundary</w:t>
      </w:r>
      <w:r w:rsidR="0086317F" w:rsidRPr="00BB4117">
        <w:rPr>
          <w:iCs/>
        </w:rPr>
        <w:t xml:space="preserve"> of the lithium-air cell LCA study</w:t>
      </w:r>
      <w:bookmarkEnd w:id="10"/>
    </w:p>
    <w:p w:rsidR="00B279ED" w:rsidRPr="00BB4117" w:rsidRDefault="00AA72CD" w:rsidP="00AA72CD">
      <w:pPr>
        <w:pStyle w:val="Brdtext"/>
      </w:pPr>
      <w:r w:rsidRPr="00BB4117">
        <w:t xml:space="preserve">STABLE project partners in Spain and Italy provided data (material, energy, emissions) from their laboratories </w:t>
      </w:r>
      <w:r w:rsidR="00281EEB" w:rsidRPr="00BB4117">
        <w:t xml:space="preserve">specific to </w:t>
      </w:r>
      <w:r w:rsidRPr="00BB4117">
        <w:t>the manufacturing of the prototype cell</w:t>
      </w:r>
      <w:r w:rsidR="00666F59" w:rsidRPr="00BB4117">
        <w:t>, which was complemented with fitting background data, e.g. for electricity.</w:t>
      </w:r>
    </w:p>
    <w:p w:rsidR="00E53305" w:rsidRPr="00BB4117" w:rsidRDefault="00B279ED" w:rsidP="00E53305">
      <w:pPr>
        <w:pStyle w:val="Brdtext"/>
      </w:pPr>
      <w:r w:rsidRPr="00BB4117">
        <w:t xml:space="preserve">It should be emphasized that the use phase does not include propulsion related environmental burdens, </w:t>
      </w:r>
      <w:r w:rsidR="00281EEB" w:rsidRPr="00BB4117">
        <w:t>but was limited to</w:t>
      </w:r>
      <w:r w:rsidRPr="00BB4117">
        <w:t xml:space="preserve"> losses that can be attributed to the battery cell. Recycling </w:t>
      </w:r>
      <w:r w:rsidR="00D77EDD" w:rsidRPr="00BB4117">
        <w:t xml:space="preserve">data </w:t>
      </w:r>
      <w:r w:rsidRPr="00BB4117">
        <w:t xml:space="preserve">is </w:t>
      </w:r>
      <w:r w:rsidR="00281EEB" w:rsidRPr="00BB4117">
        <w:t>estimated since reliable</w:t>
      </w:r>
      <w:r w:rsidRPr="00BB4117">
        <w:t xml:space="preserve"> data </w:t>
      </w:r>
      <w:r w:rsidR="00281EEB" w:rsidRPr="00BB4117">
        <w:t xml:space="preserve">on </w:t>
      </w:r>
      <w:r w:rsidRPr="00BB4117">
        <w:t xml:space="preserve">recycling of lithium battery cells are </w:t>
      </w:r>
      <w:r w:rsidR="00281EEB" w:rsidRPr="00BB4117">
        <w:t>exceedingly limited in scope and detail</w:t>
      </w:r>
      <w:r w:rsidRPr="00BB4117">
        <w:t xml:space="preserve">. </w:t>
      </w:r>
    </w:p>
    <w:p w:rsidR="00422BE7" w:rsidRPr="00BB4117" w:rsidRDefault="00D976E2" w:rsidP="00D976E2">
      <w:pPr>
        <w:pStyle w:val="Rubrik2"/>
        <w:numPr>
          <w:ilvl w:val="0"/>
          <w:numId w:val="0"/>
        </w:numPr>
        <w:ind w:left="360"/>
        <w:rPr>
          <w:lang w:val="en-GB"/>
        </w:rPr>
      </w:pPr>
      <w:bookmarkStart w:id="11" w:name="_Toc161025571"/>
      <w:bookmarkStart w:id="12" w:name="_Toc428370301"/>
      <w:bookmarkStart w:id="13" w:name="_Toc197942749"/>
      <w:r w:rsidRPr="00BB4117">
        <w:rPr>
          <w:lang w:val="en-GB"/>
        </w:rPr>
        <w:t>2.3</w:t>
      </w:r>
      <w:r w:rsidRPr="00BB4117">
        <w:rPr>
          <w:lang w:val="en-GB"/>
        </w:rPr>
        <w:tab/>
      </w:r>
      <w:r w:rsidR="00FC13B6" w:rsidRPr="00BB4117">
        <w:rPr>
          <w:lang w:val="en-GB"/>
        </w:rPr>
        <w:t>Life cycle</w:t>
      </w:r>
      <w:r w:rsidR="00422BE7" w:rsidRPr="00BB4117">
        <w:rPr>
          <w:lang w:val="en-GB"/>
        </w:rPr>
        <w:t xml:space="preserve"> impact </w:t>
      </w:r>
      <w:r w:rsidR="00FC13B6" w:rsidRPr="00BB4117">
        <w:rPr>
          <w:lang w:val="en-GB"/>
        </w:rPr>
        <w:t>assessment</w:t>
      </w:r>
      <w:bookmarkEnd w:id="11"/>
      <w:bookmarkEnd w:id="12"/>
    </w:p>
    <w:p w:rsidR="000B4D43" w:rsidRPr="00BB4117" w:rsidRDefault="007D166B" w:rsidP="003454ED">
      <w:pPr>
        <w:pStyle w:val="Brdtext"/>
      </w:pPr>
      <w:r w:rsidRPr="00BB4117">
        <w:t>LCA of traction batteries inevitably leads to comparisons of electric vehicles</w:t>
      </w:r>
      <w:r w:rsidR="00281EEB" w:rsidRPr="00BB4117">
        <w:t xml:space="preserve"> (</w:t>
      </w:r>
      <w:r w:rsidRPr="00BB4117">
        <w:t>EV</w:t>
      </w:r>
      <w:r w:rsidR="00281EEB" w:rsidRPr="00BB4117">
        <w:t>)</w:t>
      </w:r>
      <w:r w:rsidRPr="00BB4117">
        <w:t xml:space="preserve"> </w:t>
      </w:r>
      <w:r w:rsidR="009C3A0C" w:rsidRPr="00BB4117">
        <w:t>with</w:t>
      </w:r>
      <w:r w:rsidRPr="00BB4117">
        <w:t xml:space="preserve"> </w:t>
      </w:r>
      <w:r w:rsidR="0002573F" w:rsidRPr="00BB4117">
        <w:t>I</w:t>
      </w:r>
      <w:r w:rsidRPr="00BB4117">
        <w:t xml:space="preserve">nternal </w:t>
      </w:r>
      <w:r w:rsidR="0002573F" w:rsidRPr="00BB4117">
        <w:t>C</w:t>
      </w:r>
      <w:r w:rsidRPr="00BB4117">
        <w:t xml:space="preserve">ombustion </w:t>
      </w:r>
      <w:r w:rsidR="0002573F" w:rsidRPr="00BB4117">
        <w:t>E</w:t>
      </w:r>
      <w:r w:rsidRPr="00BB4117">
        <w:t xml:space="preserve">ngine </w:t>
      </w:r>
      <w:r w:rsidR="0002573F" w:rsidRPr="00BB4117">
        <w:t>V</w:t>
      </w:r>
      <w:r w:rsidRPr="00BB4117">
        <w:t>ehicles</w:t>
      </w:r>
      <w:r w:rsidR="00281EEB" w:rsidRPr="00BB4117">
        <w:t xml:space="preserve"> (</w:t>
      </w:r>
      <w:r w:rsidRPr="00BB4117">
        <w:t>ICE</w:t>
      </w:r>
      <w:r w:rsidR="006C4C50" w:rsidRPr="00BB4117">
        <w:t>V</w:t>
      </w:r>
      <w:r w:rsidR="00281EEB" w:rsidRPr="00BB4117">
        <w:t>)</w:t>
      </w:r>
      <w:r w:rsidRPr="00BB4117">
        <w:t>. Such LCAs should therefore be</w:t>
      </w:r>
      <w:r w:rsidR="00FE0085" w:rsidRPr="00BB4117">
        <w:t xml:space="preserve"> able</w:t>
      </w:r>
      <w:r w:rsidRPr="00BB4117">
        <w:t xml:space="preserve"> </w:t>
      </w:r>
      <w:r w:rsidR="00281EEB" w:rsidRPr="00BB4117">
        <w:t xml:space="preserve">of assessing </w:t>
      </w:r>
      <w:r w:rsidRPr="00BB4117">
        <w:t>trade</w:t>
      </w:r>
      <w:r w:rsidR="00281EEB" w:rsidRPr="00BB4117">
        <w:t>-</w:t>
      </w:r>
      <w:r w:rsidRPr="00BB4117">
        <w:t xml:space="preserve">offs between tailpipe emissions, material resource use and toxicological impacts. Thus, </w:t>
      </w:r>
      <w:r w:rsidR="00A41D2D" w:rsidRPr="00BB4117">
        <w:t>relevant environmental</w:t>
      </w:r>
      <w:r w:rsidRPr="00BB4117">
        <w:t xml:space="preserve"> impact categories</w:t>
      </w:r>
      <w:r w:rsidR="00A41D2D" w:rsidRPr="00BB4117">
        <w:t xml:space="preserve"> for LCA of vehicles and traction batteries in particular are</w:t>
      </w:r>
      <w:r w:rsidR="00281EEB" w:rsidRPr="00BB4117">
        <w:t>:</w:t>
      </w:r>
      <w:r w:rsidR="00A41D2D" w:rsidRPr="00BB4117">
        <w:t xml:space="preserve"> climate impact, resource depletion and toxicity. </w:t>
      </w:r>
      <w:r w:rsidR="000B4D43" w:rsidRPr="00BB4117">
        <w:t>The methods used to account for</w:t>
      </w:r>
      <w:r w:rsidRPr="00BB4117">
        <w:t xml:space="preserve"> these impact categories in this study are:</w:t>
      </w:r>
      <w:r w:rsidR="000B4D43" w:rsidRPr="00BB4117">
        <w:t xml:space="preserve"> </w:t>
      </w:r>
    </w:p>
    <w:p w:rsidR="003454ED" w:rsidRPr="00BB4117" w:rsidRDefault="003454ED" w:rsidP="005B79FA">
      <w:pPr>
        <w:pStyle w:val="Brdtext"/>
        <w:numPr>
          <w:ilvl w:val="0"/>
          <w:numId w:val="18"/>
        </w:numPr>
      </w:pPr>
      <w:r w:rsidRPr="00BB4117">
        <w:t>Climate impact in accordance with</w:t>
      </w:r>
      <w:r w:rsidR="00531939" w:rsidRPr="00BB4117">
        <w:t xml:space="preserve"> </w:t>
      </w:r>
      <w:r w:rsidR="00524197" w:rsidRPr="00BB4117">
        <w:fldChar w:fldCharType="begin" w:fldLock="1"/>
      </w:r>
      <w:r w:rsidR="00AF2E69" w:rsidRPr="00BB4117">
        <w:instrText>ADDIN CSL_CITATION { "citationItems" : [ { "id" : "ITEM-1", "itemData" : { "author" : [ { "dropping-particle" : "", "family" : "IPCC", "given" : "", "non-dropping-particle" : "", "parse-names" : false, "suffix" : "" } ], "container-title" : "Cambridge University Press", "id" : "ITEM-1", "issued" : { "date-parts" : [ [ "2007" ] ] }, "publisher-place" : "Cambridge", "title" : "Climate Change 2007: Mitigation. Summary for Policymakers. Contribution of Working Group III to the Fourth Assessment Report of the Intergovernmental Panel on Climate Change", "type" : "report" }, "uris" : [ "http://www.mendeley.com/documents/?uuid=05f8f0d8-fbd4-41aa-9806-5307f2fe02c4" ] } ], "mendeley" : { "formattedCitation" : "(IPCC 2007)", "plainTextFormattedCitation" : "(IPCC 2007)", "previouslyFormattedCitation" : "(IPCC 2007)" }, "properties" : { "noteIndex" : 0 }, "schema" : "https://github.com/citation-style-language/schema/raw/master/csl-citation.json" }</w:instrText>
      </w:r>
      <w:r w:rsidR="00524197" w:rsidRPr="00BB4117">
        <w:fldChar w:fldCharType="separate"/>
      </w:r>
      <w:r w:rsidR="00531939" w:rsidRPr="00BB4117">
        <w:rPr>
          <w:noProof/>
        </w:rPr>
        <w:t>(IPCC 2007)</w:t>
      </w:r>
      <w:r w:rsidR="00524197" w:rsidRPr="00BB4117">
        <w:fldChar w:fldCharType="end"/>
      </w:r>
      <w:r w:rsidRPr="00BB4117">
        <w:t>. The unit is climate impact in grams or kilograms of carbon dioxide equivalents, CO</w:t>
      </w:r>
      <w:r w:rsidRPr="00BB4117">
        <w:rPr>
          <w:vertAlign w:val="subscript"/>
        </w:rPr>
        <w:t>2</w:t>
      </w:r>
      <w:r w:rsidRPr="00BB4117">
        <w:t>-eq.</w:t>
      </w:r>
    </w:p>
    <w:p w:rsidR="00A346A1" w:rsidRPr="00BB4117" w:rsidRDefault="00CD5EDD" w:rsidP="005B79FA">
      <w:pPr>
        <w:pStyle w:val="Brdtext"/>
        <w:numPr>
          <w:ilvl w:val="0"/>
          <w:numId w:val="18"/>
        </w:numPr>
      </w:pPr>
      <w:r w:rsidRPr="00BB4117">
        <w:t>Resource depletion, or abiotic resource depletion is calculated with the CML-IA baseline, version 3.02 as</w:t>
      </w:r>
      <w:r w:rsidR="00A346A1" w:rsidRPr="00BB4117">
        <w:t xml:space="preserve"> recommended</w:t>
      </w:r>
      <w:r w:rsidR="00EA1697" w:rsidRPr="00BB4117">
        <w:t xml:space="preserve"> by the ILCD handbook </w:t>
      </w:r>
      <w:r w:rsidR="00524197" w:rsidRPr="00BB4117">
        <w:fldChar w:fldCharType="begin" w:fldLock="1"/>
      </w:r>
      <w:r w:rsidR="00AD7E44" w:rsidRPr="00BB4117">
        <w:instrText>ADDIN CSL_CITATION { "citationItems" : [ { "id" : "ITEM-1", "itemData" : { "author" : [ { "dropping-particle" : "", "family" : "Wolf", "given" : "Marc-Andre", "non-dropping-particle" : "", "parse-names" : false, "suffix" : "" }, { "dropping-particle" : "", "family" : "Pant", "given" : "Rana", "non-dropping-particle" : "", "parse-names" : false, "suffix" : "" } ], "id" : "ITEM-1", "issued" : { "date-parts" : [ [ "2012" ] ] }, "title" : "The International Reference Life Cycle Data System", "type" : "report" }, "uris" : [ "http://www.mendeley.com/documents/?uuid=b0643154-82c3-4599-b607-80cd4ae13cf6" ] } ], "mendeley" : { "formattedCitation" : "(Wolf &amp; Pant 2012)", "plainTextFormattedCitation" : "(Wolf &amp; Pant 2012)", "previouslyFormattedCitation" : "(Wolf &amp; Pant 2012)" }, "properties" : { "noteIndex" : 0 }, "schema" : "https://github.com/citation-style-language/schema/raw/master/csl-citation.json" }</w:instrText>
      </w:r>
      <w:r w:rsidR="00524197" w:rsidRPr="00BB4117">
        <w:fldChar w:fldCharType="separate"/>
      </w:r>
      <w:r w:rsidR="00EA1697" w:rsidRPr="00BB4117">
        <w:rPr>
          <w:noProof/>
        </w:rPr>
        <w:t>(Wolf &amp; Pant 2012)</w:t>
      </w:r>
      <w:r w:rsidR="00524197" w:rsidRPr="00BB4117">
        <w:fldChar w:fldCharType="end"/>
      </w:r>
      <w:r w:rsidR="00A346A1" w:rsidRPr="00BB4117">
        <w:t xml:space="preserve">. </w:t>
      </w:r>
      <w:r w:rsidR="00281EEB" w:rsidRPr="00BB4117">
        <w:t xml:space="preserve">The report is limited to </w:t>
      </w:r>
      <w:r w:rsidR="004B5FA6" w:rsidRPr="00BB4117">
        <w:t xml:space="preserve">depletion of mineral reserves since </w:t>
      </w:r>
      <w:r w:rsidR="00611DCF" w:rsidRPr="00BB4117">
        <w:t xml:space="preserve">the </w:t>
      </w:r>
      <w:r w:rsidR="004B5FA6" w:rsidRPr="00BB4117">
        <w:t>climate impact indicator</w:t>
      </w:r>
      <w:r w:rsidR="00D77EDD" w:rsidRPr="00BB4117">
        <w:t xml:space="preserve"> </w:t>
      </w:r>
      <w:r w:rsidR="00611DCF" w:rsidRPr="00BB4117">
        <w:t xml:space="preserve">is considered to </w:t>
      </w:r>
      <w:r w:rsidR="004B5FA6" w:rsidRPr="00BB4117">
        <w:t>cover</w:t>
      </w:r>
      <w:r w:rsidR="00611DCF" w:rsidRPr="00BB4117">
        <w:t xml:space="preserve"> environmental impacts of</w:t>
      </w:r>
      <w:r w:rsidR="004B5FA6" w:rsidRPr="00BB4117">
        <w:t xml:space="preserve"> fossil fuels.</w:t>
      </w:r>
    </w:p>
    <w:p w:rsidR="00777872" w:rsidRPr="00BB4117" w:rsidRDefault="005B79FA" w:rsidP="005B79FA">
      <w:pPr>
        <w:pStyle w:val="Brdtext"/>
        <w:numPr>
          <w:ilvl w:val="0"/>
          <w:numId w:val="18"/>
        </w:numPr>
      </w:pPr>
      <w:r w:rsidRPr="00BB4117">
        <w:t>Ecot</w:t>
      </w:r>
      <w:r w:rsidR="00757CBE" w:rsidRPr="00BB4117">
        <w:t xml:space="preserve">oxicity </w:t>
      </w:r>
      <w:r w:rsidRPr="00BB4117">
        <w:t>w</w:t>
      </w:r>
      <w:r w:rsidR="00757CBE" w:rsidRPr="00BB4117">
        <w:t xml:space="preserve">as evaluated with the method </w:t>
      </w:r>
      <w:proofErr w:type="spellStart"/>
      <w:r w:rsidR="00757CBE" w:rsidRPr="00BB4117">
        <w:t>USEtox</w:t>
      </w:r>
      <w:proofErr w:type="spellEnd"/>
      <w:r w:rsidR="00757CBE" w:rsidRPr="00BB4117">
        <w:t xml:space="preserve"> (</w:t>
      </w:r>
      <w:proofErr w:type="spellStart"/>
      <w:r w:rsidR="003B0D8F" w:rsidRPr="00BB4117">
        <w:t>recommended+interim</w:t>
      </w:r>
      <w:proofErr w:type="spellEnd"/>
      <w:r w:rsidR="003B0D8F" w:rsidRPr="00BB4117">
        <w:t xml:space="preserve">) 1.04 as </w:t>
      </w:r>
      <w:r w:rsidR="00EA1697" w:rsidRPr="00BB4117">
        <w:t xml:space="preserve">recommended by the ILCD handbook </w:t>
      </w:r>
      <w:r w:rsidR="00524197" w:rsidRPr="00BB4117">
        <w:fldChar w:fldCharType="begin" w:fldLock="1"/>
      </w:r>
      <w:r w:rsidR="00AD7E44" w:rsidRPr="00BB4117">
        <w:instrText>ADDIN CSL_CITATION { "citationItems" : [ { "id" : "ITEM-1", "itemData" : { "author" : [ { "dropping-particle" : "", "family" : "Wolf", "given" : "Marc-Andre", "non-dropping-particle" : "", "parse-names" : false, "suffix" : "" }, { "dropping-particle" : "", "family" : "Pant", "given" : "Rana", "non-dropping-particle" : "", "parse-names" : false, "suffix" : "" } ], "id" : "ITEM-1", "issued" : { "date-parts" : [ [ "2012" ] ] }, "title" : "The International Reference Life Cycle Data System", "type" : "report" }, "uris" : [ "http://www.mendeley.com/documents/?uuid=b0643154-82c3-4599-b607-80cd4ae13cf6" ] } ], "mendeley" : { "formattedCitation" : "(Wolf &amp; Pant 2012)", "plainTextFormattedCitation" : "(Wolf &amp; Pant 2012)", "previouslyFormattedCitation" : "(Wolf &amp; Pant 2012)" }, "properties" : { "noteIndex" : 0 }, "schema" : "https://github.com/citation-style-language/schema/raw/master/csl-citation.json" }</w:instrText>
      </w:r>
      <w:r w:rsidR="00524197" w:rsidRPr="00BB4117">
        <w:fldChar w:fldCharType="separate"/>
      </w:r>
      <w:r w:rsidR="00EA1697" w:rsidRPr="00BB4117">
        <w:rPr>
          <w:noProof/>
        </w:rPr>
        <w:t>(Wolf &amp; Pant 2012)</w:t>
      </w:r>
      <w:r w:rsidR="00524197" w:rsidRPr="00BB4117">
        <w:fldChar w:fldCharType="end"/>
      </w:r>
      <w:r w:rsidR="00EA1697" w:rsidRPr="00BB4117">
        <w:t>.</w:t>
      </w:r>
      <w:r w:rsidR="003B0D8F" w:rsidRPr="00BB4117">
        <w:t xml:space="preserve"> </w:t>
      </w:r>
      <w:r w:rsidR="00757CBE" w:rsidRPr="00BB4117">
        <w:t xml:space="preserve">The characterization factor for </w:t>
      </w:r>
      <w:r w:rsidR="00EB7292" w:rsidRPr="00BB4117">
        <w:t xml:space="preserve">freshwater </w:t>
      </w:r>
      <w:r w:rsidR="00EB7292" w:rsidRPr="00BB4117">
        <w:lastRenderedPageBreak/>
        <w:t>ecotoxicity impacts</w:t>
      </w:r>
      <w:r w:rsidR="00757CBE" w:rsidRPr="00BB4117">
        <w:t xml:space="preserve"> </w:t>
      </w:r>
      <w:r w:rsidR="007813B0" w:rsidRPr="00BB4117">
        <w:t xml:space="preserve">is expressed in </w:t>
      </w:r>
      <w:r w:rsidR="004178DE" w:rsidRPr="00BB4117">
        <w:t>C</w:t>
      </w:r>
      <w:r w:rsidR="007813B0" w:rsidRPr="00BB4117">
        <w:t xml:space="preserve">omparative </w:t>
      </w:r>
      <w:r w:rsidR="004178DE" w:rsidRPr="00BB4117">
        <w:t>T</w:t>
      </w:r>
      <w:r w:rsidR="007813B0" w:rsidRPr="00BB4117">
        <w:t xml:space="preserve">oxic </w:t>
      </w:r>
      <w:r w:rsidR="004178DE" w:rsidRPr="00BB4117">
        <w:t>U</w:t>
      </w:r>
      <w:r w:rsidR="007813B0" w:rsidRPr="00BB4117">
        <w:t>nits (CTUe)</w:t>
      </w:r>
      <w:r w:rsidR="004178DE" w:rsidRPr="00BB4117">
        <w:t>. It</w:t>
      </w:r>
      <w:r w:rsidR="007813B0" w:rsidRPr="00BB4117">
        <w:t xml:space="preserve"> is an estimate of the </w:t>
      </w:r>
      <w:r w:rsidR="004178DE" w:rsidRPr="00BB4117">
        <w:t>P</w:t>
      </w:r>
      <w:r w:rsidR="007813B0" w:rsidRPr="00BB4117">
        <w:t xml:space="preserve">otentially </w:t>
      </w:r>
      <w:r w:rsidR="004178DE" w:rsidRPr="00BB4117">
        <w:t>A</w:t>
      </w:r>
      <w:r w:rsidR="007813B0" w:rsidRPr="00BB4117">
        <w:t xml:space="preserve">ffected </w:t>
      </w:r>
      <w:r w:rsidR="004178DE" w:rsidRPr="00BB4117">
        <w:t>F</w:t>
      </w:r>
      <w:r w:rsidR="007813B0" w:rsidRPr="00BB4117">
        <w:t>raction of species (PAF) integrated over time and volume, per unit mass of a chemical emitted.</w:t>
      </w:r>
    </w:p>
    <w:p w:rsidR="00DD2776" w:rsidRPr="00BB4117" w:rsidRDefault="002F6D01" w:rsidP="002D62FE">
      <w:pPr>
        <w:pStyle w:val="Rubrik1"/>
        <w:rPr>
          <w:lang w:val="en-GB"/>
        </w:rPr>
      </w:pPr>
      <w:bookmarkStart w:id="14" w:name="_Toc428370302"/>
      <w:r w:rsidRPr="00BB4117">
        <w:rPr>
          <w:lang w:val="en-GB"/>
        </w:rPr>
        <w:t>Model</w:t>
      </w:r>
      <w:bookmarkEnd w:id="14"/>
    </w:p>
    <w:p w:rsidR="002F6D01" w:rsidRPr="00BB4117" w:rsidRDefault="002F6D01" w:rsidP="002C680C">
      <w:pPr>
        <w:rPr>
          <w:szCs w:val="24"/>
        </w:rPr>
      </w:pPr>
      <w:r w:rsidRPr="00BB4117">
        <w:t xml:space="preserve">The production phase model is based on the </w:t>
      </w:r>
      <w:r w:rsidR="006A3E8A" w:rsidRPr="00BB4117">
        <w:t>b</w:t>
      </w:r>
      <w:r w:rsidR="005B4FD4" w:rsidRPr="00BB4117">
        <w:t xml:space="preserve">ill </w:t>
      </w:r>
      <w:r w:rsidRPr="00BB4117">
        <w:t xml:space="preserve">of </w:t>
      </w:r>
      <w:r w:rsidR="006A3E8A" w:rsidRPr="00BB4117">
        <w:t>m</w:t>
      </w:r>
      <w:r w:rsidR="005B4FD4" w:rsidRPr="00BB4117">
        <w:t>aterials</w:t>
      </w:r>
      <w:r w:rsidR="00093539" w:rsidRPr="00BB4117">
        <w:t xml:space="preserve"> for the </w:t>
      </w:r>
      <w:r w:rsidR="00953A87" w:rsidRPr="00BB4117">
        <w:t>target</w:t>
      </w:r>
      <w:r w:rsidR="00093539" w:rsidRPr="00BB4117">
        <w:t xml:space="preserve"> prototype</w:t>
      </w:r>
      <w:r w:rsidRPr="00BB4117">
        <w:t>.</w:t>
      </w:r>
      <w:r w:rsidR="00900DE8" w:rsidRPr="00BB4117">
        <w:t xml:space="preserve"> </w:t>
      </w:r>
      <w:r w:rsidR="004178DE" w:rsidRPr="00BB4117">
        <w:rPr>
          <w:szCs w:val="24"/>
        </w:rPr>
        <w:t>A</w:t>
      </w:r>
      <w:r w:rsidR="00B850FE" w:rsidRPr="00BB4117">
        <w:rPr>
          <w:szCs w:val="24"/>
        </w:rPr>
        <w:t>ccording to</w:t>
      </w:r>
      <w:r w:rsidRPr="00BB4117">
        <w:rPr>
          <w:szCs w:val="24"/>
        </w:rPr>
        <w:t xml:space="preserve"> </w:t>
      </w:r>
      <w:r w:rsidR="00524197" w:rsidRPr="00BB4117">
        <w:rPr>
          <w:szCs w:val="24"/>
        </w:rPr>
        <w:fldChar w:fldCharType="begin" w:fldLock="1"/>
      </w:r>
      <w:r w:rsidRPr="00BB4117">
        <w:rPr>
          <w:szCs w:val="24"/>
        </w:rPr>
        <w:instrText>ADDIN CSL_CITATION { "citationItems" : [ { "id" : "ITEM-1", "itemData" : { "author" : [ { "dropping-particle" : "", "family" : "Matheys", "given" : "J", "non-dropping-particle" : "", "parse-names" : false, "suffix" : "" }, { "dropping-particle" : "Van", "family" : "Autenboer", "given" : "W", "non-dropping-particle" : "", "parse-names" : false, "suffix" : "" }, { "dropping-particle" : "Van", "family" : "Mierlo", "given" : "J", "non-dropping-particle" : "", "parse-names" : false, "suffix" : "" } ], "id" : "ITEM-1", "issued" : { "date-parts" : [ [ "2005" ] ] }, "publisher" : "Vrije Universiteit Brussels - ETEC", "title" : "SUBAT: SUSTAINABLE BATTERIES. Work package 5: Overall Assessment. Final Public Report", "type" : "report" }, "uris" : [ "http://www.mendeley.com/documents/?uuid=d52d28c4-9cd5-4c81-8e9d-f3e97dbaa7c3" ] } ], "mendeley" : { "formattedCitation" : "(Matheys et al. 2005)", "plainTextFormattedCitation" : "(Matheys et al. 2005)", "previouslyFormattedCitation" : "(Matheys et al. 2005)" }, "properties" : { "noteIndex" : 0 }, "schema" : "https://github.com/citation-style-language/schema/raw/master/csl-citation.json" }</w:instrText>
      </w:r>
      <w:r w:rsidR="00524197" w:rsidRPr="00BB4117">
        <w:rPr>
          <w:szCs w:val="24"/>
        </w:rPr>
        <w:fldChar w:fldCharType="separate"/>
      </w:r>
      <w:r w:rsidRPr="00BB4117">
        <w:rPr>
          <w:noProof/>
          <w:szCs w:val="24"/>
        </w:rPr>
        <w:t>(Matheys et al. 2005)</w:t>
      </w:r>
      <w:r w:rsidR="00524197" w:rsidRPr="00BB4117">
        <w:rPr>
          <w:szCs w:val="24"/>
        </w:rPr>
        <w:fldChar w:fldCharType="end"/>
      </w:r>
      <w:r w:rsidR="004B4393" w:rsidRPr="00BB4117">
        <w:rPr>
          <w:szCs w:val="24"/>
        </w:rPr>
        <w:t xml:space="preserve"> and </w:t>
      </w:r>
      <w:r w:rsidR="00524197" w:rsidRPr="00BB4117">
        <w:rPr>
          <w:szCs w:val="24"/>
        </w:rPr>
        <w:fldChar w:fldCharType="begin" w:fldLock="1"/>
      </w:r>
      <w:r w:rsidR="0019447B" w:rsidRPr="00BB4117">
        <w:rPr>
          <w:szCs w:val="24"/>
        </w:rPr>
        <w:instrText>ADDIN CSL_CITATION { "citationItems" : [ { "id" : "ITEM-1", "itemData" : { "ISBN" : "0959-6526", "author" : [ { "dropping-particle" : "", "family" : "Zackrisson", "given" : "Mats", "non-dropping-particle" : "", "parse-names" : false, "suffix" : "" }, { "dropping-particle" : "", "family" : "Avell\u00e1n", "given" : "Lars", "non-dropping-particle" : "", "parse-names" : false, "suffix" : "" }, { "dropping-particle" : "", "family" : "Orlenius", "given" : "Jessica", "non-dropping-particle" : "", "parse-names" : false, "suffix" : "" } ], "container-title" : "Journal of Cleaner Production", "id" : "ITEM-1", "issue" : "15", "issued" : { "date-parts" : [ [ "2010" ] ] }, "note" : "doi: DOI: 10.1016/j.jclepro.2010.06.004", "page" : "1517-1527", "title" : "Life cycle assessment of lithium-ion batteries for plug-in hybrid electric vehicles - Critical issues", "type" : "article-journal", "volume" : "18" }, "uris" : [ "http://www.mendeley.com/documents/?uuid=d0e8e808-ce99-41d8-ada5-44dd3db20625" ] } ], "mendeley" : { "formattedCitation" : "(Zackrisson et al. 2010)", "plainTextFormattedCitation" : "(Zackrisson et al. 2010)", "previouslyFormattedCitation" : "(Zackrisson et al. 2010)" }, "properties" : { "noteIndex" : 0 }, "schema" : "https://github.com/citation-style-language/schema/raw/master/csl-citation.json" }</w:instrText>
      </w:r>
      <w:r w:rsidR="00524197" w:rsidRPr="00BB4117">
        <w:rPr>
          <w:szCs w:val="24"/>
        </w:rPr>
        <w:fldChar w:fldCharType="separate"/>
      </w:r>
      <w:r w:rsidR="004B4393" w:rsidRPr="00BB4117">
        <w:rPr>
          <w:noProof/>
          <w:szCs w:val="24"/>
        </w:rPr>
        <w:t>(Zackrisson et al. 2010)</w:t>
      </w:r>
      <w:r w:rsidR="00524197" w:rsidRPr="00BB4117">
        <w:rPr>
          <w:szCs w:val="24"/>
        </w:rPr>
        <w:fldChar w:fldCharType="end"/>
      </w:r>
      <w:r w:rsidR="004178DE" w:rsidRPr="00BB4117">
        <w:rPr>
          <w:szCs w:val="24"/>
        </w:rPr>
        <w:t>, the use of the battery in the car can</w:t>
      </w:r>
      <w:r w:rsidR="00B850FE" w:rsidRPr="00BB4117">
        <w:rPr>
          <w:szCs w:val="24"/>
        </w:rPr>
        <w:t xml:space="preserve"> be </w:t>
      </w:r>
      <w:r w:rsidR="008A425D" w:rsidRPr="00BB4117">
        <w:rPr>
          <w:szCs w:val="24"/>
        </w:rPr>
        <w:t>modelled</w:t>
      </w:r>
      <w:r w:rsidRPr="00BB4117">
        <w:rPr>
          <w:szCs w:val="24"/>
        </w:rPr>
        <w:t xml:space="preserve"> by considering:</w:t>
      </w:r>
    </w:p>
    <w:p w:rsidR="002F6D01" w:rsidRPr="00BB4117" w:rsidRDefault="002F6D01" w:rsidP="002F6D01">
      <w:pPr>
        <w:pStyle w:val="Liststycke"/>
        <w:numPr>
          <w:ilvl w:val="0"/>
          <w:numId w:val="16"/>
        </w:numPr>
        <w:spacing w:line="276" w:lineRule="auto"/>
        <w:ind w:left="714" w:rightChars="258" w:right="619" w:hanging="357"/>
        <w:jc w:val="both"/>
        <w:rPr>
          <w:lang w:val="en-GB"/>
        </w:rPr>
      </w:pPr>
      <w:r w:rsidRPr="00BB4117">
        <w:rPr>
          <w:lang w:val="en-GB"/>
        </w:rPr>
        <w:t xml:space="preserve">The extra </w:t>
      </w:r>
      <w:r w:rsidR="005B4FD4" w:rsidRPr="00BB4117">
        <w:rPr>
          <w:lang w:val="en-GB"/>
        </w:rPr>
        <w:t xml:space="preserve">power </w:t>
      </w:r>
      <w:r w:rsidRPr="00BB4117">
        <w:rPr>
          <w:lang w:val="en-GB"/>
        </w:rPr>
        <w:t xml:space="preserve">needed to carry the </w:t>
      </w:r>
      <w:r w:rsidR="005B4FD4" w:rsidRPr="00BB4117">
        <w:rPr>
          <w:lang w:val="en-GB"/>
        </w:rPr>
        <w:t xml:space="preserve">battery’s </w:t>
      </w:r>
      <w:r w:rsidRPr="00BB4117">
        <w:rPr>
          <w:lang w:val="en-GB"/>
        </w:rPr>
        <w:t xml:space="preserve">weight </w:t>
      </w:r>
    </w:p>
    <w:p w:rsidR="002F6D01" w:rsidRPr="00BB4117" w:rsidRDefault="002F6D01" w:rsidP="002F6D01">
      <w:pPr>
        <w:numPr>
          <w:ilvl w:val="0"/>
          <w:numId w:val="16"/>
        </w:numPr>
        <w:overflowPunct/>
        <w:autoSpaceDE/>
        <w:autoSpaceDN/>
        <w:adjustRightInd/>
        <w:spacing w:line="276" w:lineRule="auto"/>
        <w:ind w:left="714" w:rightChars="258" w:right="619" w:hanging="357"/>
        <w:jc w:val="both"/>
        <w:textAlignment w:val="auto"/>
        <w:rPr>
          <w:szCs w:val="24"/>
        </w:rPr>
      </w:pPr>
      <w:r w:rsidRPr="00BB4117">
        <w:rPr>
          <w:szCs w:val="24"/>
        </w:rPr>
        <w:t xml:space="preserve">Extra </w:t>
      </w:r>
      <w:r w:rsidR="005B4FD4" w:rsidRPr="00BB4117">
        <w:rPr>
          <w:szCs w:val="24"/>
        </w:rPr>
        <w:t xml:space="preserve">electrical energy </w:t>
      </w:r>
      <w:r w:rsidRPr="00BB4117">
        <w:rPr>
          <w:szCs w:val="24"/>
        </w:rPr>
        <w:t xml:space="preserve">needed to cover charge/discharge losses </w:t>
      </w:r>
    </w:p>
    <w:p w:rsidR="00125104" w:rsidRPr="00BB4117" w:rsidRDefault="0075700E" w:rsidP="005E1A61">
      <w:pPr>
        <w:pStyle w:val="Brdtext"/>
        <w:rPr>
          <w:szCs w:val="24"/>
        </w:rPr>
      </w:pPr>
      <w:r w:rsidRPr="00BB4117">
        <w:rPr>
          <w:szCs w:val="24"/>
        </w:rPr>
        <w:t>A</w:t>
      </w:r>
      <w:r w:rsidR="00DD4F26" w:rsidRPr="00BB4117">
        <w:rPr>
          <w:szCs w:val="24"/>
        </w:rPr>
        <w:t xml:space="preserve">ssumptions about car weight and electricity </w:t>
      </w:r>
      <w:r w:rsidR="005D0010" w:rsidRPr="00BB4117">
        <w:rPr>
          <w:szCs w:val="24"/>
        </w:rPr>
        <w:t>use</w:t>
      </w:r>
      <w:r w:rsidR="00DD4F26" w:rsidRPr="00BB4117">
        <w:rPr>
          <w:szCs w:val="24"/>
        </w:rPr>
        <w:t xml:space="preserve"> are needed to model the use phase. </w:t>
      </w:r>
      <w:r w:rsidR="008A425D" w:rsidRPr="00BB4117">
        <w:rPr>
          <w:szCs w:val="24"/>
        </w:rPr>
        <w:t>Modelling</w:t>
      </w:r>
      <w:r w:rsidR="002F6D01" w:rsidRPr="00BB4117">
        <w:rPr>
          <w:szCs w:val="24"/>
        </w:rPr>
        <w:t xml:space="preserve"> of the recycling was based on</w:t>
      </w:r>
      <w:r w:rsidR="00EA63D7" w:rsidRPr="00BB4117">
        <w:rPr>
          <w:szCs w:val="24"/>
        </w:rPr>
        <w:t xml:space="preserve"> a literature survey of lithium battery recycling. </w:t>
      </w:r>
    </w:p>
    <w:p w:rsidR="00263F5C" w:rsidRPr="00BB4117" w:rsidRDefault="00D976E2" w:rsidP="00D976E2">
      <w:pPr>
        <w:pStyle w:val="Rubrik2"/>
        <w:numPr>
          <w:ilvl w:val="0"/>
          <w:numId w:val="0"/>
        </w:numPr>
        <w:ind w:left="360"/>
        <w:rPr>
          <w:lang w:val="en-GB"/>
        </w:rPr>
      </w:pPr>
      <w:bookmarkStart w:id="15" w:name="_Toc428370303"/>
      <w:r w:rsidRPr="00BB4117">
        <w:rPr>
          <w:lang w:val="en-GB"/>
        </w:rPr>
        <w:t>3.1</w:t>
      </w:r>
      <w:r w:rsidRPr="00BB4117">
        <w:rPr>
          <w:lang w:val="en-GB"/>
        </w:rPr>
        <w:tab/>
      </w:r>
      <w:r w:rsidR="007315C9" w:rsidRPr="00BB4117">
        <w:rPr>
          <w:lang w:val="en-GB"/>
        </w:rPr>
        <w:t>Product</w:t>
      </w:r>
      <w:r w:rsidR="00263F5C" w:rsidRPr="00BB4117">
        <w:rPr>
          <w:lang w:val="en-GB"/>
        </w:rPr>
        <w:t>ion phase</w:t>
      </w:r>
      <w:bookmarkEnd w:id="15"/>
    </w:p>
    <w:p w:rsidR="002549EC" w:rsidRPr="00BB4117" w:rsidRDefault="002549EC" w:rsidP="002549EC">
      <w:pPr>
        <w:pStyle w:val="Brdtext"/>
      </w:pPr>
      <w:r w:rsidRPr="00BB4117">
        <w:t xml:space="preserve">The </w:t>
      </w:r>
      <w:r w:rsidR="00D10376" w:rsidRPr="00BB4117">
        <w:t xml:space="preserve">investigated </w:t>
      </w:r>
      <w:r w:rsidR="00BE176D" w:rsidRPr="00BB4117">
        <w:t>STABLE</w:t>
      </w:r>
      <w:r w:rsidRPr="00BB4117">
        <w:t xml:space="preserve"> prototype w</w:t>
      </w:r>
      <w:r w:rsidR="00D10376" w:rsidRPr="00BB4117">
        <w:t>as</w:t>
      </w:r>
      <w:r w:rsidRPr="00BB4117">
        <w:t xml:space="preserve"> manufactured in the laboratories </w:t>
      </w:r>
      <w:r w:rsidR="00672B1E" w:rsidRPr="00BB4117">
        <w:t>of partners</w:t>
      </w:r>
      <w:r w:rsidRPr="00BB4117">
        <w:t xml:space="preserve"> in Spain</w:t>
      </w:r>
      <w:r w:rsidR="00D10376" w:rsidRPr="00BB4117">
        <w:t xml:space="preserve"> and</w:t>
      </w:r>
      <w:r w:rsidRPr="00BB4117">
        <w:t xml:space="preserve"> Italy</w:t>
      </w:r>
      <w:r w:rsidR="00D10376" w:rsidRPr="00BB4117">
        <w:t>.</w:t>
      </w:r>
      <w:r w:rsidRPr="00BB4117">
        <w:t xml:space="preserve"> The </w:t>
      </w:r>
      <w:r w:rsidR="008A425D" w:rsidRPr="00BB4117">
        <w:t>modelling</w:t>
      </w:r>
      <w:r w:rsidRPr="00BB4117">
        <w:t xml:space="preserve"> aims to reflect industrial scale production in Europe.</w:t>
      </w:r>
      <w:r w:rsidR="00353A31" w:rsidRPr="00BB4117">
        <w:t xml:space="preserve"> </w:t>
      </w:r>
    </w:p>
    <w:p w:rsidR="007315C9" w:rsidRPr="00BB4117" w:rsidRDefault="00D976E2" w:rsidP="00480641">
      <w:pPr>
        <w:pStyle w:val="Rubrik3"/>
      </w:pPr>
      <w:bookmarkStart w:id="16" w:name="_Toc428370304"/>
      <w:r w:rsidRPr="00BB4117">
        <w:t>3.1.1</w:t>
      </w:r>
      <w:r w:rsidR="00094F82" w:rsidRPr="00BB4117">
        <w:t xml:space="preserve"> </w:t>
      </w:r>
      <w:r w:rsidR="00263F5C" w:rsidRPr="00BB4117">
        <w:t>Product</w:t>
      </w:r>
      <w:r w:rsidR="007315C9" w:rsidRPr="00BB4117">
        <w:t xml:space="preserve"> specification</w:t>
      </w:r>
      <w:bookmarkEnd w:id="13"/>
      <w:bookmarkEnd w:id="16"/>
    </w:p>
    <w:p w:rsidR="00272AA8" w:rsidRPr="00BB4117" w:rsidRDefault="00272AA8" w:rsidP="008C433A">
      <w:pPr>
        <w:pStyle w:val="Brdtext"/>
      </w:pPr>
      <w:r w:rsidRPr="00BB4117">
        <w:t xml:space="preserve">The </w:t>
      </w:r>
      <w:r w:rsidR="00953A87" w:rsidRPr="00BB4117">
        <w:t>target</w:t>
      </w:r>
      <w:r w:rsidR="00F3210F" w:rsidRPr="00BB4117">
        <w:t xml:space="preserve"> prototype lithium-air cell</w:t>
      </w:r>
      <w:r w:rsidR="00F72861" w:rsidRPr="00BB4117">
        <w:t xml:space="preserve"> system has a controlled gas-flow cell design based on </w:t>
      </w:r>
      <w:r w:rsidR="009C3A0C" w:rsidRPr="00BB4117">
        <w:t>p</w:t>
      </w:r>
      <w:r w:rsidR="00F72861" w:rsidRPr="00BB4117">
        <w:t xml:space="preserve">roton </w:t>
      </w:r>
      <w:r w:rsidR="009C3A0C" w:rsidRPr="00BB4117">
        <w:t>e</w:t>
      </w:r>
      <w:r w:rsidR="00F72861" w:rsidRPr="00BB4117">
        <w:t xml:space="preserve">xchange </w:t>
      </w:r>
      <w:r w:rsidR="009C3A0C" w:rsidRPr="00BB4117">
        <w:t>m</w:t>
      </w:r>
      <w:r w:rsidR="00F72861" w:rsidRPr="00BB4117">
        <w:t xml:space="preserve">embrane </w:t>
      </w:r>
      <w:r w:rsidR="009C3A0C" w:rsidRPr="00BB4117">
        <w:t>f</w:t>
      </w:r>
      <w:r w:rsidR="00F72861" w:rsidRPr="00BB4117">
        <w:t xml:space="preserve">uel </w:t>
      </w:r>
      <w:r w:rsidR="009C3A0C" w:rsidRPr="00BB4117">
        <w:t>c</w:t>
      </w:r>
      <w:r w:rsidR="00F72861" w:rsidRPr="00BB4117">
        <w:t xml:space="preserve">ell configuration. </w:t>
      </w:r>
      <w:r w:rsidRPr="00BB4117">
        <w:t xml:space="preserve">The </w:t>
      </w:r>
      <w:r w:rsidR="006C4C50" w:rsidRPr="00BB4117">
        <w:t xml:space="preserve">design and the </w:t>
      </w:r>
      <w:r w:rsidRPr="00BB4117">
        <w:t>bill of material</w:t>
      </w:r>
      <w:r w:rsidR="002C0E69" w:rsidRPr="00BB4117">
        <w:t>s</w:t>
      </w:r>
      <w:r w:rsidRPr="00BB4117">
        <w:t xml:space="preserve"> </w:t>
      </w:r>
      <w:r w:rsidR="006C4C50" w:rsidRPr="00BB4117">
        <w:t>are shown</w:t>
      </w:r>
      <w:r w:rsidRPr="00BB4117">
        <w:t xml:space="preserve"> in </w:t>
      </w:r>
      <w:r w:rsidR="00524197" w:rsidRPr="00BB4117">
        <w:fldChar w:fldCharType="begin"/>
      </w:r>
      <w:r w:rsidR="004326A1" w:rsidRPr="00BB4117">
        <w:instrText xml:space="preserve"> REF _Ref423681053 \h </w:instrText>
      </w:r>
      <w:r w:rsidR="00524197" w:rsidRPr="00BB4117">
        <w:fldChar w:fldCharType="separate"/>
      </w:r>
      <w:r w:rsidR="00094C5D" w:rsidRPr="00BB4117">
        <w:t xml:space="preserve">Figure </w:t>
      </w:r>
      <w:r w:rsidR="00094C5D">
        <w:rPr>
          <w:noProof/>
        </w:rPr>
        <w:t>2</w:t>
      </w:r>
      <w:r w:rsidR="00524197" w:rsidRPr="00BB4117">
        <w:fldChar w:fldCharType="end"/>
      </w:r>
      <w:r w:rsidR="004326A1" w:rsidRPr="00BB4117">
        <w:t xml:space="preserve"> and </w:t>
      </w:r>
      <w:fldSimple w:instr=" REF _Ref423681090 \h  \* MERGEFORMAT ">
        <w:r w:rsidR="00094C5D" w:rsidRPr="00094C5D">
          <w:t>Table 1</w:t>
        </w:r>
      </w:fldSimple>
      <w:r w:rsidRPr="00BB4117">
        <w:t>.</w:t>
      </w:r>
    </w:p>
    <w:p w:rsidR="000348F1" w:rsidRPr="00BB4117" w:rsidRDefault="000E4ACE" w:rsidP="000348F1">
      <w:pPr>
        <w:pStyle w:val="Brdtext"/>
        <w:keepNext/>
      </w:pPr>
      <w:r w:rsidRPr="00BB4117">
        <w:rPr>
          <w:noProof/>
          <w:lang w:val="sv-SE"/>
        </w:rPr>
        <w:drawing>
          <wp:inline distT="0" distB="0" distL="0" distR="0">
            <wp:extent cx="5817235" cy="3027045"/>
            <wp:effectExtent l="19050" t="0" r="0" b="0"/>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0" cstate="print"/>
                    <a:srcRect/>
                    <a:stretch>
                      <a:fillRect/>
                    </a:stretch>
                  </pic:blipFill>
                  <pic:spPr bwMode="auto">
                    <a:xfrm>
                      <a:off x="0" y="0"/>
                      <a:ext cx="5817235" cy="3027045"/>
                    </a:xfrm>
                    <a:prstGeom prst="rect">
                      <a:avLst/>
                    </a:prstGeom>
                    <a:noFill/>
                    <a:ln w="9525">
                      <a:noFill/>
                      <a:miter lim="800000"/>
                      <a:headEnd/>
                      <a:tailEnd/>
                    </a:ln>
                  </pic:spPr>
                </pic:pic>
              </a:graphicData>
            </a:graphic>
          </wp:inline>
        </w:drawing>
      </w:r>
    </w:p>
    <w:p w:rsidR="000350B7" w:rsidRPr="00BB4117" w:rsidRDefault="000348F1" w:rsidP="000348F1">
      <w:pPr>
        <w:pStyle w:val="Beskrivning"/>
      </w:pPr>
      <w:bookmarkStart w:id="17" w:name="_Ref423681053"/>
      <w:bookmarkStart w:id="18" w:name="_Toc428360859"/>
      <w:r w:rsidRPr="00BB4117">
        <w:t xml:space="preserve">Figure </w:t>
      </w:r>
      <w:r w:rsidR="00524197" w:rsidRPr="00BB4117">
        <w:fldChar w:fldCharType="begin"/>
      </w:r>
      <w:r w:rsidRPr="00BB4117">
        <w:instrText xml:space="preserve"> SEQ Figure \* ARABIC </w:instrText>
      </w:r>
      <w:r w:rsidR="00524197" w:rsidRPr="00BB4117">
        <w:fldChar w:fldCharType="separate"/>
      </w:r>
      <w:r w:rsidR="00094C5D">
        <w:rPr>
          <w:noProof/>
        </w:rPr>
        <w:t>2</w:t>
      </w:r>
      <w:r w:rsidR="00524197" w:rsidRPr="00BB4117">
        <w:fldChar w:fldCharType="end"/>
      </w:r>
      <w:bookmarkEnd w:id="17"/>
      <w:r w:rsidRPr="00BB4117">
        <w:tab/>
      </w:r>
      <w:r w:rsidR="00953A87" w:rsidRPr="00BB4117">
        <w:t>Target p</w:t>
      </w:r>
      <w:r w:rsidRPr="00BB4117">
        <w:t xml:space="preserve">rototype </w:t>
      </w:r>
      <w:r w:rsidR="00EB0A05" w:rsidRPr="00BB4117">
        <w:t>lithium-air</w:t>
      </w:r>
      <w:r w:rsidRPr="00BB4117">
        <w:t xml:space="preserve"> cell</w:t>
      </w:r>
      <w:bookmarkEnd w:id="18"/>
    </w:p>
    <w:p w:rsidR="00272AA8" w:rsidRPr="00BB4117" w:rsidRDefault="00D96298" w:rsidP="000348F1">
      <w:pPr>
        <w:pStyle w:val="Brdtext"/>
        <w:spacing w:after="240"/>
      </w:pPr>
      <w:r w:rsidRPr="00BB4117">
        <w:t xml:space="preserve">The prototype in Figure 2 </w:t>
      </w:r>
      <w:r w:rsidR="005B4FD4" w:rsidRPr="00BB4117">
        <w:t>uses an</w:t>
      </w:r>
      <w:r w:rsidRPr="00BB4117">
        <w:t xml:space="preserve"> oversized housing in</w:t>
      </w:r>
      <w:r w:rsidR="00272AA8" w:rsidRPr="00BB4117">
        <w:t xml:space="preserve"> stainless steel </w:t>
      </w:r>
      <w:r w:rsidRPr="00BB4117">
        <w:t>which was</w:t>
      </w:r>
      <w:r w:rsidR="00272AA8" w:rsidRPr="00BB4117">
        <w:t xml:space="preserve"> disregarded in the calculations and replaced by a </w:t>
      </w:r>
      <w:r w:rsidR="005B4FD4" w:rsidRPr="00BB4117">
        <w:t xml:space="preserve">fictitious </w:t>
      </w:r>
      <w:r w:rsidR="00272AA8" w:rsidRPr="00BB4117">
        <w:t xml:space="preserve">housing in polypropylene weighing 15% of the cell components </w:t>
      </w:r>
      <w:r w:rsidR="002C0E69" w:rsidRPr="00BB4117">
        <w:t>(</w:t>
      </w:r>
      <w:r w:rsidR="00272AA8" w:rsidRPr="00BB4117">
        <w:t>see table below</w:t>
      </w:r>
      <w:r w:rsidR="002C0E69" w:rsidRPr="00BB4117">
        <w:t>)</w:t>
      </w:r>
      <w:r w:rsidR="00272AA8" w:rsidRPr="00BB4117">
        <w:t>.</w:t>
      </w:r>
    </w:p>
    <w:p w:rsidR="00332948" w:rsidRPr="00BB4117" w:rsidRDefault="00332948" w:rsidP="00401985">
      <w:pPr>
        <w:keepNext/>
        <w:rPr>
          <w:i/>
        </w:rPr>
      </w:pPr>
      <w:bookmarkStart w:id="19" w:name="_Ref423681090"/>
      <w:bookmarkStart w:id="20" w:name="_Toc428370272"/>
      <w:r w:rsidRPr="00BB4117">
        <w:rPr>
          <w:i/>
        </w:rPr>
        <w:lastRenderedPageBreak/>
        <w:t xml:space="preserve">Table </w:t>
      </w:r>
      <w:r w:rsidR="00524197" w:rsidRPr="00BB4117">
        <w:rPr>
          <w:i/>
        </w:rPr>
        <w:fldChar w:fldCharType="begin"/>
      </w:r>
      <w:r w:rsidRPr="00BB4117">
        <w:rPr>
          <w:i/>
        </w:rPr>
        <w:instrText xml:space="preserve"> SEQ Table \* ARABIC </w:instrText>
      </w:r>
      <w:r w:rsidR="00524197" w:rsidRPr="00BB4117">
        <w:rPr>
          <w:i/>
        </w:rPr>
        <w:fldChar w:fldCharType="separate"/>
      </w:r>
      <w:r w:rsidR="00094C5D">
        <w:rPr>
          <w:i/>
          <w:noProof/>
        </w:rPr>
        <w:t>1</w:t>
      </w:r>
      <w:r w:rsidR="00524197" w:rsidRPr="00BB4117">
        <w:rPr>
          <w:i/>
        </w:rPr>
        <w:fldChar w:fldCharType="end"/>
      </w:r>
      <w:bookmarkEnd w:id="19"/>
      <w:r w:rsidRPr="00BB4117">
        <w:tab/>
      </w:r>
      <w:r w:rsidRPr="00BB4117">
        <w:rPr>
          <w:i/>
        </w:rPr>
        <w:t xml:space="preserve">Materials content of </w:t>
      </w:r>
      <w:r w:rsidR="00EB0A05" w:rsidRPr="00BB4117">
        <w:rPr>
          <w:i/>
        </w:rPr>
        <w:t>lithium-air</w:t>
      </w:r>
      <w:r w:rsidRPr="00BB4117">
        <w:rPr>
          <w:i/>
        </w:rPr>
        <w:t xml:space="preserve"> cell</w:t>
      </w:r>
      <w:bookmarkEnd w:id="20"/>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453"/>
        <w:gridCol w:w="1191"/>
        <w:gridCol w:w="3509"/>
      </w:tblGrid>
      <w:tr w:rsidR="00757EA7" w:rsidRPr="00BB4117" w:rsidTr="00C10917">
        <w:trPr>
          <w:tblHeader/>
        </w:trPr>
        <w:tc>
          <w:tcPr>
            <w:tcW w:w="0" w:type="auto"/>
          </w:tcPr>
          <w:p w:rsidR="00757EA7" w:rsidRPr="00BB4117" w:rsidRDefault="00757EA7" w:rsidP="00C10917">
            <w:pPr>
              <w:pStyle w:val="Brdtext"/>
              <w:keepNext/>
              <w:spacing w:before="0" w:after="0"/>
              <w:rPr>
                <w:rFonts w:ascii="Arial" w:hAnsi="Arial" w:cs="Arial"/>
                <w:b/>
                <w:sz w:val="22"/>
              </w:rPr>
            </w:pPr>
            <w:r w:rsidRPr="00BB4117">
              <w:rPr>
                <w:rFonts w:ascii="Arial" w:hAnsi="Arial" w:cs="Arial"/>
                <w:b/>
                <w:sz w:val="22"/>
              </w:rPr>
              <w:t>Component and material</w:t>
            </w:r>
          </w:p>
        </w:tc>
        <w:tc>
          <w:tcPr>
            <w:tcW w:w="1191" w:type="dxa"/>
          </w:tcPr>
          <w:p w:rsidR="00757EA7" w:rsidRPr="00BB4117" w:rsidRDefault="00757EA7" w:rsidP="00C10917">
            <w:pPr>
              <w:pStyle w:val="Brdtext"/>
              <w:keepNext/>
              <w:spacing w:before="0" w:after="0"/>
              <w:rPr>
                <w:rFonts w:ascii="Arial" w:hAnsi="Arial" w:cs="Arial"/>
                <w:b/>
                <w:sz w:val="22"/>
              </w:rPr>
            </w:pPr>
            <w:r w:rsidRPr="00BB4117">
              <w:rPr>
                <w:rFonts w:ascii="Arial" w:hAnsi="Arial" w:cs="Arial"/>
                <w:b/>
                <w:sz w:val="22"/>
              </w:rPr>
              <w:t>Mass (g)</w:t>
            </w:r>
          </w:p>
        </w:tc>
        <w:tc>
          <w:tcPr>
            <w:tcW w:w="3509" w:type="dxa"/>
          </w:tcPr>
          <w:p w:rsidR="00757EA7" w:rsidRPr="00BB4117" w:rsidRDefault="00757EA7" w:rsidP="00C10917">
            <w:pPr>
              <w:pStyle w:val="Brdtext"/>
              <w:keepNext/>
              <w:spacing w:before="0" w:after="0"/>
              <w:rPr>
                <w:rFonts w:ascii="Arial" w:hAnsi="Arial" w:cs="Arial"/>
                <w:b/>
                <w:sz w:val="22"/>
              </w:rPr>
            </w:pPr>
            <w:r w:rsidRPr="00BB4117">
              <w:rPr>
                <w:rFonts w:ascii="Arial" w:hAnsi="Arial" w:cs="Arial"/>
                <w:b/>
                <w:sz w:val="22"/>
              </w:rPr>
              <w:t>Comment</w:t>
            </w:r>
          </w:p>
        </w:tc>
      </w:tr>
      <w:tr w:rsidR="00757EA7" w:rsidRPr="00BB4117" w:rsidTr="00C10917">
        <w:tc>
          <w:tcPr>
            <w:tcW w:w="0" w:type="auto"/>
          </w:tcPr>
          <w:p w:rsidR="00757EA7" w:rsidRPr="00BB4117" w:rsidRDefault="00757EA7" w:rsidP="00DA0716">
            <w:pPr>
              <w:pStyle w:val="Brdtext"/>
              <w:keepNext/>
              <w:spacing w:before="0" w:after="0"/>
              <w:rPr>
                <w:rFonts w:ascii="Arial" w:hAnsi="Arial" w:cs="Arial"/>
                <w:sz w:val="22"/>
              </w:rPr>
            </w:pPr>
            <w:r w:rsidRPr="00BB4117">
              <w:rPr>
                <w:rFonts w:ascii="Arial" w:hAnsi="Arial" w:cs="Arial"/>
                <w:sz w:val="22"/>
              </w:rPr>
              <w:t>Electrolyte LiC</w:t>
            </w:r>
            <w:r w:rsidR="00DA0716" w:rsidRPr="00BB4117">
              <w:rPr>
                <w:rFonts w:ascii="Arial" w:hAnsi="Arial" w:cs="Arial"/>
                <w:sz w:val="22"/>
              </w:rPr>
              <w:t>l</w:t>
            </w:r>
            <w:r w:rsidRPr="00BB4117">
              <w:rPr>
                <w:rFonts w:ascii="Arial" w:hAnsi="Arial" w:cs="Arial"/>
                <w:sz w:val="22"/>
              </w:rPr>
              <w:t>O</w:t>
            </w:r>
            <w:r w:rsidRPr="00BB4117">
              <w:rPr>
                <w:rFonts w:ascii="Arial" w:hAnsi="Arial" w:cs="Arial"/>
                <w:sz w:val="22"/>
                <w:vertAlign w:val="subscript"/>
              </w:rPr>
              <w:t>4</w:t>
            </w:r>
            <w:r w:rsidRPr="00BB4117">
              <w:rPr>
                <w:rFonts w:ascii="Arial" w:hAnsi="Arial" w:cs="Arial"/>
                <w:sz w:val="22"/>
              </w:rPr>
              <w:t xml:space="preserve"> </w:t>
            </w:r>
            <w:r w:rsidR="006E4B6D" w:rsidRPr="00BB4117">
              <w:rPr>
                <w:rFonts w:ascii="Arial" w:hAnsi="Arial" w:cs="Arial"/>
                <w:sz w:val="22"/>
              </w:rPr>
              <w:t xml:space="preserve">in </w:t>
            </w:r>
            <w:r w:rsidRPr="00BB4117">
              <w:rPr>
                <w:rFonts w:ascii="Arial" w:hAnsi="Arial" w:cs="Arial"/>
                <w:sz w:val="22"/>
              </w:rPr>
              <w:t>TEGDME</w:t>
            </w:r>
          </w:p>
        </w:tc>
        <w:tc>
          <w:tcPr>
            <w:tcW w:w="1191" w:type="dxa"/>
          </w:tcPr>
          <w:p w:rsidR="00757EA7" w:rsidRPr="00BB4117" w:rsidRDefault="00757EA7" w:rsidP="00C10917">
            <w:pPr>
              <w:pStyle w:val="Brdtext"/>
              <w:keepNext/>
              <w:spacing w:before="0" w:after="0"/>
              <w:rPr>
                <w:rFonts w:ascii="Arial" w:hAnsi="Arial" w:cs="Arial"/>
                <w:sz w:val="22"/>
              </w:rPr>
            </w:pPr>
            <w:r w:rsidRPr="00BB4117">
              <w:rPr>
                <w:rFonts w:ascii="Arial" w:hAnsi="Arial" w:cs="Arial"/>
                <w:sz w:val="22"/>
              </w:rPr>
              <w:t>8</w:t>
            </w:r>
            <w:r w:rsidR="00A07725" w:rsidRPr="00BB4117">
              <w:rPr>
                <w:rFonts w:ascii="Arial" w:hAnsi="Arial" w:cs="Arial"/>
                <w:sz w:val="22"/>
              </w:rPr>
              <w:t>.</w:t>
            </w:r>
            <w:r w:rsidRPr="00BB4117">
              <w:rPr>
                <w:rFonts w:ascii="Arial" w:hAnsi="Arial" w:cs="Arial"/>
                <w:sz w:val="22"/>
              </w:rPr>
              <w:t>902</w:t>
            </w:r>
          </w:p>
        </w:tc>
        <w:tc>
          <w:tcPr>
            <w:tcW w:w="3509" w:type="dxa"/>
          </w:tcPr>
          <w:p w:rsidR="00757EA7" w:rsidRPr="00BB4117" w:rsidRDefault="00F848EC" w:rsidP="00C10917">
            <w:pPr>
              <w:pStyle w:val="Brdtext"/>
              <w:keepNext/>
              <w:spacing w:before="0" w:after="0"/>
              <w:rPr>
                <w:rFonts w:ascii="Arial" w:hAnsi="Arial" w:cs="Arial"/>
                <w:sz w:val="22"/>
              </w:rPr>
            </w:pPr>
            <w:r w:rsidRPr="00BB4117">
              <w:rPr>
                <w:rFonts w:ascii="Arial" w:hAnsi="Arial" w:cs="Arial"/>
                <w:sz w:val="22"/>
              </w:rPr>
              <w:t>-</w:t>
            </w:r>
          </w:p>
        </w:tc>
      </w:tr>
      <w:tr w:rsidR="00757EA7" w:rsidRPr="00BB4117" w:rsidTr="00C10917">
        <w:tc>
          <w:tcPr>
            <w:tcW w:w="0" w:type="auto"/>
          </w:tcPr>
          <w:p w:rsidR="00757EA7" w:rsidRPr="00BB4117" w:rsidRDefault="00757EA7" w:rsidP="00C10917">
            <w:pPr>
              <w:pStyle w:val="Brdtext"/>
              <w:keepNext/>
              <w:spacing w:before="0" w:after="0"/>
              <w:rPr>
                <w:rFonts w:ascii="Arial" w:hAnsi="Arial" w:cs="Arial"/>
                <w:sz w:val="22"/>
              </w:rPr>
            </w:pPr>
            <w:r w:rsidRPr="00BB4117">
              <w:rPr>
                <w:rFonts w:ascii="Arial" w:hAnsi="Arial" w:cs="Arial"/>
                <w:sz w:val="22"/>
              </w:rPr>
              <w:t>Lithium foil</w:t>
            </w:r>
          </w:p>
        </w:tc>
        <w:tc>
          <w:tcPr>
            <w:tcW w:w="1191" w:type="dxa"/>
          </w:tcPr>
          <w:p w:rsidR="00757EA7" w:rsidRPr="00BB4117" w:rsidRDefault="00757EA7" w:rsidP="00C10917">
            <w:pPr>
              <w:pStyle w:val="Brdtext"/>
              <w:keepNext/>
              <w:spacing w:before="0" w:after="0"/>
              <w:rPr>
                <w:rFonts w:ascii="Arial" w:hAnsi="Arial" w:cs="Arial"/>
                <w:sz w:val="22"/>
              </w:rPr>
            </w:pPr>
            <w:r w:rsidRPr="00BB4117">
              <w:rPr>
                <w:rFonts w:ascii="Arial" w:hAnsi="Arial" w:cs="Arial"/>
                <w:sz w:val="22"/>
              </w:rPr>
              <w:t>0</w:t>
            </w:r>
            <w:r w:rsidR="00A07725" w:rsidRPr="00BB4117">
              <w:rPr>
                <w:rFonts w:ascii="Arial" w:hAnsi="Arial" w:cs="Arial"/>
                <w:sz w:val="22"/>
              </w:rPr>
              <w:t>.</w:t>
            </w:r>
            <w:r w:rsidRPr="00BB4117">
              <w:rPr>
                <w:rFonts w:ascii="Arial" w:hAnsi="Arial" w:cs="Arial"/>
                <w:sz w:val="22"/>
              </w:rPr>
              <w:t>67</w:t>
            </w:r>
          </w:p>
        </w:tc>
        <w:tc>
          <w:tcPr>
            <w:tcW w:w="3509" w:type="dxa"/>
          </w:tcPr>
          <w:p w:rsidR="00757EA7" w:rsidRPr="00BB4117" w:rsidRDefault="00270444" w:rsidP="00270444">
            <w:pPr>
              <w:pStyle w:val="Brdtext"/>
              <w:keepNext/>
              <w:spacing w:before="0" w:after="0"/>
              <w:rPr>
                <w:rFonts w:ascii="Arial" w:hAnsi="Arial" w:cs="Arial"/>
                <w:sz w:val="22"/>
              </w:rPr>
            </w:pPr>
            <w:r w:rsidRPr="00BB4117">
              <w:rPr>
                <w:rFonts w:ascii="Arial" w:hAnsi="Arial" w:cs="Arial"/>
                <w:sz w:val="22"/>
              </w:rPr>
              <w:t>Without hydrophobic coating or surface treatment</w:t>
            </w:r>
          </w:p>
        </w:tc>
      </w:tr>
      <w:tr w:rsidR="00757EA7" w:rsidRPr="00BB4117" w:rsidTr="00C10917">
        <w:tc>
          <w:tcPr>
            <w:tcW w:w="0" w:type="auto"/>
          </w:tcPr>
          <w:p w:rsidR="00757EA7" w:rsidRPr="00BB4117" w:rsidRDefault="00757EA7" w:rsidP="00C10917">
            <w:pPr>
              <w:pStyle w:val="Brdtext"/>
              <w:keepNext/>
              <w:spacing w:before="0" w:after="0"/>
              <w:rPr>
                <w:rFonts w:ascii="Arial" w:hAnsi="Arial" w:cs="Arial"/>
                <w:sz w:val="22"/>
              </w:rPr>
            </w:pPr>
            <w:r w:rsidRPr="00BB4117">
              <w:rPr>
                <w:rFonts w:ascii="Arial" w:hAnsi="Arial" w:cs="Arial"/>
                <w:sz w:val="22"/>
              </w:rPr>
              <w:t>Separator (Celgard), polypropylene</w:t>
            </w:r>
          </w:p>
        </w:tc>
        <w:tc>
          <w:tcPr>
            <w:tcW w:w="1191" w:type="dxa"/>
          </w:tcPr>
          <w:p w:rsidR="00757EA7" w:rsidRPr="00BB4117" w:rsidRDefault="00757EA7" w:rsidP="00C10917">
            <w:pPr>
              <w:pStyle w:val="Brdtext"/>
              <w:keepNext/>
              <w:spacing w:before="0" w:after="0"/>
              <w:rPr>
                <w:rFonts w:ascii="Arial" w:hAnsi="Arial" w:cs="Arial"/>
                <w:sz w:val="22"/>
              </w:rPr>
            </w:pPr>
            <w:r w:rsidRPr="00BB4117">
              <w:rPr>
                <w:rFonts w:ascii="Arial" w:hAnsi="Arial" w:cs="Arial"/>
                <w:sz w:val="22"/>
              </w:rPr>
              <w:t>0</w:t>
            </w:r>
            <w:r w:rsidR="00A07725" w:rsidRPr="00BB4117">
              <w:rPr>
                <w:rFonts w:ascii="Arial" w:hAnsi="Arial" w:cs="Arial"/>
                <w:sz w:val="22"/>
              </w:rPr>
              <w:t>.</w:t>
            </w:r>
            <w:r w:rsidRPr="00BB4117">
              <w:rPr>
                <w:rFonts w:ascii="Arial" w:hAnsi="Arial" w:cs="Arial"/>
                <w:sz w:val="22"/>
              </w:rPr>
              <w:t>144</w:t>
            </w:r>
          </w:p>
        </w:tc>
        <w:tc>
          <w:tcPr>
            <w:tcW w:w="3509" w:type="dxa"/>
          </w:tcPr>
          <w:p w:rsidR="00757EA7" w:rsidRPr="00BB4117" w:rsidRDefault="00F848EC" w:rsidP="00C10917">
            <w:pPr>
              <w:pStyle w:val="Brdtext"/>
              <w:keepNext/>
              <w:spacing w:before="0" w:after="0"/>
              <w:rPr>
                <w:rFonts w:ascii="Arial" w:hAnsi="Arial" w:cs="Arial"/>
                <w:sz w:val="22"/>
              </w:rPr>
            </w:pPr>
            <w:r w:rsidRPr="00BB4117">
              <w:rPr>
                <w:rFonts w:ascii="Arial" w:hAnsi="Arial" w:cs="Arial"/>
                <w:sz w:val="22"/>
              </w:rPr>
              <w:t>-</w:t>
            </w:r>
          </w:p>
        </w:tc>
      </w:tr>
      <w:tr w:rsidR="00757EA7" w:rsidRPr="00BB4117" w:rsidTr="00C10917">
        <w:tc>
          <w:tcPr>
            <w:tcW w:w="0" w:type="auto"/>
          </w:tcPr>
          <w:p w:rsidR="00757EA7" w:rsidRPr="00BB4117" w:rsidRDefault="00757EA7" w:rsidP="005731CE">
            <w:pPr>
              <w:pStyle w:val="Brdtext"/>
              <w:keepNext/>
              <w:spacing w:before="0" w:after="0"/>
              <w:rPr>
                <w:rFonts w:ascii="Arial" w:hAnsi="Arial" w:cs="Arial"/>
                <w:sz w:val="22"/>
              </w:rPr>
            </w:pPr>
            <w:r w:rsidRPr="00BB4117">
              <w:rPr>
                <w:rFonts w:ascii="Arial" w:hAnsi="Arial" w:cs="Arial"/>
                <w:sz w:val="22"/>
              </w:rPr>
              <w:t>Tab in copper</w:t>
            </w:r>
          </w:p>
        </w:tc>
        <w:tc>
          <w:tcPr>
            <w:tcW w:w="1191" w:type="dxa"/>
          </w:tcPr>
          <w:p w:rsidR="00757EA7" w:rsidRPr="00BB4117" w:rsidRDefault="00757EA7" w:rsidP="00C10917">
            <w:pPr>
              <w:pStyle w:val="Brdtext"/>
              <w:keepNext/>
              <w:spacing w:before="0" w:after="0"/>
              <w:rPr>
                <w:rFonts w:ascii="Arial" w:hAnsi="Arial" w:cs="Arial"/>
                <w:sz w:val="22"/>
              </w:rPr>
            </w:pPr>
            <w:r w:rsidRPr="00BB4117">
              <w:rPr>
                <w:rFonts w:ascii="Arial" w:hAnsi="Arial" w:cs="Arial"/>
                <w:sz w:val="22"/>
              </w:rPr>
              <w:t>1</w:t>
            </w:r>
            <w:r w:rsidR="00A07725" w:rsidRPr="00BB4117">
              <w:rPr>
                <w:rFonts w:ascii="Arial" w:hAnsi="Arial" w:cs="Arial"/>
                <w:sz w:val="22"/>
              </w:rPr>
              <w:t>.</w:t>
            </w:r>
            <w:r w:rsidRPr="00BB4117">
              <w:rPr>
                <w:rFonts w:ascii="Arial" w:hAnsi="Arial" w:cs="Arial"/>
                <w:sz w:val="22"/>
              </w:rPr>
              <w:t>537</w:t>
            </w:r>
          </w:p>
        </w:tc>
        <w:tc>
          <w:tcPr>
            <w:tcW w:w="3509" w:type="dxa"/>
          </w:tcPr>
          <w:p w:rsidR="00757EA7" w:rsidRPr="00BB4117" w:rsidRDefault="00F848EC" w:rsidP="00C10917">
            <w:pPr>
              <w:pStyle w:val="Brdtext"/>
              <w:keepNext/>
              <w:spacing w:before="0" w:after="0"/>
              <w:rPr>
                <w:rFonts w:ascii="Arial" w:hAnsi="Arial" w:cs="Arial"/>
                <w:sz w:val="22"/>
              </w:rPr>
            </w:pPr>
            <w:r w:rsidRPr="00BB4117">
              <w:rPr>
                <w:rFonts w:ascii="Arial" w:hAnsi="Arial" w:cs="Arial"/>
                <w:sz w:val="22"/>
              </w:rPr>
              <w:t>-</w:t>
            </w:r>
          </w:p>
        </w:tc>
      </w:tr>
      <w:tr w:rsidR="00757EA7" w:rsidRPr="00BB4117" w:rsidTr="00C10917">
        <w:tc>
          <w:tcPr>
            <w:tcW w:w="0" w:type="auto"/>
          </w:tcPr>
          <w:p w:rsidR="00757EA7" w:rsidRPr="00BB4117" w:rsidRDefault="00757EA7" w:rsidP="00C10917">
            <w:pPr>
              <w:pStyle w:val="Brdtext"/>
              <w:keepNext/>
              <w:spacing w:before="0" w:after="0"/>
              <w:rPr>
                <w:rFonts w:ascii="Arial" w:hAnsi="Arial" w:cs="Arial"/>
                <w:sz w:val="22"/>
              </w:rPr>
            </w:pPr>
            <w:r w:rsidRPr="00BB4117">
              <w:rPr>
                <w:rFonts w:ascii="Arial" w:hAnsi="Arial" w:cs="Arial"/>
                <w:sz w:val="22"/>
              </w:rPr>
              <w:t>Cathode (GDL+Co</w:t>
            </w:r>
            <w:r w:rsidRPr="00BB4117">
              <w:rPr>
                <w:rFonts w:ascii="Arial" w:hAnsi="Arial" w:cs="Arial"/>
                <w:sz w:val="22"/>
                <w:vertAlign w:val="subscript"/>
              </w:rPr>
              <w:t>2</w:t>
            </w:r>
            <w:r w:rsidRPr="00BB4117">
              <w:rPr>
                <w:rFonts w:ascii="Arial" w:hAnsi="Arial" w:cs="Arial"/>
                <w:sz w:val="22"/>
              </w:rPr>
              <w:t>O</w:t>
            </w:r>
            <w:r w:rsidRPr="00BB4117">
              <w:rPr>
                <w:rFonts w:ascii="Arial" w:hAnsi="Arial" w:cs="Arial"/>
                <w:sz w:val="22"/>
                <w:vertAlign w:val="subscript"/>
              </w:rPr>
              <w:t>3</w:t>
            </w:r>
            <w:r w:rsidRPr="00BB4117">
              <w:rPr>
                <w:rFonts w:ascii="Arial" w:hAnsi="Arial" w:cs="Arial"/>
                <w:sz w:val="22"/>
              </w:rPr>
              <w:t>/CNT)</w:t>
            </w:r>
          </w:p>
        </w:tc>
        <w:tc>
          <w:tcPr>
            <w:tcW w:w="1191" w:type="dxa"/>
          </w:tcPr>
          <w:p w:rsidR="00757EA7" w:rsidRPr="00BB4117" w:rsidRDefault="00757EA7" w:rsidP="00C10917">
            <w:pPr>
              <w:pStyle w:val="Brdtext"/>
              <w:keepNext/>
              <w:spacing w:before="0" w:after="0"/>
              <w:rPr>
                <w:rFonts w:ascii="Arial" w:hAnsi="Arial" w:cs="Arial"/>
                <w:sz w:val="22"/>
              </w:rPr>
            </w:pPr>
            <w:r w:rsidRPr="00BB4117">
              <w:rPr>
                <w:rFonts w:ascii="Arial" w:hAnsi="Arial" w:cs="Arial"/>
                <w:sz w:val="22"/>
              </w:rPr>
              <w:t>0</w:t>
            </w:r>
            <w:r w:rsidR="00A07725" w:rsidRPr="00BB4117">
              <w:rPr>
                <w:rFonts w:ascii="Arial" w:hAnsi="Arial" w:cs="Arial"/>
                <w:sz w:val="22"/>
              </w:rPr>
              <w:t>.</w:t>
            </w:r>
            <w:r w:rsidRPr="00BB4117">
              <w:rPr>
                <w:rFonts w:ascii="Arial" w:hAnsi="Arial" w:cs="Arial"/>
                <w:sz w:val="22"/>
              </w:rPr>
              <w:t>307</w:t>
            </w:r>
          </w:p>
        </w:tc>
        <w:tc>
          <w:tcPr>
            <w:tcW w:w="3509" w:type="dxa"/>
          </w:tcPr>
          <w:p w:rsidR="00757EA7" w:rsidRPr="00BB4117" w:rsidRDefault="00757EA7" w:rsidP="00C10917">
            <w:pPr>
              <w:pStyle w:val="Brdtext"/>
              <w:keepNext/>
              <w:spacing w:before="0" w:after="0"/>
              <w:rPr>
                <w:rFonts w:ascii="Arial" w:hAnsi="Arial" w:cs="Arial"/>
                <w:sz w:val="22"/>
              </w:rPr>
            </w:pPr>
            <w:r w:rsidRPr="00BB4117">
              <w:rPr>
                <w:rFonts w:ascii="Arial" w:hAnsi="Arial" w:cs="Arial"/>
                <w:sz w:val="22"/>
              </w:rPr>
              <w:t>Laboratory scale manufacturing of cathode</w:t>
            </w:r>
          </w:p>
        </w:tc>
      </w:tr>
      <w:tr w:rsidR="00757EA7" w:rsidRPr="00BB4117" w:rsidTr="00C10917">
        <w:tc>
          <w:tcPr>
            <w:tcW w:w="0" w:type="auto"/>
          </w:tcPr>
          <w:p w:rsidR="00757EA7" w:rsidRPr="00BB4117" w:rsidRDefault="00757EA7" w:rsidP="00C10917">
            <w:pPr>
              <w:pStyle w:val="Brdtext"/>
              <w:keepNext/>
              <w:spacing w:before="0" w:after="0"/>
              <w:rPr>
                <w:rFonts w:ascii="Arial" w:hAnsi="Arial" w:cs="Arial"/>
                <w:sz w:val="22"/>
              </w:rPr>
            </w:pPr>
            <w:r w:rsidRPr="00BB4117">
              <w:rPr>
                <w:rFonts w:ascii="Arial" w:hAnsi="Arial" w:cs="Arial"/>
                <w:sz w:val="22"/>
              </w:rPr>
              <w:t>Sealing gasket, polyester and silicone</w:t>
            </w:r>
          </w:p>
        </w:tc>
        <w:tc>
          <w:tcPr>
            <w:tcW w:w="1191" w:type="dxa"/>
          </w:tcPr>
          <w:p w:rsidR="00757EA7" w:rsidRPr="00BB4117" w:rsidRDefault="00757EA7" w:rsidP="00C10917">
            <w:pPr>
              <w:pStyle w:val="Brdtext"/>
              <w:keepNext/>
              <w:spacing w:before="0" w:after="0"/>
              <w:rPr>
                <w:rFonts w:ascii="Arial" w:hAnsi="Arial" w:cs="Arial"/>
                <w:sz w:val="22"/>
              </w:rPr>
            </w:pPr>
            <w:r w:rsidRPr="00BB4117">
              <w:rPr>
                <w:rFonts w:ascii="Arial" w:hAnsi="Arial" w:cs="Arial"/>
                <w:sz w:val="22"/>
              </w:rPr>
              <w:t>2</w:t>
            </w:r>
            <w:r w:rsidR="00A07725" w:rsidRPr="00BB4117">
              <w:rPr>
                <w:rFonts w:ascii="Arial" w:hAnsi="Arial" w:cs="Arial"/>
                <w:sz w:val="22"/>
              </w:rPr>
              <w:t>.</w:t>
            </w:r>
            <w:r w:rsidRPr="00BB4117">
              <w:rPr>
                <w:rFonts w:ascii="Arial" w:hAnsi="Arial" w:cs="Arial"/>
                <w:sz w:val="22"/>
              </w:rPr>
              <w:t>87</w:t>
            </w:r>
          </w:p>
        </w:tc>
        <w:tc>
          <w:tcPr>
            <w:tcW w:w="3509" w:type="dxa"/>
          </w:tcPr>
          <w:p w:rsidR="00757EA7" w:rsidRPr="00BB4117" w:rsidRDefault="00F848EC" w:rsidP="00C10917">
            <w:pPr>
              <w:pStyle w:val="Brdtext"/>
              <w:keepNext/>
              <w:spacing w:before="0" w:after="0"/>
              <w:rPr>
                <w:rFonts w:ascii="Arial" w:hAnsi="Arial" w:cs="Arial"/>
                <w:sz w:val="22"/>
              </w:rPr>
            </w:pPr>
            <w:r w:rsidRPr="00BB4117">
              <w:rPr>
                <w:rFonts w:ascii="Arial" w:hAnsi="Arial" w:cs="Arial"/>
                <w:sz w:val="22"/>
              </w:rPr>
              <w:t>-</w:t>
            </w:r>
          </w:p>
        </w:tc>
      </w:tr>
      <w:tr w:rsidR="00757EA7" w:rsidRPr="00BB4117" w:rsidTr="00C10917">
        <w:tc>
          <w:tcPr>
            <w:tcW w:w="0" w:type="auto"/>
          </w:tcPr>
          <w:p w:rsidR="00757EA7" w:rsidRPr="00BB4117" w:rsidRDefault="00757EA7" w:rsidP="00C10917">
            <w:pPr>
              <w:pStyle w:val="Brdtext"/>
              <w:keepNext/>
              <w:spacing w:before="0" w:after="0"/>
              <w:rPr>
                <w:rFonts w:ascii="Arial" w:hAnsi="Arial" w:cs="Arial"/>
                <w:sz w:val="22"/>
              </w:rPr>
            </w:pPr>
            <w:r w:rsidRPr="00BB4117">
              <w:rPr>
                <w:rFonts w:ascii="Arial" w:hAnsi="Arial" w:cs="Arial"/>
                <w:sz w:val="22"/>
              </w:rPr>
              <w:t>Housing, polypropylene</w:t>
            </w:r>
          </w:p>
        </w:tc>
        <w:tc>
          <w:tcPr>
            <w:tcW w:w="1191" w:type="dxa"/>
          </w:tcPr>
          <w:p w:rsidR="00757EA7" w:rsidRPr="00BB4117" w:rsidRDefault="00757EA7" w:rsidP="00C10917">
            <w:pPr>
              <w:pStyle w:val="Brdtext"/>
              <w:keepNext/>
              <w:spacing w:before="0" w:after="0"/>
              <w:rPr>
                <w:rFonts w:ascii="Arial" w:hAnsi="Arial" w:cs="Arial"/>
                <w:sz w:val="22"/>
              </w:rPr>
            </w:pPr>
            <w:r w:rsidRPr="00BB4117">
              <w:rPr>
                <w:rFonts w:ascii="Arial" w:hAnsi="Arial" w:cs="Arial"/>
                <w:sz w:val="22"/>
              </w:rPr>
              <w:t>2</w:t>
            </w:r>
          </w:p>
        </w:tc>
        <w:tc>
          <w:tcPr>
            <w:tcW w:w="3509" w:type="dxa"/>
          </w:tcPr>
          <w:p w:rsidR="00757EA7" w:rsidRPr="00BB4117" w:rsidRDefault="00F05945" w:rsidP="00055012">
            <w:pPr>
              <w:pStyle w:val="Brdtext"/>
              <w:keepNext/>
              <w:spacing w:before="0" w:after="0"/>
              <w:rPr>
                <w:rFonts w:ascii="Arial" w:hAnsi="Arial" w:cs="Arial"/>
                <w:sz w:val="22"/>
              </w:rPr>
            </w:pPr>
            <w:r w:rsidRPr="00BB4117">
              <w:rPr>
                <w:rFonts w:ascii="Arial" w:hAnsi="Arial" w:cs="Arial"/>
                <w:sz w:val="22"/>
              </w:rPr>
              <w:t xml:space="preserve">Assumed to be 15% of </w:t>
            </w:r>
            <w:r w:rsidR="00055012" w:rsidRPr="00BB4117">
              <w:rPr>
                <w:rFonts w:ascii="Arial" w:hAnsi="Arial" w:cs="Arial"/>
                <w:sz w:val="22"/>
              </w:rPr>
              <w:t>cell components</w:t>
            </w:r>
          </w:p>
        </w:tc>
      </w:tr>
      <w:tr w:rsidR="00757EA7" w:rsidRPr="00BB4117" w:rsidTr="00C10917">
        <w:tc>
          <w:tcPr>
            <w:tcW w:w="0" w:type="auto"/>
          </w:tcPr>
          <w:p w:rsidR="00757EA7" w:rsidRPr="00BB4117" w:rsidRDefault="00F05945" w:rsidP="00C10917">
            <w:pPr>
              <w:pStyle w:val="Brdtext"/>
              <w:keepNext/>
              <w:spacing w:before="0" w:after="0"/>
              <w:rPr>
                <w:rFonts w:ascii="Arial" w:hAnsi="Arial" w:cs="Arial"/>
                <w:b/>
                <w:sz w:val="22"/>
              </w:rPr>
            </w:pPr>
            <w:r w:rsidRPr="00BB4117">
              <w:rPr>
                <w:rFonts w:ascii="Arial" w:hAnsi="Arial" w:cs="Arial"/>
                <w:b/>
                <w:sz w:val="22"/>
              </w:rPr>
              <w:t>Total mass of cell</w:t>
            </w:r>
          </w:p>
        </w:tc>
        <w:tc>
          <w:tcPr>
            <w:tcW w:w="1191" w:type="dxa"/>
          </w:tcPr>
          <w:p w:rsidR="00757EA7" w:rsidRPr="00BB4117" w:rsidRDefault="00F05945" w:rsidP="00C10917">
            <w:pPr>
              <w:pStyle w:val="Brdtext"/>
              <w:keepNext/>
              <w:spacing w:before="0" w:after="0"/>
              <w:rPr>
                <w:rFonts w:ascii="Arial" w:hAnsi="Arial" w:cs="Arial"/>
                <w:b/>
                <w:sz w:val="22"/>
              </w:rPr>
            </w:pPr>
            <w:r w:rsidRPr="00BB4117">
              <w:rPr>
                <w:rFonts w:ascii="Arial" w:hAnsi="Arial" w:cs="Arial"/>
                <w:b/>
                <w:sz w:val="22"/>
              </w:rPr>
              <w:t>16</w:t>
            </w:r>
            <w:r w:rsidR="00A07725" w:rsidRPr="00BB4117">
              <w:rPr>
                <w:rFonts w:ascii="Arial" w:hAnsi="Arial" w:cs="Arial"/>
                <w:b/>
                <w:sz w:val="22"/>
              </w:rPr>
              <w:t>.</w:t>
            </w:r>
            <w:r w:rsidRPr="00BB4117">
              <w:rPr>
                <w:rFonts w:ascii="Arial" w:hAnsi="Arial" w:cs="Arial"/>
                <w:b/>
                <w:sz w:val="22"/>
              </w:rPr>
              <w:t>4</w:t>
            </w:r>
          </w:p>
        </w:tc>
        <w:tc>
          <w:tcPr>
            <w:tcW w:w="3509" w:type="dxa"/>
          </w:tcPr>
          <w:p w:rsidR="00757EA7" w:rsidRPr="00BB4117" w:rsidRDefault="00F848EC" w:rsidP="00C10917">
            <w:pPr>
              <w:pStyle w:val="Brdtext"/>
              <w:keepNext/>
              <w:spacing w:before="0" w:after="0"/>
              <w:rPr>
                <w:rFonts w:ascii="Arial" w:hAnsi="Arial" w:cs="Arial"/>
                <w:sz w:val="22"/>
              </w:rPr>
            </w:pPr>
            <w:r w:rsidRPr="00BB4117">
              <w:rPr>
                <w:rFonts w:ascii="Arial" w:hAnsi="Arial" w:cs="Arial"/>
                <w:sz w:val="22"/>
              </w:rPr>
              <w:t>-</w:t>
            </w:r>
          </w:p>
        </w:tc>
      </w:tr>
    </w:tbl>
    <w:p w:rsidR="001B24C0" w:rsidRPr="00BB4117" w:rsidRDefault="001B24C0" w:rsidP="001B24C0">
      <w:pPr>
        <w:pStyle w:val="Brdtext"/>
      </w:pPr>
      <w:r w:rsidRPr="00BB4117">
        <w:t>An overview</w:t>
      </w:r>
      <w:r w:rsidR="0064792B" w:rsidRPr="00BB4117">
        <w:t xml:space="preserve"> of the cell component </w:t>
      </w:r>
      <w:r w:rsidR="00BF2C90" w:rsidRPr="00BB4117">
        <w:t>modelling</w:t>
      </w:r>
      <w:r w:rsidRPr="00BB4117">
        <w:t xml:space="preserve"> is presented in Table 2</w:t>
      </w:r>
      <w:r w:rsidR="0064792B" w:rsidRPr="00BB4117">
        <w:t>, along with the climate impact per kg of each component/material</w:t>
      </w:r>
      <w:r w:rsidRPr="00BB4117">
        <w:t xml:space="preserve">. As a rule, commercial materials </w:t>
      </w:r>
      <w:r w:rsidR="0064792B" w:rsidRPr="00BB4117">
        <w:t>were</w:t>
      </w:r>
      <w:r w:rsidRPr="00BB4117">
        <w:t xml:space="preserve"> </w:t>
      </w:r>
      <w:r w:rsidR="00BF2C90" w:rsidRPr="00BB4117">
        <w:t>modelled</w:t>
      </w:r>
      <w:r w:rsidRPr="00BB4117">
        <w:t xml:space="preserve"> with average European electricity mix. Parts made in the laboratories of the </w:t>
      </w:r>
      <w:r w:rsidR="00BE176D" w:rsidRPr="00BB4117">
        <w:t>STABLE</w:t>
      </w:r>
      <w:r w:rsidRPr="00BB4117">
        <w:t xml:space="preserve"> partners </w:t>
      </w:r>
      <w:r w:rsidR="0064792B" w:rsidRPr="00BB4117">
        <w:t>were</w:t>
      </w:r>
      <w:r w:rsidRPr="00BB4117">
        <w:t xml:space="preserve"> </w:t>
      </w:r>
      <w:r w:rsidR="00BF2C90" w:rsidRPr="00BB4117">
        <w:t>modelled</w:t>
      </w:r>
      <w:r w:rsidRPr="00BB4117">
        <w:t xml:space="preserve"> with the specific electricity mix of the country where the laboratory is situated.</w:t>
      </w:r>
    </w:p>
    <w:p w:rsidR="001B24C0" w:rsidRPr="00BB4117" w:rsidRDefault="001B24C0" w:rsidP="001B24C0">
      <w:pPr>
        <w:pStyle w:val="Beskrivning"/>
      </w:pPr>
      <w:bookmarkStart w:id="21" w:name="_Toc428370273"/>
      <w:r w:rsidRPr="00BB4117">
        <w:lastRenderedPageBreak/>
        <w:t xml:space="preserve">Table </w:t>
      </w:r>
      <w:r w:rsidR="00524197" w:rsidRPr="00BB4117">
        <w:fldChar w:fldCharType="begin"/>
      </w:r>
      <w:r w:rsidR="004C6C5C" w:rsidRPr="00BB4117">
        <w:instrText xml:space="preserve"> SEQ Table \* ARABIC </w:instrText>
      </w:r>
      <w:r w:rsidR="00524197" w:rsidRPr="00BB4117">
        <w:fldChar w:fldCharType="separate"/>
      </w:r>
      <w:r w:rsidR="00094C5D">
        <w:rPr>
          <w:noProof/>
        </w:rPr>
        <w:t>2</w:t>
      </w:r>
      <w:r w:rsidR="00524197" w:rsidRPr="00BB4117">
        <w:rPr>
          <w:noProof/>
        </w:rPr>
        <w:fldChar w:fldCharType="end"/>
      </w:r>
      <w:r w:rsidRPr="00BB4117">
        <w:tab/>
        <w:t>Overview of LCA model of lithium-air cell production</w:t>
      </w:r>
      <w:bookmarkEnd w:id="21"/>
    </w:p>
    <w:tbl>
      <w:tblPr>
        <w:tblW w:w="84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526"/>
        <w:gridCol w:w="5386"/>
        <w:gridCol w:w="1560"/>
      </w:tblGrid>
      <w:tr w:rsidR="00CC1D7C" w:rsidRPr="00BB4117" w:rsidTr="0052724A">
        <w:trPr>
          <w:tblHeader/>
        </w:trPr>
        <w:tc>
          <w:tcPr>
            <w:tcW w:w="1526" w:type="dxa"/>
          </w:tcPr>
          <w:p w:rsidR="00B265DF" w:rsidRPr="00BB4117" w:rsidRDefault="00B265DF" w:rsidP="003324BB">
            <w:pPr>
              <w:pStyle w:val="Brdtext"/>
              <w:keepNext/>
              <w:spacing w:before="0" w:after="0"/>
              <w:rPr>
                <w:rFonts w:ascii="Arial" w:hAnsi="Arial" w:cs="Arial"/>
                <w:b/>
                <w:sz w:val="18"/>
                <w:szCs w:val="18"/>
              </w:rPr>
            </w:pPr>
            <w:r w:rsidRPr="00BB4117">
              <w:rPr>
                <w:rFonts w:ascii="Arial" w:hAnsi="Arial" w:cs="Arial"/>
                <w:b/>
                <w:sz w:val="18"/>
                <w:szCs w:val="18"/>
              </w:rPr>
              <w:t>Component and material</w:t>
            </w:r>
          </w:p>
        </w:tc>
        <w:tc>
          <w:tcPr>
            <w:tcW w:w="5386" w:type="dxa"/>
          </w:tcPr>
          <w:p w:rsidR="00B265DF" w:rsidRPr="00BB4117" w:rsidRDefault="00B265DF" w:rsidP="003324BB">
            <w:pPr>
              <w:pStyle w:val="Brdtext"/>
              <w:keepNext/>
              <w:spacing w:before="0" w:after="0"/>
              <w:rPr>
                <w:rFonts w:ascii="Arial" w:hAnsi="Arial" w:cs="Arial"/>
                <w:b/>
                <w:sz w:val="18"/>
                <w:szCs w:val="18"/>
              </w:rPr>
            </w:pPr>
            <w:r w:rsidRPr="00BB4117">
              <w:rPr>
                <w:rFonts w:ascii="Arial" w:hAnsi="Arial" w:cs="Arial"/>
                <w:b/>
                <w:sz w:val="18"/>
                <w:szCs w:val="18"/>
              </w:rPr>
              <w:t>Modelled by LCA processes</w:t>
            </w:r>
          </w:p>
        </w:tc>
        <w:tc>
          <w:tcPr>
            <w:tcW w:w="1560" w:type="dxa"/>
          </w:tcPr>
          <w:p w:rsidR="00B265DF" w:rsidRPr="00BB4117" w:rsidRDefault="00B265DF" w:rsidP="003324BB">
            <w:pPr>
              <w:pStyle w:val="Brdtext"/>
              <w:keepNext/>
              <w:spacing w:before="0" w:after="0"/>
              <w:rPr>
                <w:rFonts w:ascii="Arial" w:hAnsi="Arial" w:cs="Arial"/>
                <w:sz w:val="18"/>
                <w:szCs w:val="18"/>
              </w:rPr>
            </w:pPr>
            <w:r w:rsidRPr="00BB4117">
              <w:rPr>
                <w:rFonts w:ascii="Arial" w:hAnsi="Arial" w:cs="Arial"/>
                <w:b/>
                <w:sz w:val="18"/>
                <w:szCs w:val="18"/>
              </w:rPr>
              <w:t>Climate impact</w:t>
            </w:r>
            <w:r w:rsidR="0052724A" w:rsidRPr="00BB4117">
              <w:rPr>
                <w:rFonts w:ascii="Arial" w:hAnsi="Arial" w:cs="Arial"/>
                <w:b/>
                <w:sz w:val="18"/>
                <w:szCs w:val="18"/>
              </w:rPr>
              <w:t xml:space="preserve"> </w:t>
            </w:r>
            <w:r w:rsidRPr="00BB4117">
              <w:rPr>
                <w:rFonts w:ascii="Arial" w:hAnsi="Arial" w:cs="Arial"/>
                <w:sz w:val="18"/>
                <w:szCs w:val="18"/>
              </w:rPr>
              <w:t>(kg CO</w:t>
            </w:r>
            <w:r w:rsidRPr="00BB4117">
              <w:rPr>
                <w:rFonts w:ascii="Arial" w:hAnsi="Arial" w:cs="Arial"/>
                <w:sz w:val="18"/>
                <w:szCs w:val="18"/>
                <w:vertAlign w:val="subscript"/>
              </w:rPr>
              <w:t>2</w:t>
            </w:r>
            <w:r w:rsidRPr="00BB4117">
              <w:rPr>
                <w:rFonts w:ascii="Arial" w:hAnsi="Arial" w:cs="Arial"/>
                <w:sz w:val="18"/>
                <w:szCs w:val="18"/>
              </w:rPr>
              <w:t>-eq/kg)</w:t>
            </w:r>
          </w:p>
        </w:tc>
      </w:tr>
      <w:tr w:rsidR="00CC1D7C" w:rsidRPr="00BB4117" w:rsidTr="003324BB">
        <w:trPr>
          <w:trHeight w:val="1494"/>
        </w:trPr>
        <w:tc>
          <w:tcPr>
            <w:tcW w:w="1526" w:type="dxa"/>
          </w:tcPr>
          <w:p w:rsidR="00B265DF" w:rsidRPr="00BB4117" w:rsidRDefault="00B265DF" w:rsidP="002C0E69">
            <w:pPr>
              <w:pStyle w:val="Brdtext"/>
              <w:keepNext/>
              <w:spacing w:before="0" w:after="0"/>
              <w:rPr>
                <w:rFonts w:ascii="Arial" w:hAnsi="Arial" w:cs="Arial"/>
                <w:sz w:val="18"/>
                <w:szCs w:val="18"/>
              </w:rPr>
            </w:pPr>
            <w:r w:rsidRPr="00BB4117">
              <w:rPr>
                <w:rFonts w:ascii="Arial" w:hAnsi="Arial" w:cs="Arial"/>
                <w:sz w:val="18"/>
                <w:szCs w:val="18"/>
              </w:rPr>
              <w:t>Electrolyte LiC</w:t>
            </w:r>
            <w:r w:rsidR="002C0E69" w:rsidRPr="00BB4117">
              <w:rPr>
                <w:rFonts w:ascii="Arial" w:hAnsi="Arial" w:cs="Arial"/>
                <w:sz w:val="18"/>
                <w:szCs w:val="18"/>
              </w:rPr>
              <w:t>l</w:t>
            </w:r>
            <w:r w:rsidRPr="00BB4117">
              <w:rPr>
                <w:rFonts w:ascii="Arial" w:hAnsi="Arial" w:cs="Arial"/>
                <w:sz w:val="18"/>
                <w:szCs w:val="18"/>
              </w:rPr>
              <w:t>O</w:t>
            </w:r>
            <w:r w:rsidRPr="00BB4117">
              <w:rPr>
                <w:rFonts w:ascii="Arial" w:hAnsi="Arial" w:cs="Arial"/>
                <w:sz w:val="18"/>
                <w:szCs w:val="18"/>
                <w:vertAlign w:val="subscript"/>
              </w:rPr>
              <w:t>4</w:t>
            </w:r>
            <w:r w:rsidRPr="00BB4117">
              <w:rPr>
                <w:rFonts w:ascii="Arial" w:hAnsi="Arial" w:cs="Arial"/>
                <w:sz w:val="18"/>
                <w:szCs w:val="18"/>
              </w:rPr>
              <w:t xml:space="preserve"> </w:t>
            </w:r>
            <w:r w:rsidR="00F848EC" w:rsidRPr="00BB4117">
              <w:rPr>
                <w:rFonts w:ascii="Arial" w:hAnsi="Arial" w:cs="Arial"/>
                <w:sz w:val="18"/>
                <w:szCs w:val="18"/>
              </w:rPr>
              <w:t xml:space="preserve">in </w:t>
            </w:r>
            <w:r w:rsidRPr="00BB4117">
              <w:rPr>
                <w:rFonts w:ascii="Arial" w:hAnsi="Arial" w:cs="Arial"/>
                <w:sz w:val="18"/>
                <w:szCs w:val="18"/>
              </w:rPr>
              <w:t>TEGDME</w:t>
            </w:r>
          </w:p>
        </w:tc>
        <w:tc>
          <w:tcPr>
            <w:tcW w:w="5386" w:type="dxa"/>
          </w:tcPr>
          <w:p w:rsidR="00B265DF" w:rsidRPr="00BB4117" w:rsidRDefault="00B265DF" w:rsidP="003324BB">
            <w:pPr>
              <w:pStyle w:val="Brdtext"/>
              <w:keepNext/>
              <w:spacing w:before="0" w:after="0"/>
              <w:rPr>
                <w:rFonts w:ascii="Arial" w:hAnsi="Arial" w:cs="Arial"/>
                <w:sz w:val="18"/>
                <w:szCs w:val="18"/>
              </w:rPr>
            </w:pPr>
            <w:r w:rsidRPr="00BB4117">
              <w:rPr>
                <w:rFonts w:ascii="Arial" w:hAnsi="Arial" w:cs="Arial"/>
                <w:sz w:val="18"/>
                <w:szCs w:val="18"/>
              </w:rPr>
              <w:t xml:space="preserve">Tetra ethylene glycol </w:t>
            </w:r>
            <w:proofErr w:type="spellStart"/>
            <w:r w:rsidRPr="00BB4117">
              <w:rPr>
                <w:rFonts w:ascii="Arial" w:hAnsi="Arial" w:cs="Arial"/>
                <w:sz w:val="18"/>
                <w:szCs w:val="18"/>
              </w:rPr>
              <w:t>dimethyl</w:t>
            </w:r>
            <w:proofErr w:type="spellEnd"/>
            <w:r w:rsidRPr="00BB4117">
              <w:rPr>
                <w:rFonts w:ascii="Arial" w:hAnsi="Arial" w:cs="Arial"/>
                <w:sz w:val="18"/>
                <w:szCs w:val="18"/>
              </w:rPr>
              <w:t xml:space="preserve"> ether (TEGDME), at plant/RER System</w:t>
            </w:r>
          </w:p>
          <w:p w:rsidR="00B265DF" w:rsidRPr="00BB4117" w:rsidRDefault="00B265DF" w:rsidP="003324BB">
            <w:pPr>
              <w:pStyle w:val="Brdtext"/>
              <w:keepNext/>
              <w:spacing w:before="0" w:after="0"/>
              <w:rPr>
                <w:rFonts w:ascii="Arial" w:hAnsi="Arial" w:cs="Arial"/>
                <w:sz w:val="18"/>
                <w:szCs w:val="18"/>
              </w:rPr>
            </w:pPr>
            <w:r w:rsidRPr="00BB4117">
              <w:rPr>
                <w:rFonts w:ascii="Arial" w:hAnsi="Arial" w:cs="Arial"/>
                <w:sz w:val="18"/>
                <w:szCs w:val="18"/>
              </w:rPr>
              <w:t>Electricity, medium voltage, production UCTE, at grid/UCTE S</w:t>
            </w:r>
          </w:p>
          <w:p w:rsidR="00B265DF" w:rsidRPr="00BB4117" w:rsidRDefault="00B265DF" w:rsidP="003324BB">
            <w:pPr>
              <w:pStyle w:val="Brdtext"/>
              <w:keepNext/>
              <w:spacing w:before="0" w:after="0"/>
              <w:rPr>
                <w:rFonts w:ascii="Arial" w:hAnsi="Arial" w:cs="Arial"/>
                <w:sz w:val="18"/>
                <w:szCs w:val="18"/>
              </w:rPr>
            </w:pPr>
            <w:r w:rsidRPr="00BB4117">
              <w:rPr>
                <w:rFonts w:ascii="Arial" w:hAnsi="Arial" w:cs="Arial"/>
                <w:sz w:val="18"/>
                <w:szCs w:val="18"/>
              </w:rPr>
              <w:t>LiClO4</w:t>
            </w:r>
          </w:p>
          <w:p w:rsidR="00B265DF" w:rsidRPr="00BB4117" w:rsidRDefault="00B265DF" w:rsidP="003324BB">
            <w:pPr>
              <w:pStyle w:val="Brdtext"/>
              <w:keepNext/>
              <w:numPr>
                <w:ilvl w:val="0"/>
                <w:numId w:val="35"/>
              </w:numPr>
              <w:spacing w:before="0" w:after="0"/>
              <w:ind w:left="344" w:hanging="283"/>
              <w:rPr>
                <w:rFonts w:ascii="Arial" w:hAnsi="Arial" w:cs="Arial"/>
                <w:sz w:val="18"/>
                <w:szCs w:val="18"/>
              </w:rPr>
            </w:pPr>
            <w:r w:rsidRPr="00BB4117">
              <w:rPr>
                <w:rFonts w:ascii="Arial" w:hAnsi="Arial" w:cs="Arial"/>
                <w:sz w:val="18"/>
                <w:szCs w:val="18"/>
              </w:rPr>
              <w:t xml:space="preserve">Sodium </w:t>
            </w:r>
            <w:proofErr w:type="spellStart"/>
            <w:r w:rsidRPr="00BB4117">
              <w:rPr>
                <w:rFonts w:ascii="Arial" w:hAnsi="Arial" w:cs="Arial"/>
                <w:sz w:val="18"/>
                <w:szCs w:val="18"/>
              </w:rPr>
              <w:t>perchlorate</w:t>
            </w:r>
            <w:proofErr w:type="spellEnd"/>
            <w:r w:rsidRPr="00BB4117">
              <w:rPr>
                <w:rFonts w:ascii="Arial" w:hAnsi="Arial" w:cs="Arial"/>
                <w:sz w:val="18"/>
                <w:szCs w:val="18"/>
              </w:rPr>
              <w:t xml:space="preserve"> {GLO}| market for | </w:t>
            </w:r>
            <w:proofErr w:type="spellStart"/>
            <w:r w:rsidRPr="00BB4117">
              <w:rPr>
                <w:rFonts w:ascii="Arial" w:hAnsi="Arial" w:cs="Arial"/>
                <w:sz w:val="18"/>
                <w:szCs w:val="18"/>
              </w:rPr>
              <w:t>Alloc</w:t>
            </w:r>
            <w:proofErr w:type="spellEnd"/>
            <w:r w:rsidRPr="00BB4117">
              <w:rPr>
                <w:rFonts w:ascii="Arial" w:hAnsi="Arial" w:cs="Arial"/>
                <w:sz w:val="18"/>
                <w:szCs w:val="18"/>
              </w:rPr>
              <w:t xml:space="preserve"> </w:t>
            </w:r>
            <w:proofErr w:type="spellStart"/>
            <w:r w:rsidRPr="00BB4117">
              <w:rPr>
                <w:rFonts w:ascii="Arial" w:hAnsi="Arial" w:cs="Arial"/>
                <w:sz w:val="18"/>
                <w:szCs w:val="18"/>
              </w:rPr>
              <w:t>Rec</w:t>
            </w:r>
            <w:proofErr w:type="spellEnd"/>
            <w:r w:rsidRPr="00BB4117">
              <w:rPr>
                <w:rFonts w:ascii="Arial" w:hAnsi="Arial" w:cs="Arial"/>
                <w:sz w:val="18"/>
                <w:szCs w:val="18"/>
              </w:rPr>
              <w:t xml:space="preserve">, S </w:t>
            </w:r>
          </w:p>
          <w:p w:rsidR="00B265DF" w:rsidRPr="00BB4117" w:rsidRDefault="00B265DF" w:rsidP="003324BB">
            <w:pPr>
              <w:pStyle w:val="Brdtext"/>
              <w:keepNext/>
              <w:numPr>
                <w:ilvl w:val="0"/>
                <w:numId w:val="35"/>
              </w:numPr>
              <w:spacing w:before="0" w:after="0"/>
              <w:ind w:left="344" w:hanging="283"/>
              <w:rPr>
                <w:rFonts w:ascii="Arial" w:hAnsi="Arial" w:cs="Arial"/>
                <w:sz w:val="18"/>
                <w:szCs w:val="18"/>
              </w:rPr>
            </w:pPr>
            <w:r w:rsidRPr="00BB4117">
              <w:rPr>
                <w:rFonts w:ascii="Arial" w:hAnsi="Arial" w:cs="Arial"/>
                <w:sz w:val="18"/>
                <w:szCs w:val="18"/>
              </w:rPr>
              <w:t xml:space="preserve">Lithium chloride {GLO}| market for | </w:t>
            </w:r>
            <w:proofErr w:type="spellStart"/>
            <w:r w:rsidRPr="00BB4117">
              <w:rPr>
                <w:rFonts w:ascii="Arial" w:hAnsi="Arial" w:cs="Arial"/>
                <w:sz w:val="18"/>
                <w:szCs w:val="18"/>
              </w:rPr>
              <w:t>Alloc</w:t>
            </w:r>
            <w:proofErr w:type="spellEnd"/>
            <w:r w:rsidRPr="00BB4117">
              <w:rPr>
                <w:rFonts w:ascii="Arial" w:hAnsi="Arial" w:cs="Arial"/>
                <w:sz w:val="18"/>
                <w:szCs w:val="18"/>
              </w:rPr>
              <w:t xml:space="preserve"> </w:t>
            </w:r>
            <w:proofErr w:type="spellStart"/>
            <w:r w:rsidRPr="00BB4117">
              <w:rPr>
                <w:rFonts w:ascii="Arial" w:hAnsi="Arial" w:cs="Arial"/>
                <w:sz w:val="18"/>
                <w:szCs w:val="18"/>
              </w:rPr>
              <w:t>Rec</w:t>
            </w:r>
            <w:proofErr w:type="spellEnd"/>
            <w:r w:rsidRPr="00BB4117">
              <w:rPr>
                <w:rFonts w:ascii="Arial" w:hAnsi="Arial" w:cs="Arial"/>
                <w:sz w:val="18"/>
                <w:szCs w:val="18"/>
              </w:rPr>
              <w:t>, S</w:t>
            </w:r>
          </w:p>
          <w:p w:rsidR="00B265DF" w:rsidRPr="00BB4117" w:rsidRDefault="00B265DF" w:rsidP="003324BB">
            <w:pPr>
              <w:pStyle w:val="Brdtext"/>
              <w:keepNext/>
              <w:numPr>
                <w:ilvl w:val="0"/>
                <w:numId w:val="35"/>
              </w:numPr>
              <w:spacing w:before="0" w:after="0"/>
              <w:ind w:left="344" w:hanging="283"/>
              <w:rPr>
                <w:rFonts w:ascii="Arial" w:hAnsi="Arial" w:cs="Arial"/>
                <w:sz w:val="18"/>
                <w:szCs w:val="18"/>
              </w:rPr>
            </w:pPr>
            <w:r w:rsidRPr="00BB4117">
              <w:rPr>
                <w:rFonts w:ascii="Arial" w:hAnsi="Arial" w:cs="Arial"/>
                <w:sz w:val="18"/>
                <w:szCs w:val="18"/>
              </w:rPr>
              <w:t>Electricity, high voltage, production UCTE, at grid/UCTE S</w:t>
            </w:r>
          </w:p>
        </w:tc>
        <w:tc>
          <w:tcPr>
            <w:tcW w:w="1560" w:type="dxa"/>
          </w:tcPr>
          <w:p w:rsidR="00B265DF" w:rsidRPr="00BB4117" w:rsidRDefault="00B265DF" w:rsidP="003324BB">
            <w:pPr>
              <w:pStyle w:val="Brdtext"/>
              <w:keepNext/>
              <w:spacing w:before="0" w:after="0"/>
              <w:rPr>
                <w:rFonts w:ascii="Arial" w:hAnsi="Arial" w:cs="Arial"/>
                <w:sz w:val="18"/>
                <w:szCs w:val="18"/>
              </w:rPr>
            </w:pPr>
            <w:r w:rsidRPr="00BB4117">
              <w:rPr>
                <w:rFonts w:ascii="Arial" w:hAnsi="Arial" w:cs="Arial"/>
                <w:sz w:val="18"/>
                <w:szCs w:val="18"/>
              </w:rPr>
              <w:t>2</w:t>
            </w:r>
            <w:r w:rsidR="003F4101" w:rsidRPr="00BB4117">
              <w:rPr>
                <w:rFonts w:ascii="Arial" w:hAnsi="Arial" w:cs="Arial"/>
                <w:sz w:val="18"/>
                <w:szCs w:val="18"/>
              </w:rPr>
              <w:t>.</w:t>
            </w:r>
            <w:r w:rsidRPr="00BB4117">
              <w:rPr>
                <w:rFonts w:ascii="Arial" w:hAnsi="Arial" w:cs="Arial"/>
                <w:sz w:val="18"/>
                <w:szCs w:val="18"/>
              </w:rPr>
              <w:t>9</w:t>
            </w:r>
          </w:p>
        </w:tc>
      </w:tr>
      <w:tr w:rsidR="00CC1D7C" w:rsidRPr="00BB4117" w:rsidTr="0052724A">
        <w:tc>
          <w:tcPr>
            <w:tcW w:w="1526" w:type="dxa"/>
          </w:tcPr>
          <w:p w:rsidR="00B265DF" w:rsidRPr="00BB4117" w:rsidRDefault="00B265DF" w:rsidP="003324BB">
            <w:pPr>
              <w:pStyle w:val="Brdtext"/>
              <w:keepNext/>
              <w:spacing w:before="0" w:after="0"/>
              <w:rPr>
                <w:rFonts w:ascii="Arial" w:hAnsi="Arial" w:cs="Arial"/>
                <w:sz w:val="18"/>
                <w:szCs w:val="18"/>
              </w:rPr>
            </w:pPr>
            <w:r w:rsidRPr="00BB4117">
              <w:rPr>
                <w:rFonts w:ascii="Arial" w:hAnsi="Arial" w:cs="Arial"/>
                <w:sz w:val="18"/>
                <w:szCs w:val="18"/>
              </w:rPr>
              <w:t>Lithium foil</w:t>
            </w:r>
          </w:p>
        </w:tc>
        <w:tc>
          <w:tcPr>
            <w:tcW w:w="5386" w:type="dxa"/>
          </w:tcPr>
          <w:p w:rsidR="00B265DF" w:rsidRPr="00BB4117" w:rsidRDefault="003F4101" w:rsidP="003324BB">
            <w:pPr>
              <w:pStyle w:val="Brdtext"/>
              <w:keepNext/>
              <w:spacing w:before="0" w:after="0"/>
              <w:rPr>
                <w:rFonts w:ascii="Arial" w:hAnsi="Arial" w:cs="Arial"/>
                <w:sz w:val="18"/>
                <w:szCs w:val="18"/>
              </w:rPr>
            </w:pPr>
            <w:r w:rsidRPr="00BB4117">
              <w:rPr>
                <w:rFonts w:ascii="Arial" w:hAnsi="Arial" w:cs="Arial"/>
                <w:sz w:val="18"/>
                <w:szCs w:val="18"/>
              </w:rPr>
              <w:t xml:space="preserve">Lithium {GLO}| market for | </w:t>
            </w:r>
            <w:proofErr w:type="spellStart"/>
            <w:r w:rsidRPr="00BB4117">
              <w:rPr>
                <w:rFonts w:ascii="Arial" w:hAnsi="Arial" w:cs="Arial"/>
                <w:sz w:val="18"/>
                <w:szCs w:val="18"/>
              </w:rPr>
              <w:t>Alloc</w:t>
            </w:r>
            <w:proofErr w:type="spellEnd"/>
            <w:r w:rsidRPr="00BB4117">
              <w:rPr>
                <w:rFonts w:ascii="Arial" w:hAnsi="Arial" w:cs="Arial"/>
                <w:sz w:val="18"/>
                <w:szCs w:val="18"/>
              </w:rPr>
              <w:t xml:space="preserve"> </w:t>
            </w:r>
            <w:proofErr w:type="spellStart"/>
            <w:r w:rsidRPr="00BB4117">
              <w:rPr>
                <w:rFonts w:ascii="Arial" w:hAnsi="Arial" w:cs="Arial"/>
                <w:sz w:val="18"/>
                <w:szCs w:val="18"/>
              </w:rPr>
              <w:t>Rec</w:t>
            </w:r>
            <w:proofErr w:type="spellEnd"/>
            <w:r w:rsidRPr="00BB4117">
              <w:rPr>
                <w:rFonts w:ascii="Arial" w:hAnsi="Arial" w:cs="Arial"/>
                <w:sz w:val="18"/>
                <w:szCs w:val="18"/>
              </w:rPr>
              <w:t>, S</w:t>
            </w:r>
          </w:p>
        </w:tc>
        <w:tc>
          <w:tcPr>
            <w:tcW w:w="1560" w:type="dxa"/>
          </w:tcPr>
          <w:p w:rsidR="00B265DF" w:rsidRPr="00BB4117" w:rsidRDefault="003F4101" w:rsidP="003324BB">
            <w:pPr>
              <w:pStyle w:val="Brdtext"/>
              <w:keepNext/>
              <w:spacing w:before="0" w:after="0"/>
              <w:rPr>
                <w:rFonts w:ascii="Arial" w:hAnsi="Arial" w:cs="Arial"/>
                <w:sz w:val="18"/>
                <w:szCs w:val="18"/>
              </w:rPr>
            </w:pPr>
            <w:r w:rsidRPr="00BB4117">
              <w:rPr>
                <w:rFonts w:ascii="Arial" w:hAnsi="Arial" w:cs="Arial"/>
                <w:sz w:val="18"/>
                <w:szCs w:val="18"/>
              </w:rPr>
              <w:t>167</w:t>
            </w:r>
          </w:p>
        </w:tc>
      </w:tr>
      <w:tr w:rsidR="00CC1D7C" w:rsidRPr="00BB4117" w:rsidTr="0052724A">
        <w:tc>
          <w:tcPr>
            <w:tcW w:w="1526" w:type="dxa"/>
          </w:tcPr>
          <w:p w:rsidR="00B265DF" w:rsidRPr="00BB4117" w:rsidRDefault="00B265DF" w:rsidP="003324BB">
            <w:pPr>
              <w:pStyle w:val="Brdtext"/>
              <w:keepNext/>
              <w:spacing w:before="0" w:after="0"/>
              <w:rPr>
                <w:rFonts w:ascii="Arial" w:hAnsi="Arial" w:cs="Arial"/>
                <w:sz w:val="18"/>
                <w:szCs w:val="18"/>
              </w:rPr>
            </w:pPr>
            <w:r w:rsidRPr="00BB4117">
              <w:rPr>
                <w:rFonts w:ascii="Arial" w:hAnsi="Arial" w:cs="Arial"/>
                <w:sz w:val="18"/>
                <w:szCs w:val="18"/>
              </w:rPr>
              <w:t>Separator (Celgard), poly</w:t>
            </w:r>
            <w:r w:rsidR="00CC1D7C" w:rsidRPr="00BB4117">
              <w:rPr>
                <w:rFonts w:ascii="Arial" w:hAnsi="Arial" w:cs="Arial"/>
                <w:sz w:val="18"/>
                <w:szCs w:val="18"/>
              </w:rPr>
              <w:t>-</w:t>
            </w:r>
            <w:r w:rsidRPr="00BB4117">
              <w:rPr>
                <w:rFonts w:ascii="Arial" w:hAnsi="Arial" w:cs="Arial"/>
                <w:sz w:val="18"/>
                <w:szCs w:val="18"/>
              </w:rPr>
              <w:t>propylene</w:t>
            </w:r>
          </w:p>
        </w:tc>
        <w:tc>
          <w:tcPr>
            <w:tcW w:w="5386" w:type="dxa"/>
          </w:tcPr>
          <w:p w:rsidR="00B265DF" w:rsidRPr="00BB4117" w:rsidRDefault="003F4101" w:rsidP="003324BB">
            <w:pPr>
              <w:pStyle w:val="Brdtext"/>
              <w:keepNext/>
              <w:spacing w:before="0" w:after="0"/>
              <w:rPr>
                <w:rFonts w:ascii="Arial" w:hAnsi="Arial" w:cs="Arial"/>
                <w:sz w:val="18"/>
                <w:szCs w:val="18"/>
              </w:rPr>
            </w:pPr>
            <w:r w:rsidRPr="00BB4117">
              <w:rPr>
                <w:rFonts w:ascii="Arial" w:hAnsi="Arial" w:cs="Arial"/>
                <w:sz w:val="18"/>
                <w:szCs w:val="18"/>
              </w:rPr>
              <w:t xml:space="preserve">Polypropylene, granulate {GLO}| market for | </w:t>
            </w:r>
            <w:proofErr w:type="spellStart"/>
            <w:r w:rsidRPr="00BB4117">
              <w:rPr>
                <w:rFonts w:ascii="Arial" w:hAnsi="Arial" w:cs="Arial"/>
                <w:sz w:val="18"/>
                <w:szCs w:val="18"/>
              </w:rPr>
              <w:t>Alloc</w:t>
            </w:r>
            <w:proofErr w:type="spellEnd"/>
            <w:r w:rsidRPr="00BB4117">
              <w:rPr>
                <w:rFonts w:ascii="Arial" w:hAnsi="Arial" w:cs="Arial"/>
                <w:sz w:val="18"/>
                <w:szCs w:val="18"/>
              </w:rPr>
              <w:t xml:space="preserve"> </w:t>
            </w:r>
            <w:proofErr w:type="spellStart"/>
            <w:r w:rsidRPr="00BB4117">
              <w:rPr>
                <w:rFonts w:ascii="Arial" w:hAnsi="Arial" w:cs="Arial"/>
                <w:sz w:val="18"/>
                <w:szCs w:val="18"/>
              </w:rPr>
              <w:t>Rec</w:t>
            </w:r>
            <w:proofErr w:type="spellEnd"/>
            <w:r w:rsidRPr="00BB4117">
              <w:rPr>
                <w:rFonts w:ascii="Arial" w:hAnsi="Arial" w:cs="Arial"/>
                <w:sz w:val="18"/>
                <w:szCs w:val="18"/>
              </w:rPr>
              <w:t>, S</w:t>
            </w:r>
          </w:p>
          <w:p w:rsidR="003F4101" w:rsidRPr="00BB4117" w:rsidRDefault="003F4101" w:rsidP="003324BB">
            <w:pPr>
              <w:pStyle w:val="Brdtext"/>
              <w:keepNext/>
              <w:spacing w:before="0" w:after="0"/>
              <w:rPr>
                <w:rFonts w:ascii="Arial" w:hAnsi="Arial" w:cs="Arial"/>
                <w:sz w:val="18"/>
                <w:szCs w:val="18"/>
              </w:rPr>
            </w:pPr>
            <w:r w:rsidRPr="00BB4117">
              <w:rPr>
                <w:rFonts w:ascii="Arial" w:hAnsi="Arial" w:cs="Arial"/>
                <w:sz w:val="18"/>
                <w:szCs w:val="18"/>
              </w:rPr>
              <w:t xml:space="preserve">Extrusion, plastic film {GLO}| market for | </w:t>
            </w:r>
            <w:proofErr w:type="spellStart"/>
            <w:r w:rsidRPr="00BB4117">
              <w:rPr>
                <w:rFonts w:ascii="Arial" w:hAnsi="Arial" w:cs="Arial"/>
                <w:sz w:val="18"/>
                <w:szCs w:val="18"/>
              </w:rPr>
              <w:t>Alloc</w:t>
            </w:r>
            <w:proofErr w:type="spellEnd"/>
            <w:r w:rsidRPr="00BB4117">
              <w:rPr>
                <w:rFonts w:ascii="Arial" w:hAnsi="Arial" w:cs="Arial"/>
                <w:sz w:val="18"/>
                <w:szCs w:val="18"/>
              </w:rPr>
              <w:t xml:space="preserve"> </w:t>
            </w:r>
            <w:proofErr w:type="spellStart"/>
            <w:r w:rsidRPr="00BB4117">
              <w:rPr>
                <w:rFonts w:ascii="Arial" w:hAnsi="Arial" w:cs="Arial"/>
                <w:sz w:val="18"/>
                <w:szCs w:val="18"/>
              </w:rPr>
              <w:t>Rec</w:t>
            </w:r>
            <w:proofErr w:type="spellEnd"/>
            <w:r w:rsidRPr="00BB4117">
              <w:rPr>
                <w:rFonts w:ascii="Arial" w:hAnsi="Arial" w:cs="Arial"/>
                <w:sz w:val="18"/>
                <w:szCs w:val="18"/>
              </w:rPr>
              <w:t>, S</w:t>
            </w:r>
          </w:p>
        </w:tc>
        <w:tc>
          <w:tcPr>
            <w:tcW w:w="1560" w:type="dxa"/>
          </w:tcPr>
          <w:p w:rsidR="00B265DF" w:rsidRPr="00BB4117" w:rsidRDefault="003F4101" w:rsidP="003324BB">
            <w:pPr>
              <w:pStyle w:val="Brdtext"/>
              <w:keepNext/>
              <w:spacing w:before="0" w:after="0"/>
              <w:rPr>
                <w:rFonts w:ascii="Arial" w:hAnsi="Arial" w:cs="Arial"/>
                <w:sz w:val="18"/>
                <w:szCs w:val="18"/>
              </w:rPr>
            </w:pPr>
            <w:r w:rsidRPr="00BB4117">
              <w:rPr>
                <w:rFonts w:ascii="Arial" w:hAnsi="Arial" w:cs="Arial"/>
                <w:sz w:val="18"/>
                <w:szCs w:val="18"/>
              </w:rPr>
              <w:t>2.7</w:t>
            </w:r>
          </w:p>
        </w:tc>
      </w:tr>
      <w:tr w:rsidR="00CC1D7C" w:rsidRPr="00BB4117" w:rsidTr="0052724A">
        <w:tc>
          <w:tcPr>
            <w:tcW w:w="1526" w:type="dxa"/>
          </w:tcPr>
          <w:p w:rsidR="00B265DF" w:rsidRPr="00BB4117" w:rsidRDefault="00B265DF" w:rsidP="005731CE">
            <w:pPr>
              <w:pStyle w:val="Brdtext"/>
              <w:keepNext/>
              <w:spacing w:before="0" w:after="0"/>
              <w:rPr>
                <w:rFonts w:ascii="Arial" w:hAnsi="Arial" w:cs="Arial"/>
                <w:sz w:val="18"/>
                <w:szCs w:val="18"/>
              </w:rPr>
            </w:pPr>
            <w:r w:rsidRPr="00BB4117">
              <w:rPr>
                <w:rFonts w:ascii="Arial" w:hAnsi="Arial" w:cs="Arial"/>
                <w:sz w:val="18"/>
                <w:szCs w:val="18"/>
              </w:rPr>
              <w:t>Tab in copper</w:t>
            </w:r>
          </w:p>
        </w:tc>
        <w:tc>
          <w:tcPr>
            <w:tcW w:w="5386" w:type="dxa"/>
          </w:tcPr>
          <w:p w:rsidR="00B265DF" w:rsidRPr="00BB4117" w:rsidRDefault="003F4101" w:rsidP="003324BB">
            <w:pPr>
              <w:pStyle w:val="Brdtext"/>
              <w:keepNext/>
              <w:spacing w:before="0" w:after="0"/>
              <w:rPr>
                <w:rFonts w:ascii="Arial" w:hAnsi="Arial" w:cs="Arial"/>
                <w:sz w:val="18"/>
                <w:szCs w:val="18"/>
              </w:rPr>
            </w:pPr>
            <w:r w:rsidRPr="00BB4117">
              <w:rPr>
                <w:rFonts w:ascii="Arial" w:hAnsi="Arial" w:cs="Arial"/>
                <w:sz w:val="18"/>
                <w:szCs w:val="18"/>
              </w:rPr>
              <w:t xml:space="preserve">Copper {GLO}| market for | </w:t>
            </w:r>
            <w:proofErr w:type="spellStart"/>
            <w:r w:rsidRPr="00BB4117">
              <w:rPr>
                <w:rFonts w:ascii="Arial" w:hAnsi="Arial" w:cs="Arial"/>
                <w:sz w:val="18"/>
                <w:szCs w:val="18"/>
              </w:rPr>
              <w:t>Alloc</w:t>
            </w:r>
            <w:proofErr w:type="spellEnd"/>
            <w:r w:rsidRPr="00BB4117">
              <w:rPr>
                <w:rFonts w:ascii="Arial" w:hAnsi="Arial" w:cs="Arial"/>
                <w:sz w:val="18"/>
                <w:szCs w:val="18"/>
              </w:rPr>
              <w:t xml:space="preserve"> </w:t>
            </w:r>
            <w:proofErr w:type="spellStart"/>
            <w:r w:rsidRPr="00BB4117">
              <w:rPr>
                <w:rFonts w:ascii="Arial" w:hAnsi="Arial" w:cs="Arial"/>
                <w:sz w:val="18"/>
                <w:szCs w:val="18"/>
              </w:rPr>
              <w:t>Rec</w:t>
            </w:r>
            <w:proofErr w:type="spellEnd"/>
            <w:r w:rsidRPr="00BB4117">
              <w:rPr>
                <w:rFonts w:ascii="Arial" w:hAnsi="Arial" w:cs="Arial"/>
                <w:sz w:val="18"/>
                <w:szCs w:val="18"/>
              </w:rPr>
              <w:t>, S</w:t>
            </w:r>
          </w:p>
        </w:tc>
        <w:tc>
          <w:tcPr>
            <w:tcW w:w="1560" w:type="dxa"/>
          </w:tcPr>
          <w:p w:rsidR="00B265DF" w:rsidRPr="00BB4117" w:rsidRDefault="003F4101" w:rsidP="003324BB">
            <w:pPr>
              <w:pStyle w:val="Brdtext"/>
              <w:keepNext/>
              <w:spacing w:before="0" w:after="0"/>
              <w:rPr>
                <w:rFonts w:ascii="Arial" w:hAnsi="Arial" w:cs="Arial"/>
                <w:sz w:val="18"/>
                <w:szCs w:val="18"/>
              </w:rPr>
            </w:pPr>
            <w:r w:rsidRPr="00BB4117">
              <w:rPr>
                <w:rFonts w:ascii="Arial" w:hAnsi="Arial" w:cs="Arial"/>
                <w:sz w:val="18"/>
                <w:szCs w:val="18"/>
              </w:rPr>
              <w:t>4.1</w:t>
            </w:r>
          </w:p>
        </w:tc>
      </w:tr>
      <w:tr w:rsidR="00CC1D7C" w:rsidRPr="00BB4117" w:rsidTr="0052724A">
        <w:tc>
          <w:tcPr>
            <w:tcW w:w="1526" w:type="dxa"/>
          </w:tcPr>
          <w:p w:rsidR="00B265DF" w:rsidRPr="00BB4117" w:rsidRDefault="00B265DF" w:rsidP="003324BB">
            <w:pPr>
              <w:pStyle w:val="Brdtext"/>
              <w:keepNext/>
              <w:spacing w:before="0" w:after="0"/>
              <w:rPr>
                <w:rFonts w:ascii="Arial" w:hAnsi="Arial" w:cs="Arial"/>
                <w:sz w:val="18"/>
                <w:szCs w:val="18"/>
              </w:rPr>
            </w:pPr>
            <w:r w:rsidRPr="00BB4117">
              <w:rPr>
                <w:rFonts w:ascii="Arial" w:hAnsi="Arial" w:cs="Arial"/>
                <w:sz w:val="18"/>
                <w:szCs w:val="18"/>
              </w:rPr>
              <w:t>Cathode (GDL+Co</w:t>
            </w:r>
            <w:r w:rsidRPr="00BB4117">
              <w:rPr>
                <w:rFonts w:ascii="Arial" w:hAnsi="Arial" w:cs="Arial"/>
                <w:sz w:val="18"/>
                <w:szCs w:val="18"/>
                <w:vertAlign w:val="subscript"/>
              </w:rPr>
              <w:t>2</w:t>
            </w:r>
            <w:r w:rsidRPr="00BB4117">
              <w:rPr>
                <w:rFonts w:ascii="Arial" w:hAnsi="Arial" w:cs="Arial"/>
                <w:sz w:val="18"/>
                <w:szCs w:val="18"/>
              </w:rPr>
              <w:t>O</w:t>
            </w:r>
            <w:r w:rsidRPr="00BB4117">
              <w:rPr>
                <w:rFonts w:ascii="Arial" w:hAnsi="Arial" w:cs="Arial"/>
                <w:sz w:val="18"/>
                <w:szCs w:val="18"/>
                <w:vertAlign w:val="subscript"/>
              </w:rPr>
              <w:t>3</w:t>
            </w:r>
            <w:r w:rsidRPr="00BB4117">
              <w:rPr>
                <w:rFonts w:ascii="Arial" w:hAnsi="Arial" w:cs="Arial"/>
                <w:sz w:val="18"/>
                <w:szCs w:val="18"/>
              </w:rPr>
              <w:t>/CNT)</w:t>
            </w:r>
          </w:p>
        </w:tc>
        <w:tc>
          <w:tcPr>
            <w:tcW w:w="5386" w:type="dxa"/>
          </w:tcPr>
          <w:p w:rsidR="00B265DF" w:rsidRPr="00BB4117" w:rsidRDefault="00BB4117" w:rsidP="003324BB">
            <w:pPr>
              <w:pStyle w:val="Brdtext"/>
              <w:keepNext/>
              <w:spacing w:before="0" w:after="0"/>
              <w:rPr>
                <w:rFonts w:ascii="Arial" w:hAnsi="Arial" w:cs="Arial"/>
                <w:sz w:val="18"/>
                <w:szCs w:val="18"/>
              </w:rPr>
            </w:pPr>
            <w:r w:rsidRPr="00BB4117">
              <w:rPr>
                <w:rFonts w:ascii="Arial" w:hAnsi="Arial" w:cs="Arial"/>
                <w:sz w:val="18"/>
                <w:szCs w:val="18"/>
              </w:rPr>
              <w:t>Cobalt</w:t>
            </w:r>
            <w:r w:rsidR="003F4101" w:rsidRPr="00BB4117">
              <w:rPr>
                <w:rFonts w:ascii="Arial" w:hAnsi="Arial" w:cs="Arial"/>
                <w:sz w:val="18"/>
                <w:szCs w:val="18"/>
              </w:rPr>
              <w:t xml:space="preserve"> oxide </w:t>
            </w:r>
            <w:proofErr w:type="spellStart"/>
            <w:r w:rsidR="003F4101" w:rsidRPr="00BB4117">
              <w:rPr>
                <w:rFonts w:ascii="Arial" w:hAnsi="Arial" w:cs="Arial"/>
                <w:sz w:val="18"/>
                <w:szCs w:val="18"/>
              </w:rPr>
              <w:t>nanoparticles</w:t>
            </w:r>
            <w:proofErr w:type="spellEnd"/>
            <w:r w:rsidR="003F4101" w:rsidRPr="00BB4117">
              <w:rPr>
                <w:rFonts w:ascii="Arial" w:hAnsi="Arial" w:cs="Arial"/>
                <w:sz w:val="18"/>
                <w:szCs w:val="18"/>
              </w:rPr>
              <w:t xml:space="preserve"> and MWCNT</w:t>
            </w:r>
          </w:p>
          <w:p w:rsidR="003F4101" w:rsidRPr="00BB4117" w:rsidRDefault="003F4101" w:rsidP="003324BB">
            <w:pPr>
              <w:pStyle w:val="Brdtext"/>
              <w:keepNext/>
              <w:numPr>
                <w:ilvl w:val="0"/>
                <w:numId w:val="36"/>
              </w:numPr>
              <w:spacing w:before="0" w:after="0"/>
              <w:ind w:left="445" w:hanging="281"/>
              <w:rPr>
                <w:rFonts w:ascii="Arial" w:hAnsi="Arial" w:cs="Arial"/>
                <w:sz w:val="18"/>
                <w:szCs w:val="18"/>
              </w:rPr>
            </w:pPr>
            <w:r w:rsidRPr="00BB4117">
              <w:rPr>
                <w:rFonts w:ascii="Arial" w:hAnsi="Arial" w:cs="Arial"/>
                <w:sz w:val="18"/>
                <w:szCs w:val="18"/>
              </w:rPr>
              <w:t xml:space="preserve">Cobalt {GLO}| market for | </w:t>
            </w:r>
            <w:proofErr w:type="spellStart"/>
            <w:r w:rsidRPr="00BB4117">
              <w:rPr>
                <w:rFonts w:ascii="Arial" w:hAnsi="Arial" w:cs="Arial"/>
                <w:sz w:val="18"/>
                <w:szCs w:val="18"/>
              </w:rPr>
              <w:t>Alloc</w:t>
            </w:r>
            <w:proofErr w:type="spellEnd"/>
            <w:r w:rsidRPr="00BB4117">
              <w:rPr>
                <w:rFonts w:ascii="Arial" w:hAnsi="Arial" w:cs="Arial"/>
                <w:sz w:val="18"/>
                <w:szCs w:val="18"/>
              </w:rPr>
              <w:t xml:space="preserve"> </w:t>
            </w:r>
            <w:proofErr w:type="spellStart"/>
            <w:r w:rsidRPr="00BB4117">
              <w:rPr>
                <w:rFonts w:ascii="Arial" w:hAnsi="Arial" w:cs="Arial"/>
                <w:sz w:val="18"/>
                <w:szCs w:val="18"/>
              </w:rPr>
              <w:t>Rec</w:t>
            </w:r>
            <w:proofErr w:type="spellEnd"/>
            <w:r w:rsidRPr="00BB4117">
              <w:rPr>
                <w:rFonts w:ascii="Arial" w:hAnsi="Arial" w:cs="Arial"/>
                <w:sz w:val="18"/>
                <w:szCs w:val="18"/>
              </w:rPr>
              <w:t>, S</w:t>
            </w:r>
          </w:p>
          <w:p w:rsidR="003F4101" w:rsidRPr="00BB4117" w:rsidRDefault="003F4101" w:rsidP="003324BB">
            <w:pPr>
              <w:pStyle w:val="Brdtext"/>
              <w:keepNext/>
              <w:numPr>
                <w:ilvl w:val="0"/>
                <w:numId w:val="36"/>
              </w:numPr>
              <w:spacing w:before="0" w:after="0"/>
              <w:ind w:left="445" w:hanging="281"/>
              <w:rPr>
                <w:rFonts w:ascii="Arial" w:hAnsi="Arial" w:cs="Arial"/>
                <w:sz w:val="18"/>
                <w:szCs w:val="18"/>
              </w:rPr>
            </w:pPr>
            <w:r w:rsidRPr="00BB4117">
              <w:rPr>
                <w:rFonts w:ascii="Arial" w:hAnsi="Arial" w:cs="Arial"/>
                <w:sz w:val="18"/>
                <w:szCs w:val="18"/>
              </w:rPr>
              <w:t xml:space="preserve">Solvent, organic {GLO}| market for | </w:t>
            </w:r>
            <w:proofErr w:type="spellStart"/>
            <w:r w:rsidRPr="00BB4117">
              <w:rPr>
                <w:rFonts w:ascii="Arial" w:hAnsi="Arial" w:cs="Arial"/>
                <w:sz w:val="18"/>
                <w:szCs w:val="18"/>
              </w:rPr>
              <w:t>Alloc</w:t>
            </w:r>
            <w:proofErr w:type="spellEnd"/>
            <w:r w:rsidRPr="00BB4117">
              <w:rPr>
                <w:rFonts w:ascii="Arial" w:hAnsi="Arial" w:cs="Arial"/>
                <w:sz w:val="18"/>
                <w:szCs w:val="18"/>
              </w:rPr>
              <w:t xml:space="preserve"> </w:t>
            </w:r>
            <w:proofErr w:type="spellStart"/>
            <w:r w:rsidRPr="00BB4117">
              <w:rPr>
                <w:rFonts w:ascii="Arial" w:hAnsi="Arial" w:cs="Arial"/>
                <w:sz w:val="18"/>
                <w:szCs w:val="18"/>
              </w:rPr>
              <w:t>Rec</w:t>
            </w:r>
            <w:proofErr w:type="spellEnd"/>
            <w:r w:rsidRPr="00BB4117">
              <w:rPr>
                <w:rFonts w:ascii="Arial" w:hAnsi="Arial" w:cs="Arial"/>
                <w:sz w:val="18"/>
                <w:szCs w:val="18"/>
              </w:rPr>
              <w:t>, S</w:t>
            </w:r>
          </w:p>
          <w:p w:rsidR="003F4101" w:rsidRPr="00BB4117" w:rsidRDefault="003F4101" w:rsidP="003324BB">
            <w:pPr>
              <w:pStyle w:val="Brdtext"/>
              <w:keepNext/>
              <w:numPr>
                <w:ilvl w:val="0"/>
                <w:numId w:val="36"/>
              </w:numPr>
              <w:spacing w:before="0" w:after="0"/>
              <w:ind w:left="445" w:hanging="281"/>
              <w:rPr>
                <w:rFonts w:ascii="Arial" w:hAnsi="Arial" w:cs="Arial"/>
                <w:sz w:val="18"/>
                <w:szCs w:val="18"/>
              </w:rPr>
            </w:pPr>
            <w:r w:rsidRPr="00BB4117">
              <w:rPr>
                <w:rFonts w:ascii="Arial" w:hAnsi="Arial" w:cs="Arial"/>
                <w:sz w:val="18"/>
                <w:szCs w:val="18"/>
              </w:rPr>
              <w:t xml:space="preserve">Oxygen, liquid {RER}| market for | </w:t>
            </w:r>
            <w:proofErr w:type="spellStart"/>
            <w:r w:rsidRPr="00BB4117">
              <w:rPr>
                <w:rFonts w:ascii="Arial" w:hAnsi="Arial" w:cs="Arial"/>
                <w:sz w:val="18"/>
                <w:szCs w:val="18"/>
              </w:rPr>
              <w:t>Alloc</w:t>
            </w:r>
            <w:proofErr w:type="spellEnd"/>
            <w:r w:rsidRPr="00BB4117">
              <w:rPr>
                <w:rFonts w:ascii="Arial" w:hAnsi="Arial" w:cs="Arial"/>
                <w:sz w:val="18"/>
                <w:szCs w:val="18"/>
              </w:rPr>
              <w:t xml:space="preserve"> </w:t>
            </w:r>
            <w:proofErr w:type="spellStart"/>
            <w:r w:rsidRPr="00BB4117">
              <w:rPr>
                <w:rFonts w:ascii="Arial" w:hAnsi="Arial" w:cs="Arial"/>
                <w:sz w:val="18"/>
                <w:szCs w:val="18"/>
              </w:rPr>
              <w:t>Rec</w:t>
            </w:r>
            <w:proofErr w:type="spellEnd"/>
            <w:r w:rsidRPr="00BB4117">
              <w:rPr>
                <w:rFonts w:ascii="Arial" w:hAnsi="Arial" w:cs="Arial"/>
                <w:sz w:val="18"/>
                <w:szCs w:val="18"/>
              </w:rPr>
              <w:t>, S</w:t>
            </w:r>
          </w:p>
          <w:p w:rsidR="003F4101" w:rsidRPr="00BB4117" w:rsidRDefault="003F4101" w:rsidP="003324BB">
            <w:pPr>
              <w:pStyle w:val="Brdtext"/>
              <w:keepNext/>
              <w:numPr>
                <w:ilvl w:val="0"/>
                <w:numId w:val="36"/>
              </w:numPr>
              <w:spacing w:before="0" w:after="0"/>
              <w:ind w:left="445" w:hanging="281"/>
              <w:rPr>
                <w:rFonts w:ascii="Arial" w:hAnsi="Arial" w:cs="Arial"/>
                <w:sz w:val="18"/>
                <w:szCs w:val="18"/>
              </w:rPr>
            </w:pPr>
            <w:r w:rsidRPr="00BB4117">
              <w:rPr>
                <w:rFonts w:ascii="Arial" w:hAnsi="Arial" w:cs="Arial"/>
                <w:sz w:val="18"/>
                <w:szCs w:val="18"/>
              </w:rPr>
              <w:t xml:space="preserve">Methane, 96% by volume, from biogas, from medium pressure network, at service station {GLO}| market for | </w:t>
            </w:r>
            <w:proofErr w:type="spellStart"/>
            <w:r w:rsidRPr="00BB4117">
              <w:rPr>
                <w:rFonts w:ascii="Arial" w:hAnsi="Arial" w:cs="Arial"/>
                <w:sz w:val="18"/>
                <w:szCs w:val="18"/>
              </w:rPr>
              <w:t>Alloc</w:t>
            </w:r>
            <w:proofErr w:type="spellEnd"/>
            <w:r w:rsidRPr="00BB4117">
              <w:rPr>
                <w:rFonts w:ascii="Arial" w:hAnsi="Arial" w:cs="Arial"/>
                <w:sz w:val="18"/>
                <w:szCs w:val="18"/>
              </w:rPr>
              <w:t xml:space="preserve"> </w:t>
            </w:r>
            <w:proofErr w:type="spellStart"/>
            <w:r w:rsidRPr="00BB4117">
              <w:rPr>
                <w:rFonts w:ascii="Arial" w:hAnsi="Arial" w:cs="Arial"/>
                <w:sz w:val="18"/>
                <w:szCs w:val="18"/>
              </w:rPr>
              <w:t>Rec</w:t>
            </w:r>
            <w:proofErr w:type="spellEnd"/>
            <w:r w:rsidRPr="00BB4117">
              <w:rPr>
                <w:rFonts w:ascii="Arial" w:hAnsi="Arial" w:cs="Arial"/>
                <w:sz w:val="18"/>
                <w:szCs w:val="18"/>
              </w:rPr>
              <w:t>, S</w:t>
            </w:r>
          </w:p>
          <w:p w:rsidR="003F4101" w:rsidRPr="00BB4117" w:rsidRDefault="003F4101" w:rsidP="003324BB">
            <w:pPr>
              <w:pStyle w:val="Brdtext"/>
              <w:keepNext/>
              <w:numPr>
                <w:ilvl w:val="0"/>
                <w:numId w:val="36"/>
              </w:numPr>
              <w:spacing w:before="0" w:after="0"/>
              <w:ind w:left="445" w:hanging="281"/>
              <w:rPr>
                <w:rFonts w:ascii="Arial" w:hAnsi="Arial" w:cs="Arial"/>
                <w:sz w:val="18"/>
                <w:szCs w:val="18"/>
              </w:rPr>
            </w:pPr>
            <w:r w:rsidRPr="00BB4117">
              <w:rPr>
                <w:rFonts w:ascii="Arial" w:hAnsi="Arial" w:cs="Arial"/>
                <w:sz w:val="18"/>
                <w:szCs w:val="18"/>
              </w:rPr>
              <w:t xml:space="preserve">Multi Walled Carbon </w:t>
            </w:r>
            <w:proofErr w:type="spellStart"/>
            <w:r w:rsidR="0003183D" w:rsidRPr="00BB4117">
              <w:rPr>
                <w:rFonts w:ascii="Arial" w:hAnsi="Arial" w:cs="Arial"/>
                <w:sz w:val="18"/>
                <w:szCs w:val="18"/>
              </w:rPr>
              <w:t>Nanotubes</w:t>
            </w:r>
            <w:proofErr w:type="spellEnd"/>
            <w:r w:rsidRPr="00BB4117">
              <w:rPr>
                <w:rFonts w:ascii="Arial" w:hAnsi="Arial" w:cs="Arial"/>
                <w:sz w:val="18"/>
                <w:szCs w:val="18"/>
              </w:rPr>
              <w:t>, CVD, industrial scale</w:t>
            </w:r>
          </w:p>
          <w:p w:rsidR="00C00B85" w:rsidRPr="00BB4117" w:rsidRDefault="00C00B85" w:rsidP="003324BB">
            <w:pPr>
              <w:pStyle w:val="Brdtext"/>
              <w:keepNext/>
              <w:numPr>
                <w:ilvl w:val="1"/>
                <w:numId w:val="36"/>
              </w:numPr>
              <w:spacing w:before="0" w:after="0"/>
              <w:ind w:left="949" w:hanging="284"/>
              <w:rPr>
                <w:rFonts w:ascii="Arial" w:hAnsi="Arial" w:cs="Arial"/>
                <w:sz w:val="18"/>
                <w:szCs w:val="18"/>
              </w:rPr>
            </w:pPr>
            <w:r w:rsidRPr="00BB4117">
              <w:rPr>
                <w:rFonts w:ascii="Arial" w:hAnsi="Arial" w:cs="Arial"/>
                <w:sz w:val="18"/>
                <w:szCs w:val="18"/>
              </w:rPr>
              <w:t>Electricity, medium voltage, production UCTE, at grid/UCTE S</w:t>
            </w:r>
          </w:p>
          <w:p w:rsidR="00C00B85" w:rsidRPr="00BB4117" w:rsidRDefault="00C00B85" w:rsidP="003324BB">
            <w:pPr>
              <w:pStyle w:val="Brdtext"/>
              <w:keepNext/>
              <w:numPr>
                <w:ilvl w:val="1"/>
                <w:numId w:val="36"/>
              </w:numPr>
              <w:spacing w:before="0" w:after="0"/>
              <w:ind w:left="949" w:hanging="284"/>
              <w:rPr>
                <w:rFonts w:ascii="Arial" w:hAnsi="Arial" w:cs="Arial"/>
                <w:sz w:val="18"/>
                <w:szCs w:val="18"/>
              </w:rPr>
            </w:pPr>
            <w:r w:rsidRPr="00BB4117">
              <w:rPr>
                <w:rFonts w:ascii="Arial" w:hAnsi="Arial" w:cs="Arial"/>
                <w:sz w:val="18"/>
                <w:szCs w:val="18"/>
              </w:rPr>
              <w:t>Heat, light fuel oil, at industrial furnace 1MW/RER S</w:t>
            </w:r>
          </w:p>
          <w:p w:rsidR="003F4101" w:rsidRPr="00BB4117" w:rsidRDefault="003F4101" w:rsidP="003324BB">
            <w:pPr>
              <w:pStyle w:val="Brdtext"/>
              <w:keepNext/>
              <w:numPr>
                <w:ilvl w:val="0"/>
                <w:numId w:val="36"/>
              </w:numPr>
              <w:spacing w:before="0" w:after="0"/>
              <w:ind w:left="459" w:hanging="284"/>
              <w:rPr>
                <w:rFonts w:ascii="Arial" w:hAnsi="Arial" w:cs="Arial"/>
                <w:sz w:val="18"/>
                <w:szCs w:val="18"/>
              </w:rPr>
            </w:pPr>
            <w:r w:rsidRPr="00BB4117">
              <w:rPr>
                <w:rFonts w:ascii="Arial" w:hAnsi="Arial" w:cs="Arial"/>
                <w:sz w:val="18"/>
                <w:szCs w:val="18"/>
              </w:rPr>
              <w:t xml:space="preserve">Electricity, medium voltage {ES}| market for | </w:t>
            </w:r>
            <w:proofErr w:type="spellStart"/>
            <w:r w:rsidRPr="00BB4117">
              <w:rPr>
                <w:rFonts w:ascii="Arial" w:hAnsi="Arial" w:cs="Arial"/>
                <w:sz w:val="18"/>
                <w:szCs w:val="18"/>
              </w:rPr>
              <w:t>Alloc</w:t>
            </w:r>
            <w:proofErr w:type="spellEnd"/>
            <w:r w:rsidRPr="00BB4117">
              <w:rPr>
                <w:rFonts w:ascii="Arial" w:hAnsi="Arial" w:cs="Arial"/>
                <w:sz w:val="18"/>
                <w:szCs w:val="18"/>
              </w:rPr>
              <w:t xml:space="preserve"> </w:t>
            </w:r>
            <w:proofErr w:type="spellStart"/>
            <w:r w:rsidRPr="00BB4117">
              <w:rPr>
                <w:rFonts w:ascii="Arial" w:hAnsi="Arial" w:cs="Arial"/>
                <w:sz w:val="18"/>
                <w:szCs w:val="18"/>
              </w:rPr>
              <w:t>Rec</w:t>
            </w:r>
            <w:proofErr w:type="spellEnd"/>
            <w:r w:rsidRPr="00BB4117">
              <w:rPr>
                <w:rFonts w:ascii="Arial" w:hAnsi="Arial" w:cs="Arial"/>
                <w:sz w:val="18"/>
                <w:szCs w:val="18"/>
              </w:rPr>
              <w:t>, S</w:t>
            </w:r>
          </w:p>
          <w:p w:rsidR="003F4101" w:rsidRPr="00BB4117" w:rsidRDefault="00C00B85" w:rsidP="003324BB">
            <w:pPr>
              <w:pStyle w:val="Brdtext"/>
              <w:keepNext/>
              <w:spacing w:before="0" w:after="0"/>
              <w:rPr>
                <w:rFonts w:ascii="Arial" w:hAnsi="Arial" w:cs="Arial"/>
                <w:sz w:val="18"/>
                <w:szCs w:val="18"/>
              </w:rPr>
            </w:pPr>
            <w:r w:rsidRPr="00BB4117">
              <w:rPr>
                <w:rFonts w:ascii="Arial" w:hAnsi="Arial" w:cs="Arial"/>
                <w:sz w:val="18"/>
                <w:szCs w:val="18"/>
              </w:rPr>
              <w:t>PVDF binder, System</w:t>
            </w:r>
          </w:p>
          <w:p w:rsidR="00C00B85" w:rsidRPr="00BB4117" w:rsidRDefault="00934379" w:rsidP="003324BB">
            <w:pPr>
              <w:pStyle w:val="Brdtext"/>
              <w:keepNext/>
              <w:numPr>
                <w:ilvl w:val="0"/>
                <w:numId w:val="38"/>
              </w:numPr>
              <w:spacing w:before="0" w:after="0"/>
              <w:ind w:left="459" w:hanging="283"/>
              <w:rPr>
                <w:rFonts w:ascii="Arial" w:hAnsi="Arial" w:cs="Arial"/>
                <w:sz w:val="18"/>
                <w:szCs w:val="18"/>
              </w:rPr>
            </w:pPr>
            <w:r w:rsidRPr="00BB4117">
              <w:rPr>
                <w:rFonts w:ascii="Arial" w:hAnsi="Arial" w:cs="Arial"/>
                <w:sz w:val="18"/>
                <w:szCs w:val="18"/>
              </w:rPr>
              <w:t>Polyethylene, HDPE, granulate, at plant/RER S</w:t>
            </w:r>
          </w:p>
          <w:p w:rsidR="00934379" w:rsidRPr="00BB4117" w:rsidRDefault="00934379" w:rsidP="003324BB">
            <w:pPr>
              <w:pStyle w:val="Brdtext"/>
              <w:keepNext/>
              <w:numPr>
                <w:ilvl w:val="0"/>
                <w:numId w:val="38"/>
              </w:numPr>
              <w:spacing w:before="0" w:after="0"/>
              <w:ind w:left="459" w:hanging="283"/>
              <w:rPr>
                <w:rFonts w:ascii="Arial" w:hAnsi="Arial" w:cs="Arial"/>
                <w:sz w:val="18"/>
                <w:szCs w:val="18"/>
              </w:rPr>
            </w:pPr>
            <w:proofErr w:type="spellStart"/>
            <w:r w:rsidRPr="00BB4117">
              <w:rPr>
                <w:rFonts w:ascii="Arial" w:hAnsi="Arial" w:cs="Arial"/>
                <w:sz w:val="18"/>
                <w:szCs w:val="18"/>
              </w:rPr>
              <w:t>Tetrafluoroethylene</w:t>
            </w:r>
            <w:proofErr w:type="spellEnd"/>
            <w:r w:rsidRPr="00BB4117">
              <w:rPr>
                <w:rFonts w:ascii="Arial" w:hAnsi="Arial" w:cs="Arial"/>
                <w:sz w:val="18"/>
                <w:szCs w:val="18"/>
              </w:rPr>
              <w:t>, at plant/RER S</w:t>
            </w:r>
          </w:p>
          <w:p w:rsidR="003F4101" w:rsidRPr="00BB4117" w:rsidRDefault="00C00B85" w:rsidP="003324BB">
            <w:pPr>
              <w:pStyle w:val="Brdtext"/>
              <w:keepNext/>
              <w:spacing w:before="0" w:after="0"/>
              <w:rPr>
                <w:rFonts w:ascii="Arial" w:hAnsi="Arial" w:cs="Arial"/>
                <w:sz w:val="18"/>
                <w:szCs w:val="18"/>
              </w:rPr>
            </w:pPr>
            <w:r w:rsidRPr="00BB4117">
              <w:rPr>
                <w:rFonts w:ascii="Arial" w:hAnsi="Arial" w:cs="Arial"/>
                <w:sz w:val="18"/>
                <w:szCs w:val="18"/>
              </w:rPr>
              <w:t xml:space="preserve">N-methyl-2-pyrrolidone {GLO}| market for | </w:t>
            </w:r>
            <w:proofErr w:type="spellStart"/>
            <w:r w:rsidRPr="00BB4117">
              <w:rPr>
                <w:rFonts w:ascii="Arial" w:hAnsi="Arial" w:cs="Arial"/>
                <w:sz w:val="18"/>
                <w:szCs w:val="18"/>
              </w:rPr>
              <w:t>Alloc</w:t>
            </w:r>
            <w:proofErr w:type="spellEnd"/>
            <w:r w:rsidRPr="00BB4117">
              <w:rPr>
                <w:rFonts w:ascii="Arial" w:hAnsi="Arial" w:cs="Arial"/>
                <w:sz w:val="18"/>
                <w:szCs w:val="18"/>
              </w:rPr>
              <w:t xml:space="preserve"> </w:t>
            </w:r>
            <w:proofErr w:type="spellStart"/>
            <w:r w:rsidRPr="00BB4117">
              <w:rPr>
                <w:rFonts w:ascii="Arial" w:hAnsi="Arial" w:cs="Arial"/>
                <w:sz w:val="18"/>
                <w:szCs w:val="18"/>
              </w:rPr>
              <w:t>Rec</w:t>
            </w:r>
            <w:proofErr w:type="spellEnd"/>
            <w:r w:rsidRPr="00BB4117">
              <w:rPr>
                <w:rFonts w:ascii="Arial" w:hAnsi="Arial" w:cs="Arial"/>
                <w:sz w:val="18"/>
                <w:szCs w:val="18"/>
              </w:rPr>
              <w:t>, S</w:t>
            </w:r>
          </w:p>
          <w:p w:rsidR="00C00B85" w:rsidRPr="00BB4117" w:rsidRDefault="00C00B85" w:rsidP="003324BB">
            <w:pPr>
              <w:pStyle w:val="Brdtext"/>
              <w:keepNext/>
              <w:spacing w:before="0" w:after="0"/>
              <w:rPr>
                <w:rFonts w:ascii="Arial" w:hAnsi="Arial" w:cs="Arial"/>
                <w:sz w:val="18"/>
                <w:szCs w:val="18"/>
              </w:rPr>
            </w:pPr>
            <w:r w:rsidRPr="00BB4117">
              <w:rPr>
                <w:rFonts w:ascii="Arial" w:hAnsi="Arial" w:cs="Arial"/>
                <w:sz w:val="18"/>
                <w:szCs w:val="18"/>
              </w:rPr>
              <w:t>GDL24BC</w:t>
            </w:r>
          </w:p>
          <w:p w:rsidR="00C00B85" w:rsidRPr="00BB4117" w:rsidRDefault="00C00B85" w:rsidP="003324BB">
            <w:pPr>
              <w:pStyle w:val="Brdtext"/>
              <w:keepNext/>
              <w:numPr>
                <w:ilvl w:val="0"/>
                <w:numId w:val="37"/>
              </w:numPr>
              <w:spacing w:before="0" w:after="0"/>
              <w:ind w:left="459" w:hanging="268"/>
              <w:rPr>
                <w:rFonts w:ascii="Arial" w:hAnsi="Arial" w:cs="Arial"/>
                <w:sz w:val="18"/>
                <w:szCs w:val="18"/>
              </w:rPr>
            </w:pPr>
            <w:proofErr w:type="spellStart"/>
            <w:r w:rsidRPr="00BB4117">
              <w:rPr>
                <w:rFonts w:ascii="Arial" w:hAnsi="Arial" w:cs="Arial"/>
                <w:sz w:val="18"/>
                <w:szCs w:val="18"/>
              </w:rPr>
              <w:t>Acrylonitrile</w:t>
            </w:r>
            <w:proofErr w:type="spellEnd"/>
            <w:r w:rsidRPr="00BB4117">
              <w:rPr>
                <w:rFonts w:ascii="Arial" w:hAnsi="Arial" w:cs="Arial"/>
                <w:sz w:val="18"/>
                <w:szCs w:val="18"/>
              </w:rPr>
              <w:t xml:space="preserve">-butadiene-styrene copolymer {GLO}| market for | </w:t>
            </w:r>
            <w:proofErr w:type="spellStart"/>
            <w:r w:rsidRPr="00BB4117">
              <w:rPr>
                <w:rFonts w:ascii="Arial" w:hAnsi="Arial" w:cs="Arial"/>
                <w:sz w:val="18"/>
                <w:szCs w:val="18"/>
              </w:rPr>
              <w:t>Alloc</w:t>
            </w:r>
            <w:proofErr w:type="spellEnd"/>
            <w:r w:rsidRPr="00BB4117">
              <w:rPr>
                <w:rFonts w:ascii="Arial" w:hAnsi="Arial" w:cs="Arial"/>
                <w:sz w:val="18"/>
                <w:szCs w:val="18"/>
              </w:rPr>
              <w:t xml:space="preserve"> </w:t>
            </w:r>
            <w:proofErr w:type="spellStart"/>
            <w:r w:rsidRPr="00BB4117">
              <w:rPr>
                <w:rFonts w:ascii="Arial" w:hAnsi="Arial" w:cs="Arial"/>
                <w:sz w:val="18"/>
                <w:szCs w:val="18"/>
              </w:rPr>
              <w:t>Rec</w:t>
            </w:r>
            <w:proofErr w:type="spellEnd"/>
            <w:r w:rsidRPr="00BB4117">
              <w:rPr>
                <w:rFonts w:ascii="Arial" w:hAnsi="Arial" w:cs="Arial"/>
                <w:sz w:val="18"/>
                <w:szCs w:val="18"/>
              </w:rPr>
              <w:t>, S</w:t>
            </w:r>
          </w:p>
          <w:p w:rsidR="00C00B85" w:rsidRPr="00BB4117" w:rsidRDefault="00C00B85" w:rsidP="003324BB">
            <w:pPr>
              <w:pStyle w:val="Brdtext"/>
              <w:keepNext/>
              <w:numPr>
                <w:ilvl w:val="0"/>
                <w:numId w:val="37"/>
              </w:numPr>
              <w:spacing w:before="0" w:after="0"/>
              <w:ind w:left="459" w:hanging="268"/>
              <w:rPr>
                <w:rFonts w:ascii="Arial" w:hAnsi="Arial" w:cs="Arial"/>
                <w:sz w:val="18"/>
                <w:szCs w:val="18"/>
              </w:rPr>
            </w:pPr>
            <w:proofErr w:type="spellStart"/>
            <w:r w:rsidRPr="00BB4117">
              <w:rPr>
                <w:rFonts w:ascii="Arial" w:hAnsi="Arial" w:cs="Arial"/>
                <w:sz w:val="18"/>
                <w:szCs w:val="18"/>
              </w:rPr>
              <w:t>Tetrafluoroethylene</w:t>
            </w:r>
            <w:proofErr w:type="spellEnd"/>
            <w:r w:rsidRPr="00BB4117">
              <w:rPr>
                <w:rFonts w:ascii="Arial" w:hAnsi="Arial" w:cs="Arial"/>
                <w:sz w:val="18"/>
                <w:szCs w:val="18"/>
              </w:rPr>
              <w:t xml:space="preserve"> {GLO}| market for | </w:t>
            </w:r>
            <w:proofErr w:type="spellStart"/>
            <w:r w:rsidRPr="00BB4117">
              <w:rPr>
                <w:rFonts w:ascii="Arial" w:hAnsi="Arial" w:cs="Arial"/>
                <w:sz w:val="18"/>
                <w:szCs w:val="18"/>
              </w:rPr>
              <w:t>Alloc</w:t>
            </w:r>
            <w:proofErr w:type="spellEnd"/>
            <w:r w:rsidRPr="00BB4117">
              <w:rPr>
                <w:rFonts w:ascii="Arial" w:hAnsi="Arial" w:cs="Arial"/>
                <w:sz w:val="18"/>
                <w:szCs w:val="18"/>
              </w:rPr>
              <w:t xml:space="preserve"> </w:t>
            </w:r>
            <w:proofErr w:type="spellStart"/>
            <w:r w:rsidRPr="00BB4117">
              <w:rPr>
                <w:rFonts w:ascii="Arial" w:hAnsi="Arial" w:cs="Arial"/>
                <w:sz w:val="18"/>
                <w:szCs w:val="18"/>
              </w:rPr>
              <w:t>Rec</w:t>
            </w:r>
            <w:proofErr w:type="spellEnd"/>
            <w:r w:rsidRPr="00BB4117">
              <w:rPr>
                <w:rFonts w:ascii="Arial" w:hAnsi="Arial" w:cs="Arial"/>
                <w:sz w:val="18"/>
                <w:szCs w:val="18"/>
              </w:rPr>
              <w:t>, S</w:t>
            </w:r>
          </w:p>
          <w:p w:rsidR="00C00B85" w:rsidRPr="00BB4117" w:rsidRDefault="00C00B85" w:rsidP="003324BB">
            <w:pPr>
              <w:pStyle w:val="Brdtext"/>
              <w:keepNext/>
              <w:numPr>
                <w:ilvl w:val="0"/>
                <w:numId w:val="37"/>
              </w:numPr>
              <w:spacing w:before="0" w:after="0"/>
              <w:ind w:left="459" w:hanging="268"/>
              <w:rPr>
                <w:rFonts w:ascii="Arial" w:hAnsi="Arial" w:cs="Arial"/>
                <w:sz w:val="18"/>
                <w:szCs w:val="18"/>
              </w:rPr>
            </w:pPr>
            <w:r w:rsidRPr="00BB4117">
              <w:rPr>
                <w:rFonts w:ascii="Arial" w:hAnsi="Arial" w:cs="Arial"/>
                <w:sz w:val="18"/>
                <w:szCs w:val="18"/>
              </w:rPr>
              <w:t>Electricity, high voltage, production UCTE, at grid/UCTE S</w:t>
            </w:r>
          </w:p>
          <w:p w:rsidR="00C00B85" w:rsidRPr="00BB4117" w:rsidRDefault="00C00B85" w:rsidP="003324BB">
            <w:pPr>
              <w:pStyle w:val="Brdtext"/>
              <w:keepNext/>
              <w:numPr>
                <w:ilvl w:val="0"/>
                <w:numId w:val="37"/>
              </w:numPr>
              <w:spacing w:before="0" w:after="0"/>
              <w:ind w:left="459" w:hanging="268"/>
              <w:rPr>
                <w:rFonts w:ascii="Arial" w:hAnsi="Arial" w:cs="Arial"/>
                <w:sz w:val="18"/>
                <w:szCs w:val="18"/>
              </w:rPr>
            </w:pPr>
            <w:r w:rsidRPr="00BB4117">
              <w:rPr>
                <w:rFonts w:ascii="Arial" w:hAnsi="Arial" w:cs="Arial"/>
                <w:sz w:val="18"/>
                <w:szCs w:val="18"/>
              </w:rPr>
              <w:t xml:space="preserve">Thermoforming, with </w:t>
            </w:r>
            <w:proofErr w:type="spellStart"/>
            <w:r w:rsidRPr="00BB4117">
              <w:rPr>
                <w:rFonts w:ascii="Arial" w:hAnsi="Arial" w:cs="Arial"/>
                <w:sz w:val="18"/>
                <w:szCs w:val="18"/>
              </w:rPr>
              <w:t>calendering</w:t>
            </w:r>
            <w:proofErr w:type="spellEnd"/>
            <w:r w:rsidRPr="00BB4117">
              <w:rPr>
                <w:rFonts w:ascii="Arial" w:hAnsi="Arial" w:cs="Arial"/>
                <w:sz w:val="18"/>
                <w:szCs w:val="18"/>
              </w:rPr>
              <w:t xml:space="preserve"> {GLO}| market for | </w:t>
            </w:r>
            <w:proofErr w:type="spellStart"/>
            <w:r w:rsidRPr="00BB4117">
              <w:rPr>
                <w:rFonts w:ascii="Arial" w:hAnsi="Arial" w:cs="Arial"/>
                <w:sz w:val="18"/>
                <w:szCs w:val="18"/>
              </w:rPr>
              <w:t>Alloc</w:t>
            </w:r>
            <w:proofErr w:type="spellEnd"/>
            <w:r w:rsidRPr="00BB4117">
              <w:rPr>
                <w:rFonts w:ascii="Arial" w:hAnsi="Arial" w:cs="Arial"/>
                <w:sz w:val="18"/>
                <w:szCs w:val="18"/>
              </w:rPr>
              <w:t xml:space="preserve"> </w:t>
            </w:r>
            <w:proofErr w:type="spellStart"/>
            <w:r w:rsidRPr="00BB4117">
              <w:rPr>
                <w:rFonts w:ascii="Arial" w:hAnsi="Arial" w:cs="Arial"/>
                <w:sz w:val="18"/>
                <w:szCs w:val="18"/>
              </w:rPr>
              <w:t>Rec</w:t>
            </w:r>
            <w:proofErr w:type="spellEnd"/>
            <w:r w:rsidRPr="00BB4117">
              <w:rPr>
                <w:rFonts w:ascii="Arial" w:hAnsi="Arial" w:cs="Arial"/>
                <w:sz w:val="18"/>
                <w:szCs w:val="18"/>
              </w:rPr>
              <w:t>, S</w:t>
            </w:r>
          </w:p>
          <w:p w:rsidR="00C00B85" w:rsidRPr="00BB4117" w:rsidRDefault="00C00B85" w:rsidP="003324BB">
            <w:pPr>
              <w:pStyle w:val="Brdtext"/>
              <w:keepNext/>
              <w:spacing w:before="0" w:after="0"/>
              <w:rPr>
                <w:rFonts w:ascii="Arial" w:hAnsi="Arial" w:cs="Arial"/>
                <w:sz w:val="18"/>
                <w:szCs w:val="18"/>
              </w:rPr>
            </w:pPr>
            <w:r w:rsidRPr="00BB4117">
              <w:rPr>
                <w:rFonts w:ascii="Arial" w:hAnsi="Arial" w:cs="Arial"/>
                <w:sz w:val="18"/>
                <w:szCs w:val="18"/>
              </w:rPr>
              <w:t xml:space="preserve">Electricity, medium voltage {IT}| market for | </w:t>
            </w:r>
            <w:proofErr w:type="spellStart"/>
            <w:r w:rsidRPr="00BB4117">
              <w:rPr>
                <w:rFonts w:ascii="Arial" w:hAnsi="Arial" w:cs="Arial"/>
                <w:sz w:val="18"/>
                <w:szCs w:val="18"/>
              </w:rPr>
              <w:t>Alloc</w:t>
            </w:r>
            <w:proofErr w:type="spellEnd"/>
            <w:r w:rsidRPr="00BB4117">
              <w:rPr>
                <w:rFonts w:ascii="Arial" w:hAnsi="Arial" w:cs="Arial"/>
                <w:sz w:val="18"/>
                <w:szCs w:val="18"/>
              </w:rPr>
              <w:t xml:space="preserve"> </w:t>
            </w:r>
            <w:proofErr w:type="spellStart"/>
            <w:r w:rsidRPr="00BB4117">
              <w:rPr>
                <w:rFonts w:ascii="Arial" w:hAnsi="Arial" w:cs="Arial"/>
                <w:sz w:val="18"/>
                <w:szCs w:val="18"/>
              </w:rPr>
              <w:t>Rec</w:t>
            </w:r>
            <w:proofErr w:type="spellEnd"/>
            <w:r w:rsidRPr="00BB4117">
              <w:rPr>
                <w:rFonts w:ascii="Arial" w:hAnsi="Arial" w:cs="Arial"/>
                <w:sz w:val="18"/>
                <w:szCs w:val="18"/>
              </w:rPr>
              <w:t>, S</w:t>
            </w:r>
          </w:p>
        </w:tc>
        <w:tc>
          <w:tcPr>
            <w:tcW w:w="1560" w:type="dxa"/>
          </w:tcPr>
          <w:p w:rsidR="00B265DF" w:rsidRPr="00BB4117" w:rsidRDefault="00C00B85" w:rsidP="003324BB">
            <w:pPr>
              <w:pStyle w:val="Brdtext"/>
              <w:keepNext/>
              <w:spacing w:before="0" w:after="0"/>
              <w:rPr>
                <w:rFonts w:ascii="Arial" w:hAnsi="Arial" w:cs="Arial"/>
                <w:sz w:val="18"/>
                <w:szCs w:val="18"/>
              </w:rPr>
            </w:pPr>
            <w:r w:rsidRPr="00BB4117">
              <w:rPr>
                <w:rFonts w:ascii="Arial" w:hAnsi="Arial" w:cs="Arial"/>
                <w:sz w:val="18"/>
                <w:szCs w:val="18"/>
              </w:rPr>
              <w:t>579</w:t>
            </w:r>
          </w:p>
        </w:tc>
      </w:tr>
      <w:tr w:rsidR="00CC1D7C" w:rsidRPr="00BB4117" w:rsidTr="0052724A">
        <w:tc>
          <w:tcPr>
            <w:tcW w:w="1526" w:type="dxa"/>
          </w:tcPr>
          <w:p w:rsidR="00B265DF" w:rsidRPr="00BB4117" w:rsidRDefault="00B265DF" w:rsidP="003324BB">
            <w:pPr>
              <w:pStyle w:val="Brdtext"/>
              <w:keepNext/>
              <w:spacing w:before="0" w:after="0"/>
              <w:rPr>
                <w:rFonts w:ascii="Arial" w:hAnsi="Arial" w:cs="Arial"/>
                <w:sz w:val="18"/>
                <w:szCs w:val="18"/>
              </w:rPr>
            </w:pPr>
            <w:r w:rsidRPr="00BB4117">
              <w:rPr>
                <w:rFonts w:ascii="Arial" w:hAnsi="Arial" w:cs="Arial"/>
                <w:sz w:val="18"/>
                <w:szCs w:val="18"/>
              </w:rPr>
              <w:t>Sealing gasket, polyester and silicone</w:t>
            </w:r>
          </w:p>
        </w:tc>
        <w:tc>
          <w:tcPr>
            <w:tcW w:w="5386" w:type="dxa"/>
          </w:tcPr>
          <w:p w:rsidR="00B265DF" w:rsidRPr="00BB4117" w:rsidRDefault="00CC1D7C" w:rsidP="003324BB">
            <w:pPr>
              <w:pStyle w:val="Brdtext"/>
              <w:keepNext/>
              <w:spacing w:before="0" w:after="0"/>
              <w:rPr>
                <w:rFonts w:ascii="Arial" w:hAnsi="Arial" w:cs="Arial"/>
                <w:sz w:val="18"/>
                <w:szCs w:val="18"/>
              </w:rPr>
            </w:pPr>
            <w:r w:rsidRPr="00BB4117">
              <w:rPr>
                <w:rFonts w:ascii="Arial" w:hAnsi="Arial" w:cs="Arial"/>
                <w:sz w:val="18"/>
                <w:szCs w:val="18"/>
              </w:rPr>
              <w:t xml:space="preserve">Polyester resin, unsaturated {GLO}| market for | </w:t>
            </w:r>
            <w:proofErr w:type="spellStart"/>
            <w:r w:rsidRPr="00BB4117">
              <w:rPr>
                <w:rFonts w:ascii="Arial" w:hAnsi="Arial" w:cs="Arial"/>
                <w:sz w:val="18"/>
                <w:szCs w:val="18"/>
              </w:rPr>
              <w:t>Alloc</w:t>
            </w:r>
            <w:proofErr w:type="spellEnd"/>
            <w:r w:rsidRPr="00BB4117">
              <w:rPr>
                <w:rFonts w:ascii="Arial" w:hAnsi="Arial" w:cs="Arial"/>
                <w:sz w:val="18"/>
                <w:szCs w:val="18"/>
              </w:rPr>
              <w:t xml:space="preserve"> </w:t>
            </w:r>
            <w:proofErr w:type="spellStart"/>
            <w:r w:rsidRPr="00BB4117">
              <w:rPr>
                <w:rFonts w:ascii="Arial" w:hAnsi="Arial" w:cs="Arial"/>
                <w:sz w:val="18"/>
                <w:szCs w:val="18"/>
              </w:rPr>
              <w:t>Rec</w:t>
            </w:r>
            <w:proofErr w:type="spellEnd"/>
            <w:r w:rsidRPr="00BB4117">
              <w:rPr>
                <w:rFonts w:ascii="Arial" w:hAnsi="Arial" w:cs="Arial"/>
                <w:sz w:val="18"/>
                <w:szCs w:val="18"/>
              </w:rPr>
              <w:t>, S</w:t>
            </w:r>
          </w:p>
          <w:p w:rsidR="00CC1D7C" w:rsidRPr="00BB4117" w:rsidRDefault="00CC1D7C" w:rsidP="003324BB">
            <w:pPr>
              <w:pStyle w:val="Brdtext"/>
              <w:keepNext/>
              <w:spacing w:before="0" w:after="0"/>
              <w:rPr>
                <w:rFonts w:ascii="Arial" w:hAnsi="Arial" w:cs="Arial"/>
                <w:sz w:val="18"/>
                <w:szCs w:val="18"/>
              </w:rPr>
            </w:pPr>
            <w:r w:rsidRPr="00BB4117">
              <w:rPr>
                <w:rFonts w:ascii="Arial" w:hAnsi="Arial" w:cs="Arial"/>
                <w:sz w:val="18"/>
                <w:szCs w:val="18"/>
              </w:rPr>
              <w:t xml:space="preserve">Silicone product {GLO}| market for | </w:t>
            </w:r>
            <w:proofErr w:type="spellStart"/>
            <w:r w:rsidRPr="00BB4117">
              <w:rPr>
                <w:rFonts w:ascii="Arial" w:hAnsi="Arial" w:cs="Arial"/>
                <w:sz w:val="18"/>
                <w:szCs w:val="18"/>
              </w:rPr>
              <w:t>Alloc</w:t>
            </w:r>
            <w:proofErr w:type="spellEnd"/>
            <w:r w:rsidRPr="00BB4117">
              <w:rPr>
                <w:rFonts w:ascii="Arial" w:hAnsi="Arial" w:cs="Arial"/>
                <w:sz w:val="18"/>
                <w:szCs w:val="18"/>
              </w:rPr>
              <w:t xml:space="preserve"> </w:t>
            </w:r>
            <w:proofErr w:type="spellStart"/>
            <w:r w:rsidRPr="00BB4117">
              <w:rPr>
                <w:rFonts w:ascii="Arial" w:hAnsi="Arial" w:cs="Arial"/>
                <w:sz w:val="18"/>
                <w:szCs w:val="18"/>
              </w:rPr>
              <w:t>Rec</w:t>
            </w:r>
            <w:proofErr w:type="spellEnd"/>
            <w:r w:rsidRPr="00BB4117">
              <w:rPr>
                <w:rFonts w:ascii="Arial" w:hAnsi="Arial" w:cs="Arial"/>
                <w:sz w:val="18"/>
                <w:szCs w:val="18"/>
              </w:rPr>
              <w:t>, S</w:t>
            </w:r>
          </w:p>
          <w:p w:rsidR="00CC1D7C" w:rsidRPr="00BB4117" w:rsidRDefault="00CC1D7C" w:rsidP="003324BB">
            <w:pPr>
              <w:pStyle w:val="Brdtext"/>
              <w:keepNext/>
              <w:spacing w:before="0" w:after="0"/>
              <w:rPr>
                <w:rFonts w:ascii="Arial" w:hAnsi="Arial" w:cs="Arial"/>
                <w:sz w:val="18"/>
                <w:szCs w:val="18"/>
              </w:rPr>
            </w:pPr>
            <w:proofErr w:type="spellStart"/>
            <w:r w:rsidRPr="00BB4117">
              <w:rPr>
                <w:rFonts w:ascii="Arial" w:hAnsi="Arial" w:cs="Arial"/>
                <w:sz w:val="18"/>
                <w:szCs w:val="18"/>
              </w:rPr>
              <w:t>Calendering</w:t>
            </w:r>
            <w:proofErr w:type="spellEnd"/>
            <w:r w:rsidRPr="00BB4117">
              <w:rPr>
                <w:rFonts w:ascii="Arial" w:hAnsi="Arial" w:cs="Arial"/>
                <w:sz w:val="18"/>
                <w:szCs w:val="18"/>
              </w:rPr>
              <w:t xml:space="preserve">, rigid sheets {GLO}| market for | </w:t>
            </w:r>
            <w:proofErr w:type="spellStart"/>
            <w:r w:rsidRPr="00BB4117">
              <w:rPr>
                <w:rFonts w:ascii="Arial" w:hAnsi="Arial" w:cs="Arial"/>
                <w:sz w:val="18"/>
                <w:szCs w:val="18"/>
              </w:rPr>
              <w:t>Alloc</w:t>
            </w:r>
            <w:proofErr w:type="spellEnd"/>
            <w:r w:rsidRPr="00BB4117">
              <w:rPr>
                <w:rFonts w:ascii="Arial" w:hAnsi="Arial" w:cs="Arial"/>
                <w:sz w:val="18"/>
                <w:szCs w:val="18"/>
              </w:rPr>
              <w:t xml:space="preserve"> </w:t>
            </w:r>
            <w:proofErr w:type="spellStart"/>
            <w:r w:rsidRPr="00BB4117">
              <w:rPr>
                <w:rFonts w:ascii="Arial" w:hAnsi="Arial" w:cs="Arial"/>
                <w:sz w:val="18"/>
                <w:szCs w:val="18"/>
              </w:rPr>
              <w:t>Rec</w:t>
            </w:r>
            <w:proofErr w:type="spellEnd"/>
            <w:r w:rsidRPr="00BB4117">
              <w:rPr>
                <w:rFonts w:ascii="Arial" w:hAnsi="Arial" w:cs="Arial"/>
                <w:sz w:val="18"/>
                <w:szCs w:val="18"/>
              </w:rPr>
              <w:t>, S</w:t>
            </w:r>
          </w:p>
        </w:tc>
        <w:tc>
          <w:tcPr>
            <w:tcW w:w="1560" w:type="dxa"/>
          </w:tcPr>
          <w:p w:rsidR="00B265DF" w:rsidRPr="00BB4117" w:rsidRDefault="00CC1D7C" w:rsidP="003324BB">
            <w:pPr>
              <w:pStyle w:val="Brdtext"/>
              <w:keepNext/>
              <w:spacing w:before="0" w:after="0"/>
              <w:rPr>
                <w:rFonts w:ascii="Arial" w:hAnsi="Arial" w:cs="Arial"/>
                <w:sz w:val="18"/>
                <w:szCs w:val="18"/>
              </w:rPr>
            </w:pPr>
            <w:r w:rsidRPr="00BB4117">
              <w:rPr>
                <w:rFonts w:ascii="Arial" w:hAnsi="Arial" w:cs="Arial"/>
                <w:sz w:val="18"/>
                <w:szCs w:val="18"/>
              </w:rPr>
              <w:t>5.0</w:t>
            </w:r>
          </w:p>
        </w:tc>
      </w:tr>
      <w:tr w:rsidR="00CC1D7C" w:rsidRPr="00BB4117" w:rsidTr="0052724A">
        <w:tc>
          <w:tcPr>
            <w:tcW w:w="1526" w:type="dxa"/>
          </w:tcPr>
          <w:p w:rsidR="00B265DF" w:rsidRPr="00BB4117" w:rsidRDefault="00B265DF" w:rsidP="003324BB">
            <w:pPr>
              <w:pStyle w:val="Brdtext"/>
              <w:keepNext/>
              <w:spacing w:before="0" w:after="0"/>
              <w:rPr>
                <w:rFonts w:ascii="Arial" w:hAnsi="Arial" w:cs="Arial"/>
                <w:sz w:val="18"/>
                <w:szCs w:val="18"/>
              </w:rPr>
            </w:pPr>
            <w:r w:rsidRPr="00BB4117">
              <w:rPr>
                <w:rFonts w:ascii="Arial" w:hAnsi="Arial" w:cs="Arial"/>
                <w:sz w:val="18"/>
                <w:szCs w:val="18"/>
              </w:rPr>
              <w:t>Housing, polypropylene</w:t>
            </w:r>
          </w:p>
        </w:tc>
        <w:tc>
          <w:tcPr>
            <w:tcW w:w="5386" w:type="dxa"/>
          </w:tcPr>
          <w:p w:rsidR="00B265DF" w:rsidRPr="00BB4117" w:rsidRDefault="00CC1D7C" w:rsidP="003324BB">
            <w:pPr>
              <w:pStyle w:val="Brdtext"/>
              <w:keepNext/>
              <w:spacing w:before="0" w:after="0"/>
              <w:rPr>
                <w:rFonts w:ascii="Arial" w:hAnsi="Arial" w:cs="Arial"/>
                <w:sz w:val="18"/>
                <w:szCs w:val="18"/>
              </w:rPr>
            </w:pPr>
            <w:r w:rsidRPr="00BB4117">
              <w:rPr>
                <w:rFonts w:ascii="Arial" w:hAnsi="Arial" w:cs="Arial"/>
                <w:sz w:val="18"/>
                <w:szCs w:val="18"/>
              </w:rPr>
              <w:t xml:space="preserve">Polypropylene, granulate {GLO}| market for | </w:t>
            </w:r>
            <w:proofErr w:type="spellStart"/>
            <w:r w:rsidRPr="00BB4117">
              <w:rPr>
                <w:rFonts w:ascii="Arial" w:hAnsi="Arial" w:cs="Arial"/>
                <w:sz w:val="18"/>
                <w:szCs w:val="18"/>
              </w:rPr>
              <w:t>Alloc</w:t>
            </w:r>
            <w:proofErr w:type="spellEnd"/>
            <w:r w:rsidRPr="00BB4117">
              <w:rPr>
                <w:rFonts w:ascii="Arial" w:hAnsi="Arial" w:cs="Arial"/>
                <w:sz w:val="18"/>
                <w:szCs w:val="18"/>
              </w:rPr>
              <w:t xml:space="preserve"> </w:t>
            </w:r>
            <w:proofErr w:type="spellStart"/>
            <w:r w:rsidRPr="00BB4117">
              <w:rPr>
                <w:rFonts w:ascii="Arial" w:hAnsi="Arial" w:cs="Arial"/>
                <w:sz w:val="18"/>
                <w:szCs w:val="18"/>
              </w:rPr>
              <w:t>Rec</w:t>
            </w:r>
            <w:proofErr w:type="spellEnd"/>
            <w:r w:rsidRPr="00BB4117">
              <w:rPr>
                <w:rFonts w:ascii="Arial" w:hAnsi="Arial" w:cs="Arial"/>
                <w:sz w:val="18"/>
                <w:szCs w:val="18"/>
              </w:rPr>
              <w:t>, S</w:t>
            </w:r>
          </w:p>
          <w:p w:rsidR="00CC1D7C" w:rsidRPr="00BB4117" w:rsidRDefault="00CC1D7C" w:rsidP="003324BB">
            <w:pPr>
              <w:pStyle w:val="Brdtext"/>
              <w:keepNext/>
              <w:spacing w:before="0" w:after="0"/>
              <w:rPr>
                <w:rFonts w:ascii="Arial" w:hAnsi="Arial" w:cs="Arial"/>
                <w:sz w:val="18"/>
                <w:szCs w:val="18"/>
              </w:rPr>
            </w:pPr>
            <w:r w:rsidRPr="00BB4117">
              <w:rPr>
                <w:rFonts w:ascii="Arial" w:hAnsi="Arial" w:cs="Arial"/>
                <w:sz w:val="18"/>
                <w:szCs w:val="18"/>
              </w:rPr>
              <w:t xml:space="preserve">Injection moulding {GLO}| market for | </w:t>
            </w:r>
            <w:proofErr w:type="spellStart"/>
            <w:r w:rsidRPr="00BB4117">
              <w:rPr>
                <w:rFonts w:ascii="Arial" w:hAnsi="Arial" w:cs="Arial"/>
                <w:sz w:val="18"/>
                <w:szCs w:val="18"/>
              </w:rPr>
              <w:t>Alloc</w:t>
            </w:r>
            <w:proofErr w:type="spellEnd"/>
            <w:r w:rsidRPr="00BB4117">
              <w:rPr>
                <w:rFonts w:ascii="Arial" w:hAnsi="Arial" w:cs="Arial"/>
                <w:sz w:val="18"/>
                <w:szCs w:val="18"/>
              </w:rPr>
              <w:t xml:space="preserve"> </w:t>
            </w:r>
            <w:proofErr w:type="spellStart"/>
            <w:r w:rsidRPr="00BB4117">
              <w:rPr>
                <w:rFonts w:ascii="Arial" w:hAnsi="Arial" w:cs="Arial"/>
                <w:sz w:val="18"/>
                <w:szCs w:val="18"/>
              </w:rPr>
              <w:t>Rec</w:t>
            </w:r>
            <w:proofErr w:type="spellEnd"/>
            <w:r w:rsidRPr="00BB4117">
              <w:rPr>
                <w:rFonts w:ascii="Arial" w:hAnsi="Arial" w:cs="Arial"/>
                <w:sz w:val="18"/>
                <w:szCs w:val="18"/>
              </w:rPr>
              <w:t>, S</w:t>
            </w:r>
          </w:p>
        </w:tc>
        <w:tc>
          <w:tcPr>
            <w:tcW w:w="1560" w:type="dxa"/>
          </w:tcPr>
          <w:p w:rsidR="00B265DF" w:rsidRPr="00BB4117" w:rsidRDefault="00CC1D7C" w:rsidP="003324BB">
            <w:pPr>
              <w:pStyle w:val="Brdtext"/>
              <w:keepNext/>
              <w:spacing w:before="0" w:after="0"/>
              <w:rPr>
                <w:rFonts w:ascii="Arial" w:hAnsi="Arial" w:cs="Arial"/>
                <w:sz w:val="18"/>
                <w:szCs w:val="18"/>
              </w:rPr>
            </w:pPr>
            <w:r w:rsidRPr="00BB4117">
              <w:rPr>
                <w:rFonts w:ascii="Arial" w:hAnsi="Arial" w:cs="Arial"/>
                <w:sz w:val="18"/>
                <w:szCs w:val="18"/>
              </w:rPr>
              <w:t>3.5</w:t>
            </w:r>
          </w:p>
        </w:tc>
      </w:tr>
      <w:tr w:rsidR="00CC1D7C" w:rsidRPr="00BB4117" w:rsidTr="0052724A">
        <w:tc>
          <w:tcPr>
            <w:tcW w:w="1526" w:type="dxa"/>
          </w:tcPr>
          <w:p w:rsidR="00B265DF" w:rsidRPr="00BB4117" w:rsidRDefault="00CC1D7C" w:rsidP="003324BB">
            <w:pPr>
              <w:pStyle w:val="Brdtext"/>
              <w:keepNext/>
              <w:spacing w:before="0" w:after="0"/>
              <w:rPr>
                <w:rFonts w:ascii="Arial" w:hAnsi="Arial" w:cs="Arial"/>
                <w:sz w:val="18"/>
                <w:szCs w:val="18"/>
              </w:rPr>
            </w:pPr>
            <w:r w:rsidRPr="00BB4117">
              <w:rPr>
                <w:rFonts w:ascii="Arial" w:hAnsi="Arial" w:cs="Arial"/>
                <w:sz w:val="18"/>
                <w:szCs w:val="18"/>
              </w:rPr>
              <w:t>Cell assembly</w:t>
            </w:r>
          </w:p>
        </w:tc>
        <w:tc>
          <w:tcPr>
            <w:tcW w:w="5386" w:type="dxa"/>
          </w:tcPr>
          <w:p w:rsidR="00B265DF" w:rsidRPr="00BB4117" w:rsidRDefault="00CC1D7C" w:rsidP="003324BB">
            <w:pPr>
              <w:pStyle w:val="Brdtext"/>
              <w:keepNext/>
              <w:spacing w:before="0" w:after="0"/>
              <w:rPr>
                <w:rFonts w:ascii="Arial" w:hAnsi="Arial" w:cs="Arial"/>
                <w:sz w:val="18"/>
                <w:szCs w:val="18"/>
              </w:rPr>
            </w:pPr>
            <w:r w:rsidRPr="00BB4117">
              <w:rPr>
                <w:rFonts w:ascii="Arial" w:hAnsi="Arial" w:cs="Arial"/>
                <w:sz w:val="18"/>
                <w:szCs w:val="18"/>
              </w:rPr>
              <w:t xml:space="preserve">Electricity, medium voltage {ES}| market for | </w:t>
            </w:r>
            <w:proofErr w:type="spellStart"/>
            <w:r w:rsidRPr="00BB4117">
              <w:rPr>
                <w:rFonts w:ascii="Arial" w:hAnsi="Arial" w:cs="Arial"/>
                <w:sz w:val="18"/>
                <w:szCs w:val="18"/>
              </w:rPr>
              <w:t>Alloc</w:t>
            </w:r>
            <w:proofErr w:type="spellEnd"/>
            <w:r w:rsidRPr="00BB4117">
              <w:rPr>
                <w:rFonts w:ascii="Arial" w:hAnsi="Arial" w:cs="Arial"/>
                <w:sz w:val="18"/>
                <w:szCs w:val="18"/>
              </w:rPr>
              <w:t xml:space="preserve"> </w:t>
            </w:r>
            <w:proofErr w:type="spellStart"/>
            <w:r w:rsidRPr="00BB4117">
              <w:rPr>
                <w:rFonts w:ascii="Arial" w:hAnsi="Arial" w:cs="Arial"/>
                <w:sz w:val="18"/>
                <w:szCs w:val="18"/>
              </w:rPr>
              <w:t>Rec</w:t>
            </w:r>
            <w:proofErr w:type="spellEnd"/>
            <w:r w:rsidRPr="00BB4117">
              <w:rPr>
                <w:rFonts w:ascii="Arial" w:hAnsi="Arial" w:cs="Arial"/>
                <w:sz w:val="18"/>
                <w:szCs w:val="18"/>
              </w:rPr>
              <w:t>, S</w:t>
            </w:r>
          </w:p>
          <w:p w:rsidR="00CC1D7C" w:rsidRPr="00BB4117" w:rsidRDefault="00CC1D7C" w:rsidP="003324BB">
            <w:pPr>
              <w:pStyle w:val="Brdtext"/>
              <w:keepNext/>
              <w:spacing w:before="0" w:after="0"/>
              <w:rPr>
                <w:rFonts w:ascii="Arial" w:hAnsi="Arial" w:cs="Arial"/>
                <w:sz w:val="18"/>
                <w:szCs w:val="18"/>
              </w:rPr>
            </w:pPr>
            <w:r w:rsidRPr="00BB4117">
              <w:rPr>
                <w:rFonts w:ascii="Arial" w:hAnsi="Arial" w:cs="Arial"/>
                <w:sz w:val="18"/>
                <w:szCs w:val="18"/>
              </w:rPr>
              <w:t>Heat, central or small-scale, natural gas {Europe without Switzerland}| heat production, natural gas, at boiler atm. low-</w:t>
            </w:r>
            <w:proofErr w:type="spellStart"/>
            <w:r w:rsidRPr="00BB4117">
              <w:rPr>
                <w:rFonts w:ascii="Arial" w:hAnsi="Arial" w:cs="Arial"/>
                <w:sz w:val="18"/>
                <w:szCs w:val="18"/>
              </w:rPr>
              <w:t>NOx</w:t>
            </w:r>
            <w:proofErr w:type="spellEnd"/>
            <w:r w:rsidRPr="00BB4117">
              <w:rPr>
                <w:rFonts w:ascii="Arial" w:hAnsi="Arial" w:cs="Arial"/>
                <w:sz w:val="18"/>
                <w:szCs w:val="18"/>
              </w:rPr>
              <w:t xml:space="preserve"> condensing non-modulating &lt;100kW | </w:t>
            </w:r>
            <w:proofErr w:type="spellStart"/>
            <w:r w:rsidRPr="00BB4117">
              <w:rPr>
                <w:rFonts w:ascii="Arial" w:hAnsi="Arial" w:cs="Arial"/>
                <w:sz w:val="18"/>
                <w:szCs w:val="18"/>
              </w:rPr>
              <w:t>Alloc</w:t>
            </w:r>
            <w:proofErr w:type="spellEnd"/>
            <w:r w:rsidRPr="00BB4117">
              <w:rPr>
                <w:rFonts w:ascii="Arial" w:hAnsi="Arial" w:cs="Arial"/>
                <w:sz w:val="18"/>
                <w:szCs w:val="18"/>
              </w:rPr>
              <w:t xml:space="preserve"> </w:t>
            </w:r>
            <w:proofErr w:type="spellStart"/>
            <w:r w:rsidRPr="00BB4117">
              <w:rPr>
                <w:rFonts w:ascii="Arial" w:hAnsi="Arial" w:cs="Arial"/>
                <w:sz w:val="18"/>
                <w:szCs w:val="18"/>
              </w:rPr>
              <w:t>Rec</w:t>
            </w:r>
            <w:proofErr w:type="spellEnd"/>
            <w:r w:rsidRPr="00BB4117">
              <w:rPr>
                <w:rFonts w:ascii="Arial" w:hAnsi="Arial" w:cs="Arial"/>
                <w:sz w:val="18"/>
                <w:szCs w:val="18"/>
              </w:rPr>
              <w:t>, S</w:t>
            </w:r>
          </w:p>
        </w:tc>
        <w:tc>
          <w:tcPr>
            <w:tcW w:w="1560" w:type="dxa"/>
          </w:tcPr>
          <w:p w:rsidR="00B265DF" w:rsidRPr="00BB4117" w:rsidRDefault="00CC1D7C" w:rsidP="003324BB">
            <w:pPr>
              <w:pStyle w:val="Brdtext"/>
              <w:keepNext/>
              <w:spacing w:before="0" w:after="0"/>
              <w:rPr>
                <w:rFonts w:ascii="Arial" w:hAnsi="Arial" w:cs="Arial"/>
                <w:sz w:val="18"/>
                <w:szCs w:val="18"/>
              </w:rPr>
            </w:pPr>
            <w:r w:rsidRPr="00BB4117">
              <w:rPr>
                <w:rFonts w:ascii="Arial" w:hAnsi="Arial" w:cs="Arial"/>
                <w:sz w:val="18"/>
                <w:szCs w:val="18"/>
              </w:rPr>
              <w:t>8.0</w:t>
            </w:r>
          </w:p>
        </w:tc>
      </w:tr>
    </w:tbl>
    <w:p w:rsidR="00041D6C" w:rsidRPr="00BB4117" w:rsidRDefault="001B24C0" w:rsidP="00041D6C">
      <w:r w:rsidRPr="00BB4117">
        <w:t xml:space="preserve">Below </w:t>
      </w:r>
      <w:r w:rsidR="00335D5E" w:rsidRPr="00BB4117">
        <w:t>follows</w:t>
      </w:r>
      <w:r w:rsidRPr="00BB4117">
        <w:t xml:space="preserve"> some </w:t>
      </w:r>
      <w:r w:rsidR="00335D5E" w:rsidRPr="00BB4117">
        <w:t xml:space="preserve">more </w:t>
      </w:r>
      <w:r w:rsidRPr="00BB4117">
        <w:t xml:space="preserve">details and explanations concerning the </w:t>
      </w:r>
      <w:r w:rsidR="00A43FFF" w:rsidRPr="00BB4117">
        <w:t>modelling</w:t>
      </w:r>
      <w:r w:rsidRPr="00BB4117">
        <w:t>.</w:t>
      </w:r>
    </w:p>
    <w:p w:rsidR="0077519F" w:rsidRPr="00BB4117" w:rsidRDefault="00E55286" w:rsidP="00480641">
      <w:pPr>
        <w:pStyle w:val="Rubrik3"/>
      </w:pPr>
      <w:bookmarkStart w:id="22" w:name="_Toc428370305"/>
      <w:r w:rsidRPr="00BB4117">
        <w:t xml:space="preserve">3.1.2 </w:t>
      </w:r>
      <w:r w:rsidR="0077519F" w:rsidRPr="00BB4117">
        <w:t>Electrolyte</w:t>
      </w:r>
      <w:bookmarkEnd w:id="22"/>
    </w:p>
    <w:p w:rsidR="000D14CE" w:rsidRPr="00BB4117" w:rsidRDefault="000D14CE" w:rsidP="00672B1E">
      <w:r w:rsidRPr="00BB4117">
        <w:t xml:space="preserve">The </w:t>
      </w:r>
      <w:r w:rsidR="006F6B9F" w:rsidRPr="00BB4117">
        <w:t>lithium</w:t>
      </w:r>
      <w:r w:rsidRPr="00BB4117">
        <w:t xml:space="preserve"> </w:t>
      </w:r>
      <w:proofErr w:type="spellStart"/>
      <w:r w:rsidRPr="00BB4117">
        <w:t>perchlorate</w:t>
      </w:r>
      <w:proofErr w:type="spellEnd"/>
      <w:r w:rsidR="00DA0716" w:rsidRPr="00BB4117">
        <w:t xml:space="preserve"> </w:t>
      </w:r>
      <w:proofErr w:type="spellStart"/>
      <w:r w:rsidRPr="00BB4117">
        <w:rPr>
          <w:bCs/>
        </w:rPr>
        <w:t>tetraethylene</w:t>
      </w:r>
      <w:proofErr w:type="spellEnd"/>
      <w:r w:rsidRPr="00BB4117">
        <w:rPr>
          <w:bCs/>
        </w:rPr>
        <w:t xml:space="preserve"> glycol </w:t>
      </w:r>
      <w:proofErr w:type="spellStart"/>
      <w:r w:rsidRPr="00BB4117">
        <w:rPr>
          <w:bCs/>
        </w:rPr>
        <w:t>dimethyl</w:t>
      </w:r>
      <w:proofErr w:type="spellEnd"/>
      <w:r w:rsidRPr="00BB4117">
        <w:rPr>
          <w:bCs/>
        </w:rPr>
        <w:t xml:space="preserve"> ether</w:t>
      </w:r>
      <w:r w:rsidRPr="00BB4117">
        <w:t xml:space="preserve"> electrolyte (LiClO</w:t>
      </w:r>
      <w:r w:rsidRPr="00BB4117">
        <w:rPr>
          <w:vertAlign w:val="subscript"/>
        </w:rPr>
        <w:t>4</w:t>
      </w:r>
      <w:r w:rsidRPr="00BB4117">
        <w:t xml:space="preserve"> TEGDME) </w:t>
      </w:r>
      <w:r w:rsidR="00093539" w:rsidRPr="00BB4117">
        <w:t xml:space="preserve">is </w:t>
      </w:r>
      <w:r w:rsidRPr="00BB4117">
        <w:t>manufactured by magnetically</w:t>
      </w:r>
      <w:r w:rsidR="00411D07" w:rsidRPr="00BB4117">
        <w:t xml:space="preserve"> </w:t>
      </w:r>
      <w:r w:rsidRPr="00BB4117">
        <w:t>stirring the two commercial ingredients LiClO</w:t>
      </w:r>
      <w:r w:rsidRPr="00BB4117">
        <w:rPr>
          <w:vertAlign w:val="subscript"/>
        </w:rPr>
        <w:t>4</w:t>
      </w:r>
      <w:r w:rsidR="00AB7132" w:rsidRPr="00BB4117">
        <w:t xml:space="preserve"> </w:t>
      </w:r>
      <w:r w:rsidRPr="00BB4117">
        <w:t>and TEGDME.</w:t>
      </w:r>
      <w:r w:rsidR="00672B1E" w:rsidRPr="00BB4117">
        <w:t xml:space="preserve"> </w:t>
      </w:r>
      <w:r w:rsidRPr="00BB4117">
        <w:t xml:space="preserve">It was assumed that TEGDME is produced through reaction of ethylene oxide and </w:t>
      </w:r>
      <w:proofErr w:type="spellStart"/>
      <w:r w:rsidRPr="00BB4117">
        <w:t>dimethyl</w:t>
      </w:r>
      <w:proofErr w:type="spellEnd"/>
      <w:r w:rsidRPr="00BB4117">
        <w:t xml:space="preserve"> ether</w:t>
      </w:r>
      <w:r w:rsidR="00B67C33" w:rsidRPr="00BB4117">
        <w:t xml:space="preserve"> and with e</w:t>
      </w:r>
      <w:r w:rsidRPr="00BB4117">
        <w:t>nergy use</w:t>
      </w:r>
      <w:r w:rsidR="00D004E3" w:rsidRPr="00BB4117">
        <w:t>,</w:t>
      </w:r>
      <w:r w:rsidRPr="00BB4117">
        <w:t xml:space="preserve"> emissions</w:t>
      </w:r>
      <w:r w:rsidR="00D004E3" w:rsidRPr="00BB4117">
        <w:t xml:space="preserve"> and waste</w:t>
      </w:r>
      <w:r w:rsidRPr="00BB4117">
        <w:t xml:space="preserve"> </w:t>
      </w:r>
      <w:r w:rsidR="00B67C33" w:rsidRPr="00BB4117">
        <w:t>at</w:t>
      </w:r>
      <w:r w:rsidRPr="00BB4117">
        <w:t xml:space="preserve"> the same</w:t>
      </w:r>
      <w:r w:rsidR="00B67C33" w:rsidRPr="00BB4117">
        <w:t xml:space="preserve"> level</w:t>
      </w:r>
      <w:r w:rsidRPr="00BB4117">
        <w:t xml:space="preserve"> as in production of ethylene glycol </w:t>
      </w:r>
      <w:proofErr w:type="spellStart"/>
      <w:r w:rsidRPr="00BB4117">
        <w:t>dimethylether</w:t>
      </w:r>
      <w:proofErr w:type="spellEnd"/>
      <w:r w:rsidRPr="00BB4117">
        <w:t xml:space="preserve">. </w:t>
      </w:r>
      <w:r w:rsidR="00E80291" w:rsidRPr="00BB4117">
        <w:t xml:space="preserve">TEGDME is considered toxic. </w:t>
      </w:r>
      <w:r w:rsidR="0075700E" w:rsidRPr="00BB4117">
        <w:t>P</w:t>
      </w:r>
      <w:r w:rsidR="00E80291" w:rsidRPr="00BB4117">
        <w:t>recautions are needed</w:t>
      </w:r>
      <w:r w:rsidR="00FE7DF3" w:rsidRPr="00BB4117">
        <w:t>,</w:t>
      </w:r>
      <w:r w:rsidR="00E80291" w:rsidRPr="00BB4117">
        <w:t xml:space="preserve"> especially </w:t>
      </w:r>
      <w:r w:rsidR="00E80291" w:rsidRPr="00BB4117">
        <w:lastRenderedPageBreak/>
        <w:t xml:space="preserve">in the work environment. </w:t>
      </w:r>
      <w:r w:rsidR="00FE7DF3" w:rsidRPr="00BB4117">
        <w:t>Exposure in the w</w:t>
      </w:r>
      <w:r w:rsidR="00E80291" w:rsidRPr="00BB4117">
        <w:t xml:space="preserve">orking environment to </w:t>
      </w:r>
      <w:r w:rsidR="00C014CD" w:rsidRPr="00BB4117">
        <w:t>TEGDME</w:t>
      </w:r>
      <w:r w:rsidR="00E80291" w:rsidRPr="00BB4117">
        <w:t xml:space="preserve"> </w:t>
      </w:r>
      <w:r w:rsidR="00723684" w:rsidRPr="00BB4117">
        <w:t>wa</w:t>
      </w:r>
      <w:r w:rsidR="00E80291" w:rsidRPr="00BB4117">
        <w:t xml:space="preserve">s not </w:t>
      </w:r>
      <w:r w:rsidR="00A43FFF" w:rsidRPr="00BB4117">
        <w:t>modelled</w:t>
      </w:r>
      <w:r w:rsidR="00E80291" w:rsidRPr="00BB4117">
        <w:t xml:space="preserve"> due to lack of data.</w:t>
      </w:r>
    </w:p>
    <w:p w:rsidR="00BE08CA" w:rsidRPr="00BB4117" w:rsidRDefault="00BE08CA" w:rsidP="00D22490">
      <w:r w:rsidRPr="00BB4117">
        <w:t xml:space="preserve">Lithium </w:t>
      </w:r>
      <w:proofErr w:type="spellStart"/>
      <w:r w:rsidRPr="00BB4117">
        <w:t>perchlorate</w:t>
      </w:r>
      <w:proofErr w:type="spellEnd"/>
      <w:r w:rsidRPr="00BB4117">
        <w:t>, LiClO</w:t>
      </w:r>
      <w:r w:rsidRPr="00BB4117">
        <w:rPr>
          <w:vertAlign w:val="subscript"/>
        </w:rPr>
        <w:t>4</w:t>
      </w:r>
      <w:r w:rsidRPr="00BB4117">
        <w:t xml:space="preserve">, can be manufactured by reaction of sodium </w:t>
      </w:r>
      <w:proofErr w:type="spellStart"/>
      <w:r w:rsidRPr="00BB4117">
        <w:t>perchlorate</w:t>
      </w:r>
      <w:proofErr w:type="spellEnd"/>
      <w:r w:rsidRPr="00BB4117">
        <w:t xml:space="preserve"> (NaClO</w:t>
      </w:r>
      <w:r w:rsidRPr="00BB4117">
        <w:rPr>
          <w:vertAlign w:val="subscript"/>
        </w:rPr>
        <w:t>4</w:t>
      </w:r>
      <w:r w:rsidRPr="00BB4117">
        <w:t>) with lithium chloride.</w:t>
      </w:r>
      <w:r w:rsidR="005C4E3B" w:rsidRPr="00BB4117">
        <w:t xml:space="preserve"> The reaction needs 3 kWh electric energy/kg </w:t>
      </w:r>
      <w:proofErr w:type="spellStart"/>
      <w:r w:rsidR="005C4E3B" w:rsidRPr="00BB4117">
        <w:t>perc</w:t>
      </w:r>
      <w:r w:rsidR="00A43FFF">
        <w:t>h</w:t>
      </w:r>
      <w:r w:rsidR="005C4E3B" w:rsidRPr="00BB4117">
        <w:t>lorate</w:t>
      </w:r>
      <w:proofErr w:type="spellEnd"/>
      <w:r w:rsidR="005C4E3B" w:rsidRPr="00BB4117">
        <w:t xml:space="preserve"> </w:t>
      </w:r>
      <w:r w:rsidR="00524197" w:rsidRPr="00BB4117">
        <w:fldChar w:fldCharType="begin" w:fldLock="1"/>
      </w:r>
      <w:r w:rsidR="00141E81" w:rsidRPr="00BB4117">
        <w:instrText>ADDIN CSL_CITATION { "citationItems" : [ { "id" : "ITEM-1", "itemData" : { "author" : [ { "dropping-particle" : "", "family" : "Vogt", "given" : "Helmut", "non-dropping-particle" : "", "parse-names" : false, "suffix" : "" }, { "dropping-particle" : "", "family" : "Balej", "given" : "Jan", "non-dropping-particle" : "", "parse-names" : false, "suffix" : "" } ], "container-title" : "ULLMANN\u00b4S Encyclopedia of Industrial Energy", "id" : "ITEM-1", "issued" : { "date-parts" : [ [ "2000" ] ] }, "title" : "Chlorine Oxides and Chlorine Oxygen Acids", "type" : "entry-encyclopedia" }, "uris" : [ "http://www.mendeley.com/documents/?uuid=6ad92ef1-e0d7-465b-bc9a-d891adb6bc8a" ] } ], "mendeley" : { "formattedCitation" : "(Vogt &amp; Balej 2000)", "plainTextFormattedCitation" : "(Vogt &amp; Balej 2000)", "previouslyFormattedCitation" : "(Vogt &amp; Balej 2000)" }, "properties" : { "noteIndex" : 0 }, "schema" : "https://github.com/citation-style-language/schema/raw/master/csl-citation.json" }</w:instrText>
      </w:r>
      <w:r w:rsidR="00524197" w:rsidRPr="00BB4117">
        <w:fldChar w:fldCharType="separate"/>
      </w:r>
      <w:r w:rsidR="0016589C" w:rsidRPr="00BB4117">
        <w:rPr>
          <w:noProof/>
        </w:rPr>
        <w:t>(Vogt &amp; Balej 2000)</w:t>
      </w:r>
      <w:r w:rsidR="00524197" w:rsidRPr="00BB4117">
        <w:fldChar w:fldCharType="end"/>
      </w:r>
      <w:r w:rsidR="00D510FA" w:rsidRPr="00BB4117">
        <w:t>.</w:t>
      </w:r>
      <w:r w:rsidRPr="00BB4117">
        <w:t xml:space="preserve"> </w:t>
      </w:r>
      <w:r w:rsidR="0016589C" w:rsidRPr="00BB4117">
        <w:t xml:space="preserve">The amounts were calculated by </w:t>
      </w:r>
      <w:proofErr w:type="spellStart"/>
      <w:r w:rsidR="0016589C" w:rsidRPr="00BB4117">
        <w:t>stochiometric</w:t>
      </w:r>
      <w:proofErr w:type="spellEnd"/>
      <w:r w:rsidR="0016589C" w:rsidRPr="00BB4117">
        <w:t xml:space="preserve"> calculation</w:t>
      </w:r>
      <w:r w:rsidR="00B67C33" w:rsidRPr="00BB4117">
        <w:t>.</w:t>
      </w:r>
    </w:p>
    <w:p w:rsidR="003F20E1" w:rsidRPr="00BB4117" w:rsidRDefault="000B2D0D" w:rsidP="00480641">
      <w:pPr>
        <w:pStyle w:val="Rubrik3"/>
      </w:pPr>
      <w:bookmarkStart w:id="23" w:name="_Toc428370306"/>
      <w:r w:rsidRPr="00BB4117">
        <w:t>3.1.3</w:t>
      </w:r>
      <w:r w:rsidR="00E55286" w:rsidRPr="00BB4117">
        <w:t xml:space="preserve"> </w:t>
      </w:r>
      <w:r w:rsidR="003F20E1" w:rsidRPr="00BB4117">
        <w:t>Separator</w:t>
      </w:r>
      <w:bookmarkEnd w:id="23"/>
    </w:p>
    <w:p w:rsidR="00F8170A" w:rsidRPr="00BB4117" w:rsidRDefault="00010FCD" w:rsidP="00041D6C">
      <w:pPr>
        <w:pStyle w:val="Brdtext"/>
      </w:pPr>
      <w:r w:rsidRPr="00BB4117">
        <w:t xml:space="preserve">The commercial Celgard separator is made of polypropylene, presumably by </w:t>
      </w:r>
      <w:r w:rsidR="00F8170A" w:rsidRPr="00BB4117">
        <w:t xml:space="preserve">film extrusion. </w:t>
      </w:r>
    </w:p>
    <w:p w:rsidR="00303B38" w:rsidRPr="00BB4117" w:rsidRDefault="000B2D0D" w:rsidP="00480641">
      <w:pPr>
        <w:pStyle w:val="Rubrik3"/>
      </w:pPr>
      <w:bookmarkStart w:id="24" w:name="_Toc428370307"/>
      <w:r w:rsidRPr="00BB4117">
        <w:t>3.1.4</w:t>
      </w:r>
      <w:r w:rsidR="00E55286" w:rsidRPr="00BB4117">
        <w:t xml:space="preserve"> </w:t>
      </w:r>
      <w:r w:rsidR="00303B38" w:rsidRPr="00BB4117">
        <w:t>Cathode</w:t>
      </w:r>
      <w:bookmarkEnd w:id="24"/>
    </w:p>
    <w:p w:rsidR="00C94C57" w:rsidRPr="00BB4117" w:rsidRDefault="003142AB" w:rsidP="00636F40">
      <w:pPr>
        <w:pStyle w:val="Brdtext"/>
      </w:pPr>
      <w:r w:rsidRPr="00BB4117">
        <w:t>The cathode consists of</w:t>
      </w:r>
      <w:r w:rsidR="00050682" w:rsidRPr="00BB4117">
        <w:t xml:space="preserve"> a</w:t>
      </w:r>
      <w:r w:rsidRPr="00BB4117">
        <w:t xml:space="preserve"> layer of </w:t>
      </w:r>
      <w:r w:rsidR="00090047" w:rsidRPr="00BB4117">
        <w:t>cobalt</w:t>
      </w:r>
      <w:r w:rsidR="00077304" w:rsidRPr="00BB4117">
        <w:t xml:space="preserve"> </w:t>
      </w:r>
      <w:r w:rsidRPr="00BB4117">
        <w:t xml:space="preserve">oxide </w:t>
      </w:r>
      <w:r w:rsidR="00941E49" w:rsidRPr="00BB4117">
        <w:t>(</w:t>
      </w:r>
      <w:proofErr w:type="gramStart"/>
      <w:r w:rsidR="00941E49" w:rsidRPr="00BB4117">
        <w:t>C</w:t>
      </w:r>
      <w:r w:rsidR="00077304" w:rsidRPr="00BB4117">
        <w:t>o</w:t>
      </w:r>
      <w:r w:rsidR="00941E49" w:rsidRPr="00BB4117">
        <w:rPr>
          <w:vertAlign w:val="subscript"/>
        </w:rPr>
        <w:t>3</w:t>
      </w:r>
      <w:r w:rsidR="00941E49" w:rsidRPr="00BB4117">
        <w:t>O</w:t>
      </w:r>
      <w:r w:rsidR="00941E49" w:rsidRPr="00BB4117">
        <w:rPr>
          <w:vertAlign w:val="subscript"/>
        </w:rPr>
        <w:t xml:space="preserve">4 </w:t>
      </w:r>
      <w:r w:rsidR="00941E49" w:rsidRPr="00BB4117">
        <w:t>)</w:t>
      </w:r>
      <w:proofErr w:type="gramEnd"/>
      <w:r w:rsidR="001410DF" w:rsidRPr="00BB4117">
        <w:t xml:space="preserve"> </w:t>
      </w:r>
      <w:proofErr w:type="spellStart"/>
      <w:r w:rsidRPr="00BB4117">
        <w:t>nanoparticles</w:t>
      </w:r>
      <w:proofErr w:type="spellEnd"/>
      <w:r w:rsidRPr="00BB4117">
        <w:t xml:space="preserve"> spread on a </w:t>
      </w:r>
      <w:r w:rsidR="00F76F1F" w:rsidRPr="00BB4117">
        <w:t xml:space="preserve">commercial </w:t>
      </w:r>
      <w:r w:rsidRPr="00BB4117">
        <w:t>gas diffusion layer</w:t>
      </w:r>
      <w:r w:rsidR="0019447B" w:rsidRPr="00BB4117">
        <w:t>.</w:t>
      </w:r>
      <w:r w:rsidR="00050682" w:rsidRPr="00BB4117">
        <w:t xml:space="preserve"> The </w:t>
      </w:r>
      <w:proofErr w:type="spellStart"/>
      <w:r w:rsidR="00050682" w:rsidRPr="00BB4117">
        <w:t>nanoparticles</w:t>
      </w:r>
      <w:proofErr w:type="spellEnd"/>
      <w:r w:rsidR="00050682" w:rsidRPr="00BB4117">
        <w:t xml:space="preserve"> were manufactured in semi-industrial scale </w:t>
      </w:r>
      <w:r w:rsidR="001410DF" w:rsidRPr="00BB4117">
        <w:t xml:space="preserve">using flame spray </w:t>
      </w:r>
      <w:proofErr w:type="spellStart"/>
      <w:r w:rsidR="001410DF" w:rsidRPr="00BB4117">
        <w:t>pyrolysis</w:t>
      </w:r>
      <w:proofErr w:type="spellEnd"/>
      <w:r w:rsidR="001410DF" w:rsidRPr="00BB4117">
        <w:t xml:space="preserve"> </w:t>
      </w:r>
      <w:r w:rsidR="00050682" w:rsidRPr="00BB4117">
        <w:t xml:space="preserve">and mixed with commercial </w:t>
      </w:r>
      <w:r w:rsidR="0003183D" w:rsidRPr="00BB4117">
        <w:t>multi-walled</w:t>
      </w:r>
      <w:r w:rsidR="00050682" w:rsidRPr="00BB4117">
        <w:t xml:space="preserve"> carbon </w:t>
      </w:r>
      <w:proofErr w:type="spellStart"/>
      <w:r w:rsidR="00050682" w:rsidRPr="00BB4117">
        <w:t>nanotubes</w:t>
      </w:r>
      <w:proofErr w:type="spellEnd"/>
      <w:r w:rsidR="00FE7DF3" w:rsidRPr="00BB4117">
        <w:t>.</w:t>
      </w:r>
      <w:r w:rsidR="001410DF" w:rsidRPr="00BB4117">
        <w:t xml:space="preserve"> Production technology for the commercial </w:t>
      </w:r>
      <w:bookmarkStart w:id="25" w:name="OLE_LINK2"/>
      <w:bookmarkStart w:id="26" w:name="OLE_LINK3"/>
      <w:r w:rsidR="0003183D" w:rsidRPr="00BB4117">
        <w:t>multi-walled</w:t>
      </w:r>
      <w:r w:rsidR="001410DF" w:rsidRPr="00BB4117">
        <w:t xml:space="preserve"> carbon </w:t>
      </w:r>
      <w:proofErr w:type="spellStart"/>
      <w:r w:rsidR="001410DF" w:rsidRPr="00BB4117">
        <w:t>nanotubes</w:t>
      </w:r>
      <w:proofErr w:type="spellEnd"/>
      <w:r w:rsidR="001410DF" w:rsidRPr="00BB4117">
        <w:t xml:space="preserve"> </w:t>
      </w:r>
      <w:bookmarkEnd w:id="25"/>
      <w:bookmarkEnd w:id="26"/>
      <w:r w:rsidR="001410DF" w:rsidRPr="00BB4117">
        <w:t xml:space="preserve">was assumed to </w:t>
      </w:r>
      <w:r w:rsidR="00077304" w:rsidRPr="00BB4117">
        <w:t xml:space="preserve">match the </w:t>
      </w:r>
      <w:r w:rsidR="001410DF" w:rsidRPr="00BB4117">
        <w:t>floating catalyst chemical vapour deposition</w:t>
      </w:r>
      <w:r w:rsidR="0003183D" w:rsidRPr="00BB4117">
        <w:t>. A</w:t>
      </w:r>
      <w:r w:rsidR="00077304" w:rsidRPr="00BB4117">
        <w:t>ssociated e</w:t>
      </w:r>
      <w:r w:rsidR="001410DF" w:rsidRPr="00BB4117">
        <w:t xml:space="preserve">nergy requirements </w:t>
      </w:r>
      <w:r w:rsidR="00077304" w:rsidRPr="00BB4117">
        <w:t xml:space="preserve">were obtained </w:t>
      </w:r>
      <w:r w:rsidR="001410DF" w:rsidRPr="00BB4117">
        <w:t xml:space="preserve">from </w:t>
      </w:r>
      <w:r w:rsidR="00524197" w:rsidRPr="00BB4117">
        <w:fldChar w:fldCharType="begin" w:fldLock="1"/>
      </w:r>
      <w:r w:rsidR="001410DF" w:rsidRPr="00BB4117">
        <w:instrText>ADDIN CSL_CITATION { "citationItems" : [ { "id" : "ITEM-1", "itemData" : { "DOI" : "10.1111/j.1530-9290.2008.00057.x", "ISSN" : "10881980", "author" : [ { "dropping-particle" : "", "family" : "Kushnir", "given" : "Duncan", "non-dropping-particle" : "", "parse-names" : false, "suffix" : "" }, { "dropping-particle" : "", "family" : "Sand\u00e9n", "given" : "Bj\u00f6rn a.", "non-dropping-particle" : "", "parse-names" : false, "suffix" : "" } ], "container-title" : "Journal of Industrial Ecology", "id" : "ITEM-1", "issue" : "3", "issued" : { "date-parts" : [ [ "2008", "6" ] ] }, "page" : "360-375", "title" : "Energy Requirements of Carbon Nanoparticle Production", "type" : "article-journal", "volume" : "12" }, "uris" : [ "http://www.mendeley.com/documents/?uuid=b5e32b59-a473-4d2e-b2c3-cb3c45d62bbf" ] } ], "mendeley" : { "formattedCitation" : "(Kushnir &amp; Sand\u00e9n 2008)", "plainTextFormattedCitation" : "(Kushnir &amp; Sand\u00e9n 2008)", "previouslyFormattedCitation" : "(Kushnir &amp; Sand\u00e9n 2008)" }, "properties" : { "noteIndex" : 0 }, "schema" : "https://github.com/citation-style-language/schema/raw/master/csl-citation.json" }</w:instrText>
      </w:r>
      <w:r w:rsidR="00524197" w:rsidRPr="00BB4117">
        <w:fldChar w:fldCharType="separate"/>
      </w:r>
      <w:r w:rsidR="001410DF" w:rsidRPr="00BB4117">
        <w:rPr>
          <w:noProof/>
        </w:rPr>
        <w:t>(Kushnir &amp; Sandén 2008)</w:t>
      </w:r>
      <w:r w:rsidR="00524197" w:rsidRPr="00BB4117">
        <w:fldChar w:fldCharType="end"/>
      </w:r>
      <w:r w:rsidR="00050682" w:rsidRPr="00BB4117">
        <w:t xml:space="preserve">. </w:t>
      </w:r>
    </w:p>
    <w:p w:rsidR="00A056A5" w:rsidRPr="00BB4117" w:rsidRDefault="00050682" w:rsidP="00A056A5">
      <w:pPr>
        <w:pStyle w:val="Brdtext"/>
      </w:pPr>
      <w:r w:rsidRPr="00BB4117">
        <w:t>Th</w:t>
      </w:r>
      <w:r w:rsidR="00C94C57" w:rsidRPr="00BB4117">
        <w:t>e</w:t>
      </w:r>
      <w:r w:rsidRPr="00BB4117">
        <w:t xml:space="preserve"> </w:t>
      </w:r>
      <w:r w:rsidR="007E4061" w:rsidRPr="00BB4117">
        <w:t>cobalt</w:t>
      </w:r>
      <w:r w:rsidR="003D5018" w:rsidRPr="00BB4117">
        <w:t xml:space="preserve"> </w:t>
      </w:r>
      <w:r w:rsidR="007E4061" w:rsidRPr="00BB4117">
        <w:t xml:space="preserve">oxide </w:t>
      </w:r>
      <w:proofErr w:type="spellStart"/>
      <w:r w:rsidR="007E4061" w:rsidRPr="00BB4117">
        <w:t>nanoparticles</w:t>
      </w:r>
      <w:proofErr w:type="spellEnd"/>
      <w:r w:rsidR="007E4061" w:rsidRPr="00BB4117">
        <w:t xml:space="preserve"> and the </w:t>
      </w:r>
      <w:r w:rsidR="0003183D" w:rsidRPr="00BB4117">
        <w:t>multi-walled</w:t>
      </w:r>
      <w:r w:rsidR="007E4061" w:rsidRPr="00BB4117">
        <w:t xml:space="preserve"> carbon </w:t>
      </w:r>
      <w:proofErr w:type="spellStart"/>
      <w:r w:rsidR="007E4061" w:rsidRPr="00BB4117">
        <w:t>nanotubes</w:t>
      </w:r>
      <w:proofErr w:type="spellEnd"/>
      <w:r w:rsidR="007E4061" w:rsidRPr="00BB4117">
        <w:t xml:space="preserve"> </w:t>
      </w:r>
      <w:r w:rsidR="003D5018" w:rsidRPr="00BB4117">
        <w:t xml:space="preserve">were </w:t>
      </w:r>
      <w:r w:rsidR="007E4061" w:rsidRPr="00BB4117">
        <w:t>mix</w:t>
      </w:r>
      <w:r w:rsidR="003637B1" w:rsidRPr="00BB4117">
        <w:t xml:space="preserve">ed with </w:t>
      </w:r>
      <w:r w:rsidR="002549EC" w:rsidRPr="00BB4117">
        <w:t>N-Methyl-2-pyrrolidone (</w:t>
      </w:r>
      <w:r w:rsidR="003637B1" w:rsidRPr="00BB4117">
        <w:t>NMP</w:t>
      </w:r>
      <w:r w:rsidR="002549EC" w:rsidRPr="00BB4117">
        <w:t>)</w:t>
      </w:r>
      <w:r w:rsidR="003637B1" w:rsidRPr="00BB4117">
        <w:t xml:space="preserve"> into slurry and cast on a commercial gas diffusion layer, GDL24BC</w:t>
      </w:r>
      <w:r w:rsidR="00723684" w:rsidRPr="00BB4117">
        <w:t xml:space="preserve">. </w:t>
      </w:r>
      <w:r w:rsidR="00A40DAD" w:rsidRPr="00BB4117">
        <w:t>The mixing and casting was done at laboratory scale</w:t>
      </w:r>
      <w:r w:rsidR="00A056A5" w:rsidRPr="00BB4117">
        <w:t xml:space="preserve"> </w:t>
      </w:r>
      <w:r w:rsidR="003D5018" w:rsidRPr="00BB4117">
        <w:t xml:space="preserve">in </w:t>
      </w:r>
      <w:r w:rsidR="00A056A5" w:rsidRPr="00BB4117">
        <w:t>wh</w:t>
      </w:r>
      <w:r w:rsidR="00754F4A" w:rsidRPr="00BB4117">
        <w:t>ich</w:t>
      </w:r>
      <w:r w:rsidR="00A056A5" w:rsidRPr="00BB4117">
        <w:t xml:space="preserve"> the electricity </w:t>
      </w:r>
      <w:r w:rsidR="003D5018" w:rsidRPr="00BB4117">
        <w:t xml:space="preserve">demand for processing </w:t>
      </w:r>
      <w:r w:rsidR="00A056A5" w:rsidRPr="00BB4117">
        <w:t>is time rather than mass depend</w:t>
      </w:r>
      <w:r w:rsidR="00093539" w:rsidRPr="00BB4117">
        <w:t>e</w:t>
      </w:r>
      <w:r w:rsidR="00A056A5" w:rsidRPr="00BB4117">
        <w:t xml:space="preserve">nt. </w:t>
      </w:r>
      <w:r w:rsidR="00870F6C" w:rsidRPr="00BB4117">
        <w:t xml:space="preserve">It was assumed that the </w:t>
      </w:r>
      <w:r w:rsidR="00941E49" w:rsidRPr="00BB4117">
        <w:t xml:space="preserve">amount of product </w:t>
      </w:r>
      <w:r w:rsidR="00870F6C" w:rsidRPr="00BB4117">
        <w:t>could be</w:t>
      </w:r>
      <w:r w:rsidR="00644F5B" w:rsidRPr="00BB4117">
        <w:t xml:space="preserve"> </w:t>
      </w:r>
      <w:r w:rsidR="003D5018" w:rsidRPr="00BB4117">
        <w:t>up-</w:t>
      </w:r>
      <w:r w:rsidR="00644F5B" w:rsidRPr="00BB4117">
        <w:t xml:space="preserve">scaled </w:t>
      </w:r>
      <w:r w:rsidR="003D5018" w:rsidRPr="00BB4117">
        <w:t xml:space="preserve">by a factor of </w:t>
      </w:r>
      <w:r w:rsidR="00644F5B" w:rsidRPr="00BB4117">
        <w:t xml:space="preserve">100 </w:t>
      </w:r>
      <w:r w:rsidR="003D5018" w:rsidRPr="00BB4117">
        <w:t>using</w:t>
      </w:r>
      <w:r w:rsidR="00644F5B" w:rsidRPr="00BB4117">
        <w:t xml:space="preserve"> the same equipment </w:t>
      </w:r>
      <w:r w:rsidR="003D5018" w:rsidRPr="00BB4117">
        <w:t>and</w:t>
      </w:r>
      <w:r w:rsidR="00644F5B" w:rsidRPr="00BB4117">
        <w:t xml:space="preserve"> energy, thus </w:t>
      </w:r>
      <w:r w:rsidR="003D5018" w:rsidRPr="00BB4117">
        <w:t xml:space="preserve">reducing the overall power demands by </w:t>
      </w:r>
      <w:r w:rsidR="0003183D" w:rsidRPr="00BB4117">
        <w:t xml:space="preserve">a factor </w:t>
      </w:r>
      <w:r w:rsidR="00644F5B" w:rsidRPr="00BB4117">
        <w:t>100</w:t>
      </w:r>
      <w:r w:rsidR="00914A73" w:rsidRPr="00BB4117">
        <w:t>.</w:t>
      </w:r>
    </w:p>
    <w:p w:rsidR="00264AE7" w:rsidRPr="00BB4117" w:rsidRDefault="00AF2CD4" w:rsidP="00264AE7">
      <w:pPr>
        <w:pStyle w:val="Brdtext"/>
      </w:pPr>
      <w:r w:rsidRPr="00BB4117">
        <w:t xml:space="preserve">It should be noted that NMP is volatile, flammable, </w:t>
      </w:r>
      <w:r w:rsidR="003B6E99" w:rsidRPr="00BB4117">
        <w:t>damaging</w:t>
      </w:r>
      <w:r w:rsidR="0082663A" w:rsidRPr="00BB4117">
        <w:t xml:space="preserve"> to reproductive systems</w:t>
      </w:r>
      <w:r w:rsidR="007B0947" w:rsidRPr="00BB4117">
        <w:t xml:space="preserve"> and restricted in many countries</w:t>
      </w:r>
      <w:r w:rsidR="00745EAB" w:rsidRPr="00BB4117">
        <w:t xml:space="preserve"> </w:t>
      </w:r>
      <w:r w:rsidR="00524197" w:rsidRPr="00BB4117">
        <w:fldChar w:fldCharType="begin" w:fldLock="1"/>
      </w:r>
      <w:r w:rsidR="00F8116B" w:rsidRPr="00BB4117">
        <w:instrText>ADDIN CSL_CITATION { "citationItems" : [ { "id" : "ITEM-1", "itemData" : { "author" : [ { "dropping-particle" : "", "family" : "Posner", "given" : "Stefan", "non-dropping-particle" : "", "parse-names" : false, "suffix" : "" } ], "id" : "ITEM-1", "issue" : "Version 090707", "issued" : { "date-parts" : [ [ "2009" ] ] }, "publisher" : "Swerea IVF", "publisher-place" : "M\u00f6lndal", "title" : "Riskanalys av kemikalier vid tillverkning av litiumjonbatterier", "type" : "report" }, "uris" : [ "http://www.mendeley.com/documents/?uuid=7bb56338-95e6-4707-88a0-0b1ebfc6d48b" ] } ], "mendeley" : { "formattedCitation" : "(Posner 2009)", "plainTextFormattedCitation" : "(Posner 2009)", "previouslyFormattedCitation" : "(Posner 2009)" }, "properties" : { "noteIndex" : 0 }, "schema" : "https://github.com/citation-style-language/schema/raw/master/csl-citation.json" }</w:instrText>
      </w:r>
      <w:r w:rsidR="00524197" w:rsidRPr="00BB4117">
        <w:fldChar w:fldCharType="separate"/>
      </w:r>
      <w:r w:rsidR="00745EAB" w:rsidRPr="00BB4117">
        <w:rPr>
          <w:noProof/>
        </w:rPr>
        <w:t>(Posner 2009)</w:t>
      </w:r>
      <w:r w:rsidR="00524197" w:rsidRPr="00BB4117">
        <w:fldChar w:fldCharType="end"/>
      </w:r>
      <w:r w:rsidRPr="00BB4117">
        <w:t xml:space="preserve">. </w:t>
      </w:r>
      <w:r w:rsidR="003B6E99" w:rsidRPr="00BB4117">
        <w:t>P</w:t>
      </w:r>
      <w:r w:rsidRPr="00BB4117">
        <w:t>recautions</w:t>
      </w:r>
      <w:r w:rsidR="003B6E99" w:rsidRPr="00BB4117">
        <w:t xml:space="preserve"> against inhalation and skin exposure</w:t>
      </w:r>
      <w:r w:rsidRPr="00BB4117">
        <w:t xml:space="preserve"> are needed in the work environment. </w:t>
      </w:r>
      <w:r w:rsidR="00870F6C" w:rsidRPr="00BB4117">
        <w:t>It was assumed that the NMP was burnt off. The associated CO</w:t>
      </w:r>
      <w:r w:rsidR="00870F6C" w:rsidRPr="00BB4117">
        <w:rPr>
          <w:vertAlign w:val="subscript"/>
        </w:rPr>
        <w:t>2</w:t>
      </w:r>
      <w:r w:rsidR="00870F6C" w:rsidRPr="00BB4117">
        <w:t xml:space="preserve"> </w:t>
      </w:r>
      <w:r w:rsidR="00C01E46" w:rsidRPr="00BB4117">
        <w:t>emissions were</w:t>
      </w:r>
      <w:r w:rsidR="00870F6C" w:rsidRPr="00BB4117">
        <w:t xml:space="preserve"> included in the model by molar calculation.</w:t>
      </w:r>
      <w:r w:rsidR="00264AE7" w:rsidRPr="00BB4117">
        <w:t xml:space="preserve"> </w:t>
      </w:r>
    </w:p>
    <w:p w:rsidR="00644F5B" w:rsidRPr="00BB4117" w:rsidRDefault="00264AE7" w:rsidP="00870F6C">
      <w:pPr>
        <w:pStyle w:val="Brdtext"/>
      </w:pPr>
      <w:r w:rsidRPr="00BB4117">
        <w:t xml:space="preserve">The model of the gas diffusion layer builds on information in </w:t>
      </w:r>
      <w:r w:rsidR="003D5018" w:rsidRPr="00BB4117">
        <w:t xml:space="preserve">associated </w:t>
      </w:r>
      <w:r w:rsidRPr="00BB4117">
        <w:t xml:space="preserve">product sheets and approximations. </w:t>
      </w:r>
    </w:p>
    <w:p w:rsidR="009D267C" w:rsidRPr="00BB4117" w:rsidRDefault="00E55286" w:rsidP="00480641">
      <w:pPr>
        <w:pStyle w:val="Rubrik3"/>
      </w:pPr>
      <w:bookmarkStart w:id="27" w:name="_Toc428370308"/>
      <w:r w:rsidRPr="00BB4117">
        <w:t>3.1.</w:t>
      </w:r>
      <w:r w:rsidR="00BF1DD8" w:rsidRPr="00BB4117">
        <w:t>5</w:t>
      </w:r>
      <w:r w:rsidRPr="00BB4117">
        <w:t xml:space="preserve"> </w:t>
      </w:r>
      <w:r w:rsidR="00047805" w:rsidRPr="00BB4117">
        <w:t>Cell electronics</w:t>
      </w:r>
      <w:r w:rsidR="00161526" w:rsidRPr="00BB4117">
        <w:t xml:space="preserve"> and oxygen supply</w:t>
      </w:r>
      <w:bookmarkEnd w:id="27"/>
    </w:p>
    <w:p w:rsidR="00047805" w:rsidRPr="00BB4117" w:rsidRDefault="001553DC" w:rsidP="00047805">
      <w:pPr>
        <w:pStyle w:val="Brdtext"/>
      </w:pPr>
      <w:r w:rsidRPr="00BB4117">
        <w:t>C</w:t>
      </w:r>
      <w:r w:rsidR="00047805" w:rsidRPr="00BB4117">
        <w:t>ell electronics</w:t>
      </w:r>
      <w:r w:rsidRPr="00BB4117">
        <w:t xml:space="preserve"> and the oxygen supply</w:t>
      </w:r>
      <w:r w:rsidR="00047805" w:rsidRPr="00BB4117">
        <w:t xml:space="preserve"> were</w:t>
      </w:r>
      <w:r w:rsidRPr="00BB4117">
        <w:t xml:space="preserve"> not </w:t>
      </w:r>
      <w:r w:rsidR="00BB4117" w:rsidRPr="00BB4117">
        <w:t>modelled</w:t>
      </w:r>
      <w:r w:rsidRPr="00BB4117">
        <w:t>. Controlled oxygen supply is</w:t>
      </w:r>
      <w:r w:rsidR="00047805" w:rsidRPr="00BB4117">
        <w:t xml:space="preserve"> assumed </w:t>
      </w:r>
      <w:r w:rsidRPr="00BB4117">
        <w:t xml:space="preserve">not </w:t>
      </w:r>
      <w:r w:rsidR="00047805" w:rsidRPr="00BB4117">
        <w:t xml:space="preserve">to be </w:t>
      </w:r>
      <w:r w:rsidRPr="00BB4117">
        <w:t>needed in future lithium-air cells which will take their oxygen from ambient air</w:t>
      </w:r>
      <w:r w:rsidR="009B58C8" w:rsidRPr="00BB4117">
        <w:t xml:space="preserve">, though there is a growing consensus that the only practical lithium-air system will be a closed </w:t>
      </w:r>
      <w:r w:rsidR="00FE39E0" w:rsidRPr="00BB4117">
        <w:t>lithium-oxygen</w:t>
      </w:r>
      <w:r w:rsidR="00F848EC" w:rsidRPr="00BB4117">
        <w:t xml:space="preserve"> system </w:t>
      </w:r>
      <w:r w:rsidR="00524197" w:rsidRPr="00BB4117">
        <w:fldChar w:fldCharType="begin" w:fldLock="1"/>
      </w:r>
      <w:r w:rsidR="002A31FA" w:rsidRPr="00BB4117">
        <w:instrText>ADDIN CSL_CITATION { "citationItems" : [ { "id" : "ITEM-1", "itemData" : { "DOI" : "10.1039/c3ee43870h", "ISBN" : "1754-5692\\r1754-5706", "ISSN" : "1754-5692", "abstract" : "Quantifying the promise of lithium\u2013air batteries for electric vehicles\u2020 Kevin G. Gallagher,*ab Steven Goebel,\u2021ac Thomas Greszler,\u00a7ac Mark Mathias,ac Wolfgang Oelerich,{ ad Damla Erogluab and Venkat Srinivasanae Researchers worldwide view the high theoretical specific energy of the lithium\u2013air or lithium\u2013oxygen battery as a promising path to a transformational energy-storage system for electric vehicles. Here, we present a self-consistent material-to-system analysis of the best-case mass, volume, and cost values for the nonaqueous lithium\u2013oxygen battery and compare them with current and advanced lithium-based batteries using metal-oxide positive electrodes. Surprisingly, despite their high theoretical specific energy, lithium\u2013oxygen systems were projected to achieve parity with other candidate chemistries as a result of the requirement to deliver and purify or to enclose the gaseous oxygen reactant. The theoretical specific energy, which leads to predictions of an order of magnitude improvement over a traditional lithium-ion battery, is shown to be an inadequate predictor of systems-level cost, volume, and mass. This analysis reveals the importance of system-level considerations and identifies the reversible lithium-metal negative electrode as a common, critical high-risk technology needed for batteries to reach long-term automotive objectives. Additionally, advanced lithium-ion technology was found to be a moderate risk pathway to achieve the majority of volume and cost reductions. Broader", "author" : [ { "dropping-particle" : "", "family" : "Gallagher", "given" : "Kevin G.", "non-dropping-particle" : "", "parse-names" : false, "suffix" : "" }, { "dropping-particle" : "", "family" : "Goebel", "given" : "Steven", "non-dropping-particle" : "", "parse-names" : false, "suffix" : "" }, { "dropping-particle" : "", "family" : "Greszler", "given" : "Thomas", "non-dropping-particle" : "", "parse-names" : false, "suffix" : "" }, { "dropping-particle" : "", "family" : "Mathias", "given" : "Mark", "non-dropping-particle" : "", "parse-names" : false, "suffix" : "" }, { "dropping-particle" : "", "family" : "Oelerich", "given" : "Wolfgang", "non-dropping-particle" : "", "parse-names" : false, "suffix" : "" }, { "dropping-particle" : "", "family" : "Eroglu", "given" : "Damla", "non-dropping-particle" : "", "parse-names" : false, "suffix" : "" }, { "dropping-particle" : "", "family" : "Srinivasan", "given" : "Venkat", "non-dropping-particle" : "", "parse-names" : false, "suffix" : "" } ], "container-title" : "Energy &amp; Environmental Science", "id" : "ITEM-1", "issued" : { "date-parts" : [ [ "2014" ] ] }, "page" : "1555", "title" : "Quantifying the promise of lithium\u2013air batteries for electric vehicles", "type" : "article-journal", "volume" : "7" }, "uris" : [ "http://www.mendeley.com/documents/?uuid=8d179b2f-7846-40c6-a7f9-17ba20017322" ] } ], "mendeley" : { "formattedCitation" : "(Gallagher et al. 2014)", "plainTextFormattedCitation" : "(Gallagher et al. 2014)", "previouslyFormattedCitation" : "(Gallagher et al. 2014)" }, "properties" : { "noteIndex" : 0 }, "schema" : "https://github.com/citation-style-language/schema/raw/master/csl-citation.json" }</w:instrText>
      </w:r>
      <w:r w:rsidR="00524197" w:rsidRPr="00BB4117">
        <w:fldChar w:fldCharType="separate"/>
      </w:r>
      <w:r w:rsidR="009B58C8" w:rsidRPr="00BB4117">
        <w:rPr>
          <w:noProof/>
        </w:rPr>
        <w:t>(Gallagher et al. 2014)</w:t>
      </w:r>
      <w:r w:rsidR="00524197" w:rsidRPr="00BB4117">
        <w:fldChar w:fldCharType="end"/>
      </w:r>
      <w:r w:rsidR="009B58C8" w:rsidRPr="00BB4117">
        <w:t>.</w:t>
      </w:r>
      <w:r w:rsidRPr="00BB4117">
        <w:t xml:space="preserve"> Electronics will certainly be needed both at cell, module and battery level, and will further add to the environmental impact of the cell.</w:t>
      </w:r>
    </w:p>
    <w:p w:rsidR="009D267C" w:rsidRPr="00BB4117" w:rsidRDefault="00E55286" w:rsidP="00480641">
      <w:pPr>
        <w:pStyle w:val="Rubrik3"/>
      </w:pPr>
      <w:bookmarkStart w:id="28" w:name="_Ref419890316"/>
      <w:bookmarkStart w:id="29" w:name="_Toc428370309"/>
      <w:r w:rsidRPr="00BB4117">
        <w:t>3.1.</w:t>
      </w:r>
      <w:r w:rsidR="000B2D0D" w:rsidRPr="00BB4117">
        <w:t>7</w:t>
      </w:r>
      <w:r w:rsidRPr="00BB4117">
        <w:t xml:space="preserve"> </w:t>
      </w:r>
      <w:r w:rsidR="0033746A" w:rsidRPr="00BB4117">
        <w:t>Cell</w:t>
      </w:r>
      <w:r w:rsidR="009D267C" w:rsidRPr="00BB4117">
        <w:t xml:space="preserve"> </w:t>
      </w:r>
      <w:r w:rsidR="00A53E30" w:rsidRPr="00BB4117">
        <w:t>assembly</w:t>
      </w:r>
      <w:bookmarkEnd w:id="28"/>
      <w:bookmarkEnd w:id="29"/>
    </w:p>
    <w:p w:rsidR="00545B62" w:rsidRPr="00BB4117" w:rsidRDefault="00141E81" w:rsidP="002C680C">
      <w:r w:rsidRPr="00BB4117">
        <w:t xml:space="preserve">Energy requirements for cell assembly can vary largely, mainly depending on: 1) </w:t>
      </w:r>
      <w:r w:rsidR="00271A3F" w:rsidRPr="00BB4117">
        <w:t>which share of the assembly steps</w:t>
      </w:r>
      <w:r w:rsidRPr="00BB4117">
        <w:t xml:space="preserve"> require dry room/clean room conditions and 2)</w:t>
      </w:r>
      <w:r w:rsidR="00FA1A90" w:rsidRPr="00BB4117">
        <w:t xml:space="preserve"> assembly </w:t>
      </w:r>
      <w:r w:rsidRPr="00BB4117">
        <w:t xml:space="preserve">plant throughput. Estimations and measurements vary between 1 MJ/kg </w:t>
      </w:r>
      <w:r w:rsidRPr="00BB4117">
        <w:lastRenderedPageBreak/>
        <w:t xml:space="preserve">battery to 400 MJ/kg </w:t>
      </w:r>
      <w:r w:rsidR="00110914" w:rsidRPr="00BB4117">
        <w:t xml:space="preserve">battery </w:t>
      </w:r>
      <w:r w:rsidR="00524197" w:rsidRPr="00BB4117">
        <w:fldChar w:fldCharType="begin" w:fldLock="1"/>
      </w:r>
      <w:r w:rsidR="002A24DE" w:rsidRPr="00BB4117">
        <w:instrText>ADDIN CSL_CITATION { "citationItems" : [ { "id" : "ITEM-1", "itemData" : { "DOI" : "10.1039/C4EE03029J", "ISSN" : "1754-5692", "author" : [ { "dropping-particle" : "", "family" : "Dunn", "given" : "J. B.", "non-dropping-particle" : "", "parse-names" : false, "suffix" : "" }, { "dropping-particle" : "", "family" : "Gaines", "given" : "L.", "non-dropping-particle" : "", "parse-names" : false, "suffix" : "" }, { "dropping-particle" : "", "family" : "Kelly", "given" : "J. C.", "non-dropping-particle" : "", "parse-names" : false, "suffix" : "" }, { "dropping-particle" : "", "family" : "James", "given" : "C.", "non-dropping-particle" : "", "parse-names" : false, "suffix" : "" }, { "dropping-particle" : "", "family" : "Gallagher", "given" : "K. G.", "non-dropping-particle" : "", "parse-names" : false, "suffix" : "" } ], "container-title" : "Energy Environ. Sci.", "id" : "ITEM-1", "issued" : { "date-parts" : [ [ "2014", "11", "11" ] ] }, "page" : "1-11", "publisher" : "Royal Society of Chemistry", "title" : "The significance of Li-ion batteries in electric vehicle life-cycle energy and emissions and recycling's role in its reduction", "type" : "article-journal", "volume" : "00" }, "uris" : [ "http://www.mendeley.com/documents/?uuid=6b3b751c-6e20-4d0a-93bf-9f112d074dd3" ] } ], "mendeley" : { "formattedCitation" : "(Dunn et al. 2014)", "plainTextFormattedCitation" : "(Dunn et al. 2014)", "previouslyFormattedCitation" : "(Dunn et al. 2014)" }, "properties" : { "noteIndex" : 0 }, "schema" : "https://github.com/citation-style-language/schema/raw/master/csl-citation.json" }</w:instrText>
      </w:r>
      <w:r w:rsidR="00524197" w:rsidRPr="00BB4117">
        <w:fldChar w:fldCharType="separate"/>
      </w:r>
      <w:r w:rsidRPr="00BB4117">
        <w:rPr>
          <w:noProof/>
        </w:rPr>
        <w:t>(Dunn et al. 2014)</w:t>
      </w:r>
      <w:r w:rsidR="00524197" w:rsidRPr="00BB4117">
        <w:fldChar w:fldCharType="end"/>
      </w:r>
      <w:r w:rsidRPr="00BB4117">
        <w:t xml:space="preserve">. The lithium-air cell requires most of the assembly steps </w:t>
      </w:r>
      <w:r w:rsidR="009538E0" w:rsidRPr="00BB4117">
        <w:t>t</w:t>
      </w:r>
      <w:r w:rsidRPr="00BB4117">
        <w:t>o be done in dry room.</w:t>
      </w:r>
      <w:r w:rsidR="009538E0" w:rsidRPr="00BB4117">
        <w:t xml:space="preserve"> An estimate derived from </w:t>
      </w:r>
      <w:r w:rsidR="006F3C0A" w:rsidRPr="00BB4117">
        <w:t xml:space="preserve">data in </w:t>
      </w:r>
      <w:proofErr w:type="spellStart"/>
      <w:r w:rsidR="006F3C0A" w:rsidRPr="00BB4117">
        <w:t>Saft</w:t>
      </w:r>
      <w:r w:rsidR="003D5018" w:rsidRPr="00BB4117">
        <w:t>’</w:t>
      </w:r>
      <w:r w:rsidR="006F3C0A" w:rsidRPr="00BB4117">
        <w:t>s</w:t>
      </w:r>
      <w:proofErr w:type="spellEnd"/>
      <w:r w:rsidR="006F3C0A" w:rsidRPr="00BB4117">
        <w:t xml:space="preserve"> annual report 2008</w:t>
      </w:r>
      <w:r w:rsidR="000E09A5" w:rsidRPr="00BB4117">
        <w:t xml:space="preserve"> </w:t>
      </w:r>
      <w:r w:rsidR="00524197" w:rsidRPr="00BB4117">
        <w:fldChar w:fldCharType="begin"/>
      </w:r>
      <w:r w:rsidR="00DC7389" w:rsidRPr="00BB4117">
        <w:instrText xml:space="preserve"> ADDIN EN.CITE &lt;EndNote&gt;&lt;Cite&gt;&lt;Author&gt;Saft&lt;/Author&gt;&lt;Year&gt;2008&lt;/Year&gt;&lt;RecNum&gt;466&lt;/RecNum&gt;&lt;record&gt;&lt;rec-number&gt;466&lt;/rec-number&gt;&lt;foreign-keys&gt;&lt;key app="EN" db-id="xst0fvfxdrz995e5fz9v2takwp00zatvrrw0"&gt;466&lt;/key&gt;&lt;/foreign-keys&gt;&lt;ref-type name="Report"&gt;27&lt;/ref-type&gt;&lt;contributors&gt;&lt;authors&gt;&lt;author&gt;Saft&lt;/author&gt;&lt;/authors&gt;&lt;/contributors&gt;&lt;titles&gt;&lt;title&gt;2008 Annual Report&lt;/title&gt;&lt;/titles&gt;&lt;dates&gt;&lt;year&gt;2008&lt;/year&gt;&lt;/dates&gt;&lt;publisher&gt;Saft Batteries&lt;/publisher&gt;&lt;urls&gt;&lt;/urls&gt;&lt;/record&gt;&lt;/Cite&gt;&lt;/EndNote&gt;</w:instrText>
      </w:r>
      <w:r w:rsidR="00524197" w:rsidRPr="00BB4117">
        <w:fldChar w:fldCharType="separate"/>
      </w:r>
      <w:r w:rsidR="003477F5" w:rsidRPr="00BB4117">
        <w:t>(Saft 2008)</w:t>
      </w:r>
      <w:r w:rsidR="00524197" w:rsidRPr="00BB4117">
        <w:fldChar w:fldCharType="end"/>
      </w:r>
      <w:r w:rsidR="009538E0" w:rsidRPr="00BB4117">
        <w:t xml:space="preserve"> </w:t>
      </w:r>
      <w:r w:rsidR="003324BB" w:rsidRPr="00BB4117">
        <w:t xml:space="preserve">at 74 MJ/kg battery  </w:t>
      </w:r>
      <w:r w:rsidR="006D7952" w:rsidRPr="00BB4117">
        <w:t>w</w:t>
      </w:r>
      <w:r w:rsidR="00FA38D2" w:rsidRPr="00BB4117">
        <w:t>as</w:t>
      </w:r>
      <w:r w:rsidR="009538E0" w:rsidRPr="00BB4117">
        <w:t xml:space="preserve"> used for</w:t>
      </w:r>
      <w:r w:rsidR="006D7952" w:rsidRPr="00BB4117">
        <w:t xml:space="preserve"> </w:t>
      </w:r>
      <w:r w:rsidR="00FA1A90" w:rsidRPr="00BB4117">
        <w:t xml:space="preserve">the </w:t>
      </w:r>
      <w:r w:rsidR="00BB4117" w:rsidRPr="00BB4117">
        <w:t>modelling</w:t>
      </w:r>
      <w:r w:rsidR="009538E0" w:rsidRPr="00BB4117">
        <w:t xml:space="preserve"> </w:t>
      </w:r>
      <w:r w:rsidR="00CA3BE1" w:rsidRPr="00BB4117">
        <w:t xml:space="preserve">of </w:t>
      </w:r>
      <w:r w:rsidR="009538E0" w:rsidRPr="00BB4117">
        <w:t>the assembly of the lithium-air cell</w:t>
      </w:r>
      <w:r w:rsidR="00FA38D2" w:rsidRPr="00BB4117">
        <w:t>.</w:t>
      </w:r>
    </w:p>
    <w:p w:rsidR="009D267C" w:rsidRPr="00BB4117" w:rsidRDefault="007A3932" w:rsidP="00E55286">
      <w:pPr>
        <w:pStyle w:val="Rubrik2"/>
        <w:numPr>
          <w:ilvl w:val="1"/>
          <w:numId w:val="45"/>
        </w:numPr>
        <w:rPr>
          <w:lang w:val="en-GB"/>
        </w:rPr>
      </w:pPr>
      <w:bookmarkStart w:id="30" w:name="_Toc428370310"/>
      <w:r w:rsidRPr="00BB4117">
        <w:rPr>
          <w:lang w:val="en-GB"/>
        </w:rPr>
        <w:t>Transport</w:t>
      </w:r>
      <w:r w:rsidR="003D5018" w:rsidRPr="00BB4117">
        <w:rPr>
          <w:lang w:val="en-GB"/>
        </w:rPr>
        <w:t xml:space="preserve"> of materials and components</w:t>
      </w:r>
      <w:bookmarkEnd w:id="30"/>
    </w:p>
    <w:p w:rsidR="007A3932" w:rsidRPr="00BB4117" w:rsidRDefault="007A3932" w:rsidP="007A3932">
      <w:pPr>
        <w:pStyle w:val="Brdtext"/>
      </w:pPr>
      <w:r w:rsidRPr="00BB4117">
        <w:t xml:space="preserve">The following assumptions were made </w:t>
      </w:r>
      <w:r w:rsidR="003D5018" w:rsidRPr="00BB4117">
        <w:t xml:space="preserve">concerning </w:t>
      </w:r>
      <w:r w:rsidR="000827E1" w:rsidRPr="00BB4117">
        <w:t xml:space="preserve">the </w:t>
      </w:r>
      <w:r w:rsidRPr="00BB4117">
        <w:t xml:space="preserve">transport of materials and components in connection </w:t>
      </w:r>
      <w:r w:rsidR="000827E1" w:rsidRPr="00BB4117">
        <w:t xml:space="preserve">with </w:t>
      </w:r>
      <w:r w:rsidR="00D44135" w:rsidRPr="00BB4117">
        <w:t xml:space="preserve">lithium-air </w:t>
      </w:r>
      <w:r w:rsidRPr="00BB4117">
        <w:t>battery manufacturing, use and disposal:</w:t>
      </w:r>
    </w:p>
    <w:p w:rsidR="00B923E9" w:rsidRPr="00BB4117" w:rsidRDefault="00113BEB" w:rsidP="00BC497C">
      <w:pPr>
        <w:pStyle w:val="Brdtext"/>
        <w:numPr>
          <w:ilvl w:val="0"/>
          <w:numId w:val="9"/>
        </w:numPr>
      </w:pPr>
      <w:r w:rsidRPr="00BB4117">
        <w:t>T</w:t>
      </w:r>
      <w:r w:rsidR="00B923E9" w:rsidRPr="00BB4117">
        <w:t>ransport from mines or recycling facilities to raw material producers</w:t>
      </w:r>
      <w:r w:rsidR="00A65838" w:rsidRPr="00BB4117">
        <w:t>.</w:t>
      </w:r>
      <w:r w:rsidRPr="00BB4117">
        <w:t xml:space="preserve"> These transports are </w:t>
      </w:r>
      <w:r w:rsidR="002C4376" w:rsidRPr="00BB4117">
        <w:t>normally</w:t>
      </w:r>
      <w:r w:rsidRPr="00BB4117">
        <w:t xml:space="preserve"> included in the generic data used</w:t>
      </w:r>
      <w:r w:rsidR="00BE0787" w:rsidRPr="00BB4117">
        <w:t xml:space="preserve"> (</w:t>
      </w:r>
      <w:r w:rsidR="009F2290" w:rsidRPr="00BB4117">
        <w:t xml:space="preserve">i.e. in </w:t>
      </w:r>
      <w:r w:rsidR="00BE0787" w:rsidRPr="00BB4117">
        <w:t xml:space="preserve">the data from the </w:t>
      </w:r>
      <w:proofErr w:type="spellStart"/>
      <w:r w:rsidR="00BE0787" w:rsidRPr="00BB4117">
        <w:t>Ecoinvent</w:t>
      </w:r>
      <w:proofErr w:type="spellEnd"/>
      <w:r w:rsidR="00BE0787" w:rsidRPr="00BB4117">
        <w:t xml:space="preserve"> database)</w:t>
      </w:r>
      <w:r w:rsidRPr="00BB4117">
        <w:t>.</w:t>
      </w:r>
    </w:p>
    <w:p w:rsidR="009D267C" w:rsidRPr="00BB4117" w:rsidRDefault="00113BEB" w:rsidP="00BC497C">
      <w:pPr>
        <w:pStyle w:val="Brdtext"/>
        <w:numPr>
          <w:ilvl w:val="0"/>
          <w:numId w:val="9"/>
        </w:numPr>
      </w:pPr>
      <w:r w:rsidRPr="00BB4117">
        <w:t>11</w:t>
      </w:r>
      <w:r w:rsidR="00B923E9" w:rsidRPr="00BB4117">
        <w:t xml:space="preserve">000 </w:t>
      </w:r>
      <w:r w:rsidRPr="00BB4117">
        <w:t xml:space="preserve">km </w:t>
      </w:r>
      <w:r w:rsidR="00B923E9" w:rsidRPr="00BB4117">
        <w:t>transport</w:t>
      </w:r>
      <w:r w:rsidRPr="00BB4117">
        <w:t xml:space="preserve"> (1000 km lorry and 10000 km boat)</w:t>
      </w:r>
      <w:r w:rsidR="00B923E9" w:rsidRPr="00BB4117">
        <w:t xml:space="preserve"> </w:t>
      </w:r>
      <w:r w:rsidR="000840B1" w:rsidRPr="00BB4117">
        <w:t xml:space="preserve">for both transports </w:t>
      </w:r>
      <w:r w:rsidR="00B923E9" w:rsidRPr="00BB4117">
        <w:t>from raw material producers to c</w:t>
      </w:r>
      <w:r w:rsidR="007A3932" w:rsidRPr="00BB4117">
        <w:t>ell manufactur</w:t>
      </w:r>
      <w:r w:rsidR="00B923E9" w:rsidRPr="00BB4117">
        <w:t>er</w:t>
      </w:r>
      <w:r w:rsidR="000840B1" w:rsidRPr="00BB4117">
        <w:t xml:space="preserve"> and from cell manufacturer to battery manufacturer/car assembly plant</w:t>
      </w:r>
      <w:r w:rsidRPr="00BB4117">
        <w:t>. It is expected that there will only be a few cell manufacturers in the world</w:t>
      </w:r>
      <w:r w:rsidR="009C592C" w:rsidRPr="00BB4117">
        <w:t xml:space="preserve">, so incoming </w:t>
      </w:r>
      <w:r w:rsidR="000840B1" w:rsidRPr="00BB4117">
        <w:t xml:space="preserve">and outbound </w:t>
      </w:r>
      <w:r w:rsidR="009C592C" w:rsidRPr="00BB4117">
        <w:t>transports will be relatively long</w:t>
      </w:r>
      <w:r w:rsidRPr="00BB4117">
        <w:t>.</w:t>
      </w:r>
      <w:r w:rsidR="002C0E69" w:rsidRPr="00BB4117">
        <w:t xml:space="preserve"> These transports are included in the Production phase.</w:t>
      </w:r>
    </w:p>
    <w:p w:rsidR="009D7BD3" w:rsidRPr="00BB4117" w:rsidRDefault="00D61158" w:rsidP="00BC497C">
      <w:pPr>
        <w:pStyle w:val="Brdtext"/>
        <w:numPr>
          <w:ilvl w:val="0"/>
          <w:numId w:val="9"/>
        </w:numPr>
      </w:pPr>
      <w:r w:rsidRPr="00BB4117">
        <w:t>6</w:t>
      </w:r>
      <w:r w:rsidR="009D7BD3" w:rsidRPr="00BB4117">
        <w:t>000 km transport</w:t>
      </w:r>
      <w:r w:rsidRPr="00BB4117">
        <w:t xml:space="preserve"> (1000 km lorry and 5000 km boat)</w:t>
      </w:r>
      <w:r w:rsidR="009D7BD3" w:rsidRPr="00BB4117">
        <w:t xml:space="preserve"> from car manufacturer to user. There are many car manufacturers, but customer </w:t>
      </w:r>
      <w:r w:rsidR="000827E1" w:rsidRPr="00BB4117">
        <w:t>purchases are not limited to the country of manufacture</w:t>
      </w:r>
      <w:r w:rsidR="00B40605" w:rsidRPr="00BB4117">
        <w:t>.</w:t>
      </w:r>
      <w:r w:rsidR="002C0E69" w:rsidRPr="00BB4117">
        <w:t xml:space="preserve"> These transports are included in the Use phase.</w:t>
      </w:r>
    </w:p>
    <w:p w:rsidR="009D7BD3" w:rsidRPr="00BB4117" w:rsidRDefault="0078789D" w:rsidP="00BC497C">
      <w:pPr>
        <w:pStyle w:val="Brdtext"/>
        <w:numPr>
          <w:ilvl w:val="0"/>
          <w:numId w:val="9"/>
        </w:numPr>
      </w:pPr>
      <w:r w:rsidRPr="00BB4117">
        <w:t>Transport</w:t>
      </w:r>
      <w:r w:rsidR="002C0E69" w:rsidRPr="00BB4117">
        <w:t>s</w:t>
      </w:r>
      <w:r w:rsidRPr="00BB4117">
        <w:t xml:space="preserve"> related to recycling </w:t>
      </w:r>
      <w:r w:rsidR="002C0E69" w:rsidRPr="00BB4117">
        <w:t>and included in that phase are</w:t>
      </w:r>
      <w:r w:rsidRPr="00BB4117">
        <w:t xml:space="preserve"> presented below.</w:t>
      </w:r>
    </w:p>
    <w:p w:rsidR="005060DF" w:rsidRPr="00BB4117" w:rsidRDefault="005060DF" w:rsidP="000B2D0D">
      <w:pPr>
        <w:pStyle w:val="Rubrik2"/>
        <w:numPr>
          <w:ilvl w:val="1"/>
          <w:numId w:val="45"/>
        </w:numPr>
        <w:rPr>
          <w:lang w:val="en-GB"/>
        </w:rPr>
      </w:pPr>
      <w:bookmarkStart w:id="31" w:name="_Ref220134559"/>
      <w:bookmarkStart w:id="32" w:name="_Toc428370311"/>
      <w:r w:rsidRPr="00BB4117">
        <w:rPr>
          <w:lang w:val="en-GB"/>
        </w:rPr>
        <w:t>Use phase</w:t>
      </w:r>
      <w:bookmarkEnd w:id="31"/>
      <w:bookmarkEnd w:id="32"/>
    </w:p>
    <w:p w:rsidR="005060DF" w:rsidRPr="00BB4117" w:rsidRDefault="005060DF" w:rsidP="002C680C">
      <w:r w:rsidRPr="00BB4117">
        <w:t xml:space="preserve">The use phase was </w:t>
      </w:r>
      <w:r w:rsidR="00BB4117" w:rsidRPr="00BB4117">
        <w:t>modelled</w:t>
      </w:r>
      <w:r w:rsidRPr="00BB4117">
        <w:t xml:space="preserve"> as the </w:t>
      </w:r>
      <w:r w:rsidR="000827E1" w:rsidRPr="00BB4117">
        <w:t xml:space="preserve">overall power </w:t>
      </w:r>
      <w:r w:rsidRPr="00BB4117">
        <w:t xml:space="preserve">losses in the battery during the use of the battery in the car and the extra </w:t>
      </w:r>
      <w:r w:rsidR="00325AB8" w:rsidRPr="00BB4117">
        <w:t>power</w:t>
      </w:r>
      <w:r w:rsidRPr="00BB4117">
        <w:t xml:space="preserve"> needed to carry the </w:t>
      </w:r>
      <w:r w:rsidR="001A7B09" w:rsidRPr="00BB4117">
        <w:t>mass</w:t>
      </w:r>
      <w:r w:rsidRPr="00BB4117">
        <w:t xml:space="preserve"> of the battery.</w:t>
      </w:r>
      <w:r w:rsidR="00F661E3" w:rsidRPr="00BB4117">
        <w:t xml:space="preserve"> </w:t>
      </w:r>
      <w:r w:rsidRPr="00BB4117">
        <w:t xml:space="preserve">In addition, the transport of the battery from the car manufacturer to the user was included in the use phase. </w:t>
      </w:r>
    </w:p>
    <w:p w:rsidR="005060DF" w:rsidRPr="00BB4117" w:rsidRDefault="000B2D0D" w:rsidP="00480641">
      <w:pPr>
        <w:pStyle w:val="Rubrik3"/>
      </w:pPr>
      <w:bookmarkStart w:id="33" w:name="_Toc428370312"/>
      <w:r w:rsidRPr="00BB4117">
        <w:t xml:space="preserve">3.3.1 </w:t>
      </w:r>
      <w:r w:rsidR="005060DF" w:rsidRPr="00BB4117">
        <w:t xml:space="preserve">Extra </w:t>
      </w:r>
      <w:r w:rsidR="000827E1" w:rsidRPr="00BB4117">
        <w:t>power demands to accommodate</w:t>
      </w:r>
      <w:r w:rsidR="005060DF" w:rsidRPr="00BB4117">
        <w:t xml:space="preserve"> </w:t>
      </w:r>
      <w:r w:rsidR="000827E1" w:rsidRPr="00BB4117">
        <w:t xml:space="preserve">battery </w:t>
      </w:r>
      <w:r w:rsidR="001A7B09" w:rsidRPr="00BB4117">
        <w:t>mass</w:t>
      </w:r>
      <w:bookmarkEnd w:id="33"/>
    </w:p>
    <w:p w:rsidR="005060DF" w:rsidRPr="00BB4117" w:rsidRDefault="005060DF" w:rsidP="00C01E46">
      <w:pPr>
        <w:pStyle w:val="Brdtext"/>
      </w:pPr>
      <w:r w:rsidRPr="00BB4117">
        <w:t xml:space="preserve">In order to calculate the extra </w:t>
      </w:r>
      <w:r w:rsidR="00DA2280" w:rsidRPr="00BB4117">
        <w:t xml:space="preserve">power demands </w:t>
      </w:r>
      <w:r w:rsidRPr="00BB4117">
        <w:t>needed to carry the batter</w:t>
      </w:r>
      <w:r w:rsidR="001A7B09" w:rsidRPr="00BB4117">
        <w:t>y</w:t>
      </w:r>
      <w:r w:rsidRPr="00BB4117">
        <w:t xml:space="preserve"> </w:t>
      </w:r>
      <w:r w:rsidR="001A7B09" w:rsidRPr="00BB4117">
        <w:t>mass (</w:t>
      </w:r>
      <w:proofErr w:type="spellStart"/>
      <w:r w:rsidR="001A7B09" w:rsidRPr="00BB4117">
        <w:t>M</w:t>
      </w:r>
      <w:r w:rsidR="001A7B09" w:rsidRPr="00BB4117">
        <w:rPr>
          <w:vertAlign w:val="subscript"/>
        </w:rPr>
        <w:t>batt</w:t>
      </w:r>
      <w:proofErr w:type="spellEnd"/>
      <w:r w:rsidR="001A7B09" w:rsidRPr="00BB4117">
        <w:t>)</w:t>
      </w:r>
      <w:r w:rsidRPr="00BB4117">
        <w:t>, the total number of cells needed for the required life-long mileage (</w:t>
      </w:r>
      <w:r w:rsidR="00AF05D6" w:rsidRPr="00BB4117">
        <w:t>assumed to</w:t>
      </w:r>
      <w:r w:rsidRPr="00BB4117">
        <w:t xml:space="preserve"> 200000 km) was calculated so that total battery weight could be put in relation to an assumption of total vehicle </w:t>
      </w:r>
      <w:r w:rsidR="001A7B09" w:rsidRPr="00BB4117">
        <w:t>mass of 1600 kg (</w:t>
      </w:r>
      <w:proofErr w:type="spellStart"/>
      <w:r w:rsidR="001A7B09" w:rsidRPr="00BB4117">
        <w:t>M</w:t>
      </w:r>
      <w:r w:rsidR="001A7B09" w:rsidRPr="00BB4117">
        <w:rPr>
          <w:vertAlign w:val="subscript"/>
        </w:rPr>
        <w:t>vehicle</w:t>
      </w:r>
      <w:proofErr w:type="spellEnd"/>
      <w:r w:rsidR="001A7B09" w:rsidRPr="00BB4117">
        <w:t>).</w:t>
      </w:r>
      <w:r w:rsidRPr="00BB4117">
        <w:t xml:space="preserve"> </w:t>
      </w:r>
      <w:r w:rsidR="00AF05D6" w:rsidRPr="00BB4117">
        <w:t>T</w:t>
      </w:r>
      <w:r w:rsidRPr="00BB4117">
        <w:t>he</w:t>
      </w:r>
      <w:r w:rsidR="00AF05D6" w:rsidRPr="00BB4117">
        <w:t xml:space="preserve"> total weight of the battery was assumed to be double the weight of the cells</w:t>
      </w:r>
      <w:r w:rsidRPr="00BB4117">
        <w:t xml:space="preserve">. The influence of the battery </w:t>
      </w:r>
      <w:r w:rsidR="001A7B09" w:rsidRPr="00BB4117">
        <w:t>mass</w:t>
      </w:r>
      <w:r w:rsidRPr="00BB4117">
        <w:t xml:space="preserve"> was </w:t>
      </w:r>
      <w:r w:rsidR="00101A6B" w:rsidRPr="00BB4117">
        <w:t>modelled</w:t>
      </w:r>
      <w:r w:rsidRPr="00BB4117">
        <w:t xml:space="preserve"> using the assumption that 30% of energy </w:t>
      </w:r>
      <w:r w:rsidR="00925A9E" w:rsidRPr="00BB4117">
        <w:t xml:space="preserve">use </w:t>
      </w:r>
      <w:r w:rsidRPr="00BB4117">
        <w:t xml:space="preserve">can be related to car </w:t>
      </w:r>
      <w:r w:rsidR="001A7B09" w:rsidRPr="00BB4117">
        <w:t>mass</w:t>
      </w:r>
      <w:r w:rsidR="00845925" w:rsidRPr="00BB4117">
        <w:t xml:space="preserve"> </w:t>
      </w:r>
      <w:r w:rsidR="00524197" w:rsidRPr="00BB4117">
        <w:fldChar w:fldCharType="begin" w:fldLock="1"/>
      </w:r>
      <w:r w:rsidR="00CF5F10" w:rsidRPr="00BB4117">
        <w:instrText>ADDIN CSL_CITATION { "citationItems" : [ { "id" : "ITEM-1", "itemData" : { "author" : [ { "dropping-particle" : "", "family" : "Zackrisson", "given" : "Mats", "non-dropping-particle" : "", "parse-names" : false, "suffix" : "" }, { "dropping-particle" : "", "family" : "J\u00f6nsson", "given" : "Christina", "non-dropping-particle" : "", "parse-names" : false, "suffix" : "" }, { "dropping-particle" : "", "family" : "Kurdve", "given" : "Martin", "non-dropping-particle" : "", "parse-names" : false, "suffix" : "" }, { "dropping-particle" : "", "family" : "Fransson", "given" : "Kristin", "non-dropping-particle" : "", "parse-names" : false, "suffix" : "" }, { "dropping-particle" : "", "family" : "Olsson", "given" : "Elisabeth", "non-dropping-particle" : "", "parse-names" : false, "suffix" : "" }, { "dropping-particle" : "", "family" : "Roos", "given" : "Sandra", "non-dropping-particle" : "", "parse-names" : false, "suffix" : "" } ], "id" : "ITEM-1", "issued" : { "date-parts" : [ [ "2014" ] ] }, "number-of-pages" : "210", "publisher" : "Swerea IVF", "publisher-place" : "M\u00f6lndal", "title" : "Mall f\u00f6r milj\u00f6utredning - ett verktyg f\u00f6r att identifiera f\u00f6retagets milj\u00f6p\u00e5verkan", "type" : "book" }, "uris" : [ "http://www.mendeley.com/documents/?uuid=bf0ee1e3-9a11-456d-a88d-011688197e7d" ] } ], "mendeley" : { "formattedCitation" : "(Zackrisson et al. 2014)", "plainTextFormattedCitation" : "(Zackrisson et al. 2014)", "previouslyFormattedCitation" : "(Zackrisson et al. 2014)" }, "properties" : { "noteIndex" : 0 }, "schema" : "https://github.com/citation-style-language/schema/raw/master/csl-citation.json" }</w:instrText>
      </w:r>
      <w:r w:rsidR="00524197" w:rsidRPr="00BB4117">
        <w:fldChar w:fldCharType="separate"/>
      </w:r>
      <w:r w:rsidR="00845925" w:rsidRPr="00BB4117">
        <w:rPr>
          <w:noProof/>
        </w:rPr>
        <w:t>(Zackrisson et al. 2014)</w:t>
      </w:r>
      <w:r w:rsidR="00524197" w:rsidRPr="00BB4117">
        <w:fldChar w:fldCharType="end"/>
      </w:r>
      <w:r w:rsidRPr="00BB4117">
        <w:t xml:space="preserve">. Thus the </w:t>
      </w:r>
      <w:r w:rsidR="001A7B09" w:rsidRPr="00BB4117">
        <w:t>mass</w:t>
      </w:r>
      <w:r w:rsidRPr="00BB4117">
        <w:t xml:space="preserve"> related loss or extra </w:t>
      </w:r>
      <w:r w:rsidR="001A7B09" w:rsidRPr="00BB4117">
        <w:t>power</w:t>
      </w:r>
      <w:r w:rsidRPr="00BB4117">
        <w:t xml:space="preserve"> was calculated as:</w:t>
      </w:r>
      <w:r w:rsidR="00C01E46" w:rsidRPr="00BB4117">
        <w:t xml:space="preserve"> </w:t>
      </w:r>
      <w:r w:rsidR="001A7B09" w:rsidRPr="00BB4117">
        <w:t>0.3</w:t>
      </w:r>
      <w:r w:rsidR="00DA2280" w:rsidRPr="00BB4117">
        <w:t>×</w:t>
      </w:r>
      <w:r w:rsidR="001A7B09" w:rsidRPr="00BB4117">
        <w:t>M</w:t>
      </w:r>
      <w:r w:rsidR="00DA2280" w:rsidRPr="00BB4117">
        <w:rPr>
          <w:vertAlign w:val="subscript"/>
        </w:rPr>
        <w:t>batt</w:t>
      </w:r>
      <w:r w:rsidRPr="00BB4117">
        <w:t>/</w:t>
      </w:r>
      <w:proofErr w:type="spellStart"/>
      <w:r w:rsidR="001A7B09" w:rsidRPr="00BB4117">
        <w:t>M</w:t>
      </w:r>
      <w:r w:rsidR="001A7B09" w:rsidRPr="00BB4117">
        <w:rPr>
          <w:vertAlign w:val="subscript"/>
        </w:rPr>
        <w:t>vehicle</w:t>
      </w:r>
      <w:proofErr w:type="spellEnd"/>
      <w:r w:rsidRPr="00BB4117">
        <w:t xml:space="preserve">. </w:t>
      </w:r>
      <w:r w:rsidR="00356900" w:rsidRPr="00BB4117">
        <w:t xml:space="preserve">This gives a dimensionless factor that can then be </w:t>
      </w:r>
      <w:r w:rsidR="00DA2280" w:rsidRPr="00BB4117">
        <w:t>factored with the total delivered power</w:t>
      </w:r>
      <w:r w:rsidR="00356900" w:rsidRPr="00BB4117">
        <w:t xml:space="preserve">. </w:t>
      </w:r>
    </w:p>
    <w:p w:rsidR="005060DF" w:rsidRPr="00BB4117" w:rsidRDefault="000B2D0D" w:rsidP="00480641">
      <w:pPr>
        <w:pStyle w:val="Rubrik3"/>
      </w:pPr>
      <w:bookmarkStart w:id="34" w:name="_Toc428370313"/>
      <w:r w:rsidRPr="00BB4117">
        <w:t xml:space="preserve">3.3.2 </w:t>
      </w:r>
      <w:r w:rsidR="00DA2280" w:rsidRPr="00BB4117">
        <w:t>Excess power requirements</w:t>
      </w:r>
      <w:r w:rsidR="005060DF" w:rsidRPr="00BB4117">
        <w:t xml:space="preserve"> to </w:t>
      </w:r>
      <w:r w:rsidR="00DA2280" w:rsidRPr="00BB4117">
        <w:t>accommodate</w:t>
      </w:r>
      <w:r w:rsidR="005060DF" w:rsidRPr="00BB4117">
        <w:t xml:space="preserve"> charge/discharge losses</w:t>
      </w:r>
      <w:bookmarkEnd w:id="34"/>
    </w:p>
    <w:p w:rsidR="005060DF" w:rsidRPr="00BB4117" w:rsidRDefault="00FC10FF" w:rsidP="00263F5C">
      <w:pPr>
        <w:pStyle w:val="Brdtext"/>
      </w:pPr>
      <w:r w:rsidRPr="00BB4117">
        <w:t xml:space="preserve">The charge/discharge efficiency, η, is defined as the relation between battery cell energy output and input. The excess power or loss is then proportional to the dimensionless factor (1- η) factored with the total delivered power. Per </w:t>
      </w:r>
      <w:r w:rsidR="00101A6B" w:rsidRPr="00BB4117">
        <w:t>kilometre</w:t>
      </w:r>
      <w:r w:rsidRPr="00BB4117">
        <w:t xml:space="preserve"> the dimensionless factor (1- η) is factored with the total delivered power per km </w:t>
      </w:r>
      <w:r w:rsidRPr="00BB4117">
        <w:lastRenderedPageBreak/>
        <w:t xml:space="preserve">which equals </w:t>
      </w:r>
      <w:proofErr w:type="spellStart"/>
      <w:r w:rsidRPr="00BB4117">
        <w:t>W</w:t>
      </w:r>
      <w:r w:rsidRPr="00BB4117">
        <w:rPr>
          <w:vertAlign w:val="subscript"/>
        </w:rPr>
        <w:t>batterytowheel</w:t>
      </w:r>
      <w:proofErr w:type="spellEnd"/>
      <w:r w:rsidRPr="00BB4117">
        <w:t xml:space="preserve">/η, i.e. the excess power per </w:t>
      </w:r>
      <w:r w:rsidR="00101A6B" w:rsidRPr="00BB4117">
        <w:t>kilometre</w:t>
      </w:r>
      <w:r w:rsidRPr="00BB4117">
        <w:t xml:space="preserve"> equals (1- η</w:t>
      </w:r>
      <w:proofErr w:type="gramStart"/>
      <w:r w:rsidRPr="00BB4117">
        <w:t>)×</w:t>
      </w:r>
      <w:proofErr w:type="spellStart"/>
      <w:proofErr w:type="gramEnd"/>
      <w:r w:rsidRPr="00BB4117">
        <w:t>W</w:t>
      </w:r>
      <w:r w:rsidRPr="00BB4117">
        <w:rPr>
          <w:vertAlign w:val="subscript"/>
        </w:rPr>
        <w:t>batteryto</w:t>
      </w:r>
      <w:proofErr w:type="spellEnd"/>
      <w:r w:rsidRPr="00BB4117">
        <w:rPr>
          <w:vertAlign w:val="subscript"/>
        </w:rPr>
        <w:t xml:space="preserve"> wheel</w:t>
      </w:r>
      <w:r w:rsidRPr="00BB4117">
        <w:t>/η.</w:t>
      </w:r>
    </w:p>
    <w:p w:rsidR="00E80291" w:rsidRPr="00BB4117" w:rsidRDefault="000B2D0D" w:rsidP="00480641">
      <w:pPr>
        <w:pStyle w:val="Rubrik3"/>
      </w:pPr>
      <w:bookmarkStart w:id="35" w:name="_Toc428370314"/>
      <w:r w:rsidRPr="00BB4117">
        <w:t xml:space="preserve">3.3.3 </w:t>
      </w:r>
      <w:r w:rsidR="00E80291" w:rsidRPr="00BB4117">
        <w:t>Emissions during use phase</w:t>
      </w:r>
      <w:bookmarkEnd w:id="35"/>
    </w:p>
    <w:p w:rsidR="00E80291" w:rsidRPr="00BB4117" w:rsidRDefault="00E80291" w:rsidP="00E80291">
      <w:pPr>
        <w:pStyle w:val="Brdtext"/>
      </w:pPr>
      <w:r w:rsidRPr="00BB4117">
        <w:t xml:space="preserve">As mentioned earlier, the electrolyte TEGDME is considered toxic. </w:t>
      </w:r>
      <w:r w:rsidR="00CE1FA2" w:rsidRPr="00BB4117">
        <w:t>Since</w:t>
      </w:r>
      <w:r w:rsidRPr="00BB4117">
        <w:t xml:space="preserve"> emissions</w:t>
      </w:r>
      <w:r w:rsidR="00CE1FA2" w:rsidRPr="00BB4117">
        <w:t xml:space="preserve"> of TEGDME</w:t>
      </w:r>
      <w:r w:rsidRPr="00BB4117">
        <w:t xml:space="preserve"> during the use of the cell </w:t>
      </w:r>
      <w:r w:rsidR="00CE1FA2" w:rsidRPr="00BB4117">
        <w:t>are not intended</w:t>
      </w:r>
      <w:r w:rsidRPr="00BB4117">
        <w:t xml:space="preserve"> </w:t>
      </w:r>
      <w:r w:rsidR="00093539" w:rsidRPr="00BB4117">
        <w:t>they</w:t>
      </w:r>
      <w:r w:rsidR="00CE1FA2" w:rsidRPr="00BB4117">
        <w:t xml:space="preserve"> were</w:t>
      </w:r>
      <w:r w:rsidRPr="00BB4117">
        <w:t xml:space="preserve"> not </w:t>
      </w:r>
      <w:r w:rsidR="00BB4117" w:rsidRPr="00BB4117">
        <w:t>modelled</w:t>
      </w:r>
      <w:r w:rsidR="00CE1FA2" w:rsidRPr="00BB4117">
        <w:t>, although they cannot be ruled out</w:t>
      </w:r>
      <w:r w:rsidRPr="00BB4117">
        <w:t xml:space="preserve">. </w:t>
      </w:r>
    </w:p>
    <w:p w:rsidR="003B61BA" w:rsidRPr="00BB4117" w:rsidRDefault="003B61BA" w:rsidP="00561A42">
      <w:pPr>
        <w:pStyle w:val="Rubrik2"/>
        <w:numPr>
          <w:ilvl w:val="1"/>
          <w:numId w:val="45"/>
        </w:numPr>
        <w:rPr>
          <w:lang w:val="en-GB"/>
        </w:rPr>
      </w:pPr>
      <w:bookmarkStart w:id="36" w:name="_Toc428370315"/>
      <w:bookmarkStart w:id="37" w:name="_Toc197942750"/>
      <w:r w:rsidRPr="00BB4117">
        <w:rPr>
          <w:lang w:val="en-GB"/>
        </w:rPr>
        <w:t>Recycling phase</w:t>
      </w:r>
      <w:bookmarkEnd w:id="36"/>
    </w:p>
    <w:p w:rsidR="0078789D" w:rsidRPr="00BB4117" w:rsidRDefault="00920410">
      <w:pPr>
        <w:pStyle w:val="Brdtext"/>
        <w:rPr>
          <w:szCs w:val="24"/>
        </w:rPr>
      </w:pPr>
      <w:r w:rsidRPr="00BB4117">
        <w:rPr>
          <w:szCs w:val="24"/>
        </w:rPr>
        <w:t>As of 2015,</w:t>
      </w:r>
      <w:r w:rsidR="0078789D" w:rsidRPr="00BB4117">
        <w:rPr>
          <w:szCs w:val="24"/>
        </w:rPr>
        <w:t xml:space="preserve"> </w:t>
      </w:r>
      <w:r w:rsidR="00D36C4C" w:rsidRPr="00BB4117">
        <w:rPr>
          <w:szCs w:val="24"/>
        </w:rPr>
        <w:t xml:space="preserve">industrial </w:t>
      </w:r>
      <w:r w:rsidR="0078789D" w:rsidRPr="00BB4117">
        <w:rPr>
          <w:szCs w:val="24"/>
        </w:rPr>
        <w:t xml:space="preserve">recycling of lithium traction batteries </w:t>
      </w:r>
      <w:r w:rsidRPr="00BB4117">
        <w:rPr>
          <w:szCs w:val="24"/>
        </w:rPr>
        <w:t xml:space="preserve">has only begun owing to the limited number of Li-based cells at end-of-life. </w:t>
      </w:r>
      <w:r w:rsidR="0078789D" w:rsidRPr="00BB4117">
        <w:rPr>
          <w:szCs w:val="24"/>
        </w:rPr>
        <w:t xml:space="preserve">However, quite a few </w:t>
      </w:r>
      <w:r w:rsidR="006576BF" w:rsidRPr="00BB4117">
        <w:rPr>
          <w:szCs w:val="24"/>
        </w:rPr>
        <w:t xml:space="preserve">research </w:t>
      </w:r>
      <w:r w:rsidR="0078789D" w:rsidRPr="00BB4117">
        <w:rPr>
          <w:szCs w:val="24"/>
        </w:rPr>
        <w:t xml:space="preserve">projects have </w:t>
      </w:r>
      <w:r w:rsidR="00BE124E" w:rsidRPr="00BB4117">
        <w:rPr>
          <w:szCs w:val="24"/>
        </w:rPr>
        <w:t>target</w:t>
      </w:r>
      <w:r w:rsidR="00CE1FA2" w:rsidRPr="00BB4117">
        <w:rPr>
          <w:szCs w:val="24"/>
        </w:rPr>
        <w:t>ed</w:t>
      </w:r>
      <w:r w:rsidR="00BE124E" w:rsidRPr="00BB4117">
        <w:rPr>
          <w:szCs w:val="24"/>
        </w:rPr>
        <w:t xml:space="preserve"> </w:t>
      </w:r>
      <w:r w:rsidR="002A31FA" w:rsidRPr="00BB4117">
        <w:rPr>
          <w:szCs w:val="24"/>
        </w:rPr>
        <w:t>recycling of lithium batteries</w:t>
      </w:r>
      <w:r w:rsidR="00BE124E" w:rsidRPr="00BB4117">
        <w:rPr>
          <w:szCs w:val="24"/>
        </w:rPr>
        <w:t>. Some conclusions from these studies</w:t>
      </w:r>
      <w:r w:rsidR="00B71EA9" w:rsidRPr="00BB4117">
        <w:rPr>
          <w:szCs w:val="24"/>
        </w:rPr>
        <w:t xml:space="preserve"> </w:t>
      </w:r>
      <w:r w:rsidR="00BE124E" w:rsidRPr="00BB4117">
        <w:rPr>
          <w:szCs w:val="24"/>
        </w:rPr>
        <w:t>are:</w:t>
      </w:r>
    </w:p>
    <w:p w:rsidR="00055012" w:rsidRPr="00BB4117" w:rsidRDefault="00BE124E" w:rsidP="0000021D">
      <w:pPr>
        <w:pStyle w:val="Brdtext"/>
        <w:numPr>
          <w:ilvl w:val="0"/>
          <w:numId w:val="19"/>
        </w:numPr>
        <w:ind w:left="567"/>
        <w:rPr>
          <w:szCs w:val="24"/>
        </w:rPr>
      </w:pPr>
      <w:r w:rsidRPr="00BB4117">
        <w:rPr>
          <w:szCs w:val="24"/>
        </w:rPr>
        <w:t>Lithium traction batteries will be recycled in the future</w:t>
      </w:r>
      <w:r w:rsidR="002A31FA" w:rsidRPr="00BB4117">
        <w:rPr>
          <w:szCs w:val="24"/>
        </w:rPr>
        <w:t xml:space="preserve">, </w:t>
      </w:r>
      <w:r w:rsidR="00093539" w:rsidRPr="00BB4117">
        <w:rPr>
          <w:szCs w:val="24"/>
        </w:rPr>
        <w:t>inter alia</w:t>
      </w:r>
      <w:r w:rsidR="002A31FA" w:rsidRPr="00BB4117">
        <w:rPr>
          <w:szCs w:val="24"/>
        </w:rPr>
        <w:t>,</w:t>
      </w:r>
      <w:r w:rsidRPr="00BB4117">
        <w:rPr>
          <w:szCs w:val="24"/>
        </w:rPr>
        <w:t xml:space="preserve"> because it is mandatory </w:t>
      </w:r>
      <w:r w:rsidR="002A31FA" w:rsidRPr="00BB4117">
        <w:rPr>
          <w:szCs w:val="24"/>
        </w:rPr>
        <w:t>in Europe</w:t>
      </w:r>
      <w:r w:rsidR="00616FC6" w:rsidRPr="00BB4117">
        <w:rPr>
          <w:szCs w:val="24"/>
        </w:rPr>
        <w:t xml:space="preserve">, although the economics of lithium battery recycling is poor </w:t>
      </w:r>
      <w:r w:rsidR="00524197" w:rsidRPr="00BB4117">
        <w:rPr>
          <w:szCs w:val="24"/>
        </w:rPr>
        <w:fldChar w:fldCharType="begin" w:fldLock="1"/>
      </w:r>
      <w:r w:rsidR="00616FC6" w:rsidRPr="00BB4117">
        <w:rPr>
          <w:szCs w:val="24"/>
        </w:rPr>
        <w:instrText>ADDIN CSL_CITATION { "citationItems" : [ { "id" : "ITEM-1", "itemData" : { "author" : [ { "dropping-particle" : "", "family" : "Hall", "given" : "Bj\u00f6rn", "non-dropping-particle" : "", "parse-names" : false, "suffix" : "" } ], "id" : "ITEM-1", "issued" : { "date-parts" : [ [ "2014" ] ] }, "number-of-pages" : "1-39", "title" : "F\u00f6rstudie kring \u00e5tervinningsmetoder f\u00f6r litiumjonbatterier och celler f\u00f6r fordonsapplikationer", "type" : "report" }, "uris" : [ "http://www.mendeley.com/documents/?uuid=6f318929-b764-43a2-91d5-36ccc29ddabc" ] }, { "id" : "ITEM-2", "itemData" : { "author" : [ { "dropping-particle" : "", "family" : "Buchert", "given" : "Matthias", "non-dropping-particle" : "", "parse-names" : false, "suffix" : "" } ], "id" : "ITEM-2", "issue" : "0", "issued" : { "date-parts" : [ [ "2011" ] ] }, "number-of-pages" : "30-40", "title" : "\u00d6kobilanz zum \u201eRecycling von Lithium-Ionen-Batterien\u201c (LithoRec)", "type" : "report", "volume" : "49" }, "uris" : [ "http://www.mendeley.com/documents/?uuid=b69ad3f9-fe34-471a-b105-6b8f53374bd0" ] }, { "id" : "ITEM-3", "itemData" : { "author" : [ { "dropping-particle" : "", "family" : "Arnberger", "given" : "A", "non-dropping-particle" : "", "parse-names" : false, "suffix" : "" }, { "dropping-particle" : "", "family" : "Pomberger", "given" : "R", "non-dropping-particle" : "", "parse-names" : false, "suffix" : "" }, { "dropping-particle" : "", "family" : "Curtis", "given" : "A", "non-dropping-particle" : "", "parse-names" : false, "suffix" : "" } ], "container-title" : "Wastes: Solutions, Treatments and Opportunities. 2nd International Conference", "id" : "ITEM-3", "issued" : { "date-parts" : [ [ "2013" ] ] }, "page" : "727-732", "title" : "Recycling of lithium-ion batteries taken from electric traction drive", "type" : "paper-conference" }, "uris" : [ "http://www.mendeley.com/documents/?uuid=d403fba6-8604-4aa7-a59a-0f82a747371d" ] }, { "id" : "ITEM-4", "itemData" : { "DOI" : "10.1021/es302420z", "ISSN" : "1520-5851", "PMID" : "23075406", "abstract" : "This paper addresses the environmental burdens (energy consumption and air emissions, including greenhouse gases, GHGs) of the material production, assembly, and recycling of automotive lithium-ion batteries in hybrid electric, plug-in hybrid electric, and battery electric vehicles (BEV) that use LiMn(2)O(4) cathode material. In this analysis, we calculated the energy consumed and air emissions generated when recovering LiMn(2)O(4), aluminum, and copper in three recycling processes (hydrometallurgical, intermediate physical, and direct physical recycling) and examined the effect(s) of closed-loop recycling on environmental impacts of battery production. We aimed to develop a U.S.-specific analysis of lithium-ion battery production and in particular sought to resolve literature discrepancies concerning energy consumed during battery assembly. Our analysis takes a process-level (versus a top-down) approach. For a battery used in a BEV, we estimated cradle-to-gate energy and GHG emissions of 75 MJ/kg battery and 5.1 kg CO(2)e/kg battery, respectively. Battery assembly consumes only 6% of this total energy. These results are significantly less than reported in studies that take a top-down approach. We further estimate that direct physical recycling of LiMn(2)O(4), aluminum, and copper in a closed-loop scenario can reduce energy consumption during material production by up to 48%.", "author" : [ { "dropping-particle" : "", "family" : "Dunn", "given" : "Jennifer B", "non-dropping-particle" : "", "parse-names" : false, "suffix" : "" }, { "dropping-particle" : "", "family" : "Gaines", "given" : "Linda", "non-dropping-particle" : "", "parse-names" : false, "suffix" : "" }, { "dropping-particle" : "", "family" : "Sullivan", "given" : "John", "non-dropping-particle" : "", "parse-names" : false, "suffix" : "" }, { "dropping-particle" : "", "family" : "Wang", "given" : "Michael Q", "non-dropping-particle" : "", "parse-names" : false, "suffix" : "" } ], "container-title" : "Environmental science &amp; technology", "id" : "ITEM-4", "issue" : "22", "issued" : { "date-parts" : [ [ "2012", "11", "20" ] ] }, "page" : "12704-10", "title" : "Impact of recycling on cradle-to-gate energy consumption and greenhouse gas emissions of automotive lithium-ion batteries.", "type" : "article-journal", "volume" : "46" }, "uris" : [ "http://www.mendeley.com/documents/?uuid=86182504-6398-4705-9230-8baab2c57e52" ] }, { "id" : "ITEM-5", "itemData" : { "DOI" : "10.1016/j.jpowsour.2012.01.152", "ISSN" : "03787753", "author" : [ { "dropping-particle" : "", "family" : "Georgi-Maschler", "given" : "T.", "non-dropping-particle" : "", "parse-names" : false, "suffix" : "" }, { "dropping-particle" : "", "family" : "Friedrich", "given" : "B.", "non-dropping-particle" : "", "parse-names" : false, "suffix" : "" }, { "dropping-particle" : "", "family" : "Weyhe", "given" : "R.", "non-dropping-particle" : "", "parse-names" : false, "suffix" : "" }, { "dropping-particle" : "", "family" : "Heegn", "given" : "H.", "non-dropping-particle" : "", "parse-names" : false, "suffix" : "" }, { "dropping-particle" : "", "family" : "Rutz", "given" : "M.", "non-dropping-particle" : "", "parse-names" : false, "suffix" : "" } ], "container-title" : "Journal of Power Sources", "id" : "ITEM-5", "issued" : { "date-parts" : [ [ "2012", "6" ] ] }, "page" : "173-182", "publisher" : "Elsevier B.V.", "title" : "Development of a recycling process for Li-ion batteries", "type" : "article-journal", "volume" : "207" }, "uris" : [ "http://www.mendeley.com/documents/?uuid=11dbcefb-e184-4de5-b5ed-4c3c0cc48688" ] }, { "id" : "ITEM-6", "itemData" : { "DOI" : "10.1016/j.jpowsour.2014.01.078", "ISSN" : "03787753", "abstract" : "An approach to battery end-of-life (EOL) management is developed involving cathode refunctionalization, which enables remanufacturing of the cathode from EOL materials to regain the electrochemical performance. To date, the optimal end-of-life management of cathode materials is based on economic value and environmental impact which can influence the methods and stage of recycling. Traditional recycling methods can recover high value metal elements (e.g. Li, Co, Ni), but still require synthesis of new cathode from a mix of virgin and recovered materials. Lithium iron phosphate (LiFePO4) has been selected for study as a representative cathode material due to recent mass adoption and limited economic recycling drivers due to the low inherent cost of iron. Refunctionalization of EOL LiFePO4 cathode was demonstrated through electrochemical and chemical lithiation methods where the re-lithiated LiFePO4 regained the original capacity of 150-155 mAh g-1. The environmental impact of the new recycling technique was determined by comparing the embodied energy of cathode material originating from virgin, recycled, and refunctionalized materials. The results demonstrate that the LiFePO4 refunctionalization process, through chemical lithiation, decreases the embodied energy by 50% compared to cathode production from virgin materials. ?? 2014 Elsevier B.V. All rights reserved.", "author" : [ { "dropping-particle" : "", "family" : "Ganter", "given" : "Matthew J.", "non-dropping-particle" : "", "parse-names" : false, "suffix" : "" }, { "dropping-particle" : "", "family" : "Landi", "given" : "Brian J.", "non-dropping-particle" : "", "parse-names" : false, "suffix" : "" }, { "dropping-particle" : "", "family" : "Babbitt", "given" : "Callie W.", "non-dropping-particle" : "", "parse-names" : false, "suffix" : "" }, { "dropping-particle" : "", "family" : "Anctil", "given" : "Annick", "non-dropping-particle" : "", "parse-names" : false, "suffix" : "" }, { "dropping-particle" : "", "family" : "Gaustad", "given" : "Gabrielle", "non-dropping-particle" : "", "parse-names" : false, "suffix" : "" } ], "container-title" : "Journal of Power Sources", "id" : "ITEM-6", "issued" : { "date-parts" : [ [ "2014" ] ] }, "page" : "274-280", "publisher" : "Elsevier B.V", "title" : "Cathode refunctionalization as a lithium ion battery recycling alternative", "type" : "article-journal", "volume" : "256" }, "uris" : [ "http://www.mendeley.com/documents/?uuid=7d97e81c-8bbb-43f3-8df8-cebf7375c235" ] }, { "id" : "ITEM-7", "itemData" : { "DOI" : "10.1016/j.rser.2014.04.018", "ISSN" : "13640321", "author" : [ { "dropping-particle" : "", "family" : "Speirs", "given" : "Jamie", "non-dropping-particle" : "", "parse-names" : false, "suffix" : "" }, { "dropping-particle" : "", "family" : "Contestabile", "given" : "Marcello", "non-dropping-particle" : "", "parse-names" : false, "suffix" : "" }, { "dropping-particle" : "", "family" : "Houari", "given" : "Yassine", "non-dropping-particle" : "", "parse-names" : false, "suffix" : "" }, { "dropping-particle" : "", "family" : "Gross", "given" : "Robert", "non-dropping-particle" : "", "parse-names" : false, "suffix" : "" } ], "container-title" : "Renewable and Sustainable Energy Reviews", "id" : "ITEM-7", "issued" : { "date-parts" : [ [ "2014", "7" ] ] }, "page" : "183-193", "publisher" : "Elsevier", "title" : "The future of lithium availability for electric vehicle batteries", "type" : "article-journal", "volume" : "35" }, "uris" : [ "http://www.mendeley.com/documents/?uuid=312d9dfe-6a7b-4e8e-b738-0cffc1c79665" ] }, { "id" : "ITEM-8", "itemData" : { "DOI" : "10.1016/j.resconrec.2013.11.009", "ISSN" : "09213449", "abstract" : "While lithium-ion battery (LIB) technology has improved substantially to achieve better performance in a wide variety of applications, this technological progress has led to a diverse mix of batteries in use that ultimately require waste management. Development of a robust end-of-life battery infrastructure requires a better understanding of how to maximize the economic opportunity of battery recycling while mitigating the uncertainties associated with a highly variable waste stream. This paper develops and applies an optimization model to analyze the profitability of recycling facilities given current estimates of LIB technologies, commodity market prices of materials expected to be recovered, and material composition for three common battery types (differentiated on the basis of cathode chemistry). Sensitivity analysis shows that the profitability is highly dependent on the expected mix of cathode chemistries in the waste stream and the resultant variability in material mass and value. The potential values of waste streams comprised of different cathode chemistry types show a variability ranging from $860 per ton11The word \u201cton\u201d in this paper indicates metric ton (1000kg). for LiMn2O4 cathode batteries to $8900 per ton for LiCoO2 cathode batteries. In addition, these initial results and a policy case study can also help to promote end-of-life management and relative policymaking for spent LIBs.", "author" : [ { "dropping-particle" : "", "family" : "Wang", "given" : "Xue", "non-dropping-particle" : "", "parse-names" : false, "suffix" : "" }, { "dropping-particle" : "", "family" : "Gaustad", "given" : "Gabrielle", "non-dropping-particle" : "", "parse-names" : false, "suffix" : "" }, { "dropping-particle" : "", "family" : "Babbitt", "given" : "Callie W.", "non-dropping-particle" : "", "parse-names" : false, "suffix" : "" }, { "dropping-particle" : "", "family" : "Richa", "given" : "Kirti", "non-dropping-particle" : "", "parse-names" : false, "suffix" : "" } ], "container-title" : "Resources, Conservation and Recycling", "id" : "ITEM-8", "issued" : { "date-parts" : [ [ "2014", "2" ] ] }, "page" : "53-62", "title" : "Economies of scale for future lithium-ion battery recycling infrastructure", "type" : "article-journal", "volume" : "83" }, "uris" : [ "http://www.mendeley.com/documents/?uuid=702fa9b7-0111-4848-b8f6-cd99078f2692" ] }, { "id" : "ITEM-9", "itemData" : { "author" : [ { "dropping-particle" : "", "family" : "Kurdve", "given" : "Martin", "non-dropping-particle" : "", "parse-names" : false, "suffix" : "" } ], "id" : "ITEM-9", "issued" : { "date-parts" : [ [ "2014" ] ] }, "number-of-pages" : "106", "publisher" : "M\u00e4lardalen University", "title" : "Development of collaborative green lean production systems", "type" : "thesis" }, "uris" : [ "http://www.mendeley.com/documents/?uuid=932a307d-108f-445f-a3d7-262b1f07efed" ] } ], "mendeley" : { "formattedCitation" : "(Hall 2014; Buchert 2011; Arnberger et al. 2013; Dunn et al. 2012; Georgi-Maschler et al. 2012; Ganter et al. 2014; Speirs et al. 2014; Wang, Gaustad, Callie W. Babbitt, et al. 2014; Kurdve 2014)", "manualFormatting" : "( Dunn et al. 2012; Wang et al. 2014)", "plainTextFormattedCitation" : "(Hall 2014; Buchert 2011; Arnberger et al. 2013; Dunn et al. 2012; Georgi-Maschler et al. 2012; Ganter et al. 2014; Speirs et al. 2014; Wang, Gaustad, Callie W. Babbitt, et al. 2014; Kurdve 2014)", "previouslyFormattedCitation" : "(Hall 2014; Buchert 2011; Arnberger et al. 2013; Dunn et al. 2012; Georgi-Maschler et al. 2012; Ganter et al. 2014; Speirs et al. 2014; Wang, Gaustad, Callie W. Babbitt, et al. 2014; Kurdve 2014)" }, "properties" : { "noteIndex" : 0 }, "schema" : "https://github.com/citation-style-language/schema/raw/master/csl-citation.json" }</w:instrText>
      </w:r>
      <w:r w:rsidR="00524197" w:rsidRPr="00BB4117">
        <w:rPr>
          <w:szCs w:val="24"/>
        </w:rPr>
        <w:fldChar w:fldCharType="separate"/>
      </w:r>
      <w:r w:rsidR="00616FC6" w:rsidRPr="00BB4117">
        <w:rPr>
          <w:noProof/>
          <w:szCs w:val="24"/>
        </w:rPr>
        <w:t>( Dunn et al. 2012; Wang et al. 2014)</w:t>
      </w:r>
      <w:r w:rsidR="00524197" w:rsidRPr="00BB4117">
        <w:rPr>
          <w:szCs w:val="24"/>
        </w:rPr>
        <w:fldChar w:fldCharType="end"/>
      </w:r>
    </w:p>
    <w:p w:rsidR="00055012" w:rsidRPr="00BB4117" w:rsidRDefault="002A31FA" w:rsidP="000229A2">
      <w:pPr>
        <w:pStyle w:val="Brdtext"/>
        <w:numPr>
          <w:ilvl w:val="0"/>
          <w:numId w:val="19"/>
        </w:numPr>
        <w:ind w:left="567" w:hanging="425"/>
        <w:rPr>
          <w:szCs w:val="24"/>
        </w:rPr>
      </w:pPr>
      <w:r w:rsidRPr="00BB4117">
        <w:rPr>
          <w:szCs w:val="24"/>
        </w:rPr>
        <w:t xml:space="preserve">Resource supply considerations will also be a motivation for recycling scarce materials </w:t>
      </w:r>
      <w:r w:rsidR="00524197" w:rsidRPr="00BB4117">
        <w:rPr>
          <w:szCs w:val="24"/>
        </w:rPr>
        <w:fldChar w:fldCharType="begin" w:fldLock="1"/>
      </w:r>
      <w:r w:rsidR="000B14A6" w:rsidRPr="00BB4117">
        <w:rPr>
          <w:szCs w:val="24"/>
        </w:rPr>
        <w:instrText>ADDIN CSL_CITATION { "citationItems" : [ { "id" : "ITEM-1", "itemData" : { "DOI" : "10.1016/j.resourpol.2011.11.003", "ISSN" : "03014207", "author" : [ { "dropping-particle" : "", "family" : "Kushnir", "given" : "Duncan", "non-dropping-particle" : "", "parse-names" : false, "suffix" : "" }, { "dropping-particle" : "", "family" : "Sand\u00e9n", "given" : "Bj\u00f6rn a.", "non-dropping-particle" : "", "parse-names" : false, "suffix" : "" } ], "container-title" : "Resources Policy", "id" : "ITEM-1", "issue" : "1", "issued" : { "date-parts" : [ [ "2012", "3" ] ] }, "page" : "93-103", "title" : "The time dimension and lithium resource constraints for electric vehicles", "type" : "article-journal", "volume" : "37" }, "uris" : [ "http://www.mendeley.com/documents/?uuid=d7905315-639a-4ff6-b8d7-88255390ce84" ] } ], "mendeley" : { "formattedCitation" : "(Kushnir &amp; Sand\u00e9n 2012)", "manualFormatting" : "(Speirs et al. 2014; Kushnir &amp; Sand\u00e9n 2012;", "plainTextFormattedCitation" : "(Kushnir &amp; Sand\u00e9n 2012)", "previouslyFormattedCitation" : "(Kushnir &amp; Sand\u00e9n 2012)" }, "properties" : { "noteIndex" : 0 }, "schema" : "https://github.com/citation-style-language/schema/raw/master/csl-citation.json" }</w:instrText>
      </w:r>
      <w:r w:rsidR="00524197" w:rsidRPr="00BB4117">
        <w:rPr>
          <w:szCs w:val="24"/>
        </w:rPr>
        <w:fldChar w:fldCharType="separate"/>
      </w:r>
      <w:r w:rsidR="002B176A" w:rsidRPr="00BB4117">
        <w:rPr>
          <w:noProof/>
          <w:szCs w:val="24"/>
        </w:rPr>
        <w:t>(</w:t>
      </w:r>
      <w:r w:rsidR="00616FC6" w:rsidRPr="00BB4117">
        <w:rPr>
          <w:noProof/>
          <w:szCs w:val="24"/>
        </w:rPr>
        <w:t xml:space="preserve">Speirs et al. 2014; </w:t>
      </w:r>
      <w:r w:rsidR="002B176A" w:rsidRPr="00BB4117">
        <w:rPr>
          <w:noProof/>
          <w:szCs w:val="24"/>
        </w:rPr>
        <w:t>Kushnir &amp; Sandén 2012</w:t>
      </w:r>
      <w:r w:rsidR="00616FC6" w:rsidRPr="00BB4117">
        <w:rPr>
          <w:noProof/>
          <w:szCs w:val="24"/>
        </w:rPr>
        <w:t>;</w:t>
      </w:r>
      <w:r w:rsidR="00524197" w:rsidRPr="00BB4117">
        <w:rPr>
          <w:szCs w:val="24"/>
        </w:rPr>
        <w:fldChar w:fldCharType="end"/>
      </w:r>
      <w:r w:rsidR="00524197" w:rsidRPr="00BB4117">
        <w:rPr>
          <w:szCs w:val="24"/>
        </w:rPr>
        <w:fldChar w:fldCharType="begin" w:fldLock="1"/>
      </w:r>
      <w:r w:rsidR="00001D4A" w:rsidRPr="00BB4117">
        <w:rPr>
          <w:szCs w:val="24"/>
        </w:rPr>
        <w:instrText>ADDIN CSL_CITATION { "citationItems" : [ { "id" : "ITEM-1", "itemData" : { "author" : [ { "dropping-particle" : "", "family" : "J\u00f6nsson", "given" : "Christina", "non-dropping-particle" : "", "parse-names" : false, "suffix" : "" }, { "dropping-particle" : "", "family" : "Olsson", "given" : "Elisabeth", "non-dropping-particle" : "", "parse-names" : false, "suffix" : "" }, { "dropping-particle" : "", "family" : "B\u00e4ck", "given" : "Jan", "non-dropping-particle" : "", "parse-names" : false, "suffix" : "" }, { "dropping-particle" : "", "family" : "Kristinsd\u00f3ttir", "given" : "Anna R\u00fana", "non-dropping-particle" : "", "parse-names" : false, "suffix" : "" }, { "dropping-particle" : "", "family" : "Johansson", "given" : "Jan", "non-dropping-particle" : "", "parse-names" : false, "suffix" : "" }, { "dropping-particle" : "", "family" : "Skogsmo", "given" : "Jan", "non-dropping-particle" : "", "parse-names" : false, "suffix" : "" }, { "dropping-particle" : "", "family" : "Sundgren", "given" : "Mats", "non-dropping-particle" : "", "parse-names" : false, "suffix" : "" }, { "dropping-particle" : "", "family" : "Str\u00f6m", "given" : "Mikael", "non-dropping-particle" : "", "parse-names" : false, "suffix" : "" }, { "dropping-particle" : "", "family" : "Posner", "given" : "Stefan", "non-dropping-particle" : "", "parse-names" : false, "suffix" : "" }, { "dropping-particle" : "", "family" : "Johansson", "given" : "Eva", "non-dropping-particle" : "", "parse-names" : false, "suffix" : "" }, { "dropping-particle" : "", "family" : "Nystr\u00f6m", "given" : "Birgitta", "non-dropping-particle" : "", "parse-names" : false, "suffix" : "" }, { "dropping-particle" : "", "family" : "Svensson", "given" : "Henrik", "non-dropping-particle" : "", "parse-names" : false, "suffix" : "" } ], "id" : "ITEM-1", "issued" : { "date-parts" : [ [ "2014" ] ] }, "title" : "Strategiska materialval. Fr\u00e5gest\u00e4llningar ur ett livscykelperspektiv.", "type" : "report" }, "uris" : [ "http://www.mendeley.com/documents/?uuid=0332f37e-e561-4e10-8b43-47c369e4be45" ] } ], "mendeley" : { "formattedCitation" : "(J\u00f6nsson et al. 2014)", "manualFormatting" : " J\u00f6nsson et al. 2014)", "plainTextFormattedCitation" : "(J\u00f6nsson et al. 2014)", "previouslyFormattedCitation" : "(J\u00f6nsson et al. 2014)" }, "properties" : { "noteIndex" : 0 }, "schema" : "https://github.com/citation-style-language/schema/raw/master/csl-citation.json" }</w:instrText>
      </w:r>
      <w:r w:rsidR="00524197" w:rsidRPr="00BB4117">
        <w:rPr>
          <w:szCs w:val="24"/>
        </w:rPr>
        <w:fldChar w:fldCharType="separate"/>
      </w:r>
      <w:r w:rsidR="002B1866" w:rsidRPr="00BB4117">
        <w:rPr>
          <w:noProof/>
          <w:szCs w:val="24"/>
        </w:rPr>
        <w:t xml:space="preserve"> </w:t>
      </w:r>
      <w:r w:rsidRPr="00BB4117">
        <w:rPr>
          <w:noProof/>
          <w:szCs w:val="24"/>
        </w:rPr>
        <w:t>Jönsson et al. 2014)</w:t>
      </w:r>
      <w:r w:rsidR="00524197" w:rsidRPr="00BB4117">
        <w:rPr>
          <w:szCs w:val="24"/>
        </w:rPr>
        <w:fldChar w:fldCharType="end"/>
      </w:r>
      <w:r w:rsidRPr="00BB4117">
        <w:rPr>
          <w:szCs w:val="24"/>
        </w:rPr>
        <w:t xml:space="preserve"> used in traction batteries as the</w:t>
      </w:r>
      <w:r w:rsidR="00BE124E" w:rsidRPr="00BB4117">
        <w:rPr>
          <w:szCs w:val="24"/>
        </w:rPr>
        <w:t xml:space="preserve"> electrification of vehicles</w:t>
      </w:r>
      <w:r w:rsidRPr="00BB4117">
        <w:rPr>
          <w:szCs w:val="24"/>
        </w:rPr>
        <w:t xml:space="preserve"> grows</w:t>
      </w:r>
    </w:p>
    <w:p w:rsidR="00BE124E" w:rsidRPr="00BB4117" w:rsidRDefault="00BE124E" w:rsidP="00D531E7">
      <w:pPr>
        <w:pStyle w:val="Brdtext"/>
        <w:numPr>
          <w:ilvl w:val="0"/>
          <w:numId w:val="19"/>
        </w:numPr>
        <w:ind w:left="567"/>
        <w:rPr>
          <w:szCs w:val="24"/>
        </w:rPr>
      </w:pPr>
      <w:r w:rsidRPr="00BB4117">
        <w:rPr>
          <w:szCs w:val="24"/>
        </w:rPr>
        <w:t>The presence of several different lithium battery chemistries will necessitate chemistry specific disassembly and treatment. Marking</w:t>
      </w:r>
      <w:r w:rsidR="002A31FA" w:rsidRPr="00BB4117">
        <w:rPr>
          <w:szCs w:val="24"/>
        </w:rPr>
        <w:t xml:space="preserve"> the batteries during manufacturing</w:t>
      </w:r>
      <w:r w:rsidRPr="00BB4117">
        <w:rPr>
          <w:szCs w:val="24"/>
        </w:rPr>
        <w:t xml:space="preserve"> </w:t>
      </w:r>
      <w:r w:rsidR="00524197" w:rsidRPr="00BB4117">
        <w:rPr>
          <w:szCs w:val="24"/>
        </w:rPr>
        <w:fldChar w:fldCharType="begin" w:fldLock="1"/>
      </w:r>
      <w:r w:rsidR="00DA4136" w:rsidRPr="00BB4117">
        <w:rPr>
          <w:szCs w:val="24"/>
        </w:rPr>
        <w:instrText>ADDIN CSL_CITATION { "citationItems" : [ { "id" : "ITEM-1", "itemData" : { "author" : [ { "dropping-particle" : "", "family" : "Hall", "given" : "Bj\u00f6rn", "non-dropping-particle" : "", "parse-names" : false, "suffix" : "" } ], "id" : "ITEM-1", "issued" : { "date-parts" : [ [ "2014" ] ] }, "number-of-pages" : "1-39", "title" : "F\u00f6rstudie kring \u00e5tervinningsmetoder f\u00f6r litiumjonbatterier och celler f\u00f6r fordonsapplikationer", "type" : "report" }, "uris" : [ "http://www.mendeley.com/documents/?uuid=6f318929-b764-43a2-91d5-36ccc29ddabc" ] }, { "id" : "ITEM-2", "itemData" : { "author" : [ { "dropping-particle" : "", "family" : "Arnberger", "given" : "A", "non-dropping-particle" : "", "parse-names" : false, "suffix" : "" }, { "dropping-particle" : "", "family" : "Pomberger", "given" : "R", "non-dropping-particle" : "", "parse-names" : false, "suffix" : "" }, { "dropping-particle" : "", "family" : "Curtis", "given" : "A", "non-dropping-particle" : "", "parse-names" : false, "suffix" : "" } ], "container-title" : "Wastes: Solutions, Treatments and Opportunities. 2nd International Conference", "id" : "ITEM-2", "issued" : { "date-parts" : [ [ "2013" ] ] }, "page" : "727-732", "title" : "Recycling of lithium-ion batteries taken from electric traction drive", "type" : "paper-conference" }, "uris" : [ "http://www.mendeley.com/documents/?uuid=d403fba6-8604-4aa7-a59a-0f82a747371d" ] } ], "mendeley" : { "formattedCitation" : "(Hall 2014; Arnberger et al. 2013)", "plainTextFormattedCitation" : "(Hall 2014; Arnberger et al. 2013)", "previouslyFormattedCitation" : "(Hall 2014; Arnberger et al. 2013)" }, "properties" : { "noteIndex" : 0 }, "schema" : "https://github.com/citation-style-language/schema/raw/master/csl-citation.json" }</w:instrText>
      </w:r>
      <w:r w:rsidR="00524197" w:rsidRPr="00BB4117">
        <w:rPr>
          <w:szCs w:val="24"/>
        </w:rPr>
        <w:fldChar w:fldCharType="separate"/>
      </w:r>
      <w:r w:rsidR="002A31FA" w:rsidRPr="00BB4117">
        <w:rPr>
          <w:noProof/>
          <w:szCs w:val="24"/>
        </w:rPr>
        <w:t>(Hall 2014; Arnberger et al. 2013)</w:t>
      </w:r>
      <w:r w:rsidR="00524197" w:rsidRPr="00BB4117">
        <w:rPr>
          <w:szCs w:val="24"/>
        </w:rPr>
        <w:fldChar w:fldCharType="end"/>
      </w:r>
      <w:r w:rsidR="002A31FA" w:rsidRPr="00BB4117">
        <w:rPr>
          <w:szCs w:val="24"/>
        </w:rPr>
        <w:t xml:space="preserve"> </w:t>
      </w:r>
      <w:r w:rsidRPr="00BB4117">
        <w:rPr>
          <w:szCs w:val="24"/>
        </w:rPr>
        <w:t xml:space="preserve">and sorting </w:t>
      </w:r>
      <w:r w:rsidR="002A31FA" w:rsidRPr="00BB4117">
        <w:rPr>
          <w:szCs w:val="24"/>
        </w:rPr>
        <w:t xml:space="preserve">them </w:t>
      </w:r>
      <w:r w:rsidRPr="00BB4117">
        <w:rPr>
          <w:szCs w:val="24"/>
        </w:rPr>
        <w:t xml:space="preserve">prior to disassembly </w:t>
      </w:r>
      <w:r w:rsidR="002A31FA" w:rsidRPr="00BB4117">
        <w:rPr>
          <w:szCs w:val="24"/>
        </w:rPr>
        <w:t>will become</w:t>
      </w:r>
      <w:r w:rsidR="00DA4136" w:rsidRPr="00BB4117">
        <w:rPr>
          <w:szCs w:val="24"/>
        </w:rPr>
        <w:t xml:space="preserve"> necessary.</w:t>
      </w:r>
    </w:p>
    <w:p w:rsidR="00BE124E" w:rsidRPr="00BB4117" w:rsidRDefault="00BE124E" w:rsidP="00D531E7">
      <w:pPr>
        <w:pStyle w:val="Brdtext"/>
        <w:numPr>
          <w:ilvl w:val="0"/>
          <w:numId w:val="19"/>
        </w:numPr>
        <w:ind w:left="567"/>
        <w:rPr>
          <w:szCs w:val="24"/>
        </w:rPr>
      </w:pPr>
      <w:r w:rsidRPr="00BB4117">
        <w:rPr>
          <w:szCs w:val="24"/>
        </w:rPr>
        <w:t xml:space="preserve">Depending on cell chemistry, recycling will use a mix of </w:t>
      </w:r>
      <w:r w:rsidR="00AA253F" w:rsidRPr="00BB4117">
        <w:rPr>
          <w:szCs w:val="24"/>
        </w:rPr>
        <w:t xml:space="preserve">manual, </w:t>
      </w:r>
      <w:r w:rsidRPr="00BB4117">
        <w:rPr>
          <w:szCs w:val="24"/>
        </w:rPr>
        <w:t>mechanical, hydro</w:t>
      </w:r>
      <w:r w:rsidR="00DA4136" w:rsidRPr="00BB4117">
        <w:rPr>
          <w:szCs w:val="24"/>
        </w:rPr>
        <w:t xml:space="preserve">- and </w:t>
      </w:r>
      <w:proofErr w:type="spellStart"/>
      <w:r w:rsidR="00DA4136" w:rsidRPr="00BB4117">
        <w:rPr>
          <w:szCs w:val="24"/>
        </w:rPr>
        <w:t>pyrometallurgical</w:t>
      </w:r>
      <w:proofErr w:type="spellEnd"/>
      <w:r w:rsidR="00DA4136" w:rsidRPr="00BB4117">
        <w:rPr>
          <w:szCs w:val="24"/>
        </w:rPr>
        <w:t xml:space="preserve"> processes (</w:t>
      </w:r>
      <w:proofErr w:type="spellStart"/>
      <w:r w:rsidR="00DA4136" w:rsidRPr="00BB4117">
        <w:rPr>
          <w:noProof/>
          <w:szCs w:val="24"/>
        </w:rPr>
        <w:t>Arnberger</w:t>
      </w:r>
      <w:proofErr w:type="spellEnd"/>
      <w:r w:rsidR="00DA4136" w:rsidRPr="00BB4117">
        <w:rPr>
          <w:noProof/>
          <w:szCs w:val="24"/>
        </w:rPr>
        <w:t xml:space="preserve"> et al. 2013; Hall 2014; Georgi-Maschler et al. 2012)</w:t>
      </w:r>
      <w:r w:rsidR="00DA4136" w:rsidRPr="00BB4117">
        <w:rPr>
          <w:szCs w:val="24"/>
        </w:rPr>
        <w:t xml:space="preserve">. The </w:t>
      </w:r>
      <w:proofErr w:type="spellStart"/>
      <w:r w:rsidR="00DA4136" w:rsidRPr="00BB4117">
        <w:rPr>
          <w:szCs w:val="24"/>
        </w:rPr>
        <w:t>LithoRec</w:t>
      </w:r>
      <w:proofErr w:type="spellEnd"/>
      <w:r w:rsidR="00DA4136" w:rsidRPr="00BB4117">
        <w:rPr>
          <w:szCs w:val="24"/>
        </w:rPr>
        <w:t xml:space="preserve"> project </w:t>
      </w:r>
      <w:r w:rsidR="00524197" w:rsidRPr="00BB4117">
        <w:rPr>
          <w:szCs w:val="24"/>
        </w:rPr>
        <w:fldChar w:fldCharType="begin" w:fldLock="1"/>
      </w:r>
      <w:r w:rsidR="00DA4136" w:rsidRPr="00BB4117">
        <w:rPr>
          <w:szCs w:val="24"/>
        </w:rPr>
        <w:instrText>ADDIN CSL_CITATION { "citationItems" : [ { "id" : "ITEM-1", "itemData" : { "author" : [ { "dropping-particle" : "", "family" : "Buchert", "given" : "Matthias", "non-dropping-particle" : "", "parse-names" : false, "suffix" : "" } ], "id" : "ITEM-1", "issue" : "0", "issued" : { "date-parts" : [ [ "2011" ] ] }, "number-of-pages" : "30-40", "title" : "\u00d6kobilanz zum \u201eRecycling von Lithium-Ionen-Batterien\u201c (LithoRec)", "type" : "report", "volume" : "49" }, "uris" : [ "http://www.mendeley.com/documents/?uuid=b69ad3f9-fe34-471a-b105-6b8f53374bd0" ] } ], "mendeley" : { "formattedCitation" : "(Buchert 2011)", "plainTextFormattedCitation" : "(Buchert 2011)", "previouslyFormattedCitation" : "(Buchert 2011)" }, "properties" : { "noteIndex" : 0 }, "schema" : "https://github.com/citation-style-language/schema/raw/master/csl-citation.json" }</w:instrText>
      </w:r>
      <w:r w:rsidR="00524197" w:rsidRPr="00BB4117">
        <w:rPr>
          <w:szCs w:val="24"/>
        </w:rPr>
        <w:fldChar w:fldCharType="separate"/>
      </w:r>
      <w:r w:rsidR="00B71EA9" w:rsidRPr="00BB4117">
        <w:rPr>
          <w:noProof/>
          <w:szCs w:val="24"/>
        </w:rPr>
        <w:t>(Buchert 2011)</w:t>
      </w:r>
      <w:r w:rsidR="00524197" w:rsidRPr="00BB4117">
        <w:rPr>
          <w:szCs w:val="24"/>
        </w:rPr>
        <w:fldChar w:fldCharType="end"/>
      </w:r>
      <w:r w:rsidR="00AA253F" w:rsidRPr="00BB4117">
        <w:rPr>
          <w:szCs w:val="24"/>
        </w:rPr>
        <w:t xml:space="preserve">, for example, describes four main process steps: </w:t>
      </w:r>
      <w:r w:rsidR="00B71EA9" w:rsidRPr="00BB4117">
        <w:rPr>
          <w:szCs w:val="24"/>
        </w:rPr>
        <w:t xml:space="preserve">1) </w:t>
      </w:r>
      <w:r w:rsidR="00AA253F" w:rsidRPr="00BB4117">
        <w:rPr>
          <w:szCs w:val="24"/>
        </w:rPr>
        <w:t>Battery and module disassembly; 2) Cell disassembly; 3) Cathode separation;  and 4) Hydrometallurgical treatment</w:t>
      </w:r>
      <w:r w:rsidRPr="00BB4117">
        <w:rPr>
          <w:szCs w:val="24"/>
        </w:rPr>
        <w:t xml:space="preserve"> </w:t>
      </w:r>
    </w:p>
    <w:p w:rsidR="00FB0153" w:rsidRPr="00BB4117" w:rsidRDefault="00DA4136" w:rsidP="00480641">
      <w:pPr>
        <w:pStyle w:val="Rubrik3"/>
      </w:pPr>
      <w:bookmarkStart w:id="38" w:name="_Toc428370316"/>
      <w:r w:rsidRPr="00BB4117">
        <w:t>3.4.1 Transportation</w:t>
      </w:r>
      <w:bookmarkEnd w:id="38"/>
    </w:p>
    <w:p w:rsidR="0000021D" w:rsidRPr="00BB4117" w:rsidRDefault="0000021D" w:rsidP="0000021D">
      <w:pPr>
        <w:pStyle w:val="Brdtext"/>
        <w:rPr>
          <w:szCs w:val="24"/>
        </w:rPr>
      </w:pPr>
      <w:r w:rsidRPr="00BB4117">
        <w:rPr>
          <w:szCs w:val="24"/>
        </w:rPr>
        <w:t>Considering the studies</w:t>
      </w:r>
      <w:r w:rsidR="004A097D" w:rsidRPr="00BB4117">
        <w:rPr>
          <w:szCs w:val="24"/>
        </w:rPr>
        <w:t xml:space="preserve"> by</w:t>
      </w:r>
      <w:r w:rsidRPr="00BB4117">
        <w:rPr>
          <w:szCs w:val="24"/>
        </w:rPr>
        <w:t xml:space="preserve"> </w:t>
      </w:r>
      <w:r w:rsidR="00524197" w:rsidRPr="00BB4117">
        <w:rPr>
          <w:szCs w:val="24"/>
        </w:rPr>
        <w:fldChar w:fldCharType="begin" w:fldLock="1"/>
      </w:r>
      <w:r w:rsidRPr="00BB4117">
        <w:rPr>
          <w:szCs w:val="24"/>
        </w:rPr>
        <w:instrText>ADDIN CSL_CITATION { "citationItems" : [ { "id" : "ITEM-1", "itemData" : { "author" : [ { "dropping-particle" : "", "family" : "Hall", "given" : "Bj\u00f6rn", "non-dropping-particle" : "", "parse-names" : false, "suffix" : "" } ], "id" : "ITEM-1", "issued" : { "date-parts" : [ [ "2014" ] ] }, "number-of-pages" : "1-39", "title" : "F\u00f6rstudie kring \u00e5tervinningsmetoder f\u00f6r litiumjonbatterier och celler f\u00f6r fordonsapplikationer", "type" : "report" }, "uris" : [ "http://www.mendeley.com/documents/?uuid=6f318929-b764-43a2-91d5-36ccc29ddabc" ] } ], "mendeley" : { "formattedCitation" : "(Hall 2014)", "plainTextFormattedCitation" : "(Hall 2014)", "previouslyFormattedCitation" : "(Hall 2014)" }, "properties" : { "noteIndex" : 0 }, "schema" : "https://github.com/citation-style-language/schema/raw/master/csl-citation.json" }</w:instrText>
      </w:r>
      <w:r w:rsidR="00524197" w:rsidRPr="00BB4117">
        <w:rPr>
          <w:szCs w:val="24"/>
        </w:rPr>
        <w:fldChar w:fldCharType="separate"/>
      </w:r>
      <w:r w:rsidRPr="00BB4117">
        <w:rPr>
          <w:noProof/>
          <w:szCs w:val="24"/>
        </w:rPr>
        <w:t>(Hall 2014)</w:t>
      </w:r>
      <w:r w:rsidR="00524197" w:rsidRPr="00BB4117">
        <w:rPr>
          <w:szCs w:val="24"/>
        </w:rPr>
        <w:fldChar w:fldCharType="end"/>
      </w:r>
      <w:r w:rsidRPr="00BB4117">
        <w:rPr>
          <w:szCs w:val="24"/>
        </w:rPr>
        <w:t xml:space="preserve"> and </w:t>
      </w:r>
      <w:r w:rsidR="00524197" w:rsidRPr="00BB4117">
        <w:rPr>
          <w:szCs w:val="24"/>
        </w:rPr>
        <w:fldChar w:fldCharType="begin" w:fldLock="1"/>
      </w:r>
      <w:r w:rsidRPr="00BB4117">
        <w:rPr>
          <w:szCs w:val="24"/>
        </w:rPr>
        <w:instrText>ADDIN CSL_CITATION { "citationItems" : [ { "id" : "ITEM-1", "itemData" : { "author" : [ { "dropping-particle" : "", "family" : "Buchert", "given" : "Matthias", "non-dropping-particle" : "", "parse-names" : false, "suffix" : "" } ], "id" : "ITEM-1", "issue" : "0", "issued" : { "date-parts" : [ [ "2011" ] ] }, "number-of-pages" : "30-40", "title" : "\u00d6kobilanz zum \u201eRecycling von Lithium-Ionen-Batterien\u201c (LithoRec)", "type" : "report", "volume" : "49" }, "uris" : [ "http://www.mendeley.com/documents/?uuid=b69ad3f9-fe34-471a-b105-6b8f53374bd0" ] } ], "mendeley" : { "formattedCitation" : "(Buchert 2011)", "plainTextFormattedCitation" : "(Buchert 2011)", "previouslyFormattedCitation" : "(Buchert 2011)" }, "properties" : { "noteIndex" : 0 }, "schema" : "https://github.com/citation-style-language/schema/raw/master/csl-citation.json" }</w:instrText>
      </w:r>
      <w:r w:rsidR="00524197" w:rsidRPr="00BB4117">
        <w:rPr>
          <w:szCs w:val="24"/>
        </w:rPr>
        <w:fldChar w:fldCharType="separate"/>
      </w:r>
      <w:r w:rsidRPr="00BB4117">
        <w:rPr>
          <w:noProof/>
          <w:szCs w:val="24"/>
        </w:rPr>
        <w:t>(Buchert 2011)</w:t>
      </w:r>
      <w:r w:rsidR="00524197" w:rsidRPr="00BB4117">
        <w:rPr>
          <w:szCs w:val="24"/>
        </w:rPr>
        <w:fldChar w:fldCharType="end"/>
      </w:r>
      <w:r w:rsidRPr="00BB4117">
        <w:rPr>
          <w:szCs w:val="24"/>
        </w:rPr>
        <w:t>, the following recycling transportation scenario was estimated:</w:t>
      </w:r>
    </w:p>
    <w:p w:rsidR="0000021D" w:rsidRPr="00BB4117" w:rsidRDefault="0000021D" w:rsidP="0000021D">
      <w:pPr>
        <w:pStyle w:val="Brdtext"/>
        <w:numPr>
          <w:ilvl w:val="0"/>
          <w:numId w:val="20"/>
        </w:numPr>
        <w:rPr>
          <w:szCs w:val="24"/>
        </w:rPr>
      </w:pPr>
      <w:r w:rsidRPr="00BB4117">
        <w:rPr>
          <w:szCs w:val="24"/>
        </w:rPr>
        <w:t>50 km from user to licensed car scrap yard. This is where the battery is removed from the vehicle and ideally sent directly to a chemistry specific disassembly and treatment plant.</w:t>
      </w:r>
    </w:p>
    <w:p w:rsidR="0000021D" w:rsidRPr="00BB4117" w:rsidRDefault="0000021D" w:rsidP="0000021D">
      <w:pPr>
        <w:pStyle w:val="Brdtext"/>
        <w:numPr>
          <w:ilvl w:val="0"/>
          <w:numId w:val="20"/>
        </w:numPr>
        <w:rPr>
          <w:szCs w:val="24"/>
        </w:rPr>
      </w:pPr>
      <w:r w:rsidRPr="00BB4117">
        <w:rPr>
          <w:szCs w:val="24"/>
        </w:rPr>
        <w:t>2000 km from licensed scrap yard to chemistry specific disassembly and treatment plant. There may be intermediate transports and storage.</w:t>
      </w:r>
    </w:p>
    <w:p w:rsidR="0000021D" w:rsidRPr="00BB4117" w:rsidRDefault="0000021D" w:rsidP="0000021D">
      <w:pPr>
        <w:pStyle w:val="Brdtext"/>
        <w:numPr>
          <w:ilvl w:val="0"/>
          <w:numId w:val="20"/>
        </w:numPr>
        <w:rPr>
          <w:szCs w:val="24"/>
        </w:rPr>
      </w:pPr>
      <w:r w:rsidRPr="00BB4117">
        <w:rPr>
          <w:szCs w:val="24"/>
        </w:rPr>
        <w:t xml:space="preserve">200 km from chemistry specific disassembly and treatment plant to material market </w:t>
      </w:r>
      <w:r w:rsidR="00524197" w:rsidRPr="00BB4117">
        <w:rPr>
          <w:szCs w:val="24"/>
        </w:rPr>
        <w:fldChar w:fldCharType="begin" w:fldLock="1"/>
      </w:r>
      <w:r w:rsidRPr="00BB4117">
        <w:rPr>
          <w:szCs w:val="24"/>
        </w:rPr>
        <w:instrText>ADDIN CSL_CITATION { "citationItems" : [ { "id" : "ITEM-1", "itemData" : { "author" : [ { "dropping-particle" : "", "family" : "Buchert", "given" : "Matthias", "non-dropping-particle" : "", "parse-names" : false, "suffix" : "" } ], "id" : "ITEM-1", "issue" : "0", "issued" : { "date-parts" : [ [ "2011" ] ] }, "number-of-pages" : "30-40", "title" : "\u00d6kobilanz zum \u201eRecycling von Lithium-Ionen-Batterien\u201c (LithoRec)", "type" : "report", "volume" : "49" }, "uris" : [ "http://www.mendeley.com/documents/?uuid=b69ad3f9-fe34-471a-b105-6b8f53374bd0" ] } ], "mendeley" : { "formattedCitation" : "(Buchert 2011)", "plainTextFormattedCitation" : "(Buchert 2011)", "previouslyFormattedCitation" : "(Buchert 2011)" }, "properties" : { "noteIndex" : 0 }, "schema" : "https://github.com/citation-style-language/schema/raw/master/csl-citation.json" }</w:instrText>
      </w:r>
      <w:r w:rsidR="00524197" w:rsidRPr="00BB4117">
        <w:rPr>
          <w:szCs w:val="24"/>
        </w:rPr>
        <w:fldChar w:fldCharType="separate"/>
      </w:r>
      <w:r w:rsidRPr="00BB4117">
        <w:rPr>
          <w:noProof/>
          <w:szCs w:val="24"/>
        </w:rPr>
        <w:t>(Buchert 2011)</w:t>
      </w:r>
      <w:r w:rsidR="00524197" w:rsidRPr="00BB4117">
        <w:rPr>
          <w:szCs w:val="24"/>
        </w:rPr>
        <w:fldChar w:fldCharType="end"/>
      </w:r>
      <w:r w:rsidRPr="00BB4117">
        <w:rPr>
          <w:szCs w:val="24"/>
        </w:rPr>
        <w:t>. This is the same (</w:t>
      </w:r>
      <w:r w:rsidR="00093539" w:rsidRPr="00BB4117">
        <w:rPr>
          <w:szCs w:val="24"/>
        </w:rPr>
        <w:t>fictitious</w:t>
      </w:r>
      <w:r w:rsidRPr="00BB4117">
        <w:rPr>
          <w:szCs w:val="24"/>
        </w:rPr>
        <w:t xml:space="preserve">) point at which the cell raw material producer buys precursors. </w:t>
      </w:r>
    </w:p>
    <w:p w:rsidR="005B6698" w:rsidRPr="00BB4117" w:rsidRDefault="0000021D" w:rsidP="005B6698">
      <w:pPr>
        <w:pStyle w:val="Brdtext"/>
        <w:rPr>
          <w:szCs w:val="24"/>
        </w:rPr>
      </w:pPr>
      <w:r w:rsidRPr="00BB4117">
        <w:rPr>
          <w:szCs w:val="24"/>
        </w:rPr>
        <w:t xml:space="preserve">It is important to note that transportation of lithium is subject to several laws and regulations. </w:t>
      </w:r>
      <w:r w:rsidR="009B6C7B" w:rsidRPr="00BB4117">
        <w:rPr>
          <w:szCs w:val="24"/>
        </w:rPr>
        <w:t>M</w:t>
      </w:r>
      <w:r w:rsidRPr="00BB4117">
        <w:rPr>
          <w:szCs w:val="24"/>
        </w:rPr>
        <w:t xml:space="preserve">any of the transports outlined above </w:t>
      </w:r>
      <w:r w:rsidR="000B1458" w:rsidRPr="00BB4117">
        <w:rPr>
          <w:szCs w:val="24"/>
        </w:rPr>
        <w:t>require</w:t>
      </w:r>
      <w:r w:rsidRPr="00BB4117">
        <w:rPr>
          <w:szCs w:val="24"/>
        </w:rPr>
        <w:t xml:space="preserve"> professional</w:t>
      </w:r>
      <w:r w:rsidR="000B1458" w:rsidRPr="00BB4117">
        <w:rPr>
          <w:szCs w:val="24"/>
        </w:rPr>
        <w:t>,</w:t>
      </w:r>
      <w:r w:rsidRPr="00BB4117">
        <w:rPr>
          <w:szCs w:val="24"/>
        </w:rPr>
        <w:t xml:space="preserve"> dedicated transportation services. </w:t>
      </w:r>
      <w:r w:rsidR="00C027F6" w:rsidRPr="00BB4117">
        <w:rPr>
          <w:szCs w:val="24"/>
        </w:rPr>
        <w:t>T</w:t>
      </w:r>
      <w:r w:rsidRPr="00BB4117">
        <w:rPr>
          <w:szCs w:val="24"/>
        </w:rPr>
        <w:t xml:space="preserve">he delivery of used lithium cells to some countries is </w:t>
      </w:r>
      <w:r w:rsidRPr="00BB4117">
        <w:rPr>
          <w:szCs w:val="24"/>
        </w:rPr>
        <w:lastRenderedPageBreak/>
        <w:t>actually forbidden. The delivery from EU to Turkey is, for example, not allowed by any means of transportation.</w:t>
      </w:r>
    </w:p>
    <w:p w:rsidR="00032CE3" w:rsidRPr="00BB4117" w:rsidRDefault="00561A42" w:rsidP="00480641">
      <w:pPr>
        <w:pStyle w:val="Rubrik3"/>
      </w:pPr>
      <w:bookmarkStart w:id="39" w:name="_Ref420915766"/>
      <w:bookmarkStart w:id="40" w:name="_Toc428370317"/>
      <w:r w:rsidRPr="00BB4117">
        <w:t xml:space="preserve">3.4.2 </w:t>
      </w:r>
      <w:r w:rsidR="00DA4136" w:rsidRPr="00BB4117">
        <w:t>Recycling and treatment processes and avoided processes</w:t>
      </w:r>
      <w:bookmarkEnd w:id="39"/>
      <w:bookmarkEnd w:id="40"/>
    </w:p>
    <w:p w:rsidR="009B6C7B" w:rsidRPr="00BB4117" w:rsidRDefault="00077DB4" w:rsidP="009A297E">
      <w:pPr>
        <w:pStyle w:val="Brdtext"/>
        <w:rPr>
          <w:szCs w:val="24"/>
        </w:rPr>
      </w:pPr>
      <w:r w:rsidRPr="00BB4117">
        <w:rPr>
          <w:szCs w:val="24"/>
        </w:rPr>
        <w:t>Data</w:t>
      </w:r>
      <w:r w:rsidR="008A0F31" w:rsidRPr="00BB4117">
        <w:rPr>
          <w:szCs w:val="24"/>
        </w:rPr>
        <w:t xml:space="preserve"> </w:t>
      </w:r>
      <w:r w:rsidR="00C42055" w:rsidRPr="00BB4117">
        <w:rPr>
          <w:szCs w:val="24"/>
        </w:rPr>
        <w:t xml:space="preserve">concerning </w:t>
      </w:r>
      <w:r w:rsidR="008A0F31" w:rsidRPr="00BB4117">
        <w:rPr>
          <w:szCs w:val="24"/>
        </w:rPr>
        <w:t>the recycling processes is estimated based on an assumption regarding how much environmental burden can be avoided in total. It is assumed</w:t>
      </w:r>
      <w:r w:rsidR="00DA4136" w:rsidRPr="00BB4117">
        <w:rPr>
          <w:szCs w:val="24"/>
        </w:rPr>
        <w:t xml:space="preserve"> that legislation and resource supply concerns will drive recycling </w:t>
      </w:r>
      <w:r w:rsidR="00D0007A" w:rsidRPr="00BB4117">
        <w:rPr>
          <w:szCs w:val="24"/>
        </w:rPr>
        <w:t>rate</w:t>
      </w:r>
      <w:r w:rsidR="00DA4136" w:rsidRPr="00BB4117">
        <w:rPr>
          <w:szCs w:val="24"/>
        </w:rPr>
        <w:t xml:space="preserve"> (including collection rate) to as much as 80% </w:t>
      </w:r>
      <w:r w:rsidR="00524197" w:rsidRPr="00BB4117">
        <w:rPr>
          <w:szCs w:val="24"/>
        </w:rPr>
        <w:fldChar w:fldCharType="begin" w:fldLock="1"/>
      </w:r>
      <w:r w:rsidR="00DA4136" w:rsidRPr="00BB4117">
        <w:rPr>
          <w:szCs w:val="24"/>
        </w:rPr>
        <w:instrText>ADDIN CSL_CITATION { "citationItems" : [ { "id" : "ITEM-1", "itemData" : { "DOI" : "10.1016/j.resourpol.2011.11.003", "ISSN" : "03014207", "author" : [ { "dropping-particle" : "", "family" : "Kushnir", "given" : "Duncan", "non-dropping-particle" : "", "parse-names" : false, "suffix" : "" }, { "dropping-particle" : "", "family" : "Sand\u00e9n", "given" : "Bj\u00f6rn a.", "non-dropping-particle" : "", "parse-names" : false, "suffix" : "" } ], "container-title" : "Resources Policy", "id" : "ITEM-1", "issue" : "1", "issued" : { "date-parts" : [ [ "2012", "3" ] ] }, "page" : "93-103", "title" : "The time dimension and lithium resource constraints for electric vehicles", "type" : "article-journal", "volume" : "37" }, "uris" : [ "http://www.mendeley.com/documents/?uuid=d7905315-639a-4ff6-b8d7-88255390ce84" ] } ], "mendeley" : { "formattedCitation" : "(Kushnir &amp; Sand\u00e9n 2012)", "plainTextFormattedCitation" : "(Kushnir &amp; Sand\u00e9n 2012)", "previouslyFormattedCitation" : "(Kushnir &amp; Sand\u00e9n 2012)" }, "properties" : { "noteIndex" : 0 }, "schema" : "https://github.com/citation-style-language/schema/raw/master/csl-citation.json" }</w:instrText>
      </w:r>
      <w:r w:rsidR="00524197" w:rsidRPr="00BB4117">
        <w:rPr>
          <w:szCs w:val="24"/>
        </w:rPr>
        <w:fldChar w:fldCharType="separate"/>
      </w:r>
      <w:r w:rsidR="00DA4136" w:rsidRPr="00BB4117">
        <w:rPr>
          <w:noProof/>
          <w:szCs w:val="24"/>
        </w:rPr>
        <w:t>(Kushnir &amp; Sandén 2012)</w:t>
      </w:r>
      <w:r w:rsidR="00524197" w:rsidRPr="00BB4117">
        <w:rPr>
          <w:szCs w:val="24"/>
        </w:rPr>
        <w:fldChar w:fldCharType="end"/>
      </w:r>
      <w:r w:rsidR="00FB0153" w:rsidRPr="00BB4117">
        <w:rPr>
          <w:szCs w:val="24"/>
        </w:rPr>
        <w:t>, but at the expense of energy efficiency and cost</w:t>
      </w:r>
      <w:r w:rsidR="00DA4136" w:rsidRPr="00BB4117">
        <w:rPr>
          <w:szCs w:val="24"/>
        </w:rPr>
        <w:t xml:space="preserve"> to such an extent that only 50% of environmental impacts of virgin material production is avoided. The reason for assuming only 50% of the possible avoided burdens is partly because recycled materials are often of inferior quality and cannot fully replace virgin materials, </w:t>
      </w:r>
      <w:r w:rsidR="00C42055" w:rsidRPr="00BB4117">
        <w:rPr>
          <w:szCs w:val="24"/>
        </w:rPr>
        <w:t xml:space="preserve">and </w:t>
      </w:r>
      <w:r w:rsidR="00DA4136" w:rsidRPr="00BB4117">
        <w:rPr>
          <w:szCs w:val="24"/>
        </w:rPr>
        <w:t xml:space="preserve">partly because the recycling processes need resources and </w:t>
      </w:r>
      <w:r w:rsidR="00DE0959" w:rsidRPr="00BB4117">
        <w:rPr>
          <w:szCs w:val="24"/>
        </w:rPr>
        <w:t xml:space="preserve">cause </w:t>
      </w:r>
      <w:r w:rsidR="00DA4136" w:rsidRPr="00BB4117">
        <w:rPr>
          <w:szCs w:val="24"/>
        </w:rPr>
        <w:t xml:space="preserve">environmental burdens. </w:t>
      </w:r>
    </w:p>
    <w:p w:rsidR="00113583" w:rsidRPr="00BB4117" w:rsidRDefault="00DA4136" w:rsidP="009B6C7B">
      <w:pPr>
        <w:pStyle w:val="Brdtext"/>
        <w:rPr>
          <w:szCs w:val="24"/>
        </w:rPr>
      </w:pPr>
      <w:r w:rsidRPr="00BB4117">
        <w:rPr>
          <w:szCs w:val="24"/>
        </w:rPr>
        <w:t>Since the cell consists mainly of electrolyte (46%) and sealing gasket (15%), both assumed to be incinerated, only 3</w:t>
      </w:r>
      <w:r w:rsidR="00C42055" w:rsidRPr="00BB4117">
        <w:rPr>
          <w:szCs w:val="24"/>
        </w:rPr>
        <w:t>.</w:t>
      </w:r>
      <w:r w:rsidRPr="00BB4117">
        <w:rPr>
          <w:szCs w:val="24"/>
        </w:rPr>
        <w:t xml:space="preserve">4 grams or 20% of the total cell weight will be recycled </w:t>
      </w:r>
      <w:r w:rsidR="005509F2" w:rsidRPr="00BB4117">
        <w:rPr>
          <w:szCs w:val="24"/>
        </w:rPr>
        <w:t xml:space="preserve">as material </w:t>
      </w:r>
      <w:r w:rsidRPr="00BB4117">
        <w:rPr>
          <w:szCs w:val="24"/>
        </w:rPr>
        <w:t>(copper, lithium, cobalt and polypropylene).</w:t>
      </w:r>
      <w:r w:rsidR="000D5BDE" w:rsidRPr="00BB4117">
        <w:rPr>
          <w:szCs w:val="24"/>
        </w:rPr>
        <w:t xml:space="preserve"> </w:t>
      </w:r>
      <w:r w:rsidR="009A297E" w:rsidRPr="00BB4117">
        <w:rPr>
          <w:szCs w:val="24"/>
        </w:rPr>
        <w:t>The environmental impacts of lithium battery recycling are calculated as</w:t>
      </w:r>
      <w:r w:rsidR="005509F2" w:rsidRPr="00BB4117">
        <w:rPr>
          <w:szCs w:val="24"/>
        </w:rPr>
        <w:t xml:space="preserve"> the sum of environmental impacts from the transportation</w:t>
      </w:r>
      <w:r w:rsidR="009B6C7B" w:rsidRPr="00BB4117">
        <w:rPr>
          <w:szCs w:val="24"/>
        </w:rPr>
        <w:t xml:space="preserve"> </w:t>
      </w:r>
      <w:r w:rsidR="005509F2" w:rsidRPr="00BB4117">
        <w:rPr>
          <w:szCs w:val="24"/>
        </w:rPr>
        <w:t>and involved recycling processes and treatment</w:t>
      </w:r>
      <w:r w:rsidR="005509F2" w:rsidRPr="00BB4117">
        <w:rPr>
          <w:noProof/>
          <w:szCs w:val="24"/>
        </w:rPr>
        <w:t xml:space="preserve"> processes </w:t>
      </w:r>
      <w:r w:rsidR="00D0007A" w:rsidRPr="00BB4117">
        <w:rPr>
          <w:noProof/>
          <w:szCs w:val="24"/>
        </w:rPr>
        <w:t>minus</w:t>
      </w:r>
      <w:r w:rsidR="005509F2" w:rsidRPr="00BB4117">
        <w:rPr>
          <w:noProof/>
          <w:szCs w:val="24"/>
        </w:rPr>
        <w:t xml:space="preserve"> </w:t>
      </w:r>
      <w:r w:rsidR="005509F2" w:rsidRPr="00BB4117">
        <w:rPr>
          <w:szCs w:val="24"/>
        </w:rPr>
        <w:t xml:space="preserve">environmental impacts from avoided production of </w:t>
      </w:r>
      <w:r w:rsidR="00DE0959" w:rsidRPr="00BB4117">
        <w:rPr>
          <w:szCs w:val="24"/>
        </w:rPr>
        <w:t xml:space="preserve">virgin </w:t>
      </w:r>
      <w:r w:rsidR="005509F2" w:rsidRPr="00BB4117">
        <w:rPr>
          <w:szCs w:val="24"/>
        </w:rPr>
        <w:t>materials.</w:t>
      </w:r>
      <w:r w:rsidR="009B6C7B" w:rsidRPr="00BB4117">
        <w:rPr>
          <w:szCs w:val="24"/>
        </w:rPr>
        <w:t xml:space="preserve"> </w:t>
      </w:r>
      <w:r w:rsidR="004A097D" w:rsidRPr="00BB4117">
        <w:rPr>
          <w:szCs w:val="24"/>
        </w:rPr>
        <w:t>By</w:t>
      </w:r>
      <w:r w:rsidRPr="00BB4117">
        <w:rPr>
          <w:szCs w:val="24"/>
        </w:rPr>
        <w:t xml:space="preserve"> assum</w:t>
      </w:r>
      <w:r w:rsidR="004A097D" w:rsidRPr="00BB4117">
        <w:rPr>
          <w:szCs w:val="24"/>
        </w:rPr>
        <w:t xml:space="preserve">ing </w:t>
      </w:r>
      <w:r w:rsidRPr="00BB4117">
        <w:rPr>
          <w:szCs w:val="24"/>
        </w:rPr>
        <w:t>that</w:t>
      </w:r>
      <w:r w:rsidR="009B6C7B" w:rsidRPr="00BB4117">
        <w:rPr>
          <w:szCs w:val="24"/>
        </w:rPr>
        <w:t xml:space="preserve"> </w:t>
      </w:r>
      <w:r w:rsidR="005509F2" w:rsidRPr="00BB4117">
        <w:rPr>
          <w:szCs w:val="24"/>
        </w:rPr>
        <w:t>environmental impacts for r</w:t>
      </w:r>
      <w:r w:rsidR="00113583" w:rsidRPr="00BB4117">
        <w:rPr>
          <w:szCs w:val="24"/>
        </w:rPr>
        <w:t xml:space="preserve">ecycling processes </w:t>
      </w:r>
      <w:r w:rsidR="005509F2" w:rsidRPr="00BB4117">
        <w:rPr>
          <w:szCs w:val="24"/>
        </w:rPr>
        <w:t xml:space="preserve">corresponds to </w:t>
      </w:r>
      <w:r w:rsidR="009B6C7B" w:rsidRPr="00BB4117">
        <w:rPr>
          <w:szCs w:val="24"/>
        </w:rPr>
        <w:t>50% of</w:t>
      </w:r>
      <w:r w:rsidR="00113583" w:rsidRPr="00BB4117">
        <w:rPr>
          <w:szCs w:val="24"/>
        </w:rPr>
        <w:t xml:space="preserve"> </w:t>
      </w:r>
      <w:r w:rsidR="009B6C7B" w:rsidRPr="00BB4117">
        <w:rPr>
          <w:szCs w:val="24"/>
        </w:rPr>
        <w:t>A</w:t>
      </w:r>
      <w:r w:rsidR="00113583" w:rsidRPr="00BB4117">
        <w:rPr>
          <w:szCs w:val="24"/>
        </w:rPr>
        <w:t>voided virgin production, the environmental impacts of lithium battery recycling can be calculated as:</w:t>
      </w:r>
      <w:r w:rsidR="00FC6E7D" w:rsidRPr="00BB4117">
        <w:rPr>
          <w:szCs w:val="24"/>
        </w:rPr>
        <w:t xml:space="preserve"> </w:t>
      </w:r>
      <w:r w:rsidR="00113583" w:rsidRPr="00BB4117">
        <w:rPr>
          <w:szCs w:val="24"/>
        </w:rPr>
        <w:t>Transports</w:t>
      </w:r>
      <w:r w:rsidR="004F1B00" w:rsidRPr="00BB4117">
        <w:rPr>
          <w:szCs w:val="24"/>
        </w:rPr>
        <w:t xml:space="preserve"> </w:t>
      </w:r>
      <w:r w:rsidR="00113583" w:rsidRPr="00BB4117">
        <w:rPr>
          <w:szCs w:val="24"/>
        </w:rPr>
        <w:t xml:space="preserve">– </w:t>
      </w:r>
      <w:r w:rsidR="00D0007A" w:rsidRPr="00BB4117">
        <w:rPr>
          <w:szCs w:val="24"/>
        </w:rPr>
        <w:t>0.</w:t>
      </w:r>
      <w:r w:rsidR="004F1B00" w:rsidRPr="00BB4117">
        <w:rPr>
          <w:szCs w:val="24"/>
        </w:rPr>
        <w:t>5</w:t>
      </w:r>
      <w:r w:rsidR="00325AB8" w:rsidRPr="00BB4117">
        <w:t>×</w:t>
      </w:r>
      <w:r w:rsidR="00113583" w:rsidRPr="00BB4117">
        <w:rPr>
          <w:szCs w:val="24"/>
        </w:rPr>
        <w:t>Avoided virgin production</w:t>
      </w:r>
      <w:r w:rsidR="00FC6E7D" w:rsidRPr="00BB4117">
        <w:rPr>
          <w:szCs w:val="24"/>
        </w:rPr>
        <w:t>.</w:t>
      </w:r>
    </w:p>
    <w:p w:rsidR="00FA28A3" w:rsidRPr="00BB4117" w:rsidRDefault="00CE02F0" w:rsidP="00561A42">
      <w:pPr>
        <w:pStyle w:val="Rubrik2"/>
        <w:numPr>
          <w:ilvl w:val="1"/>
          <w:numId w:val="45"/>
        </w:numPr>
        <w:rPr>
          <w:szCs w:val="24"/>
          <w:lang w:val="en-GB"/>
        </w:rPr>
      </w:pPr>
      <w:bookmarkStart w:id="41" w:name="_Toc428370318"/>
      <w:r w:rsidRPr="00BB4117">
        <w:rPr>
          <w:szCs w:val="24"/>
          <w:lang w:val="en-GB"/>
        </w:rPr>
        <w:t>Parameterized m</w:t>
      </w:r>
      <w:r w:rsidR="00DA4136" w:rsidRPr="00BB4117">
        <w:rPr>
          <w:szCs w:val="24"/>
          <w:lang w:val="en-GB"/>
        </w:rPr>
        <w:t>odel</w:t>
      </w:r>
      <w:bookmarkEnd w:id="41"/>
    </w:p>
    <w:p w:rsidR="00FA28A3" w:rsidRPr="00BB4117" w:rsidRDefault="00DA4136" w:rsidP="002C680C">
      <w:pPr>
        <w:rPr>
          <w:szCs w:val="24"/>
        </w:rPr>
      </w:pPr>
      <w:r w:rsidRPr="00BB4117">
        <w:rPr>
          <w:szCs w:val="24"/>
        </w:rPr>
        <w:t xml:space="preserve">The life cycle of the lithium-air cell was built as a parameterized model enabling </w:t>
      </w:r>
      <w:r w:rsidR="00DE0959" w:rsidRPr="00BB4117">
        <w:rPr>
          <w:szCs w:val="24"/>
        </w:rPr>
        <w:t>variation of influencing factors</w:t>
      </w:r>
      <w:r w:rsidRPr="00BB4117">
        <w:rPr>
          <w:szCs w:val="24"/>
        </w:rPr>
        <w:t>. Parameters</w:t>
      </w:r>
      <w:r w:rsidR="00BF1DD8" w:rsidRPr="00BB4117">
        <w:rPr>
          <w:szCs w:val="24"/>
        </w:rPr>
        <w:t xml:space="preserve"> varied in the study</w:t>
      </w:r>
      <w:r w:rsidRPr="00BB4117">
        <w:rPr>
          <w:szCs w:val="24"/>
        </w:rPr>
        <w:t xml:space="preserve"> are shown in</w:t>
      </w:r>
      <w:r w:rsidR="00AB7132" w:rsidRPr="00BB4117">
        <w:rPr>
          <w:szCs w:val="24"/>
        </w:rPr>
        <w:t xml:space="preserve"> </w:t>
      </w:r>
      <w:fldSimple w:instr=" REF _Ref427403902 \h  \* MERGEFORMAT ">
        <w:r w:rsidR="00094C5D" w:rsidRPr="00094C5D">
          <w:rPr>
            <w:szCs w:val="24"/>
          </w:rPr>
          <w:t>Table 3</w:t>
        </w:r>
      </w:fldSimple>
      <w:r w:rsidRPr="00BB4117">
        <w:rPr>
          <w:szCs w:val="24"/>
        </w:rPr>
        <w:t>, along with the values of the t</w:t>
      </w:r>
      <w:r w:rsidR="00AB7132" w:rsidRPr="00BB4117">
        <w:rPr>
          <w:szCs w:val="24"/>
        </w:rPr>
        <w:t>wo</w:t>
      </w:r>
      <w:r w:rsidRPr="00BB4117">
        <w:rPr>
          <w:szCs w:val="24"/>
        </w:rPr>
        <w:t xml:space="preserve"> scenarios</w:t>
      </w:r>
      <w:r w:rsidR="00DF28C2" w:rsidRPr="00BB4117">
        <w:rPr>
          <w:szCs w:val="24"/>
        </w:rPr>
        <w:t>:</w:t>
      </w:r>
      <w:r w:rsidRPr="00BB4117">
        <w:rPr>
          <w:szCs w:val="24"/>
        </w:rPr>
        <w:t xml:space="preserve"> </w:t>
      </w:r>
      <w:r w:rsidR="00BE176D" w:rsidRPr="00BB4117">
        <w:rPr>
          <w:szCs w:val="24"/>
        </w:rPr>
        <w:t>STABLE</w:t>
      </w:r>
      <w:r w:rsidRPr="00BB4117">
        <w:rPr>
          <w:szCs w:val="24"/>
        </w:rPr>
        <w:t xml:space="preserve"> project achievement and Long-term lithium-air scenario. The </w:t>
      </w:r>
      <w:r w:rsidR="00BE176D" w:rsidRPr="00BB4117">
        <w:rPr>
          <w:szCs w:val="24"/>
        </w:rPr>
        <w:t>STABLE</w:t>
      </w:r>
      <w:r w:rsidRPr="00BB4117">
        <w:rPr>
          <w:szCs w:val="24"/>
        </w:rPr>
        <w:t xml:space="preserve"> project did not reach its objective in one single cell configuration. The number of cycle target was reached with cells with very low energy density and cells with very high energy density did not achieve that many cycles. This is reflected in the </w:t>
      </w:r>
      <w:r w:rsidR="00BE176D" w:rsidRPr="00BB4117">
        <w:rPr>
          <w:szCs w:val="24"/>
        </w:rPr>
        <w:t>STABLE</w:t>
      </w:r>
      <w:r w:rsidRPr="00BB4117">
        <w:rPr>
          <w:szCs w:val="24"/>
        </w:rPr>
        <w:t xml:space="preserve"> project achievement</w:t>
      </w:r>
      <w:r w:rsidR="00AB7132" w:rsidRPr="00BB4117">
        <w:rPr>
          <w:szCs w:val="24"/>
        </w:rPr>
        <w:t xml:space="preserve"> scenario</w:t>
      </w:r>
      <w:r w:rsidRPr="00BB4117">
        <w:rPr>
          <w:szCs w:val="24"/>
        </w:rPr>
        <w:t>.</w:t>
      </w:r>
      <w:r w:rsidR="007509DA" w:rsidRPr="00BB4117">
        <w:rPr>
          <w:szCs w:val="24"/>
        </w:rPr>
        <w:t xml:space="preserve"> The long-term lithium-air scenario lies at least 20 years in the future.</w:t>
      </w:r>
    </w:p>
    <w:p w:rsidR="00FD6872" w:rsidRPr="00BB4117" w:rsidRDefault="00FD6872" w:rsidP="00FD6872">
      <w:pPr>
        <w:rPr>
          <w:i/>
          <w:szCs w:val="24"/>
        </w:rPr>
      </w:pPr>
      <w:bookmarkStart w:id="42" w:name="_Ref427403902"/>
      <w:bookmarkStart w:id="43" w:name="_Toc428370274"/>
      <w:r w:rsidRPr="00BB4117">
        <w:rPr>
          <w:i/>
          <w:szCs w:val="24"/>
        </w:rPr>
        <w:t xml:space="preserve">Table </w:t>
      </w:r>
      <w:r w:rsidR="00524197" w:rsidRPr="00524197">
        <w:rPr>
          <w:i/>
          <w:szCs w:val="24"/>
        </w:rPr>
        <w:fldChar w:fldCharType="begin"/>
      </w:r>
      <w:r w:rsidRPr="00BB4117">
        <w:rPr>
          <w:i/>
          <w:szCs w:val="24"/>
        </w:rPr>
        <w:instrText xml:space="preserve"> SEQ Table \* ARABIC </w:instrText>
      </w:r>
      <w:r w:rsidR="00524197" w:rsidRPr="00524197">
        <w:rPr>
          <w:i/>
          <w:szCs w:val="24"/>
        </w:rPr>
        <w:fldChar w:fldCharType="separate"/>
      </w:r>
      <w:r w:rsidR="00094C5D">
        <w:rPr>
          <w:i/>
          <w:noProof/>
          <w:szCs w:val="24"/>
        </w:rPr>
        <w:t>3</w:t>
      </w:r>
      <w:r w:rsidR="00524197" w:rsidRPr="00BB4117">
        <w:rPr>
          <w:szCs w:val="24"/>
        </w:rPr>
        <w:fldChar w:fldCharType="end"/>
      </w:r>
      <w:bookmarkEnd w:id="42"/>
      <w:r w:rsidRPr="00BB4117">
        <w:rPr>
          <w:i/>
          <w:szCs w:val="24"/>
        </w:rPr>
        <w:tab/>
        <w:t xml:space="preserve">Model parameter settings for </w:t>
      </w:r>
      <w:r w:rsidR="00BE176D" w:rsidRPr="00BB4117">
        <w:rPr>
          <w:i/>
          <w:szCs w:val="24"/>
        </w:rPr>
        <w:t>STABLE</w:t>
      </w:r>
      <w:r w:rsidR="00AB7132" w:rsidRPr="00BB4117">
        <w:rPr>
          <w:i/>
          <w:szCs w:val="24"/>
        </w:rPr>
        <w:t xml:space="preserve"> project </w:t>
      </w:r>
      <w:r w:rsidRPr="00BB4117">
        <w:rPr>
          <w:i/>
          <w:szCs w:val="24"/>
        </w:rPr>
        <w:t>scenarios</w:t>
      </w:r>
      <w:bookmarkEnd w:id="43"/>
    </w:p>
    <w:tbl>
      <w:tblPr>
        <w:tblW w:w="80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794"/>
        <w:gridCol w:w="1984"/>
        <w:gridCol w:w="2268"/>
      </w:tblGrid>
      <w:tr w:rsidR="00AB7132" w:rsidRPr="00BB4117" w:rsidTr="00C30550">
        <w:trPr>
          <w:tblHeader/>
        </w:trPr>
        <w:tc>
          <w:tcPr>
            <w:tcW w:w="3794" w:type="dxa"/>
          </w:tcPr>
          <w:p w:rsidR="00AB7132" w:rsidRPr="00BB4117" w:rsidRDefault="00AB7132" w:rsidP="00FD6872">
            <w:pPr>
              <w:rPr>
                <w:b/>
                <w:szCs w:val="24"/>
              </w:rPr>
            </w:pPr>
            <w:r w:rsidRPr="00BB4117">
              <w:rPr>
                <w:b/>
                <w:szCs w:val="24"/>
              </w:rPr>
              <w:t>Parameter</w:t>
            </w:r>
          </w:p>
        </w:tc>
        <w:tc>
          <w:tcPr>
            <w:tcW w:w="1984" w:type="dxa"/>
          </w:tcPr>
          <w:p w:rsidR="00AB7132" w:rsidRPr="00BB4117" w:rsidRDefault="00BE176D" w:rsidP="00FD6872">
            <w:pPr>
              <w:rPr>
                <w:b/>
                <w:szCs w:val="24"/>
              </w:rPr>
            </w:pPr>
            <w:r w:rsidRPr="00BB4117">
              <w:rPr>
                <w:b/>
                <w:szCs w:val="24"/>
              </w:rPr>
              <w:t>STABLE</w:t>
            </w:r>
            <w:r w:rsidR="00AB7132" w:rsidRPr="00BB4117">
              <w:rPr>
                <w:b/>
                <w:szCs w:val="24"/>
              </w:rPr>
              <w:t xml:space="preserve"> project achievement</w:t>
            </w:r>
          </w:p>
        </w:tc>
        <w:tc>
          <w:tcPr>
            <w:tcW w:w="2268" w:type="dxa"/>
          </w:tcPr>
          <w:p w:rsidR="00AB7132" w:rsidRPr="00BB4117" w:rsidRDefault="00AB7132" w:rsidP="00FD6872">
            <w:pPr>
              <w:rPr>
                <w:b/>
                <w:szCs w:val="24"/>
              </w:rPr>
            </w:pPr>
            <w:r w:rsidRPr="00BB4117">
              <w:rPr>
                <w:b/>
                <w:szCs w:val="24"/>
              </w:rPr>
              <w:t>Long term lithium-air scenario</w:t>
            </w:r>
          </w:p>
        </w:tc>
      </w:tr>
      <w:tr w:rsidR="00AB7132" w:rsidRPr="00BB4117" w:rsidTr="00C30550">
        <w:tc>
          <w:tcPr>
            <w:tcW w:w="3794" w:type="dxa"/>
          </w:tcPr>
          <w:p w:rsidR="00AB7132" w:rsidRPr="00BB4117" w:rsidRDefault="0019069C" w:rsidP="00FD6872">
            <w:pPr>
              <w:rPr>
                <w:szCs w:val="24"/>
              </w:rPr>
            </w:pPr>
            <w:r w:rsidRPr="00BB4117">
              <w:rPr>
                <w:szCs w:val="24"/>
              </w:rPr>
              <w:t>Charge/discharge efficiency, η</w:t>
            </w:r>
          </w:p>
        </w:tc>
        <w:tc>
          <w:tcPr>
            <w:tcW w:w="1984" w:type="dxa"/>
          </w:tcPr>
          <w:p w:rsidR="00AB7132" w:rsidRPr="00BB4117" w:rsidRDefault="00AB7132" w:rsidP="00C30550">
            <w:pPr>
              <w:jc w:val="center"/>
              <w:rPr>
                <w:szCs w:val="24"/>
              </w:rPr>
            </w:pPr>
            <w:r w:rsidRPr="00BB4117">
              <w:rPr>
                <w:szCs w:val="24"/>
              </w:rPr>
              <w:t>0.66</w:t>
            </w:r>
          </w:p>
        </w:tc>
        <w:tc>
          <w:tcPr>
            <w:tcW w:w="2268" w:type="dxa"/>
          </w:tcPr>
          <w:p w:rsidR="00AB7132" w:rsidRPr="00BB4117" w:rsidRDefault="00AB7132" w:rsidP="00C30550">
            <w:pPr>
              <w:jc w:val="center"/>
              <w:rPr>
                <w:szCs w:val="24"/>
              </w:rPr>
            </w:pPr>
            <w:r w:rsidRPr="00BB4117">
              <w:rPr>
                <w:szCs w:val="24"/>
              </w:rPr>
              <w:t>0.8</w:t>
            </w:r>
          </w:p>
        </w:tc>
      </w:tr>
      <w:tr w:rsidR="00AB7132" w:rsidRPr="00BB4117" w:rsidTr="00C30550">
        <w:tc>
          <w:tcPr>
            <w:tcW w:w="3794" w:type="dxa"/>
          </w:tcPr>
          <w:p w:rsidR="00AB7132" w:rsidRPr="00BB4117" w:rsidRDefault="00AB7132" w:rsidP="00FD6872">
            <w:pPr>
              <w:rPr>
                <w:szCs w:val="24"/>
              </w:rPr>
            </w:pPr>
            <w:r w:rsidRPr="00BB4117">
              <w:rPr>
                <w:szCs w:val="24"/>
              </w:rPr>
              <w:t xml:space="preserve">Number of cycles until failure </w:t>
            </w:r>
          </w:p>
        </w:tc>
        <w:tc>
          <w:tcPr>
            <w:tcW w:w="1984" w:type="dxa"/>
          </w:tcPr>
          <w:p w:rsidR="00AB7132" w:rsidRPr="00BB4117" w:rsidRDefault="00AB7132" w:rsidP="00C30550">
            <w:pPr>
              <w:jc w:val="center"/>
              <w:rPr>
                <w:szCs w:val="24"/>
              </w:rPr>
            </w:pPr>
            <w:r w:rsidRPr="00BB4117">
              <w:rPr>
                <w:szCs w:val="24"/>
              </w:rPr>
              <w:t>50</w:t>
            </w:r>
          </w:p>
        </w:tc>
        <w:tc>
          <w:tcPr>
            <w:tcW w:w="2268" w:type="dxa"/>
          </w:tcPr>
          <w:p w:rsidR="00AB7132" w:rsidRPr="00BB4117" w:rsidRDefault="00AB7132" w:rsidP="00C30550">
            <w:pPr>
              <w:jc w:val="center"/>
              <w:rPr>
                <w:szCs w:val="24"/>
              </w:rPr>
            </w:pPr>
            <w:r w:rsidRPr="00BB4117">
              <w:rPr>
                <w:szCs w:val="24"/>
              </w:rPr>
              <w:t>200</w:t>
            </w:r>
          </w:p>
        </w:tc>
      </w:tr>
      <w:tr w:rsidR="00AB7132" w:rsidRPr="00BB4117" w:rsidTr="00C30550">
        <w:tc>
          <w:tcPr>
            <w:tcW w:w="3794" w:type="dxa"/>
          </w:tcPr>
          <w:p w:rsidR="00AB7132" w:rsidRPr="00BB4117" w:rsidRDefault="00AB7132" w:rsidP="00AB7132">
            <w:pPr>
              <w:rPr>
                <w:szCs w:val="24"/>
              </w:rPr>
            </w:pPr>
            <w:r w:rsidRPr="00BB4117">
              <w:rPr>
                <w:szCs w:val="24"/>
              </w:rPr>
              <w:t>Energy density (</w:t>
            </w:r>
            <w:proofErr w:type="spellStart"/>
            <w:r w:rsidRPr="00BB4117">
              <w:rPr>
                <w:szCs w:val="24"/>
              </w:rPr>
              <w:t>Wh</w:t>
            </w:r>
            <w:proofErr w:type="spellEnd"/>
            <w:r w:rsidRPr="00BB4117">
              <w:rPr>
                <w:szCs w:val="24"/>
              </w:rPr>
              <w:t xml:space="preserve">/kg) </w:t>
            </w:r>
          </w:p>
        </w:tc>
        <w:tc>
          <w:tcPr>
            <w:tcW w:w="1984" w:type="dxa"/>
          </w:tcPr>
          <w:p w:rsidR="00AB7132" w:rsidRPr="00BB4117" w:rsidRDefault="00AB7132" w:rsidP="00C30550">
            <w:pPr>
              <w:jc w:val="center"/>
              <w:rPr>
                <w:szCs w:val="24"/>
              </w:rPr>
            </w:pPr>
            <w:r w:rsidRPr="00BB4117">
              <w:rPr>
                <w:szCs w:val="24"/>
              </w:rPr>
              <w:t>2700</w:t>
            </w:r>
          </w:p>
        </w:tc>
        <w:tc>
          <w:tcPr>
            <w:tcW w:w="2268" w:type="dxa"/>
          </w:tcPr>
          <w:p w:rsidR="00AB7132" w:rsidRPr="00BB4117" w:rsidRDefault="00AB7132" w:rsidP="00C30550">
            <w:pPr>
              <w:jc w:val="center"/>
              <w:rPr>
                <w:szCs w:val="24"/>
              </w:rPr>
            </w:pPr>
            <w:r w:rsidRPr="00BB4117">
              <w:rPr>
                <w:szCs w:val="24"/>
              </w:rPr>
              <w:t>10800</w:t>
            </w:r>
          </w:p>
        </w:tc>
      </w:tr>
      <w:tr w:rsidR="00AB7132" w:rsidRPr="00BB4117" w:rsidTr="00C30550">
        <w:tc>
          <w:tcPr>
            <w:tcW w:w="3794" w:type="dxa"/>
          </w:tcPr>
          <w:p w:rsidR="00AB7132" w:rsidRPr="00BB4117" w:rsidRDefault="00AB7132" w:rsidP="00FD6872">
            <w:pPr>
              <w:rPr>
                <w:szCs w:val="24"/>
              </w:rPr>
            </w:pPr>
            <w:r w:rsidRPr="00BB4117">
              <w:rPr>
                <w:szCs w:val="24"/>
              </w:rPr>
              <w:t>Share of total capacity that is cycled</w:t>
            </w:r>
          </w:p>
        </w:tc>
        <w:tc>
          <w:tcPr>
            <w:tcW w:w="1984" w:type="dxa"/>
          </w:tcPr>
          <w:p w:rsidR="00AB7132" w:rsidRPr="00BB4117" w:rsidRDefault="00AB7132" w:rsidP="00C30550">
            <w:pPr>
              <w:jc w:val="center"/>
              <w:rPr>
                <w:szCs w:val="24"/>
              </w:rPr>
            </w:pPr>
            <w:r w:rsidRPr="00BB4117">
              <w:rPr>
                <w:szCs w:val="24"/>
              </w:rPr>
              <w:t>0.2</w:t>
            </w:r>
          </w:p>
        </w:tc>
        <w:tc>
          <w:tcPr>
            <w:tcW w:w="2268" w:type="dxa"/>
          </w:tcPr>
          <w:p w:rsidR="00AB7132" w:rsidRPr="00BB4117" w:rsidRDefault="00AB7132" w:rsidP="00C30550">
            <w:pPr>
              <w:jc w:val="center"/>
              <w:rPr>
                <w:szCs w:val="24"/>
              </w:rPr>
            </w:pPr>
            <w:r w:rsidRPr="00BB4117">
              <w:rPr>
                <w:szCs w:val="24"/>
              </w:rPr>
              <w:t>0.8</w:t>
            </w:r>
          </w:p>
        </w:tc>
      </w:tr>
    </w:tbl>
    <w:p w:rsidR="00D36422" w:rsidRPr="00BB4117" w:rsidRDefault="00D36422" w:rsidP="00602210">
      <w:pPr>
        <w:spacing w:before="240"/>
        <w:rPr>
          <w:szCs w:val="24"/>
        </w:rPr>
      </w:pPr>
      <w:r w:rsidRPr="00BB4117">
        <w:rPr>
          <w:szCs w:val="24"/>
        </w:rPr>
        <w:lastRenderedPageBreak/>
        <w:t xml:space="preserve">When comparing the energy density of the lithium-air cell to the current energy density of </w:t>
      </w:r>
      <w:r w:rsidR="00FE39E0" w:rsidRPr="00BB4117">
        <w:rPr>
          <w:szCs w:val="24"/>
        </w:rPr>
        <w:t>lithium-ion</w:t>
      </w:r>
      <w:r w:rsidRPr="00BB4117">
        <w:rPr>
          <w:szCs w:val="24"/>
        </w:rPr>
        <w:t xml:space="preserve"> batteries </w:t>
      </w:r>
      <w:r w:rsidR="00EC157A" w:rsidRPr="00BB4117">
        <w:rPr>
          <w:szCs w:val="24"/>
        </w:rPr>
        <w:t>(~</w:t>
      </w:r>
      <w:r w:rsidRPr="00BB4117">
        <w:rPr>
          <w:szCs w:val="24"/>
        </w:rPr>
        <w:t xml:space="preserve">100 </w:t>
      </w:r>
      <w:proofErr w:type="spellStart"/>
      <w:r w:rsidRPr="00BB4117">
        <w:rPr>
          <w:szCs w:val="24"/>
        </w:rPr>
        <w:t>Wh</w:t>
      </w:r>
      <w:proofErr w:type="spellEnd"/>
      <w:r w:rsidRPr="00BB4117">
        <w:rPr>
          <w:szCs w:val="24"/>
        </w:rPr>
        <w:t>/kg at best</w:t>
      </w:r>
      <w:r w:rsidR="00EC157A" w:rsidRPr="00BB4117">
        <w:rPr>
          <w:szCs w:val="24"/>
        </w:rPr>
        <w:t>)</w:t>
      </w:r>
      <w:r w:rsidRPr="00BB4117">
        <w:rPr>
          <w:szCs w:val="24"/>
        </w:rPr>
        <w:t xml:space="preserve"> it has to be considered that the above energy densities for the </w:t>
      </w:r>
      <w:r w:rsidR="00EB0A05" w:rsidRPr="00BB4117">
        <w:rPr>
          <w:szCs w:val="24"/>
        </w:rPr>
        <w:t>lithium-air</w:t>
      </w:r>
      <w:r w:rsidRPr="00BB4117">
        <w:rPr>
          <w:szCs w:val="24"/>
        </w:rPr>
        <w:t xml:space="preserve"> cells are calculated per kg of active component and the 100 </w:t>
      </w:r>
      <w:proofErr w:type="spellStart"/>
      <w:r w:rsidRPr="00BB4117">
        <w:rPr>
          <w:szCs w:val="24"/>
        </w:rPr>
        <w:t>Wh</w:t>
      </w:r>
      <w:proofErr w:type="spellEnd"/>
      <w:r w:rsidRPr="00BB4117">
        <w:rPr>
          <w:szCs w:val="24"/>
        </w:rPr>
        <w:t xml:space="preserve"> are per kg</w:t>
      </w:r>
      <w:r w:rsidR="00FC1511" w:rsidRPr="00BB4117">
        <w:rPr>
          <w:szCs w:val="24"/>
        </w:rPr>
        <w:t xml:space="preserve"> of</w:t>
      </w:r>
      <w:r w:rsidRPr="00BB4117">
        <w:rPr>
          <w:szCs w:val="24"/>
        </w:rPr>
        <w:t xml:space="preserve"> battery system. A rough estimation</w:t>
      </w:r>
      <w:r w:rsidR="006576BF" w:rsidRPr="00BB4117">
        <w:rPr>
          <w:szCs w:val="24"/>
        </w:rPr>
        <w:t>, and assumption in the calculations,</w:t>
      </w:r>
      <w:r w:rsidRPr="00BB4117">
        <w:rPr>
          <w:szCs w:val="24"/>
        </w:rPr>
        <w:t xml:space="preserve"> is that a lithium-air battery system consist</w:t>
      </w:r>
      <w:r w:rsidR="00DE0959" w:rsidRPr="00BB4117">
        <w:rPr>
          <w:szCs w:val="24"/>
        </w:rPr>
        <w:t>s</w:t>
      </w:r>
      <w:r w:rsidRPr="00BB4117">
        <w:rPr>
          <w:szCs w:val="24"/>
        </w:rPr>
        <w:t xml:space="preserve"> of 50% non-active materials</w:t>
      </w:r>
      <w:r w:rsidR="00EC157A" w:rsidRPr="00BB4117">
        <w:rPr>
          <w:szCs w:val="24"/>
        </w:rPr>
        <w:t>, providing an estimated energy density of</w:t>
      </w:r>
      <w:r w:rsidR="00C44E95" w:rsidRPr="00BB4117">
        <w:rPr>
          <w:szCs w:val="24"/>
        </w:rPr>
        <w:t xml:space="preserve"> </w:t>
      </w:r>
      <w:r w:rsidRPr="00BB4117">
        <w:rPr>
          <w:szCs w:val="24"/>
        </w:rPr>
        <w:t xml:space="preserve">1350 </w:t>
      </w:r>
      <w:proofErr w:type="spellStart"/>
      <w:r w:rsidRPr="00BB4117">
        <w:rPr>
          <w:szCs w:val="24"/>
        </w:rPr>
        <w:t>Wh</w:t>
      </w:r>
      <w:proofErr w:type="spellEnd"/>
      <w:r w:rsidRPr="00BB4117">
        <w:rPr>
          <w:szCs w:val="24"/>
        </w:rPr>
        <w:t>/kg</w:t>
      </w:r>
      <w:r w:rsidR="002772F2" w:rsidRPr="00BB4117">
        <w:rPr>
          <w:szCs w:val="24"/>
        </w:rPr>
        <w:t xml:space="preserve"> at the battery level </w:t>
      </w:r>
      <w:r w:rsidR="00AB7132" w:rsidRPr="00BB4117">
        <w:rPr>
          <w:szCs w:val="24"/>
        </w:rPr>
        <w:t xml:space="preserve">for the </w:t>
      </w:r>
      <w:r w:rsidR="00BE176D" w:rsidRPr="00BB4117">
        <w:rPr>
          <w:szCs w:val="24"/>
        </w:rPr>
        <w:t>STABLE</w:t>
      </w:r>
      <w:r w:rsidR="00AB7132" w:rsidRPr="00BB4117">
        <w:rPr>
          <w:szCs w:val="24"/>
        </w:rPr>
        <w:t xml:space="preserve"> project achievement</w:t>
      </w:r>
      <w:r w:rsidR="00C44E95" w:rsidRPr="00BB4117">
        <w:rPr>
          <w:szCs w:val="24"/>
        </w:rPr>
        <w:t>.</w:t>
      </w:r>
    </w:p>
    <w:p w:rsidR="007315C9" w:rsidRPr="00BB4117" w:rsidRDefault="00FB057C" w:rsidP="002D62FE">
      <w:pPr>
        <w:pStyle w:val="Rubrik1"/>
        <w:rPr>
          <w:szCs w:val="24"/>
          <w:lang w:val="en-GB"/>
        </w:rPr>
      </w:pPr>
      <w:bookmarkStart w:id="44" w:name="_Toc197942751"/>
      <w:bookmarkStart w:id="45" w:name="_Toc215914771"/>
      <w:bookmarkStart w:id="46" w:name="_Toc428370319"/>
      <w:bookmarkEnd w:id="37"/>
      <w:r w:rsidRPr="00BB4117">
        <w:rPr>
          <w:szCs w:val="24"/>
          <w:lang w:val="en-GB"/>
        </w:rPr>
        <w:t>R</w:t>
      </w:r>
      <w:r w:rsidR="007315C9" w:rsidRPr="00BB4117">
        <w:rPr>
          <w:szCs w:val="24"/>
          <w:lang w:val="en-GB"/>
        </w:rPr>
        <w:t>esult</w:t>
      </w:r>
      <w:bookmarkEnd w:id="44"/>
      <w:r w:rsidR="007315C9" w:rsidRPr="00BB4117">
        <w:rPr>
          <w:szCs w:val="24"/>
          <w:lang w:val="en-GB"/>
        </w:rPr>
        <w:t>s</w:t>
      </w:r>
      <w:bookmarkEnd w:id="45"/>
      <w:bookmarkEnd w:id="46"/>
    </w:p>
    <w:p w:rsidR="00055012" w:rsidRPr="00BB4117" w:rsidRDefault="00C44E95">
      <w:r w:rsidRPr="00BB4117">
        <w:t>The following description of results is intended to highlight major finding</w:t>
      </w:r>
      <w:r w:rsidR="00FB15EB" w:rsidRPr="00BB4117">
        <w:t>s</w:t>
      </w:r>
      <w:r w:rsidRPr="00BB4117">
        <w:t xml:space="preserve"> that can be used for further </w:t>
      </w:r>
      <w:r w:rsidR="00EC157A" w:rsidRPr="00BB4117">
        <w:t xml:space="preserve">development of </w:t>
      </w:r>
      <w:r w:rsidRPr="00BB4117">
        <w:t>the technology.</w:t>
      </w:r>
      <w:r w:rsidR="0048216F" w:rsidRPr="00BB4117">
        <w:t xml:space="preserve"> The </w:t>
      </w:r>
      <w:r w:rsidR="00A104A7" w:rsidRPr="00BB4117">
        <w:t>modelling</w:t>
      </w:r>
      <w:r w:rsidR="0048216F" w:rsidRPr="00BB4117">
        <w:t xml:space="preserve"> and calculations were carried out with the </w:t>
      </w:r>
      <w:proofErr w:type="spellStart"/>
      <w:r w:rsidR="0048216F" w:rsidRPr="00BB4117">
        <w:t>SimaPro</w:t>
      </w:r>
      <w:proofErr w:type="spellEnd"/>
      <w:r w:rsidR="0048216F" w:rsidRPr="00BB4117">
        <w:t xml:space="preserve"> software version 8.0.4.28.</w:t>
      </w:r>
    </w:p>
    <w:p w:rsidR="002C7639" w:rsidRPr="00BB4117" w:rsidRDefault="00124D52" w:rsidP="00561A42">
      <w:pPr>
        <w:pStyle w:val="Rubrik2"/>
        <w:numPr>
          <w:ilvl w:val="1"/>
          <w:numId w:val="46"/>
        </w:numPr>
        <w:rPr>
          <w:szCs w:val="24"/>
          <w:lang w:val="en-GB"/>
        </w:rPr>
      </w:pPr>
      <w:bookmarkStart w:id="47" w:name="_Toc428370320"/>
      <w:r w:rsidRPr="00BB4117">
        <w:rPr>
          <w:szCs w:val="24"/>
          <w:lang w:val="en-GB"/>
        </w:rPr>
        <w:t>Climate impact</w:t>
      </w:r>
      <w:bookmarkEnd w:id="47"/>
    </w:p>
    <w:p w:rsidR="0051090B" w:rsidRPr="00BB4117" w:rsidRDefault="00C44E95" w:rsidP="001C7818">
      <w:pPr>
        <w:pStyle w:val="Brdtext"/>
      </w:pPr>
      <w:r w:rsidRPr="00BB4117">
        <w:rPr>
          <w:szCs w:val="24"/>
        </w:rPr>
        <w:t>The</w:t>
      </w:r>
      <w:r w:rsidR="001C7818" w:rsidRPr="00BB4117">
        <w:rPr>
          <w:szCs w:val="24"/>
        </w:rPr>
        <w:t xml:space="preserve"> present</w:t>
      </w:r>
      <w:r w:rsidR="005F7232" w:rsidRPr="00BB4117">
        <w:rPr>
          <w:szCs w:val="24"/>
        </w:rPr>
        <w:t xml:space="preserve"> “</w:t>
      </w:r>
      <w:r w:rsidR="00BE176D" w:rsidRPr="00BB4117">
        <w:rPr>
          <w:szCs w:val="24"/>
        </w:rPr>
        <w:t>STABLE</w:t>
      </w:r>
      <w:r w:rsidR="005F7232" w:rsidRPr="00BB4117">
        <w:rPr>
          <w:szCs w:val="24"/>
        </w:rPr>
        <w:t xml:space="preserve"> achievement”</w:t>
      </w:r>
      <w:r w:rsidR="001C7818" w:rsidRPr="00BB4117">
        <w:rPr>
          <w:szCs w:val="24"/>
        </w:rPr>
        <w:t xml:space="preserve"> level of </w:t>
      </w:r>
      <w:r w:rsidR="00FE39E0" w:rsidRPr="00BB4117">
        <w:rPr>
          <w:szCs w:val="24"/>
        </w:rPr>
        <w:t>lithium-air</w:t>
      </w:r>
      <w:r w:rsidR="0004513D" w:rsidRPr="00BB4117">
        <w:rPr>
          <w:szCs w:val="24"/>
        </w:rPr>
        <w:t xml:space="preserve"> </w:t>
      </w:r>
      <w:r w:rsidR="001C7818" w:rsidRPr="00BB4117">
        <w:rPr>
          <w:szCs w:val="24"/>
        </w:rPr>
        <w:t>cell performance</w:t>
      </w:r>
      <w:r w:rsidR="005C653F" w:rsidRPr="00BB4117">
        <w:rPr>
          <w:szCs w:val="24"/>
        </w:rPr>
        <w:t xml:space="preserve"> </w:t>
      </w:r>
      <w:r w:rsidRPr="00BB4117">
        <w:rPr>
          <w:szCs w:val="24"/>
        </w:rPr>
        <w:t>comes with a</w:t>
      </w:r>
      <w:r w:rsidR="0004513D" w:rsidRPr="00BB4117">
        <w:rPr>
          <w:szCs w:val="24"/>
        </w:rPr>
        <w:t xml:space="preserve"> large climate impact (</w:t>
      </w:r>
      <w:r w:rsidR="00AB7132" w:rsidRPr="00BB4117">
        <w:rPr>
          <w:szCs w:val="24"/>
        </w:rPr>
        <w:t>almost</w:t>
      </w:r>
      <w:r w:rsidR="0004513D" w:rsidRPr="00BB4117">
        <w:rPr>
          <w:szCs w:val="24"/>
        </w:rPr>
        <w:t xml:space="preserve"> </w:t>
      </w:r>
      <w:r w:rsidR="00E459FA" w:rsidRPr="00BB4117">
        <w:rPr>
          <w:szCs w:val="24"/>
        </w:rPr>
        <w:t>3</w:t>
      </w:r>
      <w:r w:rsidR="0004513D" w:rsidRPr="00BB4117">
        <w:rPr>
          <w:szCs w:val="24"/>
        </w:rPr>
        <w:t xml:space="preserve">00 </w:t>
      </w:r>
      <w:r w:rsidR="009F2881" w:rsidRPr="00BB4117">
        <w:rPr>
          <w:bCs/>
          <w:szCs w:val="24"/>
        </w:rPr>
        <w:t xml:space="preserve">g </w:t>
      </w:r>
      <w:r w:rsidR="00A70C49" w:rsidRPr="00BB4117">
        <w:rPr>
          <w:bCs/>
          <w:szCs w:val="24"/>
        </w:rPr>
        <w:t>CO</w:t>
      </w:r>
      <w:r w:rsidR="00A70C49" w:rsidRPr="00BB4117">
        <w:rPr>
          <w:bCs/>
          <w:szCs w:val="24"/>
          <w:vertAlign w:val="subscript"/>
        </w:rPr>
        <w:t>2</w:t>
      </w:r>
      <w:r w:rsidR="00A70C49" w:rsidRPr="00BB4117">
        <w:rPr>
          <w:bCs/>
          <w:szCs w:val="24"/>
        </w:rPr>
        <w:t>-eq per km</w:t>
      </w:r>
      <w:r w:rsidR="004C4E5C" w:rsidRPr="00BB4117">
        <w:rPr>
          <w:szCs w:val="24"/>
        </w:rPr>
        <w:t>,</w:t>
      </w:r>
      <w:r w:rsidR="0004513D" w:rsidRPr="00BB4117">
        <w:rPr>
          <w:szCs w:val="24"/>
        </w:rPr>
        <w:t xml:space="preserve"> compare</w:t>
      </w:r>
      <w:r w:rsidR="004C4E5C" w:rsidRPr="00BB4117">
        <w:rPr>
          <w:szCs w:val="24"/>
        </w:rPr>
        <w:t>d</w:t>
      </w:r>
      <w:r w:rsidR="0004513D" w:rsidRPr="00BB4117">
        <w:rPr>
          <w:szCs w:val="24"/>
        </w:rPr>
        <w:t xml:space="preserve"> with</w:t>
      </w:r>
      <w:r w:rsidR="00A70C49" w:rsidRPr="00BB4117">
        <w:rPr>
          <w:szCs w:val="24"/>
        </w:rPr>
        <w:t xml:space="preserve"> e.g.</w:t>
      </w:r>
      <w:r w:rsidR="0051090B" w:rsidRPr="00BB4117">
        <w:rPr>
          <w:szCs w:val="24"/>
        </w:rPr>
        <w:t xml:space="preserve"> the</w:t>
      </w:r>
      <w:r w:rsidR="0004513D" w:rsidRPr="00BB4117">
        <w:rPr>
          <w:szCs w:val="24"/>
        </w:rPr>
        <w:t xml:space="preserve"> </w:t>
      </w:r>
      <w:r w:rsidR="0004513D" w:rsidRPr="00BB4117">
        <w:rPr>
          <w:bCs/>
          <w:szCs w:val="24"/>
        </w:rPr>
        <w:t xml:space="preserve">EU 95 </w:t>
      </w:r>
      <w:r w:rsidR="009F2881" w:rsidRPr="00BB4117">
        <w:rPr>
          <w:bCs/>
          <w:szCs w:val="24"/>
        </w:rPr>
        <w:t xml:space="preserve">g </w:t>
      </w:r>
      <w:r w:rsidR="0004513D" w:rsidRPr="00BB4117">
        <w:rPr>
          <w:bCs/>
          <w:szCs w:val="24"/>
        </w:rPr>
        <w:t>CO</w:t>
      </w:r>
      <w:r w:rsidR="0004513D" w:rsidRPr="00BB4117">
        <w:rPr>
          <w:bCs/>
          <w:szCs w:val="24"/>
          <w:vertAlign w:val="subscript"/>
        </w:rPr>
        <w:t>2</w:t>
      </w:r>
      <w:r w:rsidR="00294937" w:rsidRPr="00BB4117">
        <w:rPr>
          <w:bCs/>
          <w:szCs w:val="24"/>
        </w:rPr>
        <w:t>-eq per km target</w:t>
      </w:r>
      <w:r w:rsidR="00294937" w:rsidRPr="00BB4117">
        <w:rPr>
          <w:szCs w:val="24"/>
        </w:rPr>
        <w:t>)</w:t>
      </w:r>
      <w:r w:rsidR="004C4E5C" w:rsidRPr="00BB4117">
        <w:rPr>
          <w:szCs w:val="24"/>
        </w:rPr>
        <w:t>.</w:t>
      </w:r>
      <w:r w:rsidR="00294937" w:rsidRPr="00BB4117">
        <w:rPr>
          <w:szCs w:val="24"/>
        </w:rPr>
        <w:t xml:space="preserve"> </w:t>
      </w:r>
      <w:r w:rsidR="00AB7132" w:rsidRPr="00BB4117">
        <w:rPr>
          <w:szCs w:val="24"/>
        </w:rPr>
        <w:t xml:space="preserve">The production phase </w:t>
      </w:r>
      <w:r w:rsidR="00DE0959" w:rsidRPr="00BB4117">
        <w:rPr>
          <w:szCs w:val="24"/>
        </w:rPr>
        <w:t xml:space="preserve">contributes </w:t>
      </w:r>
      <w:r w:rsidR="00AB7132" w:rsidRPr="00BB4117">
        <w:rPr>
          <w:szCs w:val="24"/>
        </w:rPr>
        <w:t xml:space="preserve">most </w:t>
      </w:r>
      <w:r w:rsidR="00DE0959" w:rsidRPr="00BB4117">
        <w:rPr>
          <w:szCs w:val="24"/>
        </w:rPr>
        <w:t xml:space="preserve">to </w:t>
      </w:r>
      <w:r w:rsidR="00AB7132" w:rsidRPr="00BB4117">
        <w:rPr>
          <w:szCs w:val="24"/>
        </w:rPr>
        <w:t xml:space="preserve">climate impact. At the long-term goal level, the total climate impact is only 26 </w:t>
      </w:r>
      <w:r w:rsidR="009F2881" w:rsidRPr="00BB4117">
        <w:rPr>
          <w:szCs w:val="24"/>
        </w:rPr>
        <w:t>g</w:t>
      </w:r>
      <w:r w:rsidR="009F2881" w:rsidRPr="00BB4117">
        <w:rPr>
          <w:bCs/>
          <w:szCs w:val="24"/>
        </w:rPr>
        <w:t xml:space="preserve"> </w:t>
      </w:r>
      <w:r w:rsidR="00971189" w:rsidRPr="00BB4117">
        <w:rPr>
          <w:bCs/>
          <w:szCs w:val="24"/>
        </w:rPr>
        <w:t>CO</w:t>
      </w:r>
      <w:r w:rsidR="00971189" w:rsidRPr="00BB4117">
        <w:rPr>
          <w:bCs/>
          <w:szCs w:val="24"/>
          <w:vertAlign w:val="subscript"/>
        </w:rPr>
        <w:t>2</w:t>
      </w:r>
      <w:r w:rsidR="00971189" w:rsidRPr="00BB4117">
        <w:rPr>
          <w:bCs/>
          <w:szCs w:val="24"/>
        </w:rPr>
        <w:t>-eq per km</w:t>
      </w:r>
      <w:r w:rsidR="00971189" w:rsidRPr="00BB4117">
        <w:rPr>
          <w:szCs w:val="24"/>
        </w:rPr>
        <w:t xml:space="preserve"> and dominated by </w:t>
      </w:r>
      <w:r w:rsidR="00AB7132" w:rsidRPr="00BB4117">
        <w:rPr>
          <w:szCs w:val="24"/>
        </w:rPr>
        <w:t xml:space="preserve">losses in the use phase. </w:t>
      </w:r>
      <w:r w:rsidR="00AA3E73" w:rsidRPr="00BB4117">
        <w:rPr>
          <w:szCs w:val="24"/>
        </w:rPr>
        <w:t>N</w:t>
      </w:r>
      <w:r w:rsidR="00294937" w:rsidRPr="00BB4117">
        <w:rPr>
          <w:szCs w:val="24"/>
        </w:rPr>
        <w:t>ote that the presented use phase impact</w:t>
      </w:r>
      <w:r w:rsidR="004C4E5C" w:rsidRPr="00BB4117">
        <w:rPr>
          <w:szCs w:val="24"/>
        </w:rPr>
        <w:t>s</w:t>
      </w:r>
      <w:r w:rsidR="00294937" w:rsidRPr="00BB4117">
        <w:rPr>
          <w:szCs w:val="24"/>
        </w:rPr>
        <w:t xml:space="preserve"> </w:t>
      </w:r>
      <w:r w:rsidR="004C4E5C" w:rsidRPr="00BB4117">
        <w:rPr>
          <w:szCs w:val="24"/>
        </w:rPr>
        <w:t>only constitute battery-</w:t>
      </w:r>
      <w:r w:rsidR="00294937" w:rsidRPr="00BB4117">
        <w:rPr>
          <w:szCs w:val="24"/>
        </w:rPr>
        <w:t>related losses. The vehicle operation</w:t>
      </w:r>
      <w:r w:rsidR="004C4E5C" w:rsidRPr="00BB4117">
        <w:rPr>
          <w:szCs w:val="24"/>
        </w:rPr>
        <w:t>-</w:t>
      </w:r>
      <w:r w:rsidR="00294937" w:rsidRPr="00BB4117">
        <w:rPr>
          <w:szCs w:val="24"/>
        </w:rPr>
        <w:t>related (battery-to-wheel) climate impact is 89 g CO</w:t>
      </w:r>
      <w:r w:rsidR="00294937" w:rsidRPr="00BB4117">
        <w:rPr>
          <w:szCs w:val="24"/>
          <w:vertAlign w:val="subscript"/>
        </w:rPr>
        <w:t>2</w:t>
      </w:r>
      <w:r w:rsidR="00294937" w:rsidRPr="00BB4117">
        <w:rPr>
          <w:szCs w:val="24"/>
        </w:rPr>
        <w:t>-eq/vehicle km with average European electri</w:t>
      </w:r>
      <w:r w:rsidR="00294937" w:rsidRPr="00BB4117">
        <w:rPr>
          <w:noProof/>
          <w:szCs w:val="24"/>
        </w:rPr>
        <w:t>city mix</w:t>
      </w:r>
      <w:r w:rsidR="00795BE3" w:rsidRPr="00BB4117">
        <w:rPr>
          <w:noProof/>
          <w:szCs w:val="24"/>
        </w:rPr>
        <w:t xml:space="preserve"> </w:t>
      </w:r>
      <w:r w:rsidR="00524197" w:rsidRPr="00BB4117">
        <w:rPr>
          <w:noProof/>
          <w:szCs w:val="24"/>
        </w:rPr>
        <w:fldChar w:fldCharType="begin" w:fldLock="1"/>
      </w:r>
      <w:r w:rsidR="007D67AB">
        <w:rPr>
          <w:noProof/>
          <w:szCs w:val="24"/>
        </w:rPr>
        <w:instrText>ADDIN CSL_CITATION { "citationItems" : [ { "id" : "ITEM-1", "itemData" : { "author" : [ { "dropping-particle" : "", "family" : "Ecoinvent", "given" : "", "non-dropping-particle" : "", "parse-names" : false, "suffix" : "" } ], "id" : "ITEM-1", "issued" : { "date-parts" : [ [ "2007" ] ] }, "publisher" : "Ecoinvent centre", "publisher-place" : "D\u00fbbendorf", "title" : "Electricity, low voltage, production UCTE, at grid/UCTE S", "type" : "article" }, "uris" : [ "http://www.mendeley.com/documents/?uuid=c9dcf7f6-f2f3-40a5-a2fa-13b328551327" ] } ], "mendeley" : { "formattedCitation" : "(Ecoinvent 2007)", "plainTextFormattedCitation" : "(Ecoinvent 2007)", "previouslyFormattedCitation" : "(Ecoinvent 2007)" }, "properties" : { "noteIndex" : 0 }, "schema" : "https://github.com/citation-style-language/schema/raw/master/csl-citation.json" }</w:instrText>
      </w:r>
      <w:r w:rsidR="00524197" w:rsidRPr="00BB4117">
        <w:rPr>
          <w:noProof/>
          <w:szCs w:val="24"/>
        </w:rPr>
        <w:fldChar w:fldCharType="separate"/>
      </w:r>
      <w:r w:rsidR="00795BE3" w:rsidRPr="00BB4117">
        <w:rPr>
          <w:noProof/>
          <w:szCs w:val="24"/>
        </w:rPr>
        <w:t>(Ecoinvent 2007)</w:t>
      </w:r>
      <w:r w:rsidR="00524197" w:rsidRPr="00BB4117">
        <w:rPr>
          <w:noProof/>
          <w:szCs w:val="24"/>
        </w:rPr>
        <w:fldChar w:fldCharType="end"/>
      </w:r>
      <w:r w:rsidR="00294937" w:rsidRPr="00BB4117">
        <w:rPr>
          <w:noProof/>
          <w:szCs w:val="24"/>
        </w:rPr>
        <w:t xml:space="preserve"> at 594 </w:t>
      </w:r>
      <w:r w:rsidR="009F2881" w:rsidRPr="00BB4117">
        <w:rPr>
          <w:noProof/>
          <w:szCs w:val="24"/>
        </w:rPr>
        <w:t xml:space="preserve">g </w:t>
      </w:r>
      <w:r w:rsidR="00294937" w:rsidRPr="00BB4117">
        <w:rPr>
          <w:szCs w:val="24"/>
        </w:rPr>
        <w:t>CO</w:t>
      </w:r>
      <w:r w:rsidR="00294937" w:rsidRPr="00BB4117">
        <w:rPr>
          <w:szCs w:val="24"/>
          <w:vertAlign w:val="subscript"/>
        </w:rPr>
        <w:t>2</w:t>
      </w:r>
      <w:r w:rsidR="00294937" w:rsidRPr="00BB4117">
        <w:rPr>
          <w:szCs w:val="24"/>
        </w:rPr>
        <w:t xml:space="preserve">-eq per kWh and battery-to-wheel consumption of 0.15 kWh/km. </w:t>
      </w:r>
      <w:r w:rsidR="002E0FB4" w:rsidRPr="00BB4117">
        <w:t xml:space="preserve">Recycling avoids about 10% of production related </w:t>
      </w:r>
      <w:r w:rsidR="007F2A7D" w:rsidRPr="00BB4117">
        <w:t>climate impact</w:t>
      </w:r>
      <w:r w:rsidR="00E459FA" w:rsidRPr="00BB4117">
        <w:t xml:space="preserve"> in </w:t>
      </w:r>
      <w:r w:rsidR="00971189" w:rsidRPr="00BB4117">
        <w:t>both</w:t>
      </w:r>
      <w:r w:rsidR="00E459FA" w:rsidRPr="00BB4117">
        <w:t xml:space="preserve"> scenarios</w:t>
      </w:r>
      <w:r w:rsidR="002E0FB4" w:rsidRPr="00BB4117">
        <w:t>.</w:t>
      </w:r>
    </w:p>
    <w:p w:rsidR="00A80E0F" w:rsidRPr="00BB4117" w:rsidRDefault="00357B6F" w:rsidP="00181E71">
      <w:pPr>
        <w:pStyle w:val="Brdtext"/>
        <w:keepNext/>
      </w:pPr>
      <w:r w:rsidRPr="00BB4117">
        <w:rPr>
          <w:noProof/>
          <w:lang w:val="sv-SE"/>
        </w:rPr>
        <w:drawing>
          <wp:inline distT="0" distB="0" distL="0" distR="0">
            <wp:extent cx="4572000" cy="2743200"/>
            <wp:effectExtent l="19050" t="0" r="19050" b="0"/>
            <wp:docPr id="9" name="Diagram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1C7818" w:rsidRPr="00BB4117" w:rsidRDefault="00181E71" w:rsidP="00181E71">
      <w:pPr>
        <w:pStyle w:val="Beskrivning"/>
      </w:pPr>
      <w:bookmarkStart w:id="48" w:name="_Ref420498555"/>
      <w:bookmarkStart w:id="49" w:name="_Toc428360860"/>
      <w:r w:rsidRPr="00BB4117">
        <w:t xml:space="preserve">Figure </w:t>
      </w:r>
      <w:r w:rsidR="00524197" w:rsidRPr="00BB4117">
        <w:fldChar w:fldCharType="begin"/>
      </w:r>
      <w:r w:rsidR="004C6C5C" w:rsidRPr="00BB4117">
        <w:instrText xml:space="preserve"> SEQ Figure \* ARABIC </w:instrText>
      </w:r>
      <w:r w:rsidR="00524197" w:rsidRPr="00BB4117">
        <w:fldChar w:fldCharType="separate"/>
      </w:r>
      <w:r w:rsidR="00094C5D">
        <w:rPr>
          <w:noProof/>
        </w:rPr>
        <w:t>3</w:t>
      </w:r>
      <w:r w:rsidR="00524197" w:rsidRPr="00BB4117">
        <w:rPr>
          <w:noProof/>
        </w:rPr>
        <w:fldChar w:fldCharType="end"/>
      </w:r>
      <w:bookmarkEnd w:id="48"/>
      <w:r w:rsidRPr="00BB4117">
        <w:tab/>
        <w:t xml:space="preserve">Climate impact per vehicle km for the </w:t>
      </w:r>
      <w:r w:rsidR="008C1133" w:rsidRPr="00BB4117">
        <w:t>two</w:t>
      </w:r>
      <w:r w:rsidRPr="00BB4117">
        <w:t xml:space="preserve"> scenarios</w:t>
      </w:r>
      <w:bookmarkEnd w:id="49"/>
    </w:p>
    <w:p w:rsidR="006E51C9" w:rsidRPr="00BB4117" w:rsidRDefault="006E51C9" w:rsidP="006E51C9">
      <w:pPr>
        <w:pStyle w:val="Brdtext"/>
      </w:pPr>
      <w:r w:rsidRPr="00BB4117">
        <w:t>Detailed climate impact data per vehicle kilometre</w:t>
      </w:r>
      <w:r w:rsidR="001F60B2" w:rsidRPr="00BB4117">
        <w:t xml:space="preserve"> and</w:t>
      </w:r>
      <w:r w:rsidRPr="00BB4117">
        <w:t xml:space="preserve"> </w:t>
      </w:r>
      <w:r w:rsidR="001F60B2" w:rsidRPr="00BB4117">
        <w:t>per delivered kWh</w:t>
      </w:r>
      <w:r w:rsidR="001F60B2" w:rsidRPr="00BB4117">
        <w:rPr>
          <w:i/>
        </w:rPr>
        <w:t xml:space="preserve"> </w:t>
      </w:r>
      <w:r w:rsidRPr="00BB4117">
        <w:t xml:space="preserve">is given in </w:t>
      </w:r>
      <w:r w:rsidR="00524197" w:rsidRPr="00BB4117">
        <w:fldChar w:fldCharType="begin"/>
      </w:r>
      <w:r w:rsidR="006326D3" w:rsidRPr="00BB4117">
        <w:instrText xml:space="preserve"> REF _Ref420501848 \h </w:instrText>
      </w:r>
      <w:r w:rsidR="00524197" w:rsidRPr="00BB4117">
        <w:fldChar w:fldCharType="separate"/>
      </w:r>
      <w:r w:rsidR="00094C5D" w:rsidRPr="00BB4117">
        <w:t xml:space="preserve">Table </w:t>
      </w:r>
      <w:r w:rsidR="00094C5D">
        <w:rPr>
          <w:noProof/>
        </w:rPr>
        <w:t>4</w:t>
      </w:r>
      <w:r w:rsidR="00524197" w:rsidRPr="00BB4117">
        <w:fldChar w:fldCharType="end"/>
      </w:r>
      <w:r w:rsidRPr="00BB4117">
        <w:t xml:space="preserve">. </w:t>
      </w:r>
      <w:r w:rsidR="00124D52" w:rsidRPr="00BB4117">
        <w:t xml:space="preserve">It can be seen that as performance of the cell develops, </w:t>
      </w:r>
      <w:r w:rsidR="007F2A7D" w:rsidRPr="00BB4117">
        <w:t>climate impact</w:t>
      </w:r>
      <w:r w:rsidR="00124D52" w:rsidRPr="00BB4117">
        <w:t xml:space="preserve"> decrease </w:t>
      </w:r>
      <w:r w:rsidR="00DE0959" w:rsidRPr="00BB4117">
        <w:t>altogether</w:t>
      </w:r>
      <w:r w:rsidR="00124D52" w:rsidRPr="00BB4117">
        <w:t xml:space="preserve"> and is dominated by the use phase.</w:t>
      </w:r>
    </w:p>
    <w:p w:rsidR="006E51C9" w:rsidRPr="00BB4117" w:rsidRDefault="006E51C9" w:rsidP="006E51C9">
      <w:pPr>
        <w:pStyle w:val="Beskrivning"/>
      </w:pPr>
      <w:bookmarkStart w:id="50" w:name="_Ref420501848"/>
      <w:bookmarkStart w:id="51" w:name="_Toc428370275"/>
      <w:r w:rsidRPr="00BB4117">
        <w:lastRenderedPageBreak/>
        <w:t xml:space="preserve">Table </w:t>
      </w:r>
      <w:r w:rsidR="00524197" w:rsidRPr="00BB4117">
        <w:fldChar w:fldCharType="begin"/>
      </w:r>
      <w:r w:rsidR="004C6C5C" w:rsidRPr="00BB4117">
        <w:instrText xml:space="preserve"> SEQ Table \* ARABIC </w:instrText>
      </w:r>
      <w:r w:rsidR="00524197" w:rsidRPr="00BB4117">
        <w:fldChar w:fldCharType="separate"/>
      </w:r>
      <w:r w:rsidR="00094C5D">
        <w:rPr>
          <w:noProof/>
        </w:rPr>
        <w:t>4</w:t>
      </w:r>
      <w:r w:rsidR="00524197" w:rsidRPr="00BB4117">
        <w:rPr>
          <w:noProof/>
        </w:rPr>
        <w:fldChar w:fldCharType="end"/>
      </w:r>
      <w:bookmarkEnd w:id="50"/>
      <w:r w:rsidRPr="00BB4117">
        <w:tab/>
        <w:t>Climate impact per vehicle km</w:t>
      </w:r>
      <w:r w:rsidR="00D87C1C" w:rsidRPr="00BB4117">
        <w:t xml:space="preserve"> and per delivered kWh for the </w:t>
      </w:r>
      <w:r w:rsidR="008C1133" w:rsidRPr="00BB4117">
        <w:t>two</w:t>
      </w:r>
      <w:r w:rsidR="00D87C1C" w:rsidRPr="00BB4117">
        <w:t xml:space="preserve"> </w:t>
      </w:r>
      <w:r w:rsidRPr="00BB4117">
        <w:t>scenarios</w:t>
      </w:r>
      <w:bookmarkEnd w:id="51"/>
    </w:p>
    <w:tbl>
      <w:tblPr>
        <w:tblW w:w="0" w:type="auto"/>
        <w:tblInd w:w="40" w:type="dxa"/>
        <w:tblCellMar>
          <w:left w:w="70" w:type="dxa"/>
          <w:right w:w="70" w:type="dxa"/>
        </w:tblCellMar>
        <w:tblLook w:val="0000"/>
      </w:tblPr>
      <w:tblGrid>
        <w:gridCol w:w="1917"/>
        <w:gridCol w:w="1447"/>
        <w:gridCol w:w="1613"/>
        <w:gridCol w:w="1447"/>
        <w:gridCol w:w="1613"/>
      </w:tblGrid>
      <w:tr w:rsidR="00971189" w:rsidRPr="00BB4117" w:rsidTr="00D87C1C">
        <w:trPr>
          <w:trHeight w:val="290"/>
        </w:trPr>
        <w:tc>
          <w:tcPr>
            <w:tcW w:w="0" w:type="auto"/>
            <w:tcBorders>
              <w:top w:val="single" w:sz="6" w:space="0" w:color="auto"/>
              <w:left w:val="single" w:sz="6" w:space="0" w:color="auto"/>
              <w:bottom w:val="single" w:sz="6" w:space="0" w:color="auto"/>
              <w:right w:val="single" w:sz="6" w:space="0" w:color="auto"/>
            </w:tcBorders>
            <w:shd w:val="solid" w:color="FF99CC" w:fill="auto"/>
          </w:tcPr>
          <w:p w:rsidR="00971189" w:rsidRPr="00BB4117" w:rsidRDefault="00971189" w:rsidP="00D87C1C">
            <w:pPr>
              <w:overflowPunct/>
              <w:spacing w:before="0" w:after="0"/>
              <w:textAlignment w:val="auto"/>
              <w:rPr>
                <w:rFonts w:ascii="Arial" w:hAnsi="Arial" w:cs="Arial"/>
                <w:b/>
                <w:bCs/>
                <w:color w:val="000000"/>
                <w:sz w:val="20"/>
              </w:rPr>
            </w:pPr>
            <w:r w:rsidRPr="00BB4117">
              <w:rPr>
                <w:rFonts w:ascii="Arial" w:hAnsi="Arial" w:cs="Arial"/>
                <w:b/>
                <w:bCs/>
                <w:color w:val="000000"/>
                <w:sz w:val="20"/>
              </w:rPr>
              <w:t>Scenario</w:t>
            </w:r>
          </w:p>
        </w:tc>
        <w:tc>
          <w:tcPr>
            <w:tcW w:w="0" w:type="auto"/>
            <w:gridSpan w:val="2"/>
            <w:tcBorders>
              <w:top w:val="single" w:sz="6" w:space="0" w:color="auto"/>
              <w:left w:val="single" w:sz="6" w:space="0" w:color="auto"/>
              <w:bottom w:val="single" w:sz="6" w:space="0" w:color="auto"/>
              <w:right w:val="single" w:sz="6" w:space="0" w:color="auto"/>
            </w:tcBorders>
            <w:shd w:val="solid" w:color="FF99CC" w:fill="auto"/>
          </w:tcPr>
          <w:p w:rsidR="00971189" w:rsidRPr="00BB4117" w:rsidRDefault="00971189" w:rsidP="00D87C1C">
            <w:pPr>
              <w:overflowPunct/>
              <w:spacing w:before="0" w:after="0"/>
              <w:jc w:val="center"/>
              <w:textAlignment w:val="auto"/>
              <w:rPr>
                <w:rFonts w:ascii="Arial" w:hAnsi="Arial" w:cs="Arial"/>
                <w:b/>
                <w:bCs/>
                <w:color w:val="000000"/>
                <w:sz w:val="20"/>
              </w:rPr>
            </w:pPr>
            <w:r w:rsidRPr="00BB4117">
              <w:rPr>
                <w:rFonts w:ascii="Arial" w:hAnsi="Arial" w:cs="Arial"/>
                <w:b/>
                <w:bCs/>
                <w:color w:val="000000"/>
                <w:sz w:val="20"/>
              </w:rPr>
              <w:t>Achievement</w:t>
            </w:r>
          </w:p>
        </w:tc>
        <w:tc>
          <w:tcPr>
            <w:tcW w:w="0" w:type="auto"/>
            <w:gridSpan w:val="2"/>
            <w:tcBorders>
              <w:top w:val="single" w:sz="6" w:space="0" w:color="auto"/>
              <w:left w:val="single" w:sz="6" w:space="0" w:color="auto"/>
              <w:bottom w:val="single" w:sz="6" w:space="0" w:color="auto"/>
              <w:right w:val="single" w:sz="6" w:space="0" w:color="auto"/>
            </w:tcBorders>
            <w:shd w:val="solid" w:color="FF99CC" w:fill="auto"/>
          </w:tcPr>
          <w:p w:rsidR="00971189" w:rsidRPr="00BB4117" w:rsidRDefault="00971189" w:rsidP="00D87C1C">
            <w:pPr>
              <w:overflowPunct/>
              <w:spacing w:before="0" w:after="0"/>
              <w:jc w:val="center"/>
              <w:textAlignment w:val="auto"/>
              <w:rPr>
                <w:rFonts w:ascii="Arial" w:hAnsi="Arial" w:cs="Arial"/>
                <w:b/>
                <w:bCs/>
                <w:color w:val="000000"/>
                <w:sz w:val="20"/>
              </w:rPr>
            </w:pPr>
            <w:r w:rsidRPr="00BB4117">
              <w:rPr>
                <w:rFonts w:ascii="Arial" w:hAnsi="Arial" w:cs="Arial"/>
                <w:b/>
                <w:bCs/>
                <w:color w:val="000000"/>
                <w:sz w:val="20"/>
              </w:rPr>
              <w:t>Long-term goal</w:t>
            </w:r>
          </w:p>
        </w:tc>
      </w:tr>
      <w:tr w:rsidR="00971189" w:rsidRPr="00BB4117" w:rsidTr="00D87C1C">
        <w:trPr>
          <w:trHeight w:val="290"/>
        </w:trPr>
        <w:tc>
          <w:tcPr>
            <w:tcW w:w="0" w:type="auto"/>
            <w:tcBorders>
              <w:top w:val="single" w:sz="6" w:space="0" w:color="auto"/>
              <w:left w:val="single" w:sz="6" w:space="0" w:color="auto"/>
              <w:bottom w:val="single" w:sz="6" w:space="0" w:color="auto"/>
              <w:right w:val="single" w:sz="6" w:space="0" w:color="auto"/>
            </w:tcBorders>
          </w:tcPr>
          <w:p w:rsidR="00971189" w:rsidRPr="00BB4117" w:rsidRDefault="00971189" w:rsidP="00D87C1C">
            <w:pPr>
              <w:overflowPunct/>
              <w:spacing w:before="0" w:after="0"/>
              <w:textAlignment w:val="auto"/>
              <w:rPr>
                <w:rFonts w:ascii="Arial" w:hAnsi="Arial" w:cs="Arial"/>
                <w:b/>
                <w:bCs/>
                <w:i/>
                <w:iCs/>
                <w:color w:val="000000"/>
                <w:sz w:val="20"/>
              </w:rPr>
            </w:pPr>
            <w:r w:rsidRPr="00BB4117">
              <w:rPr>
                <w:rFonts w:ascii="Arial" w:hAnsi="Arial" w:cs="Arial"/>
                <w:b/>
                <w:bCs/>
                <w:i/>
                <w:iCs/>
                <w:color w:val="000000"/>
                <w:sz w:val="20"/>
              </w:rPr>
              <w:t>Life cycle stage</w:t>
            </w:r>
          </w:p>
        </w:tc>
        <w:tc>
          <w:tcPr>
            <w:tcW w:w="0" w:type="auto"/>
            <w:tcBorders>
              <w:top w:val="single" w:sz="6" w:space="0" w:color="auto"/>
              <w:left w:val="single" w:sz="6" w:space="0" w:color="auto"/>
              <w:bottom w:val="single" w:sz="6" w:space="0" w:color="auto"/>
              <w:right w:val="single" w:sz="6" w:space="0" w:color="auto"/>
            </w:tcBorders>
          </w:tcPr>
          <w:p w:rsidR="00971189" w:rsidRPr="00BB4117" w:rsidRDefault="00971189" w:rsidP="00425D31">
            <w:pPr>
              <w:overflowPunct/>
              <w:spacing w:before="0" w:after="0"/>
              <w:jc w:val="center"/>
              <w:textAlignment w:val="auto"/>
              <w:rPr>
                <w:rFonts w:ascii="Arial" w:hAnsi="Arial" w:cs="Arial"/>
                <w:color w:val="000000"/>
                <w:sz w:val="20"/>
              </w:rPr>
            </w:pPr>
            <w:r w:rsidRPr="00BB4117">
              <w:rPr>
                <w:rFonts w:ascii="Arial" w:hAnsi="Arial" w:cs="Arial"/>
                <w:color w:val="000000"/>
                <w:sz w:val="20"/>
              </w:rPr>
              <w:t>g CO</w:t>
            </w:r>
            <w:r w:rsidRPr="00BB4117">
              <w:rPr>
                <w:rFonts w:ascii="Arial" w:hAnsi="Arial" w:cs="Arial"/>
                <w:color w:val="000000"/>
                <w:sz w:val="20"/>
                <w:vertAlign w:val="subscript"/>
              </w:rPr>
              <w:t>2</w:t>
            </w:r>
            <w:r w:rsidRPr="00BB4117">
              <w:rPr>
                <w:rFonts w:ascii="Arial" w:hAnsi="Arial" w:cs="Arial"/>
                <w:color w:val="000000"/>
                <w:sz w:val="20"/>
              </w:rPr>
              <w:t>-eq/km</w:t>
            </w:r>
          </w:p>
        </w:tc>
        <w:tc>
          <w:tcPr>
            <w:tcW w:w="0" w:type="auto"/>
            <w:tcBorders>
              <w:top w:val="single" w:sz="6" w:space="0" w:color="auto"/>
              <w:left w:val="single" w:sz="6" w:space="0" w:color="auto"/>
              <w:bottom w:val="single" w:sz="6" w:space="0" w:color="auto"/>
              <w:right w:val="single" w:sz="6" w:space="0" w:color="auto"/>
            </w:tcBorders>
          </w:tcPr>
          <w:p w:rsidR="00971189" w:rsidRPr="00BB4117" w:rsidRDefault="00971189" w:rsidP="00425D31">
            <w:pPr>
              <w:overflowPunct/>
              <w:spacing w:before="0" w:after="0"/>
              <w:jc w:val="center"/>
              <w:textAlignment w:val="auto"/>
              <w:rPr>
                <w:rFonts w:ascii="Arial" w:hAnsi="Arial" w:cs="Arial"/>
                <w:color w:val="000000"/>
                <w:sz w:val="20"/>
              </w:rPr>
            </w:pPr>
            <w:r w:rsidRPr="00BB4117">
              <w:rPr>
                <w:rFonts w:ascii="Arial" w:hAnsi="Arial" w:cs="Arial"/>
                <w:color w:val="000000"/>
                <w:sz w:val="20"/>
              </w:rPr>
              <w:t>g CO</w:t>
            </w:r>
            <w:r w:rsidRPr="00BB4117">
              <w:rPr>
                <w:rFonts w:ascii="Arial" w:hAnsi="Arial" w:cs="Arial"/>
                <w:color w:val="000000"/>
                <w:sz w:val="20"/>
                <w:vertAlign w:val="subscript"/>
              </w:rPr>
              <w:t>2</w:t>
            </w:r>
            <w:r w:rsidRPr="00BB4117">
              <w:rPr>
                <w:rFonts w:ascii="Arial" w:hAnsi="Arial" w:cs="Arial"/>
                <w:color w:val="000000"/>
                <w:sz w:val="20"/>
              </w:rPr>
              <w:t>-eq/kWh</w:t>
            </w:r>
          </w:p>
        </w:tc>
        <w:tc>
          <w:tcPr>
            <w:tcW w:w="0" w:type="auto"/>
            <w:tcBorders>
              <w:top w:val="single" w:sz="6" w:space="0" w:color="auto"/>
              <w:left w:val="single" w:sz="6" w:space="0" w:color="auto"/>
              <w:bottom w:val="single" w:sz="6" w:space="0" w:color="auto"/>
              <w:right w:val="single" w:sz="6" w:space="0" w:color="auto"/>
            </w:tcBorders>
          </w:tcPr>
          <w:p w:rsidR="00971189" w:rsidRPr="00BB4117" w:rsidRDefault="00971189" w:rsidP="00D87C1C">
            <w:pPr>
              <w:overflowPunct/>
              <w:spacing w:before="0" w:after="0"/>
              <w:jc w:val="center"/>
              <w:textAlignment w:val="auto"/>
              <w:rPr>
                <w:rFonts w:ascii="Arial" w:hAnsi="Arial" w:cs="Arial"/>
                <w:color w:val="000000"/>
                <w:sz w:val="20"/>
              </w:rPr>
            </w:pPr>
            <w:r w:rsidRPr="00BB4117">
              <w:rPr>
                <w:rFonts w:ascii="Arial" w:hAnsi="Arial" w:cs="Arial"/>
                <w:color w:val="000000"/>
                <w:sz w:val="20"/>
              </w:rPr>
              <w:t>g CO</w:t>
            </w:r>
            <w:r w:rsidRPr="00BB4117">
              <w:rPr>
                <w:rFonts w:ascii="Arial" w:hAnsi="Arial" w:cs="Arial"/>
                <w:color w:val="000000"/>
                <w:sz w:val="20"/>
                <w:vertAlign w:val="subscript"/>
              </w:rPr>
              <w:t>2</w:t>
            </w:r>
            <w:r w:rsidRPr="00BB4117">
              <w:rPr>
                <w:rFonts w:ascii="Arial" w:hAnsi="Arial" w:cs="Arial"/>
                <w:color w:val="000000"/>
                <w:sz w:val="20"/>
              </w:rPr>
              <w:t>-eq/km</w:t>
            </w:r>
          </w:p>
        </w:tc>
        <w:tc>
          <w:tcPr>
            <w:tcW w:w="0" w:type="auto"/>
            <w:tcBorders>
              <w:top w:val="single" w:sz="6" w:space="0" w:color="auto"/>
              <w:left w:val="single" w:sz="6" w:space="0" w:color="auto"/>
              <w:bottom w:val="single" w:sz="6" w:space="0" w:color="auto"/>
              <w:right w:val="single" w:sz="6" w:space="0" w:color="auto"/>
            </w:tcBorders>
          </w:tcPr>
          <w:p w:rsidR="00971189" w:rsidRPr="00BB4117" w:rsidRDefault="00971189" w:rsidP="00D87C1C">
            <w:pPr>
              <w:overflowPunct/>
              <w:spacing w:before="0" w:after="0"/>
              <w:jc w:val="center"/>
              <w:textAlignment w:val="auto"/>
              <w:rPr>
                <w:rFonts w:ascii="Arial" w:hAnsi="Arial" w:cs="Arial"/>
                <w:color w:val="000000"/>
                <w:sz w:val="20"/>
              </w:rPr>
            </w:pPr>
            <w:r w:rsidRPr="00BB4117">
              <w:rPr>
                <w:rFonts w:ascii="Arial" w:hAnsi="Arial" w:cs="Arial"/>
                <w:color w:val="000000"/>
                <w:sz w:val="20"/>
              </w:rPr>
              <w:t>g CO</w:t>
            </w:r>
            <w:r w:rsidRPr="00BB4117">
              <w:rPr>
                <w:rFonts w:ascii="Arial" w:hAnsi="Arial" w:cs="Arial"/>
                <w:color w:val="000000"/>
                <w:sz w:val="20"/>
                <w:vertAlign w:val="subscript"/>
              </w:rPr>
              <w:t>2</w:t>
            </w:r>
            <w:r w:rsidRPr="00BB4117">
              <w:rPr>
                <w:rFonts w:ascii="Arial" w:hAnsi="Arial" w:cs="Arial"/>
                <w:color w:val="000000"/>
                <w:sz w:val="20"/>
              </w:rPr>
              <w:t>-eq/kWh</w:t>
            </w:r>
          </w:p>
        </w:tc>
      </w:tr>
      <w:tr w:rsidR="00971189" w:rsidRPr="00BB4117" w:rsidTr="00D87C1C">
        <w:trPr>
          <w:trHeight w:val="290"/>
        </w:trPr>
        <w:tc>
          <w:tcPr>
            <w:tcW w:w="0" w:type="auto"/>
            <w:tcBorders>
              <w:top w:val="single" w:sz="6" w:space="0" w:color="auto"/>
              <w:left w:val="single" w:sz="6" w:space="0" w:color="auto"/>
              <w:bottom w:val="single" w:sz="6" w:space="0" w:color="auto"/>
              <w:right w:val="single" w:sz="6" w:space="0" w:color="auto"/>
            </w:tcBorders>
          </w:tcPr>
          <w:p w:rsidR="00971189" w:rsidRPr="00BB4117" w:rsidRDefault="00971189" w:rsidP="00D87C1C">
            <w:pPr>
              <w:overflowPunct/>
              <w:spacing w:before="0" w:after="0"/>
              <w:textAlignment w:val="auto"/>
              <w:rPr>
                <w:rFonts w:ascii="Arial" w:hAnsi="Arial" w:cs="Arial"/>
                <w:b/>
                <w:bCs/>
                <w:i/>
                <w:iCs/>
                <w:color w:val="000000"/>
                <w:sz w:val="20"/>
              </w:rPr>
            </w:pPr>
            <w:r w:rsidRPr="00BB4117">
              <w:rPr>
                <w:rFonts w:ascii="Arial" w:hAnsi="Arial" w:cs="Arial"/>
                <w:b/>
                <w:bCs/>
                <w:i/>
                <w:iCs/>
                <w:color w:val="000000"/>
                <w:sz w:val="20"/>
              </w:rPr>
              <w:t>Production</w:t>
            </w:r>
          </w:p>
        </w:tc>
        <w:tc>
          <w:tcPr>
            <w:tcW w:w="0" w:type="auto"/>
            <w:tcBorders>
              <w:top w:val="single" w:sz="6" w:space="0" w:color="auto"/>
              <w:left w:val="single" w:sz="6" w:space="0" w:color="auto"/>
              <w:bottom w:val="single" w:sz="6" w:space="0" w:color="auto"/>
              <w:right w:val="single" w:sz="6" w:space="0" w:color="auto"/>
            </w:tcBorders>
          </w:tcPr>
          <w:p w:rsidR="00971189" w:rsidRPr="00BB4117" w:rsidRDefault="00971189" w:rsidP="00D87C1C">
            <w:pPr>
              <w:overflowPunct/>
              <w:spacing w:before="0" w:after="0"/>
              <w:jc w:val="center"/>
              <w:textAlignment w:val="auto"/>
              <w:rPr>
                <w:rFonts w:ascii="Arial" w:hAnsi="Arial" w:cs="Arial"/>
                <w:color w:val="000000"/>
                <w:sz w:val="20"/>
              </w:rPr>
            </w:pPr>
            <w:r w:rsidRPr="00BB4117">
              <w:rPr>
                <w:rFonts w:ascii="Arial" w:hAnsi="Arial" w:cs="Arial"/>
                <w:color w:val="000000"/>
                <w:sz w:val="20"/>
              </w:rPr>
              <w:t>249</w:t>
            </w:r>
          </w:p>
        </w:tc>
        <w:tc>
          <w:tcPr>
            <w:tcW w:w="0" w:type="auto"/>
            <w:tcBorders>
              <w:top w:val="single" w:sz="6" w:space="0" w:color="auto"/>
              <w:left w:val="single" w:sz="6" w:space="0" w:color="auto"/>
              <w:bottom w:val="single" w:sz="6" w:space="0" w:color="auto"/>
              <w:right w:val="single" w:sz="6" w:space="0" w:color="auto"/>
            </w:tcBorders>
          </w:tcPr>
          <w:p w:rsidR="00971189" w:rsidRPr="00BB4117" w:rsidRDefault="00971189" w:rsidP="00D87C1C">
            <w:pPr>
              <w:overflowPunct/>
              <w:spacing w:before="0" w:after="0"/>
              <w:jc w:val="center"/>
              <w:textAlignment w:val="auto"/>
              <w:rPr>
                <w:rFonts w:ascii="Arial" w:hAnsi="Arial" w:cs="Arial"/>
                <w:color w:val="000000"/>
                <w:sz w:val="20"/>
              </w:rPr>
            </w:pPr>
            <w:r w:rsidRPr="00BB4117">
              <w:rPr>
                <w:rFonts w:ascii="Arial" w:hAnsi="Arial" w:cs="Arial"/>
                <w:color w:val="000000"/>
                <w:sz w:val="20"/>
              </w:rPr>
              <w:t>1100</w:t>
            </w:r>
          </w:p>
        </w:tc>
        <w:tc>
          <w:tcPr>
            <w:tcW w:w="0" w:type="auto"/>
            <w:tcBorders>
              <w:top w:val="single" w:sz="6" w:space="0" w:color="auto"/>
              <w:left w:val="single" w:sz="6" w:space="0" w:color="auto"/>
              <w:bottom w:val="single" w:sz="6" w:space="0" w:color="auto"/>
              <w:right w:val="single" w:sz="6" w:space="0" w:color="auto"/>
            </w:tcBorders>
          </w:tcPr>
          <w:p w:rsidR="00971189" w:rsidRPr="00BB4117" w:rsidRDefault="00971189" w:rsidP="00D87C1C">
            <w:pPr>
              <w:overflowPunct/>
              <w:spacing w:before="0" w:after="0"/>
              <w:jc w:val="center"/>
              <w:textAlignment w:val="auto"/>
              <w:rPr>
                <w:rFonts w:ascii="Arial" w:hAnsi="Arial" w:cs="Arial"/>
                <w:color w:val="000000"/>
                <w:sz w:val="20"/>
              </w:rPr>
            </w:pPr>
            <w:r w:rsidRPr="00BB4117">
              <w:rPr>
                <w:rFonts w:ascii="Arial" w:hAnsi="Arial" w:cs="Arial"/>
                <w:color w:val="000000"/>
                <w:sz w:val="20"/>
              </w:rPr>
              <w:t>3.2</w:t>
            </w:r>
          </w:p>
        </w:tc>
        <w:tc>
          <w:tcPr>
            <w:tcW w:w="0" w:type="auto"/>
            <w:tcBorders>
              <w:top w:val="single" w:sz="6" w:space="0" w:color="auto"/>
              <w:left w:val="single" w:sz="6" w:space="0" w:color="auto"/>
              <w:bottom w:val="single" w:sz="6" w:space="0" w:color="auto"/>
              <w:right w:val="single" w:sz="6" w:space="0" w:color="auto"/>
            </w:tcBorders>
          </w:tcPr>
          <w:p w:rsidR="00971189" w:rsidRPr="00BB4117" w:rsidRDefault="00971189" w:rsidP="00D87C1C">
            <w:pPr>
              <w:overflowPunct/>
              <w:spacing w:before="0" w:after="0"/>
              <w:jc w:val="center"/>
              <w:textAlignment w:val="auto"/>
              <w:rPr>
                <w:rFonts w:ascii="Arial" w:hAnsi="Arial" w:cs="Arial"/>
                <w:color w:val="000000"/>
                <w:sz w:val="20"/>
              </w:rPr>
            </w:pPr>
            <w:r w:rsidRPr="00BB4117">
              <w:rPr>
                <w:rFonts w:ascii="Arial" w:hAnsi="Arial" w:cs="Arial"/>
                <w:color w:val="000000"/>
                <w:sz w:val="20"/>
              </w:rPr>
              <w:t>17</w:t>
            </w:r>
          </w:p>
        </w:tc>
      </w:tr>
      <w:tr w:rsidR="00971189" w:rsidRPr="00BB4117" w:rsidTr="00D87C1C">
        <w:trPr>
          <w:trHeight w:val="290"/>
        </w:trPr>
        <w:tc>
          <w:tcPr>
            <w:tcW w:w="0" w:type="auto"/>
            <w:tcBorders>
              <w:top w:val="single" w:sz="6" w:space="0" w:color="auto"/>
              <w:left w:val="single" w:sz="6" w:space="0" w:color="auto"/>
              <w:bottom w:val="single" w:sz="6" w:space="0" w:color="auto"/>
              <w:right w:val="single" w:sz="6" w:space="0" w:color="auto"/>
            </w:tcBorders>
          </w:tcPr>
          <w:p w:rsidR="00971189" w:rsidRPr="00BB4117" w:rsidRDefault="00971189" w:rsidP="00D87C1C">
            <w:pPr>
              <w:overflowPunct/>
              <w:spacing w:before="0" w:after="0"/>
              <w:textAlignment w:val="auto"/>
              <w:rPr>
                <w:rFonts w:ascii="Arial" w:hAnsi="Arial" w:cs="Arial"/>
                <w:b/>
                <w:bCs/>
                <w:i/>
                <w:iCs/>
                <w:color w:val="000000"/>
                <w:sz w:val="20"/>
              </w:rPr>
            </w:pPr>
            <w:r w:rsidRPr="00BB4117">
              <w:rPr>
                <w:rFonts w:ascii="Arial" w:hAnsi="Arial" w:cs="Arial"/>
                <w:b/>
                <w:bCs/>
                <w:i/>
                <w:iCs/>
                <w:color w:val="000000"/>
                <w:sz w:val="20"/>
              </w:rPr>
              <w:t>Use*</w:t>
            </w:r>
          </w:p>
        </w:tc>
        <w:tc>
          <w:tcPr>
            <w:tcW w:w="0" w:type="auto"/>
            <w:tcBorders>
              <w:top w:val="single" w:sz="6" w:space="0" w:color="auto"/>
              <w:left w:val="single" w:sz="6" w:space="0" w:color="auto"/>
              <w:bottom w:val="single" w:sz="6" w:space="0" w:color="auto"/>
              <w:right w:val="single" w:sz="6" w:space="0" w:color="auto"/>
            </w:tcBorders>
          </w:tcPr>
          <w:p w:rsidR="00971189" w:rsidRPr="00BB4117" w:rsidRDefault="00971189" w:rsidP="006E51C9">
            <w:pPr>
              <w:overflowPunct/>
              <w:spacing w:before="0" w:after="0"/>
              <w:jc w:val="center"/>
              <w:textAlignment w:val="auto"/>
              <w:rPr>
                <w:rFonts w:ascii="Arial" w:hAnsi="Arial" w:cs="Arial"/>
                <w:color w:val="000000"/>
                <w:sz w:val="20"/>
              </w:rPr>
            </w:pPr>
            <w:r w:rsidRPr="00BB4117">
              <w:rPr>
                <w:rFonts w:ascii="Arial" w:hAnsi="Arial" w:cs="Arial"/>
                <w:color w:val="000000"/>
                <w:sz w:val="20"/>
              </w:rPr>
              <w:t>69</w:t>
            </w:r>
          </w:p>
        </w:tc>
        <w:tc>
          <w:tcPr>
            <w:tcW w:w="0" w:type="auto"/>
            <w:tcBorders>
              <w:top w:val="single" w:sz="6" w:space="0" w:color="auto"/>
              <w:left w:val="single" w:sz="6" w:space="0" w:color="auto"/>
              <w:bottom w:val="single" w:sz="6" w:space="0" w:color="auto"/>
              <w:right w:val="single" w:sz="6" w:space="0" w:color="auto"/>
            </w:tcBorders>
          </w:tcPr>
          <w:p w:rsidR="00971189" w:rsidRPr="00BB4117" w:rsidRDefault="00971189" w:rsidP="00D87C1C">
            <w:pPr>
              <w:overflowPunct/>
              <w:spacing w:before="0" w:after="0"/>
              <w:jc w:val="center"/>
              <w:textAlignment w:val="auto"/>
              <w:rPr>
                <w:rFonts w:ascii="Arial" w:hAnsi="Arial" w:cs="Arial"/>
                <w:color w:val="000000"/>
                <w:sz w:val="20"/>
              </w:rPr>
            </w:pPr>
            <w:r w:rsidRPr="00BB4117">
              <w:rPr>
                <w:rFonts w:ascii="Arial" w:hAnsi="Arial" w:cs="Arial"/>
                <w:color w:val="000000"/>
                <w:sz w:val="20"/>
              </w:rPr>
              <w:t>296</w:t>
            </w:r>
          </w:p>
        </w:tc>
        <w:tc>
          <w:tcPr>
            <w:tcW w:w="0" w:type="auto"/>
            <w:tcBorders>
              <w:top w:val="single" w:sz="6" w:space="0" w:color="auto"/>
              <w:left w:val="single" w:sz="6" w:space="0" w:color="auto"/>
              <w:bottom w:val="single" w:sz="6" w:space="0" w:color="auto"/>
              <w:right w:val="single" w:sz="6" w:space="0" w:color="auto"/>
            </w:tcBorders>
          </w:tcPr>
          <w:p w:rsidR="00971189" w:rsidRPr="00BB4117" w:rsidRDefault="00971189" w:rsidP="00D87C1C">
            <w:pPr>
              <w:overflowPunct/>
              <w:spacing w:before="0" w:after="0"/>
              <w:jc w:val="center"/>
              <w:textAlignment w:val="auto"/>
              <w:rPr>
                <w:rFonts w:ascii="Arial" w:hAnsi="Arial" w:cs="Arial"/>
                <w:color w:val="000000"/>
                <w:sz w:val="20"/>
              </w:rPr>
            </w:pPr>
            <w:r w:rsidRPr="00BB4117">
              <w:rPr>
                <w:rFonts w:ascii="Arial" w:hAnsi="Arial" w:cs="Arial"/>
                <w:color w:val="000000"/>
                <w:sz w:val="20"/>
              </w:rPr>
              <w:t>23</w:t>
            </w:r>
          </w:p>
        </w:tc>
        <w:tc>
          <w:tcPr>
            <w:tcW w:w="0" w:type="auto"/>
            <w:tcBorders>
              <w:top w:val="single" w:sz="6" w:space="0" w:color="auto"/>
              <w:left w:val="single" w:sz="6" w:space="0" w:color="auto"/>
              <w:bottom w:val="single" w:sz="6" w:space="0" w:color="auto"/>
              <w:right w:val="single" w:sz="6" w:space="0" w:color="auto"/>
            </w:tcBorders>
          </w:tcPr>
          <w:p w:rsidR="00971189" w:rsidRPr="00BB4117" w:rsidRDefault="00971189" w:rsidP="00D87C1C">
            <w:pPr>
              <w:overflowPunct/>
              <w:spacing w:before="0" w:after="0"/>
              <w:jc w:val="center"/>
              <w:textAlignment w:val="auto"/>
              <w:rPr>
                <w:rFonts w:ascii="Arial" w:hAnsi="Arial" w:cs="Arial"/>
                <w:color w:val="000000"/>
                <w:sz w:val="20"/>
              </w:rPr>
            </w:pPr>
            <w:r w:rsidRPr="00BB4117">
              <w:rPr>
                <w:rFonts w:ascii="Arial" w:hAnsi="Arial" w:cs="Arial"/>
                <w:color w:val="000000"/>
                <w:sz w:val="20"/>
              </w:rPr>
              <w:t>124</w:t>
            </w:r>
          </w:p>
        </w:tc>
      </w:tr>
      <w:tr w:rsidR="00971189" w:rsidRPr="00BB4117" w:rsidTr="00D87C1C">
        <w:trPr>
          <w:trHeight w:val="290"/>
        </w:trPr>
        <w:tc>
          <w:tcPr>
            <w:tcW w:w="0" w:type="auto"/>
            <w:tcBorders>
              <w:top w:val="single" w:sz="6" w:space="0" w:color="auto"/>
              <w:left w:val="single" w:sz="6" w:space="0" w:color="auto"/>
              <w:bottom w:val="single" w:sz="6" w:space="0" w:color="auto"/>
              <w:right w:val="single" w:sz="6" w:space="0" w:color="auto"/>
            </w:tcBorders>
            <w:shd w:val="solid" w:color="C0C0C0" w:fill="auto"/>
          </w:tcPr>
          <w:p w:rsidR="00971189" w:rsidRPr="00BB4117" w:rsidRDefault="00971189" w:rsidP="00D87C1C">
            <w:pPr>
              <w:overflowPunct/>
              <w:spacing w:before="0" w:after="0"/>
              <w:textAlignment w:val="auto"/>
              <w:rPr>
                <w:rFonts w:ascii="Arial" w:hAnsi="Arial" w:cs="Arial"/>
                <w:b/>
                <w:bCs/>
                <w:i/>
                <w:iCs/>
                <w:color w:val="000000"/>
                <w:sz w:val="20"/>
              </w:rPr>
            </w:pPr>
            <w:r w:rsidRPr="00BB4117">
              <w:rPr>
                <w:rFonts w:ascii="Arial" w:hAnsi="Arial" w:cs="Arial"/>
                <w:b/>
                <w:bCs/>
                <w:i/>
                <w:iCs/>
                <w:color w:val="000000"/>
                <w:sz w:val="20"/>
              </w:rPr>
              <w:t>Subtotal</w:t>
            </w:r>
          </w:p>
        </w:tc>
        <w:tc>
          <w:tcPr>
            <w:tcW w:w="0" w:type="auto"/>
            <w:tcBorders>
              <w:top w:val="single" w:sz="6" w:space="0" w:color="auto"/>
              <w:left w:val="single" w:sz="6" w:space="0" w:color="auto"/>
              <w:bottom w:val="single" w:sz="6" w:space="0" w:color="auto"/>
              <w:right w:val="single" w:sz="6" w:space="0" w:color="auto"/>
            </w:tcBorders>
            <w:shd w:val="solid" w:color="C0C0C0" w:fill="auto"/>
          </w:tcPr>
          <w:p w:rsidR="00971189" w:rsidRPr="00BB4117" w:rsidRDefault="00971189" w:rsidP="00D87C1C">
            <w:pPr>
              <w:overflowPunct/>
              <w:spacing w:before="0" w:after="0"/>
              <w:jc w:val="center"/>
              <w:textAlignment w:val="auto"/>
              <w:rPr>
                <w:rFonts w:ascii="Arial" w:hAnsi="Arial" w:cs="Arial"/>
                <w:color w:val="000000"/>
                <w:sz w:val="20"/>
              </w:rPr>
            </w:pPr>
            <w:r w:rsidRPr="00BB4117">
              <w:rPr>
                <w:rFonts w:ascii="Arial" w:hAnsi="Arial" w:cs="Arial"/>
                <w:color w:val="000000"/>
                <w:sz w:val="20"/>
              </w:rPr>
              <w:t>318</w:t>
            </w:r>
          </w:p>
        </w:tc>
        <w:tc>
          <w:tcPr>
            <w:tcW w:w="0" w:type="auto"/>
            <w:tcBorders>
              <w:top w:val="single" w:sz="6" w:space="0" w:color="auto"/>
              <w:left w:val="single" w:sz="6" w:space="0" w:color="auto"/>
              <w:bottom w:val="single" w:sz="6" w:space="0" w:color="auto"/>
              <w:right w:val="single" w:sz="6" w:space="0" w:color="auto"/>
            </w:tcBorders>
            <w:shd w:val="solid" w:color="C0C0C0" w:fill="auto"/>
          </w:tcPr>
          <w:p w:rsidR="00971189" w:rsidRPr="00BB4117" w:rsidRDefault="00971189" w:rsidP="00D87C1C">
            <w:pPr>
              <w:overflowPunct/>
              <w:spacing w:before="0" w:after="0"/>
              <w:jc w:val="center"/>
              <w:textAlignment w:val="auto"/>
              <w:rPr>
                <w:rFonts w:ascii="Arial" w:hAnsi="Arial" w:cs="Arial"/>
                <w:color w:val="000000"/>
                <w:sz w:val="20"/>
              </w:rPr>
            </w:pPr>
            <w:r w:rsidRPr="00BB4117">
              <w:rPr>
                <w:rFonts w:ascii="Arial" w:hAnsi="Arial" w:cs="Arial"/>
                <w:color w:val="000000"/>
                <w:sz w:val="20"/>
              </w:rPr>
              <w:t>1396</w:t>
            </w:r>
          </w:p>
        </w:tc>
        <w:tc>
          <w:tcPr>
            <w:tcW w:w="0" w:type="auto"/>
            <w:tcBorders>
              <w:top w:val="single" w:sz="6" w:space="0" w:color="auto"/>
              <w:left w:val="single" w:sz="6" w:space="0" w:color="auto"/>
              <w:bottom w:val="single" w:sz="6" w:space="0" w:color="auto"/>
              <w:right w:val="single" w:sz="6" w:space="0" w:color="auto"/>
            </w:tcBorders>
            <w:shd w:val="solid" w:color="C0C0C0" w:fill="auto"/>
          </w:tcPr>
          <w:p w:rsidR="00971189" w:rsidRPr="00BB4117" w:rsidRDefault="00971189" w:rsidP="00D87C1C">
            <w:pPr>
              <w:overflowPunct/>
              <w:spacing w:before="0" w:after="0"/>
              <w:jc w:val="center"/>
              <w:textAlignment w:val="auto"/>
              <w:rPr>
                <w:rFonts w:ascii="Arial" w:hAnsi="Arial" w:cs="Arial"/>
                <w:color w:val="000000"/>
                <w:sz w:val="20"/>
              </w:rPr>
            </w:pPr>
            <w:r w:rsidRPr="00BB4117">
              <w:rPr>
                <w:rFonts w:ascii="Arial" w:hAnsi="Arial" w:cs="Arial"/>
                <w:color w:val="000000"/>
                <w:sz w:val="20"/>
              </w:rPr>
              <w:t>26</w:t>
            </w:r>
          </w:p>
        </w:tc>
        <w:tc>
          <w:tcPr>
            <w:tcW w:w="0" w:type="auto"/>
            <w:tcBorders>
              <w:top w:val="single" w:sz="6" w:space="0" w:color="auto"/>
              <w:left w:val="single" w:sz="6" w:space="0" w:color="auto"/>
              <w:bottom w:val="single" w:sz="6" w:space="0" w:color="auto"/>
              <w:right w:val="single" w:sz="6" w:space="0" w:color="auto"/>
            </w:tcBorders>
            <w:shd w:val="solid" w:color="C0C0C0" w:fill="auto"/>
          </w:tcPr>
          <w:p w:rsidR="00971189" w:rsidRPr="00BB4117" w:rsidRDefault="00971189" w:rsidP="00D87C1C">
            <w:pPr>
              <w:overflowPunct/>
              <w:spacing w:before="0" w:after="0"/>
              <w:jc w:val="center"/>
              <w:textAlignment w:val="auto"/>
              <w:rPr>
                <w:rFonts w:ascii="Arial" w:hAnsi="Arial" w:cs="Arial"/>
                <w:color w:val="000000"/>
                <w:sz w:val="20"/>
              </w:rPr>
            </w:pPr>
            <w:r w:rsidRPr="00BB4117">
              <w:rPr>
                <w:rFonts w:ascii="Arial" w:hAnsi="Arial" w:cs="Arial"/>
                <w:color w:val="000000"/>
                <w:sz w:val="20"/>
              </w:rPr>
              <w:t>141</w:t>
            </w:r>
          </w:p>
        </w:tc>
      </w:tr>
      <w:tr w:rsidR="00971189" w:rsidRPr="00BB4117" w:rsidTr="00D87C1C">
        <w:trPr>
          <w:trHeight w:val="290"/>
        </w:trPr>
        <w:tc>
          <w:tcPr>
            <w:tcW w:w="0" w:type="auto"/>
            <w:tcBorders>
              <w:top w:val="single" w:sz="6" w:space="0" w:color="auto"/>
              <w:left w:val="single" w:sz="6" w:space="0" w:color="auto"/>
              <w:bottom w:val="single" w:sz="6" w:space="0" w:color="auto"/>
              <w:right w:val="single" w:sz="6" w:space="0" w:color="auto"/>
            </w:tcBorders>
          </w:tcPr>
          <w:p w:rsidR="00971189" w:rsidRPr="00BB4117" w:rsidRDefault="00971189" w:rsidP="00D87C1C">
            <w:pPr>
              <w:overflowPunct/>
              <w:spacing w:before="0" w:after="0"/>
              <w:textAlignment w:val="auto"/>
              <w:rPr>
                <w:rFonts w:ascii="Arial" w:hAnsi="Arial" w:cs="Arial"/>
                <w:b/>
                <w:bCs/>
                <w:i/>
                <w:iCs/>
                <w:color w:val="000000"/>
                <w:sz w:val="20"/>
              </w:rPr>
            </w:pPr>
            <w:r w:rsidRPr="00BB4117">
              <w:rPr>
                <w:rFonts w:ascii="Arial" w:hAnsi="Arial" w:cs="Arial"/>
                <w:b/>
                <w:bCs/>
                <w:i/>
                <w:iCs/>
                <w:color w:val="000000"/>
                <w:sz w:val="20"/>
              </w:rPr>
              <w:t>End-of-life</w:t>
            </w:r>
          </w:p>
        </w:tc>
        <w:tc>
          <w:tcPr>
            <w:tcW w:w="0" w:type="auto"/>
            <w:tcBorders>
              <w:top w:val="single" w:sz="6" w:space="0" w:color="auto"/>
              <w:left w:val="single" w:sz="6" w:space="0" w:color="auto"/>
              <w:bottom w:val="single" w:sz="6" w:space="0" w:color="auto"/>
              <w:right w:val="single" w:sz="6" w:space="0" w:color="auto"/>
            </w:tcBorders>
          </w:tcPr>
          <w:p w:rsidR="00971189" w:rsidRPr="00BB4117" w:rsidRDefault="00971189" w:rsidP="00D87C1C">
            <w:pPr>
              <w:overflowPunct/>
              <w:spacing w:before="0" w:after="0"/>
              <w:jc w:val="center"/>
              <w:textAlignment w:val="auto"/>
              <w:rPr>
                <w:rFonts w:ascii="Arial" w:hAnsi="Arial" w:cs="Arial"/>
                <w:color w:val="000000"/>
                <w:sz w:val="20"/>
              </w:rPr>
            </w:pPr>
            <w:r w:rsidRPr="00BB4117">
              <w:rPr>
                <w:rFonts w:ascii="Arial" w:hAnsi="Arial" w:cs="Arial"/>
                <w:color w:val="000000"/>
                <w:sz w:val="20"/>
              </w:rPr>
              <w:t>-22</w:t>
            </w:r>
          </w:p>
        </w:tc>
        <w:tc>
          <w:tcPr>
            <w:tcW w:w="0" w:type="auto"/>
            <w:tcBorders>
              <w:top w:val="single" w:sz="6" w:space="0" w:color="auto"/>
              <w:left w:val="single" w:sz="6" w:space="0" w:color="auto"/>
              <w:bottom w:val="single" w:sz="6" w:space="0" w:color="auto"/>
              <w:right w:val="single" w:sz="6" w:space="0" w:color="auto"/>
            </w:tcBorders>
          </w:tcPr>
          <w:p w:rsidR="00971189" w:rsidRPr="00BB4117" w:rsidRDefault="00971189" w:rsidP="00D87C1C">
            <w:pPr>
              <w:overflowPunct/>
              <w:spacing w:before="0" w:after="0"/>
              <w:jc w:val="center"/>
              <w:textAlignment w:val="auto"/>
              <w:rPr>
                <w:rFonts w:ascii="Arial" w:hAnsi="Arial" w:cs="Arial"/>
                <w:color w:val="000000"/>
                <w:sz w:val="20"/>
              </w:rPr>
            </w:pPr>
            <w:r w:rsidRPr="00BB4117">
              <w:rPr>
                <w:rFonts w:ascii="Arial" w:hAnsi="Arial" w:cs="Arial"/>
                <w:color w:val="000000"/>
                <w:sz w:val="20"/>
              </w:rPr>
              <w:t>-97</w:t>
            </w:r>
          </w:p>
        </w:tc>
        <w:tc>
          <w:tcPr>
            <w:tcW w:w="0" w:type="auto"/>
            <w:tcBorders>
              <w:top w:val="single" w:sz="6" w:space="0" w:color="auto"/>
              <w:left w:val="single" w:sz="6" w:space="0" w:color="auto"/>
              <w:bottom w:val="single" w:sz="6" w:space="0" w:color="auto"/>
              <w:right w:val="single" w:sz="6" w:space="0" w:color="auto"/>
            </w:tcBorders>
          </w:tcPr>
          <w:p w:rsidR="00971189" w:rsidRPr="00BB4117" w:rsidRDefault="00971189" w:rsidP="00D87C1C">
            <w:pPr>
              <w:overflowPunct/>
              <w:spacing w:before="0" w:after="0"/>
              <w:jc w:val="center"/>
              <w:textAlignment w:val="auto"/>
              <w:rPr>
                <w:rFonts w:ascii="Arial" w:hAnsi="Arial" w:cs="Arial"/>
                <w:color w:val="000000"/>
                <w:sz w:val="20"/>
              </w:rPr>
            </w:pPr>
            <w:r w:rsidRPr="00BB4117">
              <w:rPr>
                <w:rFonts w:ascii="Arial" w:hAnsi="Arial" w:cs="Arial"/>
                <w:color w:val="000000"/>
                <w:sz w:val="20"/>
              </w:rPr>
              <w:t>-0.29</w:t>
            </w:r>
          </w:p>
        </w:tc>
        <w:tc>
          <w:tcPr>
            <w:tcW w:w="0" w:type="auto"/>
            <w:tcBorders>
              <w:top w:val="single" w:sz="6" w:space="0" w:color="auto"/>
              <w:left w:val="single" w:sz="6" w:space="0" w:color="auto"/>
              <w:bottom w:val="single" w:sz="6" w:space="0" w:color="auto"/>
              <w:right w:val="single" w:sz="6" w:space="0" w:color="auto"/>
            </w:tcBorders>
          </w:tcPr>
          <w:p w:rsidR="00971189" w:rsidRPr="00BB4117" w:rsidRDefault="00971189" w:rsidP="00D87C1C">
            <w:pPr>
              <w:overflowPunct/>
              <w:spacing w:before="0" w:after="0"/>
              <w:jc w:val="center"/>
              <w:textAlignment w:val="auto"/>
              <w:rPr>
                <w:rFonts w:ascii="Arial" w:hAnsi="Arial" w:cs="Arial"/>
                <w:color w:val="000000"/>
                <w:sz w:val="20"/>
              </w:rPr>
            </w:pPr>
            <w:r w:rsidRPr="00BB4117">
              <w:rPr>
                <w:rFonts w:ascii="Arial" w:hAnsi="Arial" w:cs="Arial"/>
                <w:color w:val="000000"/>
                <w:sz w:val="20"/>
              </w:rPr>
              <w:t>-1.5</w:t>
            </w:r>
          </w:p>
        </w:tc>
      </w:tr>
      <w:tr w:rsidR="00971189" w:rsidRPr="00BB4117" w:rsidTr="001655FA">
        <w:trPr>
          <w:trHeight w:val="290"/>
        </w:trPr>
        <w:tc>
          <w:tcPr>
            <w:tcW w:w="0" w:type="auto"/>
            <w:tcBorders>
              <w:top w:val="single" w:sz="6" w:space="0" w:color="auto"/>
              <w:left w:val="single" w:sz="6" w:space="0" w:color="auto"/>
              <w:bottom w:val="single" w:sz="6" w:space="0" w:color="auto"/>
              <w:right w:val="single" w:sz="6" w:space="0" w:color="auto"/>
            </w:tcBorders>
            <w:shd w:val="solid" w:color="C0C0C0" w:fill="auto"/>
          </w:tcPr>
          <w:p w:rsidR="00971189" w:rsidRPr="00BB4117" w:rsidRDefault="00971189" w:rsidP="00D87C1C">
            <w:pPr>
              <w:overflowPunct/>
              <w:spacing w:before="0" w:after="0"/>
              <w:textAlignment w:val="auto"/>
              <w:rPr>
                <w:rFonts w:ascii="Arial" w:hAnsi="Arial" w:cs="Arial"/>
                <w:b/>
                <w:bCs/>
                <w:i/>
                <w:iCs/>
                <w:color w:val="000000"/>
                <w:sz w:val="20"/>
              </w:rPr>
            </w:pPr>
            <w:r w:rsidRPr="00BB4117">
              <w:rPr>
                <w:rFonts w:ascii="Arial" w:hAnsi="Arial" w:cs="Arial"/>
                <w:b/>
                <w:bCs/>
                <w:i/>
                <w:iCs/>
                <w:color w:val="000000"/>
                <w:sz w:val="20"/>
              </w:rPr>
              <w:t>Total</w:t>
            </w:r>
          </w:p>
        </w:tc>
        <w:tc>
          <w:tcPr>
            <w:tcW w:w="0" w:type="auto"/>
            <w:tcBorders>
              <w:top w:val="single" w:sz="6" w:space="0" w:color="auto"/>
              <w:left w:val="single" w:sz="6" w:space="0" w:color="auto"/>
              <w:bottom w:val="single" w:sz="6" w:space="0" w:color="auto"/>
              <w:right w:val="single" w:sz="6" w:space="0" w:color="auto"/>
            </w:tcBorders>
            <w:shd w:val="solid" w:color="C0C0C0" w:fill="auto"/>
          </w:tcPr>
          <w:p w:rsidR="00971189" w:rsidRPr="00BB4117" w:rsidRDefault="00971189" w:rsidP="00D87C1C">
            <w:pPr>
              <w:overflowPunct/>
              <w:spacing w:before="0" w:after="0"/>
              <w:jc w:val="center"/>
              <w:textAlignment w:val="auto"/>
              <w:rPr>
                <w:rFonts w:ascii="Arial" w:hAnsi="Arial" w:cs="Arial"/>
                <w:color w:val="000000"/>
                <w:sz w:val="20"/>
              </w:rPr>
            </w:pPr>
            <w:r w:rsidRPr="00BB4117">
              <w:rPr>
                <w:rFonts w:ascii="Arial" w:hAnsi="Arial" w:cs="Arial"/>
                <w:color w:val="000000"/>
                <w:sz w:val="20"/>
              </w:rPr>
              <w:t>296</w:t>
            </w:r>
          </w:p>
        </w:tc>
        <w:tc>
          <w:tcPr>
            <w:tcW w:w="0" w:type="auto"/>
            <w:tcBorders>
              <w:top w:val="single" w:sz="6" w:space="0" w:color="auto"/>
              <w:left w:val="single" w:sz="6" w:space="0" w:color="auto"/>
              <w:bottom w:val="single" w:sz="6" w:space="0" w:color="auto"/>
              <w:right w:val="single" w:sz="6" w:space="0" w:color="auto"/>
            </w:tcBorders>
            <w:shd w:val="solid" w:color="C0C0C0" w:fill="auto"/>
          </w:tcPr>
          <w:p w:rsidR="00971189" w:rsidRPr="00BB4117" w:rsidRDefault="00971189" w:rsidP="00D87C1C">
            <w:pPr>
              <w:overflowPunct/>
              <w:spacing w:before="0" w:after="0"/>
              <w:jc w:val="center"/>
              <w:textAlignment w:val="auto"/>
              <w:rPr>
                <w:rFonts w:ascii="Arial" w:hAnsi="Arial" w:cs="Arial"/>
                <w:color w:val="000000"/>
                <w:sz w:val="20"/>
              </w:rPr>
            </w:pPr>
            <w:r w:rsidRPr="00BB4117">
              <w:rPr>
                <w:rFonts w:ascii="Arial" w:hAnsi="Arial" w:cs="Arial"/>
                <w:color w:val="000000"/>
                <w:sz w:val="20"/>
              </w:rPr>
              <w:t>1299</w:t>
            </w:r>
          </w:p>
        </w:tc>
        <w:tc>
          <w:tcPr>
            <w:tcW w:w="0" w:type="auto"/>
            <w:tcBorders>
              <w:top w:val="single" w:sz="6" w:space="0" w:color="auto"/>
              <w:left w:val="single" w:sz="6" w:space="0" w:color="auto"/>
              <w:bottom w:val="single" w:sz="6" w:space="0" w:color="auto"/>
              <w:right w:val="single" w:sz="6" w:space="0" w:color="auto"/>
            </w:tcBorders>
            <w:shd w:val="solid" w:color="C0C0C0" w:fill="auto"/>
          </w:tcPr>
          <w:p w:rsidR="00971189" w:rsidRPr="00BB4117" w:rsidRDefault="00971189" w:rsidP="00D87C1C">
            <w:pPr>
              <w:overflowPunct/>
              <w:spacing w:before="0" w:after="0"/>
              <w:jc w:val="center"/>
              <w:textAlignment w:val="auto"/>
              <w:rPr>
                <w:rFonts w:ascii="Arial" w:hAnsi="Arial" w:cs="Arial"/>
                <w:color w:val="000000"/>
                <w:sz w:val="20"/>
              </w:rPr>
            </w:pPr>
            <w:r w:rsidRPr="00BB4117">
              <w:rPr>
                <w:rFonts w:ascii="Arial" w:hAnsi="Arial" w:cs="Arial"/>
                <w:color w:val="000000"/>
                <w:sz w:val="20"/>
              </w:rPr>
              <w:t>26</w:t>
            </w:r>
          </w:p>
        </w:tc>
        <w:tc>
          <w:tcPr>
            <w:tcW w:w="0" w:type="auto"/>
            <w:tcBorders>
              <w:top w:val="single" w:sz="6" w:space="0" w:color="auto"/>
              <w:left w:val="single" w:sz="6" w:space="0" w:color="auto"/>
              <w:bottom w:val="single" w:sz="6" w:space="0" w:color="auto"/>
              <w:right w:val="single" w:sz="6" w:space="0" w:color="auto"/>
            </w:tcBorders>
            <w:shd w:val="solid" w:color="C0C0C0" w:fill="auto"/>
          </w:tcPr>
          <w:p w:rsidR="00971189" w:rsidRPr="00BB4117" w:rsidRDefault="00971189" w:rsidP="00D87C1C">
            <w:pPr>
              <w:overflowPunct/>
              <w:spacing w:before="0" w:after="0"/>
              <w:jc w:val="center"/>
              <w:textAlignment w:val="auto"/>
              <w:rPr>
                <w:rFonts w:ascii="Arial" w:hAnsi="Arial" w:cs="Arial"/>
                <w:color w:val="000000"/>
                <w:sz w:val="20"/>
              </w:rPr>
            </w:pPr>
            <w:r w:rsidRPr="00BB4117">
              <w:rPr>
                <w:rFonts w:ascii="Arial" w:hAnsi="Arial" w:cs="Arial"/>
                <w:color w:val="000000"/>
                <w:sz w:val="20"/>
              </w:rPr>
              <w:t>140</w:t>
            </w:r>
          </w:p>
        </w:tc>
      </w:tr>
      <w:tr w:rsidR="001655FA" w:rsidRPr="00BB4117" w:rsidTr="001655FA">
        <w:trPr>
          <w:trHeight w:val="290"/>
        </w:trPr>
        <w:tc>
          <w:tcPr>
            <w:tcW w:w="0" w:type="auto"/>
            <w:gridSpan w:val="5"/>
            <w:tcBorders>
              <w:top w:val="single" w:sz="6" w:space="0" w:color="auto"/>
              <w:left w:val="single" w:sz="6" w:space="0" w:color="auto"/>
              <w:bottom w:val="single" w:sz="6" w:space="0" w:color="auto"/>
              <w:right w:val="single" w:sz="6" w:space="0" w:color="auto"/>
            </w:tcBorders>
            <w:shd w:val="clear" w:color="C0C0C0" w:fill="auto"/>
          </w:tcPr>
          <w:p w:rsidR="001655FA" w:rsidRPr="00BB4117" w:rsidRDefault="001655FA" w:rsidP="001655FA">
            <w:pPr>
              <w:overflowPunct/>
              <w:spacing w:before="0" w:after="0"/>
              <w:textAlignment w:val="auto"/>
              <w:rPr>
                <w:rFonts w:ascii="Arial" w:hAnsi="Arial" w:cs="Arial"/>
                <w:color w:val="000000"/>
                <w:sz w:val="20"/>
              </w:rPr>
            </w:pPr>
            <w:r w:rsidRPr="00BB4117">
              <w:rPr>
                <w:rFonts w:ascii="Arial" w:hAnsi="Arial" w:cs="Arial"/>
                <w:color w:val="000000"/>
                <w:sz w:val="16"/>
              </w:rPr>
              <w:t>*The presented use phase impacts cover only battery related losses. The operation in terms of propelling the vehicle is not included.</w:t>
            </w:r>
          </w:p>
        </w:tc>
      </w:tr>
    </w:tbl>
    <w:p w:rsidR="00CB1932" w:rsidRPr="00BB4117" w:rsidRDefault="00561A42" w:rsidP="00480641">
      <w:pPr>
        <w:pStyle w:val="Rubrik3"/>
      </w:pPr>
      <w:bookmarkStart w:id="52" w:name="_Toc428370321"/>
      <w:r w:rsidRPr="00BB4117">
        <w:t xml:space="preserve">4.1.1 </w:t>
      </w:r>
      <w:r w:rsidR="0061592C" w:rsidRPr="00BB4117">
        <w:t xml:space="preserve">Production related </w:t>
      </w:r>
      <w:r w:rsidR="007F2A7D" w:rsidRPr="00BB4117">
        <w:t>climate impact</w:t>
      </w:r>
      <w:bookmarkEnd w:id="52"/>
    </w:p>
    <w:p w:rsidR="0061592C" w:rsidRPr="00BB4117" w:rsidRDefault="002B09C5" w:rsidP="0061592C">
      <w:pPr>
        <w:pStyle w:val="Brdtext"/>
      </w:pPr>
      <w:r w:rsidRPr="00BB4117">
        <w:t xml:space="preserve">As pointed out, </w:t>
      </w:r>
      <w:r w:rsidR="007F2A7D" w:rsidRPr="00BB4117">
        <w:t>climate impact</w:t>
      </w:r>
      <w:r w:rsidRPr="00BB4117">
        <w:t xml:space="preserve"> from the production phase </w:t>
      </w:r>
      <w:r w:rsidR="00FC50F0" w:rsidRPr="00BB4117">
        <w:t xml:space="preserve">is </w:t>
      </w:r>
      <w:r w:rsidRPr="00BB4117">
        <w:t xml:space="preserve">high per km or delivered kWh at the present level of development, but decreases rapidly with increasing energy density, efficiency, number of charge cycles and depth of discharge as fewer cells are needed per vehicle kilometre or delivered kWh. </w:t>
      </w:r>
      <w:r w:rsidR="0061592C" w:rsidRPr="00BB4117">
        <w:t xml:space="preserve">Production related </w:t>
      </w:r>
      <w:r w:rsidR="005D0010" w:rsidRPr="00BB4117">
        <w:t>climate impact is</w:t>
      </w:r>
      <w:r w:rsidR="0061592C" w:rsidRPr="00BB4117">
        <w:t xml:space="preserve"> fairly evenly distributed among the cell components</w:t>
      </w:r>
      <w:r w:rsidR="00923F96" w:rsidRPr="00BB4117">
        <w:t xml:space="preserve"> (see Figure 4)</w:t>
      </w:r>
      <w:r w:rsidR="0061592C" w:rsidRPr="00BB4117">
        <w:t>: 37% from the cathode of which 34%</w:t>
      </w:r>
      <w:r w:rsidR="005F7232" w:rsidRPr="00BB4117">
        <w:t xml:space="preserve"> are attributed to</w:t>
      </w:r>
      <w:r w:rsidR="0061592C" w:rsidRPr="00BB4117">
        <w:t xml:space="preserve"> electric</w:t>
      </w:r>
      <w:r w:rsidR="0019069C" w:rsidRPr="00BB4117">
        <w:t>al energy</w:t>
      </w:r>
      <w:r w:rsidR="0061592C" w:rsidRPr="00BB4117">
        <w:t>; 27% from the assembly energy use; 23% from the lithium foil and 5% from the electrolyte</w:t>
      </w:r>
      <w:r w:rsidR="0003603F" w:rsidRPr="00BB4117">
        <w:t>,</w:t>
      </w:r>
      <w:r w:rsidR="0061592C" w:rsidRPr="00BB4117">
        <w:t xml:space="preserve"> </w:t>
      </w:r>
      <w:r w:rsidR="004C4E5C" w:rsidRPr="00BB4117">
        <w:t xml:space="preserve">accounting </w:t>
      </w:r>
      <w:r w:rsidR="0061592C" w:rsidRPr="00BB4117">
        <w:t xml:space="preserve">for 92% of production related </w:t>
      </w:r>
      <w:r w:rsidR="007F2A7D" w:rsidRPr="00BB4117">
        <w:t>climate impact</w:t>
      </w:r>
      <w:r w:rsidR="0061592C" w:rsidRPr="00BB4117">
        <w:t xml:space="preserve">. </w:t>
      </w:r>
      <w:r w:rsidR="00DE0959" w:rsidRPr="00BB4117">
        <w:t xml:space="preserve">In our model, these contributions related to the production of different components show the same ratios </w:t>
      </w:r>
      <w:r w:rsidR="007146F6" w:rsidRPr="00BB4117">
        <w:t xml:space="preserve">for </w:t>
      </w:r>
      <w:r w:rsidR="00C4234B" w:rsidRPr="00BB4117">
        <w:t>both</w:t>
      </w:r>
      <w:r w:rsidR="007146F6" w:rsidRPr="00BB4117">
        <w:t xml:space="preserve"> scenarios</w:t>
      </w:r>
      <w:r w:rsidR="00F33801" w:rsidRPr="00BB4117">
        <w:t xml:space="preserve"> since the same materials </w:t>
      </w:r>
      <w:r w:rsidR="00124D52" w:rsidRPr="00BB4117">
        <w:t>are assumed</w:t>
      </w:r>
      <w:r w:rsidR="00A21191" w:rsidRPr="00BB4117">
        <w:t>;</w:t>
      </w:r>
      <w:r w:rsidR="00F33801" w:rsidRPr="00BB4117">
        <w:t xml:space="preserve"> only </w:t>
      </w:r>
      <w:r w:rsidR="00A21191" w:rsidRPr="00BB4117">
        <w:t>the</w:t>
      </w:r>
      <w:r w:rsidR="00F33801" w:rsidRPr="00BB4117">
        <w:t xml:space="preserve"> amount</w:t>
      </w:r>
      <w:r w:rsidR="00F74615" w:rsidRPr="00BB4117">
        <w:t>s</w:t>
      </w:r>
      <w:r w:rsidR="00F33801" w:rsidRPr="00BB4117">
        <w:t xml:space="preserve"> of </w:t>
      </w:r>
      <w:r w:rsidR="00A21191" w:rsidRPr="00BB4117">
        <w:t>material per vehicle kilometre or delivered kWh</w:t>
      </w:r>
      <w:r w:rsidR="00F33801" w:rsidRPr="00BB4117">
        <w:t xml:space="preserve"> change.</w:t>
      </w:r>
      <w:r w:rsidR="009D3FBA" w:rsidRPr="00BB4117">
        <w:t xml:space="preserve"> Future developments would certainly need other materials, </w:t>
      </w:r>
      <w:r w:rsidR="004C4E5C" w:rsidRPr="00BB4117">
        <w:t xml:space="preserve">which are </w:t>
      </w:r>
      <w:r w:rsidR="009D3FBA" w:rsidRPr="00BB4117">
        <w:t xml:space="preserve">unknown at </w:t>
      </w:r>
      <w:r w:rsidR="004C4E5C" w:rsidRPr="00BB4117">
        <w:t>the time of writing,</w:t>
      </w:r>
      <w:r w:rsidR="009D3FBA" w:rsidRPr="00BB4117">
        <w:t xml:space="preserve"> and not necessarily with larger environmental impact than the materials used for the prototype modelled here.</w:t>
      </w:r>
    </w:p>
    <w:p w:rsidR="00FF596B" w:rsidRPr="00BB4117" w:rsidRDefault="000E4ACE" w:rsidP="00FF596B">
      <w:pPr>
        <w:pStyle w:val="Brdtext"/>
        <w:keepNext/>
      </w:pPr>
      <w:r w:rsidRPr="00BB4117">
        <w:rPr>
          <w:noProof/>
          <w:lang w:val="sv-SE"/>
        </w:rPr>
        <w:lastRenderedPageBreak/>
        <w:drawing>
          <wp:inline distT="0" distB="0" distL="0" distR="0">
            <wp:extent cx="4745355" cy="3752215"/>
            <wp:effectExtent l="19050" t="0" r="0" b="0"/>
            <wp:docPr id="23" name="Bild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2" cstate="print"/>
                    <a:srcRect/>
                    <a:stretch>
                      <a:fillRect/>
                    </a:stretch>
                  </pic:blipFill>
                  <pic:spPr bwMode="auto">
                    <a:xfrm>
                      <a:off x="0" y="0"/>
                      <a:ext cx="4745355" cy="3752215"/>
                    </a:xfrm>
                    <a:prstGeom prst="rect">
                      <a:avLst/>
                    </a:prstGeom>
                    <a:noFill/>
                    <a:ln w="9525">
                      <a:noFill/>
                      <a:miter lim="800000"/>
                      <a:headEnd/>
                      <a:tailEnd/>
                    </a:ln>
                  </pic:spPr>
                </pic:pic>
              </a:graphicData>
            </a:graphic>
          </wp:inline>
        </w:drawing>
      </w:r>
    </w:p>
    <w:p w:rsidR="00FF596B" w:rsidRPr="00BB4117" w:rsidRDefault="00FF596B" w:rsidP="00FF596B">
      <w:pPr>
        <w:pStyle w:val="Beskrivning"/>
      </w:pPr>
      <w:bookmarkStart w:id="53" w:name="_Toc428360861"/>
      <w:r w:rsidRPr="00BB4117">
        <w:t xml:space="preserve">Figure </w:t>
      </w:r>
      <w:r w:rsidR="00524197" w:rsidRPr="00BB4117">
        <w:fldChar w:fldCharType="begin"/>
      </w:r>
      <w:r w:rsidR="004C6C5C" w:rsidRPr="00BB4117">
        <w:instrText xml:space="preserve"> SEQ Figure \* ARABIC </w:instrText>
      </w:r>
      <w:r w:rsidR="00524197" w:rsidRPr="00BB4117">
        <w:fldChar w:fldCharType="separate"/>
      </w:r>
      <w:r w:rsidR="00094C5D">
        <w:rPr>
          <w:noProof/>
        </w:rPr>
        <w:t>4</w:t>
      </w:r>
      <w:r w:rsidR="00524197" w:rsidRPr="00BB4117">
        <w:rPr>
          <w:noProof/>
        </w:rPr>
        <w:fldChar w:fldCharType="end"/>
      </w:r>
      <w:proofErr w:type="gramStart"/>
      <w:r w:rsidRPr="00BB4117">
        <w:tab/>
        <w:t xml:space="preserve">Relative </w:t>
      </w:r>
      <w:r w:rsidR="007F2A7D" w:rsidRPr="00BB4117">
        <w:t>climate impact</w:t>
      </w:r>
      <w:proofErr w:type="gramEnd"/>
      <w:r w:rsidRPr="00BB4117">
        <w:t xml:space="preserve"> of cell components</w:t>
      </w:r>
      <w:bookmarkEnd w:id="53"/>
    </w:p>
    <w:p w:rsidR="00F33801" w:rsidRPr="00BB4117" w:rsidRDefault="00561A42" w:rsidP="00480641">
      <w:pPr>
        <w:pStyle w:val="Rubrik3"/>
      </w:pPr>
      <w:bookmarkStart w:id="54" w:name="_Toc428370322"/>
      <w:r w:rsidRPr="00BB4117">
        <w:t xml:space="preserve">4.1.2 </w:t>
      </w:r>
      <w:r w:rsidR="002B09C5" w:rsidRPr="00BB4117">
        <w:t xml:space="preserve">Use phase </w:t>
      </w:r>
      <w:r w:rsidR="007F2A7D" w:rsidRPr="00BB4117">
        <w:t>climate impact</w:t>
      </w:r>
      <w:bookmarkEnd w:id="54"/>
    </w:p>
    <w:p w:rsidR="00E0329F" w:rsidRPr="00BB4117" w:rsidRDefault="007F2A7D" w:rsidP="0003603F">
      <w:r w:rsidRPr="00BB4117">
        <w:t>Climate impact</w:t>
      </w:r>
      <w:r w:rsidR="0084425F" w:rsidRPr="00BB4117">
        <w:t xml:space="preserve"> from the use phase </w:t>
      </w:r>
      <w:r w:rsidR="00CC31BE" w:rsidRPr="00BB4117">
        <w:t>is</w:t>
      </w:r>
      <w:r w:rsidR="0084425F" w:rsidRPr="00BB4117">
        <w:t xml:space="preserve"> dominating more and more as the cell develops, even though in absolute terms </w:t>
      </w:r>
      <w:r w:rsidR="00DE0959" w:rsidRPr="00BB4117">
        <w:t xml:space="preserve">it </w:t>
      </w:r>
      <w:r w:rsidR="0084425F" w:rsidRPr="00BB4117">
        <w:t>also decrease</w:t>
      </w:r>
      <w:r w:rsidR="00DE0959" w:rsidRPr="00BB4117">
        <w:t>s</w:t>
      </w:r>
      <w:r w:rsidR="0084425F" w:rsidRPr="00BB4117">
        <w:t xml:space="preserve"> </w:t>
      </w:r>
      <w:r w:rsidR="00CC31BE" w:rsidRPr="00BB4117">
        <w:t>(</w:t>
      </w:r>
      <w:r w:rsidR="0084425F" w:rsidRPr="00BB4117">
        <w:t>as the cell develops</w:t>
      </w:r>
      <w:r w:rsidR="00CC31BE" w:rsidRPr="00BB4117">
        <w:t>)</w:t>
      </w:r>
      <w:r w:rsidR="0084425F" w:rsidRPr="00BB4117">
        <w:t xml:space="preserve">. </w:t>
      </w:r>
      <w:r w:rsidR="0003603F" w:rsidRPr="00BB4117">
        <w:t xml:space="preserve">The use phase </w:t>
      </w:r>
      <w:r w:rsidRPr="00BB4117">
        <w:t>climate impact</w:t>
      </w:r>
      <w:r w:rsidR="0003603F" w:rsidRPr="00BB4117">
        <w:t xml:space="preserve"> stem</w:t>
      </w:r>
      <w:r w:rsidR="00DE0959" w:rsidRPr="00BB4117">
        <w:t>s</w:t>
      </w:r>
      <w:r w:rsidR="0003603F" w:rsidRPr="00BB4117">
        <w:t xml:space="preserve"> mainly from battery internal </w:t>
      </w:r>
      <w:r w:rsidR="00CC31BE" w:rsidRPr="00BB4117">
        <w:t>power</w:t>
      </w:r>
      <w:r w:rsidR="0003603F" w:rsidRPr="00BB4117">
        <w:t xml:space="preserve"> losses</w:t>
      </w:r>
      <w:r w:rsidR="005F4696" w:rsidRPr="00BB4117">
        <w:t>, which</w:t>
      </w:r>
      <w:r w:rsidR="00EB1B8C" w:rsidRPr="00BB4117">
        <w:t xml:space="preserve"> </w:t>
      </w:r>
      <w:r w:rsidR="004C4E5C" w:rsidRPr="00BB4117">
        <w:t>are defined by</w:t>
      </w:r>
      <w:r w:rsidR="00EB1B8C" w:rsidRPr="00BB4117">
        <w:t xml:space="preserve"> the internal efficiency of the battery</w:t>
      </w:r>
      <w:r w:rsidR="004C4E5C" w:rsidRPr="00BB4117">
        <w:t>.</w:t>
      </w:r>
      <w:r w:rsidR="00D14633" w:rsidRPr="00BB4117">
        <w:t xml:space="preserve"> A lot of the power passing through the battery is lost as heat: 34% and 20% respectively in the achievement and long-term goal scenarios. </w:t>
      </w:r>
      <w:r w:rsidR="0084425F" w:rsidRPr="00BB4117">
        <w:t>T</w:t>
      </w:r>
      <w:r w:rsidR="0003603F" w:rsidRPr="00BB4117">
        <w:t xml:space="preserve">he extra </w:t>
      </w:r>
      <w:r w:rsidR="00CC31BE" w:rsidRPr="00BB4117">
        <w:t>power</w:t>
      </w:r>
      <w:r w:rsidR="0003603F" w:rsidRPr="00BB4117">
        <w:t xml:space="preserve"> needed to carry the weight of the battery</w:t>
      </w:r>
      <w:r w:rsidR="0084425F" w:rsidRPr="00BB4117">
        <w:t xml:space="preserve"> </w:t>
      </w:r>
      <w:r w:rsidR="004C4E5C" w:rsidRPr="00BB4117">
        <w:t xml:space="preserve">provides </w:t>
      </w:r>
      <w:r w:rsidR="0084425F" w:rsidRPr="00BB4117">
        <w:t>a smaller but significant contribution, especially at lower energy density levels when more cells are needed</w:t>
      </w:r>
      <w:r w:rsidR="0003603F" w:rsidRPr="00BB4117">
        <w:t xml:space="preserve">. The included transport of the battery from the car manufacturer to the user does not </w:t>
      </w:r>
      <w:r w:rsidR="00DE0959" w:rsidRPr="00BB4117">
        <w:t>contribute</w:t>
      </w:r>
      <w:r w:rsidR="0003603F" w:rsidRPr="00BB4117">
        <w:t xml:space="preserve"> significant</w:t>
      </w:r>
      <w:r w:rsidR="00DE0959" w:rsidRPr="00BB4117">
        <w:t>ly</w:t>
      </w:r>
      <w:r w:rsidR="0003603F" w:rsidRPr="00BB4117">
        <w:t xml:space="preserve"> to the use phase climate impact</w:t>
      </w:r>
      <w:r w:rsidR="00D002B2" w:rsidRPr="00BB4117">
        <w:t xml:space="preserve">, see </w:t>
      </w:r>
      <w:r w:rsidR="00524197" w:rsidRPr="00BB4117">
        <w:fldChar w:fldCharType="begin"/>
      </w:r>
      <w:r w:rsidR="009D3340" w:rsidRPr="00BB4117">
        <w:instrText xml:space="preserve"> REF _Ref423695541 \h </w:instrText>
      </w:r>
      <w:r w:rsidR="00524197" w:rsidRPr="00BB4117">
        <w:fldChar w:fldCharType="separate"/>
      </w:r>
      <w:r w:rsidR="00094C5D" w:rsidRPr="00BB4117">
        <w:t xml:space="preserve">Figure </w:t>
      </w:r>
      <w:r w:rsidR="00094C5D">
        <w:rPr>
          <w:noProof/>
        </w:rPr>
        <w:t>5</w:t>
      </w:r>
      <w:r w:rsidR="00524197" w:rsidRPr="00BB4117">
        <w:fldChar w:fldCharType="end"/>
      </w:r>
      <w:r w:rsidR="0003603F" w:rsidRPr="00BB4117">
        <w:t xml:space="preserve">. </w:t>
      </w:r>
    </w:p>
    <w:p w:rsidR="00E0329F" w:rsidRPr="00BB4117" w:rsidRDefault="00E0329F" w:rsidP="0003603F"/>
    <w:p w:rsidR="00D002B2" w:rsidRPr="00BB4117" w:rsidRDefault="00D002B2" w:rsidP="00D002B2">
      <w:pPr>
        <w:keepNext/>
      </w:pPr>
    </w:p>
    <w:p w:rsidR="00C05274" w:rsidRPr="00BB4117" w:rsidRDefault="00C05274" w:rsidP="00D002B2">
      <w:pPr>
        <w:keepNext/>
      </w:pPr>
      <w:r w:rsidRPr="00BB4117">
        <w:rPr>
          <w:noProof/>
          <w:lang w:val="sv-SE"/>
        </w:rPr>
        <w:drawing>
          <wp:inline distT="0" distB="0" distL="0" distR="0">
            <wp:extent cx="5039995" cy="3675509"/>
            <wp:effectExtent l="19050" t="0" r="8255" b="0"/>
            <wp:docPr id="14" name="Bild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cstate="print"/>
                    <a:srcRect/>
                    <a:stretch>
                      <a:fillRect/>
                    </a:stretch>
                  </pic:blipFill>
                  <pic:spPr bwMode="auto">
                    <a:xfrm>
                      <a:off x="0" y="0"/>
                      <a:ext cx="5039995" cy="3675509"/>
                    </a:xfrm>
                    <a:prstGeom prst="rect">
                      <a:avLst/>
                    </a:prstGeom>
                    <a:noFill/>
                    <a:ln w="9525">
                      <a:noFill/>
                      <a:miter lim="800000"/>
                      <a:headEnd/>
                      <a:tailEnd/>
                    </a:ln>
                  </pic:spPr>
                </pic:pic>
              </a:graphicData>
            </a:graphic>
          </wp:inline>
        </w:drawing>
      </w:r>
    </w:p>
    <w:p w:rsidR="00B86333" w:rsidRPr="00BB4117" w:rsidRDefault="00D002B2" w:rsidP="00B75EC2">
      <w:pPr>
        <w:pStyle w:val="Beskrivning"/>
      </w:pPr>
      <w:bookmarkStart w:id="55" w:name="_Ref423695541"/>
      <w:bookmarkStart w:id="56" w:name="_Toc428360862"/>
      <w:r w:rsidRPr="00BB4117">
        <w:t xml:space="preserve">Figure </w:t>
      </w:r>
      <w:r w:rsidR="00524197" w:rsidRPr="00BB4117">
        <w:fldChar w:fldCharType="begin"/>
      </w:r>
      <w:r w:rsidR="004C6C5C" w:rsidRPr="00BB4117">
        <w:instrText xml:space="preserve"> SEQ Figure \* ARABIC </w:instrText>
      </w:r>
      <w:r w:rsidR="00524197" w:rsidRPr="00BB4117">
        <w:fldChar w:fldCharType="separate"/>
      </w:r>
      <w:r w:rsidR="00094C5D">
        <w:rPr>
          <w:noProof/>
        </w:rPr>
        <w:t>5</w:t>
      </w:r>
      <w:r w:rsidR="00524197" w:rsidRPr="00BB4117">
        <w:rPr>
          <w:noProof/>
        </w:rPr>
        <w:fldChar w:fldCharType="end"/>
      </w:r>
      <w:bookmarkEnd w:id="55"/>
      <w:proofErr w:type="gramStart"/>
      <w:r w:rsidRPr="00BB4117">
        <w:tab/>
        <w:t xml:space="preserve">Relative </w:t>
      </w:r>
      <w:r w:rsidR="007F2A7D" w:rsidRPr="00BB4117">
        <w:t>climate impact</w:t>
      </w:r>
      <w:proofErr w:type="gramEnd"/>
      <w:r w:rsidRPr="00BB4117">
        <w:t xml:space="preserve"> </w:t>
      </w:r>
      <w:r w:rsidR="0072672C" w:rsidRPr="00BB4117">
        <w:t xml:space="preserve">per km </w:t>
      </w:r>
      <w:r w:rsidRPr="00BB4117">
        <w:t xml:space="preserve">at the </w:t>
      </w:r>
      <w:r w:rsidR="00C05274" w:rsidRPr="00BB4117">
        <w:t>long-term goal level</w:t>
      </w:r>
      <w:bookmarkEnd w:id="56"/>
    </w:p>
    <w:p w:rsidR="0003603F" w:rsidRPr="00BB4117" w:rsidRDefault="00561A42" w:rsidP="00480641">
      <w:pPr>
        <w:pStyle w:val="Rubrik3"/>
      </w:pPr>
      <w:bookmarkStart w:id="57" w:name="_Toc428370323"/>
      <w:r w:rsidRPr="00BB4117">
        <w:t xml:space="preserve">4.1.3 </w:t>
      </w:r>
      <w:r w:rsidR="00EB1B8C" w:rsidRPr="00BB4117">
        <w:t xml:space="preserve">Recycling related </w:t>
      </w:r>
      <w:r w:rsidR="007F2A7D" w:rsidRPr="00BB4117">
        <w:t>climate impact</w:t>
      </w:r>
      <w:bookmarkEnd w:id="57"/>
    </w:p>
    <w:p w:rsidR="00EB1B8C" w:rsidRPr="00BB4117" w:rsidRDefault="00EB1B8C" w:rsidP="00EB1B8C">
      <w:pPr>
        <w:pStyle w:val="Brdtext"/>
      </w:pPr>
      <w:r w:rsidRPr="00BB4117">
        <w:t xml:space="preserve">Recycling avoids about 10% of production related </w:t>
      </w:r>
      <w:r w:rsidR="007F2A7D" w:rsidRPr="00BB4117">
        <w:t>climate impact</w:t>
      </w:r>
      <w:r w:rsidRPr="00BB4117">
        <w:t xml:space="preserve"> in </w:t>
      </w:r>
      <w:r w:rsidR="009726AB" w:rsidRPr="00BB4117">
        <w:t>both scenarios</w:t>
      </w:r>
      <w:r w:rsidRPr="00BB4117">
        <w:t>. Almost all of the avoided climate impact stems from avoided virgin production of lithium foil.</w:t>
      </w:r>
      <w:r w:rsidR="00E1664F" w:rsidRPr="00BB4117">
        <w:t xml:space="preserve"> </w:t>
      </w:r>
      <w:r w:rsidR="00B37F8D" w:rsidRPr="00BB4117">
        <w:t xml:space="preserve">The </w:t>
      </w:r>
      <w:r w:rsidR="007F2A7D" w:rsidRPr="00BB4117">
        <w:t>climate impact</w:t>
      </w:r>
      <w:r w:rsidR="007146F6" w:rsidRPr="00BB4117">
        <w:t xml:space="preserve"> of the recycling processes w</w:t>
      </w:r>
      <w:r w:rsidR="008C1133" w:rsidRPr="00BB4117">
        <w:t>as</w:t>
      </w:r>
      <w:r w:rsidR="00B37F8D" w:rsidRPr="00BB4117">
        <w:t xml:space="preserve"> assumed to be equal to 50% of the avoided virgin production. The recycling transports give </w:t>
      </w:r>
      <w:r w:rsidR="006F4210" w:rsidRPr="00BB4117">
        <w:t>small but not insignif</w:t>
      </w:r>
      <w:r w:rsidR="00E47342" w:rsidRPr="00BB4117">
        <w:t>ic</w:t>
      </w:r>
      <w:r w:rsidR="006F4210" w:rsidRPr="00BB4117">
        <w:t>ant</w:t>
      </w:r>
      <w:r w:rsidR="00B37F8D" w:rsidRPr="00BB4117">
        <w:t xml:space="preserve"> contributions to climate impact.</w:t>
      </w:r>
      <w:r w:rsidR="00E1664F" w:rsidRPr="00BB4117">
        <w:t xml:space="preserve"> </w:t>
      </w:r>
    </w:p>
    <w:p w:rsidR="00E508A2" w:rsidRPr="00BB4117" w:rsidRDefault="00E508A2" w:rsidP="002049D0">
      <w:pPr>
        <w:pStyle w:val="Rubrik2"/>
        <w:numPr>
          <w:ilvl w:val="1"/>
          <w:numId w:val="46"/>
        </w:numPr>
        <w:rPr>
          <w:lang w:val="en-GB"/>
        </w:rPr>
      </w:pPr>
      <w:bookmarkStart w:id="58" w:name="_Toc428370324"/>
      <w:r w:rsidRPr="00BB4117">
        <w:rPr>
          <w:lang w:val="en-GB"/>
        </w:rPr>
        <w:t>Abiotic depletion</w:t>
      </w:r>
      <w:bookmarkEnd w:id="58"/>
    </w:p>
    <w:p w:rsidR="00E508A2" w:rsidRPr="00BB4117" w:rsidRDefault="009E1C1A" w:rsidP="00E508A2">
      <w:pPr>
        <w:pStyle w:val="Brdtext"/>
      </w:pPr>
      <w:r w:rsidRPr="00BB4117">
        <w:t>At</w:t>
      </w:r>
      <w:r w:rsidR="00E508A2" w:rsidRPr="00BB4117">
        <w:t xml:space="preserve"> the present level of </w:t>
      </w:r>
      <w:r w:rsidR="00FE39E0" w:rsidRPr="00BB4117">
        <w:t>lithium-air</w:t>
      </w:r>
      <w:r w:rsidR="00E508A2" w:rsidRPr="00BB4117">
        <w:t xml:space="preserve"> cell performance, the </w:t>
      </w:r>
      <w:r w:rsidR="00EB0A05" w:rsidRPr="00BB4117">
        <w:t>lithium-air</w:t>
      </w:r>
      <w:r w:rsidR="00E508A2" w:rsidRPr="00BB4117">
        <w:t xml:space="preserve"> cell has a relatively la</w:t>
      </w:r>
      <w:r w:rsidR="007C0747" w:rsidRPr="00BB4117">
        <w:t>rge abiotic depletion potential</w:t>
      </w:r>
      <w:r w:rsidR="00923F96" w:rsidRPr="00BB4117">
        <w:t>, see Figure 6</w:t>
      </w:r>
      <w:r w:rsidR="00E508A2" w:rsidRPr="00BB4117">
        <w:t xml:space="preserve">. </w:t>
      </w:r>
      <w:r w:rsidR="0075326E" w:rsidRPr="00BB4117">
        <w:t xml:space="preserve">As performance of the cell develops abiotic depletion from Production and End-of-life decreases since </w:t>
      </w:r>
      <w:r w:rsidR="00A104A7" w:rsidRPr="00BB4117">
        <w:t>fewer</w:t>
      </w:r>
      <w:r w:rsidR="0075326E" w:rsidRPr="00BB4117">
        <w:t xml:space="preserve"> cells are needed.</w:t>
      </w:r>
      <w:r w:rsidR="00E508A2" w:rsidRPr="00BB4117">
        <w:t xml:space="preserve"> </w:t>
      </w:r>
      <w:r w:rsidR="0075326E" w:rsidRPr="00BB4117">
        <w:t>Use phase abiotic depletion driven by electricity use then becomes dominant.</w:t>
      </w:r>
      <w:r w:rsidR="007C0747" w:rsidRPr="00BB4117">
        <w:t xml:space="preserve"> Recycling avoids about 30% of production related abiotic depletion</w:t>
      </w:r>
      <w:r w:rsidR="000D6898" w:rsidRPr="00BB4117">
        <w:t xml:space="preserve"> in </w:t>
      </w:r>
      <w:r w:rsidR="008C1133" w:rsidRPr="00BB4117">
        <w:t>both</w:t>
      </w:r>
      <w:r w:rsidR="000D6898" w:rsidRPr="00BB4117">
        <w:t xml:space="preserve"> scenarios</w:t>
      </w:r>
      <w:r w:rsidR="007C0747" w:rsidRPr="00BB4117">
        <w:t>.</w:t>
      </w:r>
    </w:p>
    <w:p w:rsidR="00CC7CEF" w:rsidRPr="00BB4117" w:rsidRDefault="00357B6F" w:rsidP="0002371C">
      <w:pPr>
        <w:pStyle w:val="Brdtext"/>
        <w:keepNext/>
      </w:pPr>
      <w:r w:rsidRPr="00BB4117">
        <w:rPr>
          <w:noProof/>
          <w:lang w:val="sv-SE"/>
        </w:rPr>
        <w:lastRenderedPageBreak/>
        <w:drawing>
          <wp:inline distT="0" distB="0" distL="0" distR="0">
            <wp:extent cx="4572000" cy="2743200"/>
            <wp:effectExtent l="19050" t="0" r="19050" b="0"/>
            <wp:docPr id="7" name="Diagram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E508A2" w:rsidRPr="00BB4117" w:rsidRDefault="0002371C" w:rsidP="0002371C">
      <w:pPr>
        <w:pStyle w:val="Beskrivning"/>
      </w:pPr>
      <w:bookmarkStart w:id="59" w:name="_Toc428360863"/>
      <w:r w:rsidRPr="00BB4117">
        <w:t xml:space="preserve">Figure </w:t>
      </w:r>
      <w:r w:rsidR="00524197" w:rsidRPr="00BB4117">
        <w:fldChar w:fldCharType="begin"/>
      </w:r>
      <w:r w:rsidRPr="00BB4117">
        <w:instrText xml:space="preserve"> SEQ Figure \* ARABIC </w:instrText>
      </w:r>
      <w:r w:rsidR="00524197" w:rsidRPr="00BB4117">
        <w:fldChar w:fldCharType="separate"/>
      </w:r>
      <w:r w:rsidR="00094C5D">
        <w:rPr>
          <w:noProof/>
        </w:rPr>
        <w:t>6</w:t>
      </w:r>
      <w:r w:rsidR="00524197" w:rsidRPr="00BB4117">
        <w:fldChar w:fldCharType="end"/>
      </w:r>
      <w:proofErr w:type="gramStart"/>
      <w:r w:rsidR="00F269FD" w:rsidRPr="00BB4117">
        <w:tab/>
      </w:r>
      <w:proofErr w:type="spellStart"/>
      <w:r w:rsidR="00F269FD" w:rsidRPr="00BB4117">
        <w:t>Abiotic</w:t>
      </w:r>
      <w:proofErr w:type="spellEnd"/>
      <w:r w:rsidR="00F269FD" w:rsidRPr="00BB4117">
        <w:t xml:space="preserve"> depletion</w:t>
      </w:r>
      <w:r w:rsidRPr="00BB4117">
        <w:t>,</w:t>
      </w:r>
      <w:proofErr w:type="gramEnd"/>
      <w:r w:rsidRPr="00BB4117">
        <w:t xml:space="preserve"> kg </w:t>
      </w:r>
      <w:proofErr w:type="spellStart"/>
      <w:r w:rsidRPr="00BB4117">
        <w:t>Sb-eq</w:t>
      </w:r>
      <w:proofErr w:type="spellEnd"/>
      <w:r w:rsidRPr="00BB4117">
        <w:t xml:space="preserve"> per vehicle km for the </w:t>
      </w:r>
      <w:r w:rsidR="008C1133" w:rsidRPr="00BB4117">
        <w:t>two</w:t>
      </w:r>
      <w:r w:rsidRPr="00BB4117">
        <w:t xml:space="preserve"> scenarios</w:t>
      </w:r>
      <w:bookmarkEnd w:id="59"/>
    </w:p>
    <w:p w:rsidR="00E508A2" w:rsidRPr="00BB4117" w:rsidRDefault="00E508A2" w:rsidP="00E508A2">
      <w:pPr>
        <w:pStyle w:val="Brdtext"/>
      </w:pPr>
      <w:r w:rsidRPr="00BB4117">
        <w:t xml:space="preserve">Detailed data </w:t>
      </w:r>
      <w:r w:rsidR="00A82870" w:rsidRPr="00BB4117">
        <w:t xml:space="preserve">about abiotic depletion per vehicle kilometre and per delivered kWh </w:t>
      </w:r>
      <w:r w:rsidRPr="00BB4117">
        <w:t xml:space="preserve">is given in </w:t>
      </w:r>
      <w:r w:rsidR="00524197" w:rsidRPr="00BB4117">
        <w:fldChar w:fldCharType="begin"/>
      </w:r>
      <w:r w:rsidR="009F441B" w:rsidRPr="00BB4117">
        <w:instrText xml:space="preserve"> REF _Ref423684382 \h </w:instrText>
      </w:r>
      <w:r w:rsidR="00524197" w:rsidRPr="00BB4117">
        <w:fldChar w:fldCharType="separate"/>
      </w:r>
      <w:r w:rsidR="00094C5D" w:rsidRPr="00BB4117">
        <w:t xml:space="preserve">Table </w:t>
      </w:r>
      <w:r w:rsidR="00094C5D">
        <w:rPr>
          <w:noProof/>
        </w:rPr>
        <w:t>5</w:t>
      </w:r>
      <w:r w:rsidR="00524197" w:rsidRPr="00BB4117">
        <w:fldChar w:fldCharType="end"/>
      </w:r>
      <w:r w:rsidRPr="00BB4117">
        <w:t>.</w:t>
      </w:r>
    </w:p>
    <w:p w:rsidR="0002371C" w:rsidRPr="00BB4117" w:rsidRDefault="0002371C" w:rsidP="0002371C">
      <w:pPr>
        <w:pStyle w:val="Beskrivning"/>
      </w:pPr>
      <w:bookmarkStart w:id="60" w:name="_Ref423684382"/>
      <w:bookmarkStart w:id="61" w:name="_Toc428370276"/>
      <w:r w:rsidRPr="00BB4117">
        <w:t xml:space="preserve">Table </w:t>
      </w:r>
      <w:r w:rsidR="00524197" w:rsidRPr="00BB4117">
        <w:fldChar w:fldCharType="begin"/>
      </w:r>
      <w:r w:rsidR="004C6C5C" w:rsidRPr="00BB4117">
        <w:instrText xml:space="preserve"> SEQ Table \* ARABIC </w:instrText>
      </w:r>
      <w:r w:rsidR="00524197" w:rsidRPr="00BB4117">
        <w:fldChar w:fldCharType="separate"/>
      </w:r>
      <w:r w:rsidR="00094C5D">
        <w:rPr>
          <w:noProof/>
        </w:rPr>
        <w:t>5</w:t>
      </w:r>
      <w:r w:rsidR="00524197" w:rsidRPr="00BB4117">
        <w:rPr>
          <w:noProof/>
        </w:rPr>
        <w:fldChar w:fldCharType="end"/>
      </w:r>
      <w:bookmarkEnd w:id="60"/>
      <w:r w:rsidR="00F269FD" w:rsidRPr="00BB4117">
        <w:tab/>
      </w:r>
      <w:proofErr w:type="spellStart"/>
      <w:r w:rsidR="00F269FD" w:rsidRPr="00BB4117">
        <w:t>Abiotic</w:t>
      </w:r>
      <w:proofErr w:type="spellEnd"/>
      <w:r w:rsidR="00F269FD" w:rsidRPr="00BB4117">
        <w:t xml:space="preserve"> depletion</w:t>
      </w:r>
      <w:r w:rsidRPr="00BB4117">
        <w:t xml:space="preserve">, kg </w:t>
      </w:r>
      <w:proofErr w:type="spellStart"/>
      <w:r w:rsidRPr="00BB4117">
        <w:t>Sb-eq</w:t>
      </w:r>
      <w:proofErr w:type="spellEnd"/>
      <w:r w:rsidRPr="00BB4117">
        <w:t xml:space="preserve"> per vehicle km </w:t>
      </w:r>
      <w:r w:rsidR="00A82870" w:rsidRPr="00BB4117">
        <w:t xml:space="preserve">and per delivered kWh </w:t>
      </w:r>
      <w:r w:rsidRPr="00BB4117">
        <w:t xml:space="preserve">for the </w:t>
      </w:r>
      <w:r w:rsidR="00C15FC1" w:rsidRPr="00BB4117">
        <w:t>two</w:t>
      </w:r>
      <w:r w:rsidRPr="00BB4117">
        <w:t xml:space="preserve"> scenarios</w:t>
      </w:r>
      <w:bookmarkEnd w:id="61"/>
    </w:p>
    <w:tbl>
      <w:tblPr>
        <w:tblW w:w="0" w:type="auto"/>
        <w:tblInd w:w="40" w:type="dxa"/>
        <w:tblCellMar>
          <w:left w:w="70" w:type="dxa"/>
          <w:right w:w="70" w:type="dxa"/>
        </w:tblCellMar>
        <w:tblLook w:val="0000"/>
      </w:tblPr>
      <w:tblGrid>
        <w:gridCol w:w="1939"/>
        <w:gridCol w:w="1449"/>
        <w:gridCol w:w="1606"/>
        <w:gridCol w:w="1437"/>
        <w:gridCol w:w="1606"/>
      </w:tblGrid>
      <w:tr w:rsidR="00FF5B60" w:rsidRPr="00BB4117" w:rsidTr="00E36ADB">
        <w:trPr>
          <w:trHeight w:val="290"/>
          <w:tblHeader/>
        </w:trPr>
        <w:tc>
          <w:tcPr>
            <w:tcW w:w="0" w:type="auto"/>
            <w:tcBorders>
              <w:top w:val="single" w:sz="6" w:space="0" w:color="auto"/>
              <w:left w:val="single" w:sz="6" w:space="0" w:color="auto"/>
              <w:bottom w:val="single" w:sz="6" w:space="0" w:color="auto"/>
              <w:right w:val="single" w:sz="6" w:space="0" w:color="auto"/>
            </w:tcBorders>
            <w:shd w:val="solid" w:color="FF99CC" w:fill="auto"/>
          </w:tcPr>
          <w:p w:rsidR="00FF5B60" w:rsidRPr="00BB4117" w:rsidRDefault="00FF5B60" w:rsidP="00CC7CEF">
            <w:pPr>
              <w:overflowPunct/>
              <w:spacing w:before="0" w:after="0"/>
              <w:textAlignment w:val="auto"/>
              <w:rPr>
                <w:rFonts w:ascii="Arial" w:hAnsi="Arial" w:cs="Arial"/>
                <w:b/>
                <w:bCs/>
                <w:color w:val="000000"/>
                <w:sz w:val="20"/>
              </w:rPr>
            </w:pPr>
            <w:r w:rsidRPr="00BB4117">
              <w:rPr>
                <w:rFonts w:ascii="Arial" w:hAnsi="Arial" w:cs="Arial"/>
                <w:b/>
                <w:bCs/>
                <w:color w:val="000000"/>
                <w:sz w:val="20"/>
              </w:rPr>
              <w:t>Scenario</w:t>
            </w:r>
          </w:p>
        </w:tc>
        <w:tc>
          <w:tcPr>
            <w:tcW w:w="0" w:type="auto"/>
            <w:gridSpan w:val="2"/>
            <w:tcBorders>
              <w:top w:val="single" w:sz="6" w:space="0" w:color="auto"/>
              <w:left w:val="single" w:sz="6" w:space="0" w:color="auto"/>
              <w:bottom w:val="single" w:sz="6" w:space="0" w:color="auto"/>
              <w:right w:val="single" w:sz="6" w:space="0" w:color="auto"/>
            </w:tcBorders>
            <w:shd w:val="solid" w:color="FF99CC" w:fill="auto"/>
          </w:tcPr>
          <w:p w:rsidR="00FF5B60" w:rsidRPr="00BB4117" w:rsidRDefault="00FF5B60" w:rsidP="00CC7CEF">
            <w:pPr>
              <w:overflowPunct/>
              <w:spacing w:before="0" w:after="0"/>
              <w:jc w:val="center"/>
              <w:textAlignment w:val="auto"/>
              <w:rPr>
                <w:rFonts w:ascii="Arial" w:hAnsi="Arial" w:cs="Arial"/>
                <w:b/>
                <w:bCs/>
                <w:color w:val="000000"/>
                <w:sz w:val="20"/>
              </w:rPr>
            </w:pPr>
            <w:r w:rsidRPr="00BB4117">
              <w:rPr>
                <w:rFonts w:ascii="Arial" w:hAnsi="Arial" w:cs="Arial"/>
                <w:b/>
                <w:bCs/>
                <w:color w:val="000000"/>
                <w:sz w:val="20"/>
              </w:rPr>
              <w:t>Achievement</w:t>
            </w:r>
          </w:p>
        </w:tc>
        <w:tc>
          <w:tcPr>
            <w:tcW w:w="0" w:type="auto"/>
            <w:gridSpan w:val="2"/>
            <w:tcBorders>
              <w:top w:val="single" w:sz="6" w:space="0" w:color="auto"/>
              <w:left w:val="single" w:sz="6" w:space="0" w:color="auto"/>
              <w:bottom w:val="single" w:sz="6" w:space="0" w:color="auto"/>
              <w:right w:val="single" w:sz="6" w:space="0" w:color="auto"/>
            </w:tcBorders>
            <w:shd w:val="solid" w:color="FF99CC" w:fill="auto"/>
          </w:tcPr>
          <w:p w:rsidR="00FF5B60" w:rsidRPr="00BB4117" w:rsidRDefault="00FF5B60" w:rsidP="00CC7CEF">
            <w:pPr>
              <w:overflowPunct/>
              <w:spacing w:before="0" w:after="0"/>
              <w:jc w:val="center"/>
              <w:textAlignment w:val="auto"/>
              <w:rPr>
                <w:rFonts w:ascii="Arial" w:hAnsi="Arial" w:cs="Arial"/>
                <w:b/>
                <w:bCs/>
                <w:color w:val="000000"/>
                <w:sz w:val="20"/>
              </w:rPr>
            </w:pPr>
            <w:r w:rsidRPr="00BB4117">
              <w:rPr>
                <w:rFonts w:ascii="Arial" w:hAnsi="Arial" w:cs="Arial"/>
                <w:b/>
                <w:bCs/>
                <w:color w:val="000000"/>
                <w:sz w:val="20"/>
              </w:rPr>
              <w:t>Long-term goal</w:t>
            </w:r>
          </w:p>
        </w:tc>
      </w:tr>
      <w:tr w:rsidR="00FF5B60" w:rsidRPr="00BB4117" w:rsidTr="00E36ADB">
        <w:trPr>
          <w:trHeight w:val="290"/>
        </w:trPr>
        <w:tc>
          <w:tcPr>
            <w:tcW w:w="0" w:type="auto"/>
            <w:tcBorders>
              <w:top w:val="single" w:sz="6" w:space="0" w:color="auto"/>
              <w:left w:val="single" w:sz="6" w:space="0" w:color="auto"/>
              <w:bottom w:val="single" w:sz="6" w:space="0" w:color="auto"/>
              <w:right w:val="single" w:sz="6" w:space="0" w:color="auto"/>
            </w:tcBorders>
          </w:tcPr>
          <w:p w:rsidR="00FF5B60" w:rsidRPr="00BB4117" w:rsidRDefault="00FF5B60" w:rsidP="00CC7CEF">
            <w:pPr>
              <w:overflowPunct/>
              <w:spacing w:before="0" w:after="0"/>
              <w:textAlignment w:val="auto"/>
              <w:rPr>
                <w:rFonts w:ascii="Arial" w:hAnsi="Arial" w:cs="Arial"/>
                <w:b/>
                <w:bCs/>
                <w:i/>
                <w:iCs/>
                <w:color w:val="000000"/>
                <w:sz w:val="20"/>
              </w:rPr>
            </w:pPr>
            <w:r w:rsidRPr="00BB4117">
              <w:rPr>
                <w:rFonts w:ascii="Arial" w:hAnsi="Arial" w:cs="Arial"/>
                <w:b/>
                <w:bCs/>
                <w:i/>
                <w:iCs/>
                <w:color w:val="000000"/>
                <w:sz w:val="20"/>
              </w:rPr>
              <w:t>Life cycle stage</w:t>
            </w:r>
          </w:p>
        </w:tc>
        <w:tc>
          <w:tcPr>
            <w:tcW w:w="0" w:type="auto"/>
            <w:tcBorders>
              <w:top w:val="single" w:sz="6" w:space="0" w:color="auto"/>
              <w:left w:val="single" w:sz="6" w:space="0" w:color="auto"/>
              <w:bottom w:val="single" w:sz="6" w:space="0" w:color="auto"/>
              <w:right w:val="single" w:sz="6" w:space="0" w:color="auto"/>
            </w:tcBorders>
          </w:tcPr>
          <w:p w:rsidR="00FF5B60" w:rsidRPr="00BB4117" w:rsidRDefault="00FF5B60" w:rsidP="00CC7CEF">
            <w:pPr>
              <w:overflowPunct/>
              <w:spacing w:before="0" w:after="0"/>
              <w:jc w:val="center"/>
              <w:textAlignment w:val="auto"/>
              <w:rPr>
                <w:rFonts w:ascii="Arial" w:hAnsi="Arial" w:cs="Arial"/>
                <w:color w:val="000000"/>
                <w:sz w:val="20"/>
              </w:rPr>
            </w:pPr>
            <w:r w:rsidRPr="00BB4117">
              <w:rPr>
                <w:rFonts w:ascii="Arial" w:hAnsi="Arial" w:cs="Arial"/>
                <w:color w:val="000000"/>
                <w:sz w:val="20"/>
              </w:rPr>
              <w:t xml:space="preserve">kg </w:t>
            </w:r>
            <w:proofErr w:type="spellStart"/>
            <w:r w:rsidRPr="00BB4117">
              <w:rPr>
                <w:rFonts w:ascii="Arial" w:hAnsi="Arial" w:cs="Arial"/>
                <w:color w:val="000000"/>
                <w:sz w:val="20"/>
              </w:rPr>
              <w:t>Sb-eq</w:t>
            </w:r>
            <w:proofErr w:type="spellEnd"/>
            <w:r w:rsidRPr="00BB4117">
              <w:rPr>
                <w:rFonts w:ascii="Arial" w:hAnsi="Arial" w:cs="Arial"/>
                <w:color w:val="000000"/>
                <w:sz w:val="20"/>
              </w:rPr>
              <w:t>/km</w:t>
            </w:r>
          </w:p>
        </w:tc>
        <w:tc>
          <w:tcPr>
            <w:tcW w:w="0" w:type="auto"/>
            <w:tcBorders>
              <w:top w:val="single" w:sz="6" w:space="0" w:color="auto"/>
              <w:left w:val="single" w:sz="6" w:space="0" w:color="auto"/>
              <w:bottom w:val="single" w:sz="6" w:space="0" w:color="auto"/>
              <w:right w:val="single" w:sz="6" w:space="0" w:color="auto"/>
            </w:tcBorders>
          </w:tcPr>
          <w:p w:rsidR="00FF5B60" w:rsidRPr="00BB4117" w:rsidRDefault="00FF5B60" w:rsidP="00A82870">
            <w:pPr>
              <w:overflowPunct/>
              <w:spacing w:before="0" w:after="0"/>
              <w:jc w:val="center"/>
              <w:textAlignment w:val="auto"/>
              <w:rPr>
                <w:rFonts w:ascii="Arial" w:hAnsi="Arial" w:cs="Arial"/>
                <w:color w:val="000000"/>
                <w:sz w:val="20"/>
              </w:rPr>
            </w:pPr>
            <w:r w:rsidRPr="00BB4117">
              <w:rPr>
                <w:rFonts w:ascii="Arial" w:hAnsi="Arial" w:cs="Arial"/>
                <w:color w:val="000000"/>
                <w:sz w:val="20"/>
              </w:rPr>
              <w:t xml:space="preserve">kg </w:t>
            </w:r>
            <w:proofErr w:type="spellStart"/>
            <w:r w:rsidRPr="00BB4117">
              <w:rPr>
                <w:rFonts w:ascii="Arial" w:hAnsi="Arial" w:cs="Arial"/>
                <w:color w:val="000000"/>
                <w:sz w:val="20"/>
              </w:rPr>
              <w:t>Sb-eq</w:t>
            </w:r>
            <w:proofErr w:type="spellEnd"/>
            <w:r w:rsidRPr="00BB4117">
              <w:rPr>
                <w:rFonts w:ascii="Arial" w:hAnsi="Arial" w:cs="Arial"/>
                <w:color w:val="000000"/>
                <w:sz w:val="20"/>
              </w:rPr>
              <w:t>/kWh</w:t>
            </w:r>
          </w:p>
        </w:tc>
        <w:tc>
          <w:tcPr>
            <w:tcW w:w="0" w:type="auto"/>
            <w:tcBorders>
              <w:top w:val="single" w:sz="6" w:space="0" w:color="auto"/>
              <w:left w:val="single" w:sz="6" w:space="0" w:color="auto"/>
              <w:bottom w:val="single" w:sz="6" w:space="0" w:color="auto"/>
              <w:right w:val="single" w:sz="6" w:space="0" w:color="auto"/>
            </w:tcBorders>
          </w:tcPr>
          <w:p w:rsidR="00FF5B60" w:rsidRPr="00BB4117" w:rsidRDefault="00FF5B60" w:rsidP="00F9182D">
            <w:pPr>
              <w:overflowPunct/>
              <w:spacing w:before="0" w:after="0"/>
              <w:jc w:val="center"/>
              <w:textAlignment w:val="auto"/>
              <w:rPr>
                <w:rFonts w:ascii="Arial" w:hAnsi="Arial" w:cs="Arial"/>
                <w:color w:val="000000"/>
                <w:sz w:val="20"/>
              </w:rPr>
            </w:pPr>
            <w:r w:rsidRPr="00BB4117">
              <w:rPr>
                <w:rFonts w:ascii="Arial" w:hAnsi="Arial" w:cs="Arial"/>
                <w:color w:val="000000"/>
                <w:sz w:val="20"/>
              </w:rPr>
              <w:t xml:space="preserve">kg </w:t>
            </w:r>
            <w:proofErr w:type="spellStart"/>
            <w:r w:rsidRPr="00BB4117">
              <w:rPr>
                <w:rFonts w:ascii="Arial" w:hAnsi="Arial" w:cs="Arial"/>
                <w:color w:val="000000"/>
                <w:sz w:val="20"/>
              </w:rPr>
              <w:t>Sb-eq</w:t>
            </w:r>
            <w:proofErr w:type="spellEnd"/>
            <w:r w:rsidRPr="00BB4117">
              <w:rPr>
                <w:rFonts w:ascii="Arial" w:hAnsi="Arial" w:cs="Arial"/>
                <w:color w:val="000000"/>
                <w:sz w:val="20"/>
              </w:rPr>
              <w:t>/km</w:t>
            </w:r>
          </w:p>
        </w:tc>
        <w:tc>
          <w:tcPr>
            <w:tcW w:w="0" w:type="auto"/>
            <w:tcBorders>
              <w:top w:val="single" w:sz="6" w:space="0" w:color="auto"/>
              <w:left w:val="single" w:sz="6" w:space="0" w:color="auto"/>
              <w:bottom w:val="single" w:sz="6" w:space="0" w:color="auto"/>
              <w:right w:val="single" w:sz="6" w:space="0" w:color="auto"/>
            </w:tcBorders>
          </w:tcPr>
          <w:p w:rsidR="00FF5B60" w:rsidRPr="00BB4117" w:rsidRDefault="00FF5B60" w:rsidP="00F9182D">
            <w:pPr>
              <w:overflowPunct/>
              <w:spacing w:before="0" w:after="0"/>
              <w:jc w:val="center"/>
              <w:textAlignment w:val="auto"/>
              <w:rPr>
                <w:rFonts w:ascii="Arial" w:hAnsi="Arial" w:cs="Arial"/>
                <w:color w:val="000000"/>
                <w:sz w:val="20"/>
              </w:rPr>
            </w:pPr>
            <w:r w:rsidRPr="00BB4117">
              <w:rPr>
                <w:rFonts w:ascii="Arial" w:hAnsi="Arial" w:cs="Arial"/>
                <w:color w:val="000000"/>
                <w:sz w:val="20"/>
              </w:rPr>
              <w:t xml:space="preserve">kg </w:t>
            </w:r>
            <w:proofErr w:type="spellStart"/>
            <w:r w:rsidRPr="00BB4117">
              <w:rPr>
                <w:rFonts w:ascii="Arial" w:hAnsi="Arial" w:cs="Arial"/>
                <w:color w:val="000000"/>
                <w:sz w:val="20"/>
              </w:rPr>
              <w:t>Sb-eq</w:t>
            </w:r>
            <w:proofErr w:type="spellEnd"/>
            <w:r w:rsidRPr="00BB4117">
              <w:rPr>
                <w:rFonts w:ascii="Arial" w:hAnsi="Arial" w:cs="Arial"/>
                <w:color w:val="000000"/>
                <w:sz w:val="20"/>
              </w:rPr>
              <w:t>/kWh</w:t>
            </w:r>
          </w:p>
        </w:tc>
      </w:tr>
      <w:tr w:rsidR="00FF5B60" w:rsidRPr="00BB4117" w:rsidTr="00E36ADB">
        <w:trPr>
          <w:trHeight w:val="290"/>
        </w:trPr>
        <w:tc>
          <w:tcPr>
            <w:tcW w:w="0" w:type="auto"/>
            <w:tcBorders>
              <w:top w:val="single" w:sz="6" w:space="0" w:color="auto"/>
              <w:left w:val="single" w:sz="6" w:space="0" w:color="auto"/>
              <w:bottom w:val="single" w:sz="6" w:space="0" w:color="auto"/>
              <w:right w:val="single" w:sz="6" w:space="0" w:color="auto"/>
            </w:tcBorders>
          </w:tcPr>
          <w:p w:rsidR="00FF5B60" w:rsidRPr="00BB4117" w:rsidRDefault="00FF5B60" w:rsidP="00CC7CEF">
            <w:pPr>
              <w:overflowPunct/>
              <w:spacing w:before="0" w:after="0"/>
              <w:textAlignment w:val="auto"/>
              <w:rPr>
                <w:rFonts w:ascii="Arial" w:hAnsi="Arial" w:cs="Arial"/>
                <w:b/>
                <w:bCs/>
                <w:i/>
                <w:iCs/>
                <w:color w:val="000000"/>
                <w:sz w:val="20"/>
              </w:rPr>
            </w:pPr>
            <w:r w:rsidRPr="00BB4117">
              <w:rPr>
                <w:rFonts w:ascii="Arial" w:hAnsi="Arial" w:cs="Arial"/>
                <w:b/>
                <w:bCs/>
                <w:i/>
                <w:iCs/>
                <w:color w:val="000000"/>
                <w:sz w:val="20"/>
              </w:rPr>
              <w:t>Production</w:t>
            </w:r>
          </w:p>
        </w:tc>
        <w:tc>
          <w:tcPr>
            <w:tcW w:w="0" w:type="auto"/>
            <w:tcBorders>
              <w:top w:val="single" w:sz="6" w:space="0" w:color="auto"/>
              <w:left w:val="single" w:sz="6" w:space="0" w:color="auto"/>
              <w:bottom w:val="single" w:sz="6" w:space="0" w:color="auto"/>
              <w:right w:val="single" w:sz="6" w:space="0" w:color="auto"/>
            </w:tcBorders>
          </w:tcPr>
          <w:p w:rsidR="00FF5B60" w:rsidRPr="00BB4117" w:rsidRDefault="00FF5B60" w:rsidP="00CC7CEF">
            <w:pPr>
              <w:overflowPunct/>
              <w:spacing w:before="0" w:after="0"/>
              <w:jc w:val="center"/>
              <w:textAlignment w:val="auto"/>
              <w:rPr>
                <w:rFonts w:ascii="Arial" w:hAnsi="Arial" w:cs="Arial"/>
                <w:color w:val="000000"/>
                <w:sz w:val="20"/>
              </w:rPr>
            </w:pPr>
            <w:r w:rsidRPr="00BB4117">
              <w:rPr>
                <w:rFonts w:ascii="Arial" w:hAnsi="Arial" w:cs="Arial"/>
                <w:color w:val="000000"/>
                <w:sz w:val="20"/>
              </w:rPr>
              <w:t>2.10E-06</w:t>
            </w:r>
          </w:p>
        </w:tc>
        <w:tc>
          <w:tcPr>
            <w:tcW w:w="0" w:type="auto"/>
            <w:tcBorders>
              <w:top w:val="single" w:sz="6" w:space="0" w:color="auto"/>
              <w:left w:val="single" w:sz="6" w:space="0" w:color="auto"/>
              <w:bottom w:val="single" w:sz="6" w:space="0" w:color="auto"/>
              <w:right w:val="single" w:sz="6" w:space="0" w:color="auto"/>
            </w:tcBorders>
          </w:tcPr>
          <w:p w:rsidR="00FF5B60" w:rsidRPr="00BB4117" w:rsidRDefault="00FF5B60" w:rsidP="00F9182D">
            <w:pPr>
              <w:overflowPunct/>
              <w:spacing w:before="0" w:after="0"/>
              <w:jc w:val="center"/>
              <w:textAlignment w:val="auto"/>
              <w:rPr>
                <w:rFonts w:ascii="Arial" w:hAnsi="Arial" w:cs="Arial"/>
                <w:color w:val="000000"/>
                <w:sz w:val="20"/>
              </w:rPr>
            </w:pPr>
            <w:r w:rsidRPr="00BB4117">
              <w:rPr>
                <w:rFonts w:ascii="Arial" w:hAnsi="Arial" w:cs="Arial"/>
                <w:color w:val="000000"/>
                <w:sz w:val="20"/>
              </w:rPr>
              <w:t>9.3E-06</w:t>
            </w:r>
          </w:p>
        </w:tc>
        <w:tc>
          <w:tcPr>
            <w:tcW w:w="0" w:type="auto"/>
            <w:tcBorders>
              <w:top w:val="single" w:sz="6" w:space="0" w:color="auto"/>
              <w:left w:val="single" w:sz="6" w:space="0" w:color="auto"/>
              <w:bottom w:val="single" w:sz="6" w:space="0" w:color="auto"/>
              <w:right w:val="single" w:sz="6" w:space="0" w:color="auto"/>
            </w:tcBorders>
          </w:tcPr>
          <w:p w:rsidR="00FF5B60" w:rsidRPr="00BB4117" w:rsidRDefault="00FF5B60" w:rsidP="00CC7CEF">
            <w:pPr>
              <w:overflowPunct/>
              <w:spacing w:before="0" w:after="0"/>
              <w:jc w:val="center"/>
              <w:textAlignment w:val="auto"/>
              <w:rPr>
                <w:rFonts w:ascii="Arial" w:hAnsi="Arial" w:cs="Arial"/>
                <w:color w:val="000000"/>
                <w:sz w:val="20"/>
              </w:rPr>
            </w:pPr>
            <w:r w:rsidRPr="00BB4117">
              <w:rPr>
                <w:rFonts w:ascii="Arial" w:hAnsi="Arial" w:cs="Arial"/>
                <w:color w:val="000000"/>
                <w:sz w:val="20"/>
              </w:rPr>
              <w:t>2.7E-08</w:t>
            </w:r>
          </w:p>
        </w:tc>
        <w:tc>
          <w:tcPr>
            <w:tcW w:w="0" w:type="auto"/>
            <w:tcBorders>
              <w:top w:val="single" w:sz="6" w:space="0" w:color="auto"/>
              <w:left w:val="single" w:sz="6" w:space="0" w:color="auto"/>
              <w:bottom w:val="single" w:sz="6" w:space="0" w:color="auto"/>
              <w:right w:val="single" w:sz="6" w:space="0" w:color="auto"/>
            </w:tcBorders>
          </w:tcPr>
          <w:p w:rsidR="00FF5B60" w:rsidRPr="00BB4117" w:rsidRDefault="00FF5B60" w:rsidP="00F9182D">
            <w:pPr>
              <w:overflowPunct/>
              <w:spacing w:before="0" w:after="0"/>
              <w:jc w:val="center"/>
              <w:textAlignment w:val="auto"/>
              <w:rPr>
                <w:rFonts w:ascii="Arial" w:hAnsi="Arial" w:cs="Arial"/>
                <w:color w:val="000000"/>
                <w:sz w:val="20"/>
              </w:rPr>
            </w:pPr>
            <w:r w:rsidRPr="00BB4117">
              <w:rPr>
                <w:rFonts w:ascii="Arial" w:hAnsi="Arial" w:cs="Arial"/>
                <w:color w:val="000000"/>
                <w:sz w:val="20"/>
              </w:rPr>
              <w:t>1.5E-07</w:t>
            </w:r>
          </w:p>
        </w:tc>
      </w:tr>
      <w:tr w:rsidR="00FF5B60" w:rsidRPr="00BB4117" w:rsidTr="00E36ADB">
        <w:trPr>
          <w:trHeight w:val="290"/>
        </w:trPr>
        <w:tc>
          <w:tcPr>
            <w:tcW w:w="0" w:type="auto"/>
            <w:tcBorders>
              <w:top w:val="single" w:sz="6" w:space="0" w:color="auto"/>
              <w:left w:val="single" w:sz="6" w:space="0" w:color="auto"/>
              <w:bottom w:val="single" w:sz="6" w:space="0" w:color="auto"/>
              <w:right w:val="single" w:sz="6" w:space="0" w:color="auto"/>
            </w:tcBorders>
          </w:tcPr>
          <w:p w:rsidR="00FF5B60" w:rsidRPr="00BB4117" w:rsidRDefault="00FF5B60" w:rsidP="009F1F99">
            <w:pPr>
              <w:overflowPunct/>
              <w:spacing w:before="0" w:after="0"/>
              <w:textAlignment w:val="auto"/>
              <w:rPr>
                <w:rFonts w:ascii="Arial" w:hAnsi="Arial" w:cs="Arial"/>
                <w:b/>
                <w:bCs/>
                <w:i/>
                <w:iCs/>
                <w:color w:val="000000"/>
                <w:sz w:val="20"/>
              </w:rPr>
            </w:pPr>
            <w:r w:rsidRPr="00BB4117">
              <w:rPr>
                <w:rFonts w:ascii="Arial" w:hAnsi="Arial" w:cs="Arial"/>
                <w:b/>
                <w:bCs/>
                <w:i/>
                <w:iCs/>
                <w:color w:val="000000"/>
                <w:sz w:val="20"/>
              </w:rPr>
              <w:t>Use</w:t>
            </w:r>
            <w:r w:rsidRPr="00BB4117">
              <w:rPr>
                <w:rStyle w:val="Fotnotsreferens"/>
                <w:rFonts w:ascii="Arial" w:hAnsi="Arial" w:cs="Arial"/>
                <w:b/>
                <w:bCs/>
                <w:i/>
                <w:iCs/>
                <w:color w:val="000000"/>
                <w:sz w:val="20"/>
              </w:rPr>
              <w:t>*</w:t>
            </w:r>
          </w:p>
        </w:tc>
        <w:tc>
          <w:tcPr>
            <w:tcW w:w="0" w:type="auto"/>
            <w:tcBorders>
              <w:top w:val="single" w:sz="6" w:space="0" w:color="auto"/>
              <w:left w:val="single" w:sz="6" w:space="0" w:color="auto"/>
              <w:bottom w:val="single" w:sz="6" w:space="0" w:color="auto"/>
              <w:right w:val="single" w:sz="6" w:space="0" w:color="auto"/>
            </w:tcBorders>
          </w:tcPr>
          <w:p w:rsidR="00FF5B60" w:rsidRPr="00BB4117" w:rsidRDefault="00FF5B60" w:rsidP="00BA2607">
            <w:pPr>
              <w:overflowPunct/>
              <w:spacing w:before="0" w:after="0"/>
              <w:jc w:val="center"/>
              <w:textAlignment w:val="auto"/>
              <w:rPr>
                <w:rFonts w:ascii="Arial" w:hAnsi="Arial" w:cs="Arial"/>
                <w:color w:val="000000"/>
                <w:sz w:val="20"/>
              </w:rPr>
            </w:pPr>
            <w:r w:rsidRPr="00BB4117">
              <w:rPr>
                <w:rFonts w:ascii="Arial" w:hAnsi="Arial" w:cs="Arial"/>
                <w:color w:val="000000"/>
                <w:sz w:val="20"/>
              </w:rPr>
              <w:t>1.1E-07</w:t>
            </w:r>
          </w:p>
        </w:tc>
        <w:tc>
          <w:tcPr>
            <w:tcW w:w="0" w:type="auto"/>
            <w:tcBorders>
              <w:top w:val="single" w:sz="6" w:space="0" w:color="auto"/>
              <w:left w:val="single" w:sz="6" w:space="0" w:color="auto"/>
              <w:bottom w:val="single" w:sz="6" w:space="0" w:color="auto"/>
              <w:right w:val="single" w:sz="6" w:space="0" w:color="auto"/>
            </w:tcBorders>
          </w:tcPr>
          <w:p w:rsidR="00FF5B60" w:rsidRPr="00BB4117" w:rsidRDefault="00FF5B60" w:rsidP="00BA2607">
            <w:pPr>
              <w:overflowPunct/>
              <w:spacing w:before="0" w:after="0"/>
              <w:jc w:val="center"/>
              <w:textAlignment w:val="auto"/>
              <w:rPr>
                <w:rFonts w:ascii="Arial" w:hAnsi="Arial" w:cs="Arial"/>
                <w:color w:val="000000"/>
                <w:sz w:val="20"/>
              </w:rPr>
            </w:pPr>
            <w:r w:rsidRPr="00BB4117">
              <w:rPr>
                <w:rFonts w:ascii="Arial" w:hAnsi="Arial" w:cs="Arial"/>
                <w:color w:val="000000"/>
                <w:sz w:val="20"/>
              </w:rPr>
              <w:t>4.8E-07</w:t>
            </w:r>
          </w:p>
        </w:tc>
        <w:tc>
          <w:tcPr>
            <w:tcW w:w="0" w:type="auto"/>
            <w:tcBorders>
              <w:top w:val="single" w:sz="6" w:space="0" w:color="auto"/>
              <w:left w:val="single" w:sz="6" w:space="0" w:color="auto"/>
              <w:bottom w:val="single" w:sz="6" w:space="0" w:color="auto"/>
              <w:right w:val="single" w:sz="6" w:space="0" w:color="auto"/>
            </w:tcBorders>
          </w:tcPr>
          <w:p w:rsidR="00FF5B60" w:rsidRPr="00BB4117" w:rsidRDefault="00FF5B60" w:rsidP="00CC7CEF">
            <w:pPr>
              <w:overflowPunct/>
              <w:spacing w:before="0" w:after="0"/>
              <w:jc w:val="center"/>
              <w:textAlignment w:val="auto"/>
              <w:rPr>
                <w:rFonts w:ascii="Arial" w:hAnsi="Arial" w:cs="Arial"/>
                <w:color w:val="000000"/>
                <w:sz w:val="20"/>
              </w:rPr>
            </w:pPr>
            <w:r w:rsidRPr="00BB4117">
              <w:rPr>
                <w:rFonts w:ascii="Arial" w:hAnsi="Arial" w:cs="Arial"/>
                <w:color w:val="000000"/>
                <w:sz w:val="20"/>
              </w:rPr>
              <w:t>3.6E-08</w:t>
            </w:r>
          </w:p>
        </w:tc>
        <w:tc>
          <w:tcPr>
            <w:tcW w:w="0" w:type="auto"/>
            <w:tcBorders>
              <w:top w:val="single" w:sz="6" w:space="0" w:color="auto"/>
              <w:left w:val="single" w:sz="6" w:space="0" w:color="auto"/>
              <w:bottom w:val="single" w:sz="6" w:space="0" w:color="auto"/>
              <w:right w:val="single" w:sz="6" w:space="0" w:color="auto"/>
            </w:tcBorders>
          </w:tcPr>
          <w:p w:rsidR="00FF5B60" w:rsidRPr="00BB4117" w:rsidRDefault="00FF5B60" w:rsidP="00F9182D">
            <w:pPr>
              <w:overflowPunct/>
              <w:spacing w:before="0" w:after="0"/>
              <w:jc w:val="center"/>
              <w:textAlignment w:val="auto"/>
              <w:rPr>
                <w:rFonts w:ascii="Arial" w:hAnsi="Arial" w:cs="Arial"/>
                <w:color w:val="000000"/>
                <w:sz w:val="20"/>
              </w:rPr>
            </w:pPr>
            <w:r w:rsidRPr="00BB4117">
              <w:rPr>
                <w:rFonts w:ascii="Arial" w:hAnsi="Arial" w:cs="Arial"/>
                <w:color w:val="000000"/>
                <w:sz w:val="20"/>
              </w:rPr>
              <w:t>1.9E-07</w:t>
            </w:r>
          </w:p>
        </w:tc>
      </w:tr>
      <w:tr w:rsidR="00FF5B60" w:rsidRPr="00BB4117" w:rsidTr="00E36ADB">
        <w:trPr>
          <w:trHeight w:val="290"/>
        </w:trPr>
        <w:tc>
          <w:tcPr>
            <w:tcW w:w="0" w:type="auto"/>
            <w:tcBorders>
              <w:top w:val="single" w:sz="6" w:space="0" w:color="auto"/>
              <w:left w:val="single" w:sz="6" w:space="0" w:color="auto"/>
              <w:bottom w:val="single" w:sz="6" w:space="0" w:color="auto"/>
              <w:right w:val="single" w:sz="6" w:space="0" w:color="auto"/>
            </w:tcBorders>
            <w:shd w:val="solid" w:color="C0C0C0" w:fill="auto"/>
          </w:tcPr>
          <w:p w:rsidR="00FF5B60" w:rsidRPr="00BB4117" w:rsidRDefault="00FF5B60" w:rsidP="00CC7CEF">
            <w:pPr>
              <w:overflowPunct/>
              <w:spacing w:before="0" w:after="0"/>
              <w:textAlignment w:val="auto"/>
              <w:rPr>
                <w:rFonts w:ascii="Arial" w:hAnsi="Arial" w:cs="Arial"/>
                <w:b/>
                <w:bCs/>
                <w:i/>
                <w:iCs/>
                <w:color w:val="000000"/>
                <w:sz w:val="20"/>
              </w:rPr>
            </w:pPr>
            <w:r w:rsidRPr="00BB4117">
              <w:rPr>
                <w:rFonts w:ascii="Arial" w:hAnsi="Arial" w:cs="Arial"/>
                <w:b/>
                <w:bCs/>
                <w:i/>
                <w:iCs/>
                <w:color w:val="000000"/>
                <w:sz w:val="20"/>
              </w:rPr>
              <w:t>Subtotal</w:t>
            </w:r>
          </w:p>
        </w:tc>
        <w:tc>
          <w:tcPr>
            <w:tcW w:w="0" w:type="auto"/>
            <w:tcBorders>
              <w:top w:val="single" w:sz="6" w:space="0" w:color="auto"/>
              <w:left w:val="single" w:sz="6" w:space="0" w:color="auto"/>
              <w:bottom w:val="single" w:sz="6" w:space="0" w:color="auto"/>
              <w:right w:val="single" w:sz="6" w:space="0" w:color="auto"/>
            </w:tcBorders>
            <w:shd w:val="solid" w:color="C0C0C0" w:fill="auto"/>
          </w:tcPr>
          <w:p w:rsidR="00FF5B60" w:rsidRPr="00BB4117" w:rsidRDefault="00FF5B60" w:rsidP="00CC7CEF">
            <w:pPr>
              <w:overflowPunct/>
              <w:spacing w:before="0" w:after="0"/>
              <w:jc w:val="center"/>
              <w:textAlignment w:val="auto"/>
              <w:rPr>
                <w:rFonts w:ascii="Arial" w:hAnsi="Arial" w:cs="Arial"/>
                <w:color w:val="000000"/>
                <w:sz w:val="20"/>
              </w:rPr>
            </w:pPr>
            <w:r w:rsidRPr="00BB4117">
              <w:rPr>
                <w:rFonts w:ascii="Arial" w:hAnsi="Arial" w:cs="Arial"/>
                <w:color w:val="000000"/>
                <w:sz w:val="20"/>
              </w:rPr>
              <w:t>2.2E-06</w:t>
            </w:r>
          </w:p>
        </w:tc>
        <w:tc>
          <w:tcPr>
            <w:tcW w:w="0" w:type="auto"/>
            <w:tcBorders>
              <w:top w:val="single" w:sz="6" w:space="0" w:color="auto"/>
              <w:left w:val="single" w:sz="6" w:space="0" w:color="auto"/>
              <w:bottom w:val="single" w:sz="6" w:space="0" w:color="auto"/>
              <w:right w:val="single" w:sz="6" w:space="0" w:color="auto"/>
            </w:tcBorders>
            <w:shd w:val="solid" w:color="C0C0C0" w:fill="auto"/>
          </w:tcPr>
          <w:p w:rsidR="00FF5B60" w:rsidRPr="00BB4117" w:rsidRDefault="00FF5B60" w:rsidP="00F9182D">
            <w:pPr>
              <w:overflowPunct/>
              <w:spacing w:before="0" w:after="0"/>
              <w:jc w:val="center"/>
              <w:textAlignment w:val="auto"/>
              <w:rPr>
                <w:rFonts w:ascii="Arial" w:hAnsi="Arial" w:cs="Arial"/>
                <w:color w:val="000000"/>
                <w:sz w:val="20"/>
              </w:rPr>
            </w:pPr>
            <w:r w:rsidRPr="00BB4117">
              <w:rPr>
                <w:rFonts w:ascii="Arial" w:hAnsi="Arial" w:cs="Arial"/>
                <w:color w:val="000000"/>
                <w:sz w:val="20"/>
              </w:rPr>
              <w:t>9.7E-06</w:t>
            </w:r>
          </w:p>
        </w:tc>
        <w:tc>
          <w:tcPr>
            <w:tcW w:w="0" w:type="auto"/>
            <w:tcBorders>
              <w:top w:val="single" w:sz="6" w:space="0" w:color="auto"/>
              <w:left w:val="single" w:sz="6" w:space="0" w:color="auto"/>
              <w:bottom w:val="single" w:sz="6" w:space="0" w:color="auto"/>
              <w:right w:val="single" w:sz="6" w:space="0" w:color="auto"/>
            </w:tcBorders>
            <w:shd w:val="solid" w:color="C0C0C0" w:fill="auto"/>
          </w:tcPr>
          <w:p w:rsidR="00FF5B60" w:rsidRPr="00BB4117" w:rsidRDefault="00FF5B60" w:rsidP="00CC7CEF">
            <w:pPr>
              <w:overflowPunct/>
              <w:spacing w:before="0" w:after="0"/>
              <w:jc w:val="center"/>
              <w:textAlignment w:val="auto"/>
              <w:rPr>
                <w:rFonts w:ascii="Arial" w:hAnsi="Arial" w:cs="Arial"/>
                <w:color w:val="000000"/>
                <w:sz w:val="20"/>
              </w:rPr>
            </w:pPr>
            <w:r w:rsidRPr="00BB4117">
              <w:rPr>
                <w:rFonts w:ascii="Arial" w:hAnsi="Arial" w:cs="Arial"/>
                <w:color w:val="000000"/>
                <w:sz w:val="20"/>
              </w:rPr>
              <w:t>6.3E-08</w:t>
            </w:r>
          </w:p>
        </w:tc>
        <w:tc>
          <w:tcPr>
            <w:tcW w:w="0" w:type="auto"/>
            <w:tcBorders>
              <w:top w:val="single" w:sz="6" w:space="0" w:color="auto"/>
              <w:left w:val="single" w:sz="6" w:space="0" w:color="auto"/>
              <w:bottom w:val="single" w:sz="6" w:space="0" w:color="auto"/>
              <w:right w:val="single" w:sz="6" w:space="0" w:color="auto"/>
            </w:tcBorders>
            <w:shd w:val="solid" w:color="C0C0C0" w:fill="auto"/>
          </w:tcPr>
          <w:p w:rsidR="00FF5B60" w:rsidRPr="00BB4117" w:rsidRDefault="00FF5B60" w:rsidP="00F9182D">
            <w:pPr>
              <w:overflowPunct/>
              <w:spacing w:before="0" w:after="0"/>
              <w:jc w:val="center"/>
              <w:textAlignment w:val="auto"/>
              <w:rPr>
                <w:rFonts w:ascii="Arial" w:hAnsi="Arial" w:cs="Arial"/>
                <w:color w:val="000000"/>
                <w:sz w:val="20"/>
              </w:rPr>
            </w:pPr>
            <w:r w:rsidRPr="00BB4117">
              <w:rPr>
                <w:rFonts w:ascii="Arial" w:hAnsi="Arial" w:cs="Arial"/>
                <w:color w:val="000000"/>
                <w:sz w:val="20"/>
              </w:rPr>
              <w:t>3.4E-07</w:t>
            </w:r>
          </w:p>
        </w:tc>
      </w:tr>
      <w:tr w:rsidR="00FF5B60" w:rsidRPr="00BB4117" w:rsidTr="00E36ADB">
        <w:trPr>
          <w:trHeight w:val="290"/>
        </w:trPr>
        <w:tc>
          <w:tcPr>
            <w:tcW w:w="0" w:type="auto"/>
            <w:tcBorders>
              <w:top w:val="single" w:sz="6" w:space="0" w:color="auto"/>
              <w:left w:val="single" w:sz="6" w:space="0" w:color="auto"/>
              <w:bottom w:val="single" w:sz="6" w:space="0" w:color="auto"/>
              <w:right w:val="single" w:sz="6" w:space="0" w:color="auto"/>
            </w:tcBorders>
          </w:tcPr>
          <w:p w:rsidR="00FF5B60" w:rsidRPr="00BB4117" w:rsidRDefault="00FF5B60" w:rsidP="00CC7CEF">
            <w:pPr>
              <w:overflowPunct/>
              <w:spacing w:before="0" w:after="0"/>
              <w:textAlignment w:val="auto"/>
              <w:rPr>
                <w:rFonts w:ascii="Arial" w:hAnsi="Arial" w:cs="Arial"/>
                <w:b/>
                <w:bCs/>
                <w:i/>
                <w:iCs/>
                <w:color w:val="000000"/>
                <w:sz w:val="20"/>
              </w:rPr>
            </w:pPr>
            <w:r w:rsidRPr="00BB4117">
              <w:rPr>
                <w:rFonts w:ascii="Arial" w:hAnsi="Arial" w:cs="Arial"/>
                <w:b/>
                <w:bCs/>
                <w:i/>
                <w:iCs/>
                <w:color w:val="000000"/>
                <w:sz w:val="20"/>
              </w:rPr>
              <w:t>End-of-life</w:t>
            </w:r>
          </w:p>
        </w:tc>
        <w:tc>
          <w:tcPr>
            <w:tcW w:w="0" w:type="auto"/>
            <w:tcBorders>
              <w:top w:val="single" w:sz="6" w:space="0" w:color="auto"/>
              <w:left w:val="single" w:sz="6" w:space="0" w:color="auto"/>
              <w:bottom w:val="single" w:sz="6" w:space="0" w:color="auto"/>
              <w:right w:val="single" w:sz="6" w:space="0" w:color="auto"/>
            </w:tcBorders>
          </w:tcPr>
          <w:p w:rsidR="00FF5B60" w:rsidRPr="00BB4117" w:rsidRDefault="00FF5B60" w:rsidP="00CC7CEF">
            <w:pPr>
              <w:overflowPunct/>
              <w:spacing w:before="0" w:after="0"/>
              <w:jc w:val="center"/>
              <w:textAlignment w:val="auto"/>
              <w:rPr>
                <w:rFonts w:ascii="Arial" w:hAnsi="Arial" w:cs="Arial"/>
                <w:color w:val="000000"/>
                <w:sz w:val="20"/>
              </w:rPr>
            </w:pPr>
            <w:r w:rsidRPr="00BB4117">
              <w:rPr>
                <w:rFonts w:ascii="Arial" w:hAnsi="Arial" w:cs="Arial"/>
                <w:color w:val="000000"/>
                <w:sz w:val="20"/>
              </w:rPr>
              <w:t>-7.7E-07</w:t>
            </w:r>
          </w:p>
        </w:tc>
        <w:tc>
          <w:tcPr>
            <w:tcW w:w="0" w:type="auto"/>
            <w:tcBorders>
              <w:top w:val="single" w:sz="6" w:space="0" w:color="auto"/>
              <w:left w:val="single" w:sz="6" w:space="0" w:color="auto"/>
              <w:bottom w:val="single" w:sz="6" w:space="0" w:color="auto"/>
              <w:right w:val="single" w:sz="6" w:space="0" w:color="auto"/>
            </w:tcBorders>
          </w:tcPr>
          <w:p w:rsidR="00FF5B60" w:rsidRPr="00BB4117" w:rsidRDefault="00FF5B60" w:rsidP="00F9182D">
            <w:pPr>
              <w:overflowPunct/>
              <w:spacing w:before="0" w:after="0"/>
              <w:jc w:val="center"/>
              <w:textAlignment w:val="auto"/>
              <w:rPr>
                <w:rFonts w:ascii="Arial" w:hAnsi="Arial" w:cs="Arial"/>
                <w:color w:val="000000"/>
                <w:sz w:val="20"/>
              </w:rPr>
            </w:pPr>
            <w:r w:rsidRPr="00BB4117">
              <w:rPr>
                <w:rFonts w:ascii="Arial" w:hAnsi="Arial" w:cs="Arial"/>
                <w:color w:val="000000"/>
                <w:sz w:val="20"/>
              </w:rPr>
              <w:t>-3.4E-06</w:t>
            </w:r>
          </w:p>
        </w:tc>
        <w:tc>
          <w:tcPr>
            <w:tcW w:w="0" w:type="auto"/>
            <w:tcBorders>
              <w:top w:val="single" w:sz="6" w:space="0" w:color="auto"/>
              <w:left w:val="single" w:sz="6" w:space="0" w:color="auto"/>
              <w:bottom w:val="single" w:sz="6" w:space="0" w:color="auto"/>
              <w:right w:val="single" w:sz="6" w:space="0" w:color="auto"/>
            </w:tcBorders>
          </w:tcPr>
          <w:p w:rsidR="00FF5B60" w:rsidRPr="00BB4117" w:rsidRDefault="00FF5B60" w:rsidP="00CC7CEF">
            <w:pPr>
              <w:overflowPunct/>
              <w:spacing w:before="0" w:after="0"/>
              <w:jc w:val="center"/>
              <w:textAlignment w:val="auto"/>
              <w:rPr>
                <w:rFonts w:ascii="Arial" w:hAnsi="Arial" w:cs="Arial"/>
                <w:color w:val="000000"/>
                <w:sz w:val="20"/>
              </w:rPr>
            </w:pPr>
            <w:r w:rsidRPr="00BB4117">
              <w:rPr>
                <w:rFonts w:ascii="Arial" w:hAnsi="Arial" w:cs="Arial"/>
                <w:color w:val="000000"/>
                <w:sz w:val="20"/>
              </w:rPr>
              <w:t>-1.0E-08</w:t>
            </w:r>
          </w:p>
        </w:tc>
        <w:tc>
          <w:tcPr>
            <w:tcW w:w="0" w:type="auto"/>
            <w:tcBorders>
              <w:top w:val="single" w:sz="6" w:space="0" w:color="auto"/>
              <w:left w:val="single" w:sz="6" w:space="0" w:color="auto"/>
              <w:bottom w:val="single" w:sz="6" w:space="0" w:color="auto"/>
              <w:right w:val="single" w:sz="6" w:space="0" w:color="auto"/>
            </w:tcBorders>
          </w:tcPr>
          <w:p w:rsidR="00FF5B60" w:rsidRPr="00BB4117" w:rsidRDefault="00FF5B60" w:rsidP="00F9182D">
            <w:pPr>
              <w:overflowPunct/>
              <w:spacing w:before="0" w:after="0"/>
              <w:jc w:val="center"/>
              <w:textAlignment w:val="auto"/>
              <w:rPr>
                <w:rFonts w:ascii="Arial" w:hAnsi="Arial" w:cs="Arial"/>
                <w:color w:val="000000"/>
                <w:sz w:val="20"/>
              </w:rPr>
            </w:pPr>
            <w:r w:rsidRPr="00BB4117">
              <w:rPr>
                <w:rFonts w:ascii="Arial" w:hAnsi="Arial" w:cs="Arial"/>
                <w:color w:val="000000"/>
                <w:sz w:val="20"/>
              </w:rPr>
              <w:t>-5.3E-08</w:t>
            </w:r>
          </w:p>
        </w:tc>
      </w:tr>
      <w:tr w:rsidR="00FF5B60" w:rsidRPr="00BB4117" w:rsidTr="001655FA">
        <w:trPr>
          <w:trHeight w:val="290"/>
        </w:trPr>
        <w:tc>
          <w:tcPr>
            <w:tcW w:w="0" w:type="auto"/>
            <w:tcBorders>
              <w:top w:val="single" w:sz="6" w:space="0" w:color="auto"/>
              <w:left w:val="single" w:sz="6" w:space="0" w:color="auto"/>
              <w:bottom w:val="single" w:sz="6" w:space="0" w:color="auto"/>
              <w:right w:val="single" w:sz="6" w:space="0" w:color="auto"/>
            </w:tcBorders>
            <w:shd w:val="solid" w:color="C0C0C0" w:fill="auto"/>
          </w:tcPr>
          <w:p w:rsidR="00FF5B60" w:rsidRPr="00BB4117" w:rsidRDefault="00FF5B60" w:rsidP="00CC7CEF">
            <w:pPr>
              <w:overflowPunct/>
              <w:spacing w:before="0" w:after="0"/>
              <w:textAlignment w:val="auto"/>
              <w:rPr>
                <w:rFonts w:ascii="Arial" w:hAnsi="Arial" w:cs="Arial"/>
                <w:b/>
                <w:bCs/>
                <w:i/>
                <w:iCs/>
                <w:color w:val="000000"/>
                <w:sz w:val="20"/>
              </w:rPr>
            </w:pPr>
            <w:r w:rsidRPr="00BB4117">
              <w:rPr>
                <w:rFonts w:ascii="Arial" w:hAnsi="Arial" w:cs="Arial"/>
                <w:b/>
                <w:bCs/>
                <w:i/>
                <w:iCs/>
                <w:color w:val="000000"/>
                <w:sz w:val="20"/>
              </w:rPr>
              <w:t>Total</w:t>
            </w:r>
          </w:p>
        </w:tc>
        <w:tc>
          <w:tcPr>
            <w:tcW w:w="0" w:type="auto"/>
            <w:tcBorders>
              <w:top w:val="single" w:sz="6" w:space="0" w:color="auto"/>
              <w:left w:val="single" w:sz="6" w:space="0" w:color="auto"/>
              <w:bottom w:val="single" w:sz="6" w:space="0" w:color="auto"/>
              <w:right w:val="single" w:sz="6" w:space="0" w:color="auto"/>
            </w:tcBorders>
            <w:shd w:val="solid" w:color="C0C0C0" w:fill="auto"/>
          </w:tcPr>
          <w:p w:rsidR="00FF5B60" w:rsidRPr="00BB4117" w:rsidRDefault="00FF5B60" w:rsidP="00CC7CEF">
            <w:pPr>
              <w:overflowPunct/>
              <w:spacing w:before="0" w:after="0"/>
              <w:jc w:val="center"/>
              <w:textAlignment w:val="auto"/>
              <w:rPr>
                <w:rFonts w:ascii="Arial" w:hAnsi="Arial" w:cs="Arial"/>
                <w:color w:val="000000"/>
                <w:sz w:val="20"/>
              </w:rPr>
            </w:pPr>
            <w:r w:rsidRPr="00BB4117">
              <w:rPr>
                <w:rFonts w:ascii="Arial" w:hAnsi="Arial" w:cs="Arial"/>
                <w:color w:val="000000"/>
                <w:sz w:val="20"/>
              </w:rPr>
              <w:t>1.4E-06</w:t>
            </w:r>
          </w:p>
        </w:tc>
        <w:tc>
          <w:tcPr>
            <w:tcW w:w="0" w:type="auto"/>
            <w:tcBorders>
              <w:top w:val="single" w:sz="6" w:space="0" w:color="auto"/>
              <w:left w:val="single" w:sz="6" w:space="0" w:color="auto"/>
              <w:bottom w:val="single" w:sz="6" w:space="0" w:color="auto"/>
              <w:right w:val="single" w:sz="6" w:space="0" w:color="auto"/>
            </w:tcBorders>
            <w:shd w:val="solid" w:color="C0C0C0" w:fill="auto"/>
          </w:tcPr>
          <w:p w:rsidR="00FF5B60" w:rsidRPr="00BB4117" w:rsidRDefault="00FF5B60" w:rsidP="00F9182D">
            <w:pPr>
              <w:overflowPunct/>
              <w:spacing w:before="0" w:after="0"/>
              <w:jc w:val="center"/>
              <w:textAlignment w:val="auto"/>
              <w:rPr>
                <w:rFonts w:ascii="Arial" w:hAnsi="Arial" w:cs="Arial"/>
                <w:color w:val="000000"/>
                <w:sz w:val="20"/>
              </w:rPr>
            </w:pPr>
            <w:r w:rsidRPr="00BB4117">
              <w:rPr>
                <w:rFonts w:ascii="Arial" w:hAnsi="Arial" w:cs="Arial"/>
                <w:color w:val="000000"/>
                <w:sz w:val="20"/>
              </w:rPr>
              <w:t>6.3E-06</w:t>
            </w:r>
          </w:p>
        </w:tc>
        <w:tc>
          <w:tcPr>
            <w:tcW w:w="0" w:type="auto"/>
            <w:tcBorders>
              <w:top w:val="single" w:sz="6" w:space="0" w:color="auto"/>
              <w:left w:val="single" w:sz="6" w:space="0" w:color="auto"/>
              <w:bottom w:val="single" w:sz="6" w:space="0" w:color="auto"/>
              <w:right w:val="single" w:sz="6" w:space="0" w:color="auto"/>
            </w:tcBorders>
            <w:shd w:val="solid" w:color="C0C0C0" w:fill="auto"/>
          </w:tcPr>
          <w:p w:rsidR="00FF5B60" w:rsidRPr="00BB4117" w:rsidRDefault="00FF5B60" w:rsidP="00CC7CEF">
            <w:pPr>
              <w:overflowPunct/>
              <w:spacing w:before="0" w:after="0"/>
              <w:jc w:val="center"/>
              <w:textAlignment w:val="auto"/>
              <w:rPr>
                <w:rFonts w:ascii="Arial" w:hAnsi="Arial" w:cs="Arial"/>
                <w:color w:val="000000"/>
                <w:sz w:val="20"/>
              </w:rPr>
            </w:pPr>
            <w:r w:rsidRPr="00BB4117">
              <w:rPr>
                <w:rFonts w:ascii="Arial" w:hAnsi="Arial" w:cs="Arial"/>
                <w:color w:val="000000"/>
                <w:sz w:val="20"/>
              </w:rPr>
              <w:t>5.3E-08</w:t>
            </w:r>
          </w:p>
        </w:tc>
        <w:tc>
          <w:tcPr>
            <w:tcW w:w="0" w:type="auto"/>
            <w:tcBorders>
              <w:top w:val="single" w:sz="6" w:space="0" w:color="auto"/>
              <w:left w:val="single" w:sz="6" w:space="0" w:color="auto"/>
              <w:bottom w:val="single" w:sz="6" w:space="0" w:color="auto"/>
              <w:right w:val="single" w:sz="6" w:space="0" w:color="auto"/>
            </w:tcBorders>
            <w:shd w:val="solid" w:color="C0C0C0" w:fill="auto"/>
          </w:tcPr>
          <w:p w:rsidR="00FF5B60" w:rsidRPr="00BB4117" w:rsidRDefault="00FF5B60" w:rsidP="00F9182D">
            <w:pPr>
              <w:overflowPunct/>
              <w:spacing w:before="0" w:after="0"/>
              <w:jc w:val="center"/>
              <w:textAlignment w:val="auto"/>
              <w:rPr>
                <w:rFonts w:ascii="Arial" w:hAnsi="Arial" w:cs="Arial"/>
                <w:color w:val="000000"/>
                <w:sz w:val="20"/>
              </w:rPr>
            </w:pPr>
            <w:r w:rsidRPr="00BB4117">
              <w:rPr>
                <w:rFonts w:ascii="Arial" w:hAnsi="Arial" w:cs="Arial"/>
                <w:color w:val="000000"/>
                <w:sz w:val="20"/>
              </w:rPr>
              <w:t>2.8E-07</w:t>
            </w:r>
          </w:p>
        </w:tc>
      </w:tr>
      <w:tr w:rsidR="001655FA" w:rsidRPr="00BB4117" w:rsidTr="001655FA">
        <w:trPr>
          <w:trHeight w:val="290"/>
        </w:trPr>
        <w:tc>
          <w:tcPr>
            <w:tcW w:w="0" w:type="auto"/>
            <w:gridSpan w:val="5"/>
            <w:tcBorders>
              <w:top w:val="single" w:sz="6" w:space="0" w:color="auto"/>
              <w:left w:val="single" w:sz="6" w:space="0" w:color="auto"/>
              <w:bottom w:val="single" w:sz="6" w:space="0" w:color="auto"/>
              <w:right w:val="single" w:sz="6" w:space="0" w:color="auto"/>
            </w:tcBorders>
            <w:shd w:val="clear" w:color="C0C0C0" w:fill="auto"/>
          </w:tcPr>
          <w:p w:rsidR="001655FA" w:rsidRPr="00BB4117" w:rsidRDefault="001655FA" w:rsidP="001655FA">
            <w:pPr>
              <w:overflowPunct/>
              <w:spacing w:before="0" w:after="0"/>
              <w:textAlignment w:val="auto"/>
              <w:rPr>
                <w:rFonts w:ascii="Arial" w:hAnsi="Arial" w:cs="Arial"/>
                <w:color w:val="000000"/>
                <w:sz w:val="20"/>
              </w:rPr>
            </w:pPr>
            <w:r w:rsidRPr="00BB4117">
              <w:rPr>
                <w:rFonts w:ascii="Arial" w:hAnsi="Arial" w:cs="Arial"/>
                <w:color w:val="000000"/>
                <w:sz w:val="16"/>
              </w:rPr>
              <w:t>*The presented use phase impacts cover only battery related losses. The operation in terms of propelling the vehicle is not included.</w:t>
            </w:r>
          </w:p>
        </w:tc>
      </w:tr>
    </w:tbl>
    <w:p w:rsidR="00EE2305" w:rsidRPr="00BB4117" w:rsidRDefault="002049D0" w:rsidP="00480641">
      <w:pPr>
        <w:pStyle w:val="Rubrik3"/>
      </w:pPr>
      <w:bookmarkStart w:id="62" w:name="_Toc428370325"/>
      <w:r w:rsidRPr="00BB4117">
        <w:t xml:space="preserve">4.2.1 </w:t>
      </w:r>
      <w:r w:rsidR="00EE2305" w:rsidRPr="00BB4117">
        <w:t>Production related abiotic depletion</w:t>
      </w:r>
      <w:bookmarkEnd w:id="62"/>
    </w:p>
    <w:p w:rsidR="00EE2305" w:rsidRPr="00BB4117" w:rsidRDefault="009E1C1A" w:rsidP="00EE2305">
      <w:pPr>
        <w:pStyle w:val="Brdtext"/>
      </w:pPr>
      <w:r w:rsidRPr="00BB4117">
        <w:t>Abiotic</w:t>
      </w:r>
      <w:r w:rsidR="007146F6" w:rsidRPr="00BB4117">
        <w:t xml:space="preserve"> resource depletion</w:t>
      </w:r>
      <w:r w:rsidR="00EE2305" w:rsidRPr="00BB4117">
        <w:t xml:space="preserve"> from the production phase </w:t>
      </w:r>
      <w:r w:rsidR="00CA1670" w:rsidRPr="00BB4117">
        <w:t>is</w:t>
      </w:r>
      <w:r w:rsidR="00EE2305" w:rsidRPr="00BB4117">
        <w:t xml:space="preserve"> </w:t>
      </w:r>
      <w:r w:rsidR="00DF5384" w:rsidRPr="00BB4117">
        <w:t xml:space="preserve">relatively </w:t>
      </w:r>
      <w:r w:rsidR="00EE2305" w:rsidRPr="00BB4117">
        <w:t>high per km or delivered kWh at the present level of development, but decreases rapidly with increasing energy density, efficiency, number of charge cycles and depth of discharge</w:t>
      </w:r>
      <w:r w:rsidR="00595E05" w:rsidRPr="00BB4117">
        <w:t>,</w:t>
      </w:r>
      <w:r w:rsidR="00EE2305" w:rsidRPr="00BB4117">
        <w:t xml:space="preserve"> as fewer cells are needed per vehicle kilometre or delivered kWh. Production related </w:t>
      </w:r>
      <w:r w:rsidR="007146F6" w:rsidRPr="00BB4117">
        <w:t>abiotic resource depletion</w:t>
      </w:r>
      <w:r w:rsidR="00EE2305" w:rsidRPr="00BB4117">
        <w:t xml:space="preserve"> </w:t>
      </w:r>
      <w:r w:rsidR="00DF5384" w:rsidRPr="00BB4117">
        <w:t>stems mainly from copper</w:t>
      </w:r>
      <w:r w:rsidR="00CA1670" w:rsidRPr="00BB4117">
        <w:t>, contributing</w:t>
      </w:r>
      <w:r w:rsidR="00DF5384" w:rsidRPr="00BB4117">
        <w:t xml:space="preserve"> 8</w:t>
      </w:r>
      <w:r w:rsidR="00E47342" w:rsidRPr="00BB4117">
        <w:t>9</w:t>
      </w:r>
      <w:r w:rsidR="00DF5384" w:rsidRPr="00BB4117">
        <w:t>%</w:t>
      </w:r>
      <w:r w:rsidR="004B51AF" w:rsidRPr="00BB4117">
        <w:t xml:space="preserve">, see </w:t>
      </w:r>
      <w:fldSimple w:instr=" REF _Ref423695686 \h  \* MERGEFORMAT ">
        <w:r w:rsidR="00094C5D" w:rsidRPr="00BB4117">
          <w:t xml:space="preserve">Figure </w:t>
        </w:r>
        <w:r w:rsidR="00094C5D">
          <w:t>7</w:t>
        </w:r>
      </w:fldSimple>
      <w:r w:rsidR="00ED2F2C" w:rsidRPr="00BB4117">
        <w:t>. L</w:t>
      </w:r>
      <w:r w:rsidR="00DF5384" w:rsidRPr="00BB4117">
        <w:t>ithium</w:t>
      </w:r>
      <w:r w:rsidR="00ED2F2C" w:rsidRPr="00BB4117">
        <w:t>, the TEGDME electrolyte and electricity use</w:t>
      </w:r>
      <w:r w:rsidR="00595E05" w:rsidRPr="00BB4117">
        <w:t xml:space="preserve"> (f</w:t>
      </w:r>
      <w:r w:rsidR="00E76A09" w:rsidRPr="00BB4117">
        <w:t>or</w:t>
      </w:r>
      <w:r w:rsidR="00595E05" w:rsidRPr="00BB4117">
        <w:t xml:space="preserve"> processing)</w:t>
      </w:r>
      <w:r w:rsidR="00ED2F2C" w:rsidRPr="00BB4117">
        <w:t xml:space="preserve"> </w:t>
      </w:r>
      <w:r w:rsidR="00E76A09" w:rsidRPr="00BB4117">
        <w:t>o</w:t>
      </w:r>
      <w:r w:rsidR="00ED2F2C" w:rsidRPr="00BB4117">
        <w:t>f the cathode and for assembly contribute from 5 to 1%.</w:t>
      </w:r>
      <w:r w:rsidR="007B2A19" w:rsidRPr="00BB4117">
        <w:t xml:space="preserve"> </w:t>
      </w:r>
      <w:r w:rsidR="00E36ADB" w:rsidRPr="00BB4117">
        <w:t>T</w:t>
      </w:r>
      <w:r w:rsidR="00EE2305" w:rsidRPr="00BB4117">
        <w:t>he</w:t>
      </w:r>
      <w:r w:rsidR="007146F6" w:rsidRPr="00BB4117">
        <w:t>se</w:t>
      </w:r>
      <w:r w:rsidR="00EE2305" w:rsidRPr="00BB4117">
        <w:t xml:space="preserve"> relation</w:t>
      </w:r>
      <w:r w:rsidR="007146F6" w:rsidRPr="00BB4117">
        <w:t>s</w:t>
      </w:r>
      <w:r w:rsidR="00EE2305" w:rsidRPr="00BB4117">
        <w:t xml:space="preserve"> between the production related </w:t>
      </w:r>
      <w:r w:rsidR="007146F6" w:rsidRPr="00BB4117">
        <w:t xml:space="preserve">abiotic resource depletion are the same for </w:t>
      </w:r>
      <w:r w:rsidR="009726AB" w:rsidRPr="00BB4117">
        <w:t>both scenarios</w:t>
      </w:r>
      <w:r w:rsidR="00EE2305" w:rsidRPr="00BB4117">
        <w:t xml:space="preserve"> since the same materials </w:t>
      </w:r>
      <w:r w:rsidR="007B2A19" w:rsidRPr="00BB4117">
        <w:t>are assumed</w:t>
      </w:r>
      <w:r w:rsidR="009726AB" w:rsidRPr="00BB4117">
        <w:t xml:space="preserve"> for both scenarios</w:t>
      </w:r>
      <w:r w:rsidR="00E36ADB" w:rsidRPr="00BB4117">
        <w:t>.</w:t>
      </w:r>
    </w:p>
    <w:p w:rsidR="005A52C6" w:rsidRPr="00BB4117" w:rsidRDefault="005A52C6" w:rsidP="00EE2305">
      <w:pPr>
        <w:pStyle w:val="Brdtext"/>
      </w:pPr>
    </w:p>
    <w:p w:rsidR="00ED2F2C" w:rsidRPr="00BB4117" w:rsidRDefault="000E4ACE" w:rsidP="00ED2F2C">
      <w:pPr>
        <w:pStyle w:val="Brdtext"/>
        <w:keepNext/>
      </w:pPr>
      <w:r w:rsidRPr="00BB4117">
        <w:rPr>
          <w:noProof/>
          <w:lang w:val="sv-SE"/>
        </w:rPr>
        <w:lastRenderedPageBreak/>
        <w:drawing>
          <wp:inline distT="0" distB="0" distL="0" distR="0">
            <wp:extent cx="5029200" cy="4020185"/>
            <wp:effectExtent l="19050" t="0" r="0" b="0"/>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5" cstate="print"/>
                    <a:srcRect/>
                    <a:stretch>
                      <a:fillRect/>
                    </a:stretch>
                  </pic:blipFill>
                  <pic:spPr bwMode="auto">
                    <a:xfrm>
                      <a:off x="0" y="0"/>
                      <a:ext cx="5029200" cy="4020185"/>
                    </a:xfrm>
                    <a:prstGeom prst="rect">
                      <a:avLst/>
                    </a:prstGeom>
                    <a:noFill/>
                    <a:ln w="9525">
                      <a:noFill/>
                      <a:miter lim="800000"/>
                      <a:headEnd/>
                      <a:tailEnd/>
                    </a:ln>
                  </pic:spPr>
                </pic:pic>
              </a:graphicData>
            </a:graphic>
          </wp:inline>
        </w:drawing>
      </w:r>
    </w:p>
    <w:p w:rsidR="00FF596B" w:rsidRPr="00BB4117" w:rsidRDefault="00ED2F2C" w:rsidP="00ED2F2C">
      <w:pPr>
        <w:pStyle w:val="Beskrivning"/>
      </w:pPr>
      <w:bookmarkStart w:id="63" w:name="_Ref423695686"/>
      <w:bookmarkStart w:id="64" w:name="_Toc428360864"/>
      <w:r w:rsidRPr="00BB4117">
        <w:t xml:space="preserve">Figure </w:t>
      </w:r>
      <w:r w:rsidR="00524197" w:rsidRPr="00BB4117">
        <w:fldChar w:fldCharType="begin"/>
      </w:r>
      <w:r w:rsidRPr="00BB4117">
        <w:instrText xml:space="preserve"> SEQ Figure \* ARABIC </w:instrText>
      </w:r>
      <w:r w:rsidR="00524197" w:rsidRPr="00BB4117">
        <w:fldChar w:fldCharType="separate"/>
      </w:r>
      <w:r w:rsidR="00094C5D">
        <w:rPr>
          <w:noProof/>
        </w:rPr>
        <w:t>7</w:t>
      </w:r>
      <w:r w:rsidR="00524197" w:rsidRPr="00BB4117">
        <w:fldChar w:fldCharType="end"/>
      </w:r>
      <w:bookmarkEnd w:id="63"/>
      <w:proofErr w:type="gramStart"/>
      <w:r w:rsidRPr="00BB4117">
        <w:tab/>
        <w:t>Relative abiotic resource depletion of cell components</w:t>
      </w:r>
      <w:bookmarkEnd w:id="64"/>
      <w:proofErr w:type="gramEnd"/>
    </w:p>
    <w:p w:rsidR="00EE2305" w:rsidRPr="00BB4117" w:rsidRDefault="002049D0" w:rsidP="00480641">
      <w:pPr>
        <w:pStyle w:val="Rubrik3"/>
      </w:pPr>
      <w:bookmarkStart w:id="65" w:name="_Toc428370326"/>
      <w:r w:rsidRPr="00BB4117">
        <w:t xml:space="preserve">4.2.2 </w:t>
      </w:r>
      <w:r w:rsidR="00EE2305" w:rsidRPr="00BB4117">
        <w:t>Use phase abiotic depletion</w:t>
      </w:r>
      <w:bookmarkEnd w:id="65"/>
    </w:p>
    <w:p w:rsidR="00C02880" w:rsidRPr="00BB4117" w:rsidRDefault="0064286A" w:rsidP="005A52C6">
      <w:r w:rsidRPr="00BB4117">
        <w:t>A</w:t>
      </w:r>
      <w:r w:rsidR="00F74615" w:rsidRPr="00BB4117">
        <w:t>biotic resource depletion</w:t>
      </w:r>
      <w:r w:rsidR="00EE2305" w:rsidRPr="00BB4117">
        <w:t xml:space="preserve"> from the use phase </w:t>
      </w:r>
      <w:r w:rsidR="00C943BA" w:rsidRPr="00BB4117">
        <w:t>is</w:t>
      </w:r>
      <w:r w:rsidR="00EE2305" w:rsidRPr="00BB4117">
        <w:t xml:space="preserve"> dominating more and more as the cell develops, even though in absolute terms also the use phase </w:t>
      </w:r>
      <w:r w:rsidR="00F74615" w:rsidRPr="00BB4117">
        <w:t xml:space="preserve">abiotic resource depletion </w:t>
      </w:r>
      <w:r w:rsidR="00EE2305" w:rsidRPr="00BB4117">
        <w:t>decrease</w:t>
      </w:r>
      <w:r w:rsidR="00F864AF" w:rsidRPr="00BB4117">
        <w:t>s</w:t>
      </w:r>
      <w:r w:rsidR="00EE2305" w:rsidRPr="00BB4117">
        <w:t xml:space="preserve"> as the cell develops. The use phase </w:t>
      </w:r>
      <w:r w:rsidR="00F74615" w:rsidRPr="00BB4117">
        <w:t>abiotic resource depletion</w:t>
      </w:r>
      <w:r w:rsidR="00EE2305" w:rsidRPr="00BB4117">
        <w:t xml:space="preserve"> stem</w:t>
      </w:r>
      <w:r w:rsidR="00970BF9" w:rsidRPr="00BB4117">
        <w:t>s</w:t>
      </w:r>
      <w:r w:rsidR="00EE2305" w:rsidRPr="00BB4117">
        <w:t xml:space="preserve"> </w:t>
      </w:r>
      <w:r w:rsidR="005A52C6" w:rsidRPr="00BB4117">
        <w:t xml:space="preserve">almost completely from electricity (99%). </w:t>
      </w:r>
    </w:p>
    <w:p w:rsidR="00EE2305" w:rsidRPr="00BB4117" w:rsidRDefault="002049D0" w:rsidP="00480641">
      <w:pPr>
        <w:pStyle w:val="Rubrik3"/>
      </w:pPr>
      <w:bookmarkStart w:id="66" w:name="_Toc428370327"/>
      <w:r w:rsidRPr="00BB4117">
        <w:t xml:space="preserve">4.2.3 </w:t>
      </w:r>
      <w:r w:rsidR="00EE2305" w:rsidRPr="00BB4117">
        <w:t>Recycling related abiotic depletion</w:t>
      </w:r>
      <w:bookmarkEnd w:id="66"/>
    </w:p>
    <w:p w:rsidR="00EE38A4" w:rsidRPr="00BB4117" w:rsidRDefault="0064286A" w:rsidP="006F0343">
      <w:r w:rsidRPr="00BB4117">
        <w:t>R</w:t>
      </w:r>
      <w:r w:rsidR="00EE2305" w:rsidRPr="00BB4117">
        <w:t xml:space="preserve">ecycling </w:t>
      </w:r>
      <w:r w:rsidR="00297FDB" w:rsidRPr="00BB4117">
        <w:t xml:space="preserve">is calculated to </w:t>
      </w:r>
      <w:r w:rsidR="00EE2305" w:rsidRPr="00BB4117">
        <w:t xml:space="preserve">avoid </w:t>
      </w:r>
      <w:r w:rsidR="00297FDB" w:rsidRPr="00BB4117">
        <w:t>~</w:t>
      </w:r>
      <w:r w:rsidR="00CE4043" w:rsidRPr="00BB4117">
        <w:t>3</w:t>
      </w:r>
      <w:r w:rsidR="00EE2305" w:rsidRPr="00BB4117">
        <w:t xml:space="preserve">0% of production related </w:t>
      </w:r>
      <w:r w:rsidR="00970BF9" w:rsidRPr="00BB4117">
        <w:t>abiotic resource depletion</w:t>
      </w:r>
      <w:r w:rsidR="00EE2305" w:rsidRPr="00BB4117">
        <w:t xml:space="preserve"> in </w:t>
      </w:r>
      <w:r w:rsidR="009726AB" w:rsidRPr="00BB4117">
        <w:t>both scenarios</w:t>
      </w:r>
      <w:r w:rsidR="00EE2305" w:rsidRPr="00BB4117">
        <w:t xml:space="preserve">. Almost all of the avoided </w:t>
      </w:r>
      <w:r w:rsidR="00970BF9" w:rsidRPr="00BB4117">
        <w:t>abiotic resource depletion</w:t>
      </w:r>
      <w:r w:rsidR="00EE2305" w:rsidRPr="00BB4117">
        <w:t xml:space="preserve"> stems from avoided virgin production of </w:t>
      </w:r>
      <w:r w:rsidR="00DD3B07" w:rsidRPr="00BB4117">
        <w:t>copper</w:t>
      </w:r>
      <w:r w:rsidR="00EE2305" w:rsidRPr="00BB4117">
        <w:t xml:space="preserve">. The recycling transports give insignificant contributions to </w:t>
      </w:r>
      <w:r w:rsidR="00DD3B07" w:rsidRPr="00BB4117">
        <w:t>abiotic resource depletion</w:t>
      </w:r>
      <w:r w:rsidR="00EE2305" w:rsidRPr="00BB4117">
        <w:t>.</w:t>
      </w:r>
    </w:p>
    <w:p w:rsidR="00E508A2" w:rsidRPr="00BB4117" w:rsidRDefault="005B79FA" w:rsidP="002049D0">
      <w:pPr>
        <w:pStyle w:val="Rubrik2"/>
        <w:numPr>
          <w:ilvl w:val="1"/>
          <w:numId w:val="46"/>
        </w:numPr>
        <w:rPr>
          <w:lang w:val="en-GB"/>
        </w:rPr>
      </w:pPr>
      <w:bookmarkStart w:id="67" w:name="_Toc428370328"/>
      <w:r w:rsidRPr="00BB4117">
        <w:rPr>
          <w:lang w:val="en-GB"/>
        </w:rPr>
        <w:t>Ecot</w:t>
      </w:r>
      <w:r w:rsidR="001F7B9F" w:rsidRPr="00BB4117">
        <w:rPr>
          <w:lang w:val="en-GB"/>
        </w:rPr>
        <w:t>oxicity</w:t>
      </w:r>
      <w:bookmarkEnd w:id="67"/>
    </w:p>
    <w:p w:rsidR="00113DA7" w:rsidRPr="00BB4117" w:rsidRDefault="00782890" w:rsidP="00113DA7">
      <w:pPr>
        <w:pStyle w:val="Brdtext"/>
      </w:pPr>
      <w:r w:rsidRPr="00BB4117">
        <w:t xml:space="preserve">At the present level of </w:t>
      </w:r>
      <w:r w:rsidR="00FE39E0" w:rsidRPr="00BB4117">
        <w:t>lithium-air</w:t>
      </w:r>
      <w:r w:rsidRPr="00BB4117">
        <w:t xml:space="preserve"> cell performance, the cell shows relatively large ecotoxicity compared to the long-term goal. As performance of the cell develops in the future, the use phase power losses become more dominant.</w:t>
      </w:r>
    </w:p>
    <w:p w:rsidR="0025246F" w:rsidRPr="00BB4117" w:rsidRDefault="00357B6F" w:rsidP="004B5029">
      <w:pPr>
        <w:pStyle w:val="Brdtext"/>
        <w:keepNext/>
      </w:pPr>
      <w:r w:rsidRPr="00BB4117">
        <w:rPr>
          <w:noProof/>
          <w:lang w:val="sv-SE"/>
        </w:rPr>
        <w:lastRenderedPageBreak/>
        <w:drawing>
          <wp:inline distT="0" distB="0" distL="0" distR="0">
            <wp:extent cx="4572000" cy="2743200"/>
            <wp:effectExtent l="19050" t="0" r="19050" b="0"/>
            <wp:docPr id="8" name="Diagram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1F7B9F" w:rsidRPr="00BB4117" w:rsidRDefault="004B5029" w:rsidP="004B5029">
      <w:pPr>
        <w:pStyle w:val="Beskrivning"/>
      </w:pPr>
      <w:bookmarkStart w:id="68" w:name="_Toc428360865"/>
      <w:r w:rsidRPr="00BB4117">
        <w:t xml:space="preserve">Figure </w:t>
      </w:r>
      <w:r w:rsidR="00524197" w:rsidRPr="00BB4117">
        <w:fldChar w:fldCharType="begin"/>
      </w:r>
      <w:r w:rsidR="004C6C5C" w:rsidRPr="00BB4117">
        <w:instrText xml:space="preserve"> SEQ Figure \* ARABIC </w:instrText>
      </w:r>
      <w:r w:rsidR="00524197" w:rsidRPr="00BB4117">
        <w:fldChar w:fldCharType="separate"/>
      </w:r>
      <w:r w:rsidR="00094C5D">
        <w:rPr>
          <w:noProof/>
        </w:rPr>
        <w:t>8</w:t>
      </w:r>
      <w:r w:rsidR="00524197" w:rsidRPr="00BB4117">
        <w:rPr>
          <w:noProof/>
        </w:rPr>
        <w:fldChar w:fldCharType="end"/>
      </w:r>
      <w:r w:rsidRPr="00BB4117">
        <w:tab/>
        <w:t xml:space="preserve">Ecotoxicity, CTUe per vehicle km for the </w:t>
      </w:r>
      <w:r w:rsidR="009726AB" w:rsidRPr="00BB4117">
        <w:t>two</w:t>
      </w:r>
      <w:r w:rsidRPr="00BB4117">
        <w:t xml:space="preserve"> scenarios</w:t>
      </w:r>
      <w:bookmarkEnd w:id="68"/>
    </w:p>
    <w:p w:rsidR="001F7B9F" w:rsidRPr="00BB4117" w:rsidRDefault="00007104" w:rsidP="001F7B9F">
      <w:pPr>
        <w:pStyle w:val="Brdtext"/>
      </w:pPr>
      <w:r w:rsidRPr="00BB4117">
        <w:t xml:space="preserve">Recycling avoids about 30% of production related ecotoxicity in </w:t>
      </w:r>
      <w:r w:rsidR="009726AB" w:rsidRPr="00BB4117">
        <w:t>both scenarios</w:t>
      </w:r>
      <w:r w:rsidRPr="00BB4117">
        <w:t xml:space="preserve">. </w:t>
      </w:r>
      <w:r w:rsidR="001A6A71" w:rsidRPr="00BB4117">
        <w:t xml:space="preserve">Detailed data is given in </w:t>
      </w:r>
      <w:r w:rsidR="00524197" w:rsidRPr="00BB4117">
        <w:fldChar w:fldCharType="begin"/>
      </w:r>
      <w:r w:rsidR="009F441B" w:rsidRPr="00BB4117">
        <w:instrText xml:space="preserve"> REF _Ref423684642 \h </w:instrText>
      </w:r>
      <w:r w:rsidR="00524197" w:rsidRPr="00BB4117">
        <w:fldChar w:fldCharType="separate"/>
      </w:r>
      <w:r w:rsidR="00094C5D" w:rsidRPr="00BB4117">
        <w:t xml:space="preserve">Table </w:t>
      </w:r>
      <w:r w:rsidR="00094C5D">
        <w:rPr>
          <w:noProof/>
        </w:rPr>
        <w:t>6</w:t>
      </w:r>
      <w:r w:rsidR="00524197" w:rsidRPr="00BB4117">
        <w:fldChar w:fldCharType="end"/>
      </w:r>
      <w:r w:rsidR="001A6A71" w:rsidRPr="00BB4117">
        <w:t>.</w:t>
      </w:r>
    </w:p>
    <w:p w:rsidR="004B5029" w:rsidRPr="00BB4117" w:rsidRDefault="004B5029" w:rsidP="004B5029">
      <w:pPr>
        <w:pStyle w:val="Beskrivning"/>
      </w:pPr>
      <w:bookmarkStart w:id="69" w:name="_Ref423684642"/>
      <w:bookmarkStart w:id="70" w:name="_Toc428370277"/>
      <w:r w:rsidRPr="00BB4117">
        <w:t xml:space="preserve">Table </w:t>
      </w:r>
      <w:r w:rsidR="00524197" w:rsidRPr="00BB4117">
        <w:fldChar w:fldCharType="begin"/>
      </w:r>
      <w:r w:rsidR="004C6C5C" w:rsidRPr="00BB4117">
        <w:instrText xml:space="preserve"> SEQ Table \* ARABIC </w:instrText>
      </w:r>
      <w:r w:rsidR="00524197" w:rsidRPr="00BB4117">
        <w:fldChar w:fldCharType="separate"/>
      </w:r>
      <w:r w:rsidR="00094C5D">
        <w:rPr>
          <w:noProof/>
        </w:rPr>
        <w:t>6</w:t>
      </w:r>
      <w:r w:rsidR="00524197" w:rsidRPr="00BB4117">
        <w:rPr>
          <w:noProof/>
        </w:rPr>
        <w:fldChar w:fldCharType="end"/>
      </w:r>
      <w:bookmarkEnd w:id="69"/>
      <w:r w:rsidRPr="00BB4117">
        <w:tab/>
        <w:t xml:space="preserve">Ecotoxicity, CTUe per vehicle km </w:t>
      </w:r>
      <w:r w:rsidR="005C69D2" w:rsidRPr="00BB4117">
        <w:t xml:space="preserve">and per delivered kWh </w:t>
      </w:r>
      <w:r w:rsidRPr="00BB4117">
        <w:t xml:space="preserve">for the </w:t>
      </w:r>
      <w:r w:rsidR="009726AB" w:rsidRPr="00BB4117">
        <w:t>two</w:t>
      </w:r>
      <w:r w:rsidRPr="00BB4117">
        <w:t xml:space="preserve"> scenarios</w:t>
      </w:r>
      <w:bookmarkEnd w:id="70"/>
    </w:p>
    <w:tbl>
      <w:tblPr>
        <w:tblW w:w="0" w:type="auto"/>
        <w:tblInd w:w="40" w:type="dxa"/>
        <w:tblCellMar>
          <w:left w:w="70" w:type="dxa"/>
          <w:right w:w="70" w:type="dxa"/>
        </w:tblCellMar>
        <w:tblLook w:val="0000"/>
      </w:tblPr>
      <w:tblGrid>
        <w:gridCol w:w="2135"/>
        <w:gridCol w:w="1382"/>
        <w:gridCol w:w="1569"/>
        <w:gridCol w:w="1382"/>
        <w:gridCol w:w="1569"/>
      </w:tblGrid>
      <w:tr w:rsidR="009726AB" w:rsidRPr="00BB4117" w:rsidTr="0004593F">
        <w:trPr>
          <w:trHeight w:val="290"/>
          <w:tblHeader/>
        </w:trPr>
        <w:tc>
          <w:tcPr>
            <w:tcW w:w="0" w:type="auto"/>
            <w:tcBorders>
              <w:top w:val="single" w:sz="6" w:space="0" w:color="auto"/>
              <w:left w:val="single" w:sz="6" w:space="0" w:color="auto"/>
              <w:bottom w:val="single" w:sz="6" w:space="0" w:color="auto"/>
              <w:right w:val="single" w:sz="6" w:space="0" w:color="auto"/>
            </w:tcBorders>
            <w:shd w:val="solid" w:color="FF99CC" w:fill="auto"/>
          </w:tcPr>
          <w:p w:rsidR="009726AB" w:rsidRPr="00BB4117" w:rsidRDefault="009726AB" w:rsidP="0025246F">
            <w:pPr>
              <w:overflowPunct/>
              <w:spacing w:before="0" w:after="0"/>
              <w:textAlignment w:val="auto"/>
              <w:rPr>
                <w:rFonts w:ascii="Arial" w:hAnsi="Arial" w:cs="Arial"/>
                <w:b/>
                <w:bCs/>
                <w:color w:val="000000"/>
                <w:sz w:val="20"/>
              </w:rPr>
            </w:pPr>
            <w:r w:rsidRPr="00BB4117">
              <w:rPr>
                <w:rFonts w:ascii="Arial" w:hAnsi="Arial" w:cs="Arial"/>
                <w:b/>
                <w:bCs/>
                <w:color w:val="000000"/>
                <w:sz w:val="20"/>
              </w:rPr>
              <w:t>Scenario</w:t>
            </w:r>
          </w:p>
        </w:tc>
        <w:tc>
          <w:tcPr>
            <w:tcW w:w="0" w:type="auto"/>
            <w:gridSpan w:val="2"/>
            <w:tcBorders>
              <w:top w:val="single" w:sz="6" w:space="0" w:color="auto"/>
              <w:left w:val="single" w:sz="6" w:space="0" w:color="auto"/>
              <w:bottom w:val="single" w:sz="6" w:space="0" w:color="auto"/>
              <w:right w:val="single" w:sz="6" w:space="0" w:color="auto"/>
            </w:tcBorders>
            <w:shd w:val="solid" w:color="FF99CC" w:fill="auto"/>
          </w:tcPr>
          <w:p w:rsidR="009726AB" w:rsidRPr="00BB4117" w:rsidRDefault="009726AB" w:rsidP="0025246F">
            <w:pPr>
              <w:overflowPunct/>
              <w:spacing w:before="0" w:after="0"/>
              <w:jc w:val="center"/>
              <w:textAlignment w:val="auto"/>
              <w:rPr>
                <w:rFonts w:ascii="Arial" w:hAnsi="Arial" w:cs="Arial"/>
                <w:b/>
                <w:bCs/>
                <w:color w:val="000000"/>
                <w:sz w:val="20"/>
              </w:rPr>
            </w:pPr>
            <w:r w:rsidRPr="00BB4117">
              <w:rPr>
                <w:rFonts w:ascii="Arial" w:hAnsi="Arial" w:cs="Arial"/>
                <w:b/>
                <w:bCs/>
                <w:color w:val="000000"/>
                <w:sz w:val="20"/>
              </w:rPr>
              <w:t>Achievement</w:t>
            </w:r>
          </w:p>
        </w:tc>
        <w:tc>
          <w:tcPr>
            <w:tcW w:w="0" w:type="auto"/>
            <w:gridSpan w:val="2"/>
            <w:tcBorders>
              <w:top w:val="single" w:sz="6" w:space="0" w:color="auto"/>
              <w:left w:val="single" w:sz="6" w:space="0" w:color="auto"/>
              <w:bottom w:val="single" w:sz="6" w:space="0" w:color="auto"/>
              <w:right w:val="single" w:sz="6" w:space="0" w:color="auto"/>
            </w:tcBorders>
            <w:shd w:val="solid" w:color="FF99CC" w:fill="auto"/>
          </w:tcPr>
          <w:p w:rsidR="009726AB" w:rsidRPr="00BB4117" w:rsidRDefault="009726AB" w:rsidP="0025246F">
            <w:pPr>
              <w:overflowPunct/>
              <w:spacing w:before="0" w:after="0"/>
              <w:jc w:val="center"/>
              <w:textAlignment w:val="auto"/>
              <w:rPr>
                <w:rFonts w:ascii="Arial" w:hAnsi="Arial" w:cs="Arial"/>
                <w:b/>
                <w:bCs/>
                <w:color w:val="000000"/>
                <w:sz w:val="20"/>
              </w:rPr>
            </w:pPr>
            <w:r w:rsidRPr="00BB4117">
              <w:rPr>
                <w:rFonts w:ascii="Arial" w:hAnsi="Arial" w:cs="Arial"/>
                <w:b/>
                <w:bCs/>
                <w:color w:val="000000"/>
                <w:sz w:val="20"/>
              </w:rPr>
              <w:t>Long-term goal</w:t>
            </w:r>
          </w:p>
        </w:tc>
      </w:tr>
      <w:tr w:rsidR="009726AB" w:rsidRPr="00BB4117" w:rsidTr="0004593F">
        <w:trPr>
          <w:trHeight w:val="290"/>
        </w:trPr>
        <w:tc>
          <w:tcPr>
            <w:tcW w:w="0" w:type="auto"/>
            <w:tcBorders>
              <w:top w:val="single" w:sz="6" w:space="0" w:color="auto"/>
              <w:left w:val="single" w:sz="6" w:space="0" w:color="auto"/>
              <w:bottom w:val="single" w:sz="6" w:space="0" w:color="auto"/>
              <w:right w:val="single" w:sz="6" w:space="0" w:color="auto"/>
            </w:tcBorders>
          </w:tcPr>
          <w:p w:rsidR="009726AB" w:rsidRPr="00BB4117" w:rsidRDefault="009726AB" w:rsidP="0025246F">
            <w:pPr>
              <w:overflowPunct/>
              <w:spacing w:before="0" w:after="0"/>
              <w:textAlignment w:val="auto"/>
              <w:rPr>
                <w:rFonts w:ascii="Arial" w:hAnsi="Arial" w:cs="Arial"/>
                <w:b/>
                <w:bCs/>
                <w:i/>
                <w:iCs/>
                <w:color w:val="000000"/>
                <w:sz w:val="20"/>
              </w:rPr>
            </w:pPr>
            <w:r w:rsidRPr="00BB4117">
              <w:rPr>
                <w:rFonts w:ascii="Arial" w:hAnsi="Arial" w:cs="Arial"/>
                <w:b/>
                <w:bCs/>
                <w:i/>
                <w:iCs/>
                <w:color w:val="000000"/>
                <w:sz w:val="20"/>
              </w:rPr>
              <w:t>Life cycle stage</w:t>
            </w:r>
          </w:p>
        </w:tc>
        <w:tc>
          <w:tcPr>
            <w:tcW w:w="0" w:type="auto"/>
            <w:tcBorders>
              <w:top w:val="single" w:sz="6" w:space="0" w:color="auto"/>
              <w:left w:val="single" w:sz="6" w:space="0" w:color="auto"/>
              <w:bottom w:val="single" w:sz="6" w:space="0" w:color="auto"/>
              <w:right w:val="single" w:sz="6" w:space="0" w:color="auto"/>
            </w:tcBorders>
          </w:tcPr>
          <w:p w:rsidR="009726AB" w:rsidRPr="00BB4117" w:rsidRDefault="009726AB" w:rsidP="0025246F">
            <w:pPr>
              <w:overflowPunct/>
              <w:spacing w:before="0" w:after="0"/>
              <w:jc w:val="center"/>
              <w:textAlignment w:val="auto"/>
              <w:rPr>
                <w:rFonts w:ascii="Arial" w:hAnsi="Arial" w:cs="Arial"/>
                <w:color w:val="000000"/>
                <w:sz w:val="20"/>
              </w:rPr>
            </w:pPr>
            <w:r w:rsidRPr="00BB4117">
              <w:rPr>
                <w:rFonts w:ascii="Arial" w:hAnsi="Arial" w:cs="Arial"/>
                <w:color w:val="000000"/>
                <w:sz w:val="20"/>
              </w:rPr>
              <w:t>CTUe/km</w:t>
            </w:r>
          </w:p>
        </w:tc>
        <w:tc>
          <w:tcPr>
            <w:tcW w:w="0" w:type="auto"/>
            <w:tcBorders>
              <w:top w:val="single" w:sz="6" w:space="0" w:color="auto"/>
              <w:left w:val="single" w:sz="6" w:space="0" w:color="auto"/>
              <w:bottom w:val="single" w:sz="6" w:space="0" w:color="auto"/>
              <w:right w:val="single" w:sz="6" w:space="0" w:color="auto"/>
            </w:tcBorders>
          </w:tcPr>
          <w:p w:rsidR="009726AB" w:rsidRPr="00BB4117" w:rsidRDefault="009726AB" w:rsidP="0025246F">
            <w:pPr>
              <w:overflowPunct/>
              <w:spacing w:before="0" w:after="0"/>
              <w:jc w:val="center"/>
              <w:textAlignment w:val="auto"/>
              <w:rPr>
                <w:rFonts w:ascii="Arial" w:hAnsi="Arial" w:cs="Arial"/>
                <w:color w:val="000000"/>
                <w:sz w:val="20"/>
              </w:rPr>
            </w:pPr>
            <w:r w:rsidRPr="00BB4117">
              <w:rPr>
                <w:rFonts w:ascii="Arial" w:hAnsi="Arial" w:cs="Arial"/>
                <w:color w:val="000000"/>
                <w:sz w:val="20"/>
              </w:rPr>
              <w:t>CTUe/kWh</w:t>
            </w:r>
          </w:p>
        </w:tc>
        <w:tc>
          <w:tcPr>
            <w:tcW w:w="0" w:type="auto"/>
            <w:tcBorders>
              <w:top w:val="single" w:sz="6" w:space="0" w:color="auto"/>
              <w:left w:val="single" w:sz="6" w:space="0" w:color="auto"/>
              <w:bottom w:val="single" w:sz="6" w:space="0" w:color="auto"/>
              <w:right w:val="single" w:sz="6" w:space="0" w:color="auto"/>
            </w:tcBorders>
          </w:tcPr>
          <w:p w:rsidR="009726AB" w:rsidRPr="00BB4117" w:rsidRDefault="009726AB" w:rsidP="00F9182D">
            <w:pPr>
              <w:overflowPunct/>
              <w:spacing w:before="0" w:after="0"/>
              <w:jc w:val="center"/>
              <w:textAlignment w:val="auto"/>
              <w:rPr>
                <w:rFonts w:ascii="Arial" w:hAnsi="Arial" w:cs="Arial"/>
                <w:color w:val="000000"/>
                <w:sz w:val="20"/>
              </w:rPr>
            </w:pPr>
            <w:r w:rsidRPr="00BB4117">
              <w:rPr>
                <w:rFonts w:ascii="Arial" w:hAnsi="Arial" w:cs="Arial"/>
                <w:color w:val="000000"/>
                <w:sz w:val="20"/>
              </w:rPr>
              <w:t>CTUe/km</w:t>
            </w:r>
          </w:p>
        </w:tc>
        <w:tc>
          <w:tcPr>
            <w:tcW w:w="0" w:type="auto"/>
            <w:tcBorders>
              <w:top w:val="single" w:sz="6" w:space="0" w:color="auto"/>
              <w:left w:val="single" w:sz="6" w:space="0" w:color="auto"/>
              <w:bottom w:val="single" w:sz="6" w:space="0" w:color="auto"/>
              <w:right w:val="single" w:sz="6" w:space="0" w:color="auto"/>
            </w:tcBorders>
          </w:tcPr>
          <w:p w:rsidR="009726AB" w:rsidRPr="00BB4117" w:rsidRDefault="009726AB" w:rsidP="00F9182D">
            <w:pPr>
              <w:overflowPunct/>
              <w:spacing w:before="0" w:after="0"/>
              <w:jc w:val="center"/>
              <w:textAlignment w:val="auto"/>
              <w:rPr>
                <w:rFonts w:ascii="Arial" w:hAnsi="Arial" w:cs="Arial"/>
                <w:color w:val="000000"/>
                <w:sz w:val="20"/>
              </w:rPr>
            </w:pPr>
            <w:r w:rsidRPr="00BB4117">
              <w:rPr>
                <w:rFonts w:ascii="Arial" w:hAnsi="Arial" w:cs="Arial"/>
                <w:color w:val="000000"/>
                <w:sz w:val="20"/>
              </w:rPr>
              <w:t>CTUe/kWh</w:t>
            </w:r>
          </w:p>
        </w:tc>
      </w:tr>
      <w:tr w:rsidR="009726AB" w:rsidRPr="00BB4117" w:rsidTr="0004593F">
        <w:trPr>
          <w:trHeight w:val="290"/>
        </w:trPr>
        <w:tc>
          <w:tcPr>
            <w:tcW w:w="0" w:type="auto"/>
            <w:tcBorders>
              <w:top w:val="single" w:sz="6" w:space="0" w:color="auto"/>
              <w:left w:val="single" w:sz="6" w:space="0" w:color="auto"/>
              <w:bottom w:val="single" w:sz="6" w:space="0" w:color="auto"/>
              <w:right w:val="single" w:sz="6" w:space="0" w:color="auto"/>
            </w:tcBorders>
          </w:tcPr>
          <w:p w:rsidR="009726AB" w:rsidRPr="00BB4117" w:rsidRDefault="009726AB" w:rsidP="0025246F">
            <w:pPr>
              <w:overflowPunct/>
              <w:spacing w:before="0" w:after="0"/>
              <w:textAlignment w:val="auto"/>
              <w:rPr>
                <w:rFonts w:ascii="Arial" w:hAnsi="Arial" w:cs="Arial"/>
                <w:b/>
                <w:bCs/>
                <w:i/>
                <w:iCs/>
                <w:color w:val="000000"/>
                <w:sz w:val="20"/>
              </w:rPr>
            </w:pPr>
            <w:r w:rsidRPr="00BB4117">
              <w:rPr>
                <w:rFonts w:ascii="Arial" w:hAnsi="Arial" w:cs="Arial"/>
                <w:b/>
                <w:bCs/>
                <w:i/>
                <w:iCs/>
                <w:color w:val="000000"/>
                <w:sz w:val="20"/>
              </w:rPr>
              <w:t>Production</w:t>
            </w:r>
          </w:p>
        </w:tc>
        <w:tc>
          <w:tcPr>
            <w:tcW w:w="0" w:type="auto"/>
            <w:tcBorders>
              <w:top w:val="single" w:sz="6" w:space="0" w:color="auto"/>
              <w:left w:val="single" w:sz="6" w:space="0" w:color="auto"/>
              <w:bottom w:val="single" w:sz="6" w:space="0" w:color="auto"/>
              <w:right w:val="single" w:sz="6" w:space="0" w:color="auto"/>
            </w:tcBorders>
          </w:tcPr>
          <w:p w:rsidR="009726AB" w:rsidRPr="00BB4117" w:rsidRDefault="009726AB" w:rsidP="0025246F">
            <w:pPr>
              <w:overflowPunct/>
              <w:spacing w:before="0" w:after="0"/>
              <w:jc w:val="center"/>
              <w:textAlignment w:val="auto"/>
              <w:rPr>
                <w:rFonts w:ascii="Arial" w:hAnsi="Arial" w:cs="Arial"/>
                <w:color w:val="000000"/>
                <w:sz w:val="20"/>
              </w:rPr>
            </w:pPr>
            <w:r w:rsidRPr="00BB4117">
              <w:rPr>
                <w:rFonts w:ascii="Arial" w:hAnsi="Arial" w:cs="Arial"/>
                <w:color w:val="000000"/>
                <w:sz w:val="20"/>
              </w:rPr>
              <w:t>3.6</w:t>
            </w:r>
          </w:p>
        </w:tc>
        <w:tc>
          <w:tcPr>
            <w:tcW w:w="0" w:type="auto"/>
            <w:tcBorders>
              <w:top w:val="single" w:sz="6" w:space="0" w:color="auto"/>
              <w:left w:val="single" w:sz="6" w:space="0" w:color="auto"/>
              <w:bottom w:val="single" w:sz="6" w:space="0" w:color="auto"/>
              <w:right w:val="single" w:sz="6" w:space="0" w:color="auto"/>
            </w:tcBorders>
          </w:tcPr>
          <w:p w:rsidR="009726AB" w:rsidRPr="00BB4117" w:rsidRDefault="009726AB" w:rsidP="00F9182D">
            <w:pPr>
              <w:overflowPunct/>
              <w:spacing w:before="0" w:after="0"/>
              <w:jc w:val="center"/>
              <w:textAlignment w:val="auto"/>
              <w:rPr>
                <w:rFonts w:ascii="Arial" w:hAnsi="Arial" w:cs="Arial"/>
                <w:color w:val="000000"/>
                <w:sz w:val="20"/>
              </w:rPr>
            </w:pPr>
            <w:r w:rsidRPr="00BB4117">
              <w:rPr>
                <w:rFonts w:ascii="Arial" w:hAnsi="Arial" w:cs="Arial"/>
                <w:color w:val="000000"/>
                <w:sz w:val="20"/>
              </w:rPr>
              <w:t>16</w:t>
            </w:r>
          </w:p>
        </w:tc>
        <w:tc>
          <w:tcPr>
            <w:tcW w:w="0" w:type="auto"/>
            <w:tcBorders>
              <w:top w:val="single" w:sz="6" w:space="0" w:color="auto"/>
              <w:left w:val="single" w:sz="6" w:space="0" w:color="auto"/>
              <w:bottom w:val="single" w:sz="6" w:space="0" w:color="auto"/>
              <w:right w:val="single" w:sz="6" w:space="0" w:color="auto"/>
            </w:tcBorders>
          </w:tcPr>
          <w:p w:rsidR="009726AB" w:rsidRPr="00BB4117" w:rsidRDefault="009726AB" w:rsidP="0025246F">
            <w:pPr>
              <w:overflowPunct/>
              <w:spacing w:before="0" w:after="0"/>
              <w:jc w:val="center"/>
              <w:textAlignment w:val="auto"/>
              <w:rPr>
                <w:rFonts w:ascii="Arial" w:hAnsi="Arial" w:cs="Arial"/>
                <w:color w:val="000000"/>
                <w:sz w:val="20"/>
              </w:rPr>
            </w:pPr>
            <w:r w:rsidRPr="00BB4117">
              <w:rPr>
                <w:rFonts w:ascii="Arial" w:hAnsi="Arial" w:cs="Arial"/>
                <w:color w:val="000000"/>
                <w:sz w:val="20"/>
              </w:rPr>
              <w:t>0.0464</w:t>
            </w:r>
          </w:p>
        </w:tc>
        <w:tc>
          <w:tcPr>
            <w:tcW w:w="0" w:type="auto"/>
            <w:tcBorders>
              <w:top w:val="single" w:sz="6" w:space="0" w:color="auto"/>
              <w:left w:val="single" w:sz="6" w:space="0" w:color="auto"/>
              <w:bottom w:val="single" w:sz="6" w:space="0" w:color="auto"/>
              <w:right w:val="single" w:sz="6" w:space="0" w:color="auto"/>
            </w:tcBorders>
          </w:tcPr>
          <w:p w:rsidR="009726AB" w:rsidRPr="00BB4117" w:rsidRDefault="009726AB" w:rsidP="00F9182D">
            <w:pPr>
              <w:overflowPunct/>
              <w:spacing w:before="0" w:after="0"/>
              <w:jc w:val="center"/>
              <w:textAlignment w:val="auto"/>
              <w:rPr>
                <w:rFonts w:ascii="Arial" w:hAnsi="Arial" w:cs="Arial"/>
                <w:color w:val="000000"/>
                <w:sz w:val="20"/>
              </w:rPr>
            </w:pPr>
            <w:r w:rsidRPr="00BB4117">
              <w:rPr>
                <w:rFonts w:ascii="Arial" w:hAnsi="Arial" w:cs="Arial"/>
                <w:color w:val="000000"/>
                <w:sz w:val="20"/>
              </w:rPr>
              <w:t>0.25</w:t>
            </w:r>
          </w:p>
        </w:tc>
      </w:tr>
      <w:tr w:rsidR="009726AB" w:rsidRPr="00BB4117" w:rsidTr="0004593F">
        <w:trPr>
          <w:trHeight w:val="290"/>
        </w:trPr>
        <w:tc>
          <w:tcPr>
            <w:tcW w:w="0" w:type="auto"/>
            <w:tcBorders>
              <w:top w:val="single" w:sz="6" w:space="0" w:color="auto"/>
              <w:left w:val="single" w:sz="6" w:space="0" w:color="auto"/>
              <w:bottom w:val="single" w:sz="6" w:space="0" w:color="auto"/>
              <w:right w:val="single" w:sz="6" w:space="0" w:color="auto"/>
            </w:tcBorders>
          </w:tcPr>
          <w:p w:rsidR="009726AB" w:rsidRPr="00BB4117" w:rsidRDefault="009726AB" w:rsidP="008C217D">
            <w:pPr>
              <w:overflowPunct/>
              <w:spacing w:before="0" w:after="0"/>
              <w:textAlignment w:val="auto"/>
              <w:rPr>
                <w:rFonts w:ascii="Arial" w:hAnsi="Arial" w:cs="Arial"/>
                <w:b/>
                <w:bCs/>
                <w:i/>
                <w:iCs/>
                <w:color w:val="000000"/>
                <w:sz w:val="20"/>
              </w:rPr>
            </w:pPr>
            <w:r w:rsidRPr="00BB4117">
              <w:rPr>
                <w:rFonts w:ascii="Arial" w:hAnsi="Arial" w:cs="Arial"/>
                <w:b/>
                <w:bCs/>
                <w:i/>
                <w:iCs/>
                <w:color w:val="000000"/>
                <w:sz w:val="20"/>
              </w:rPr>
              <w:t>Use</w:t>
            </w:r>
            <w:r w:rsidRPr="00BB4117">
              <w:rPr>
                <w:rFonts w:ascii="Arial" w:hAnsi="Arial" w:cs="Arial"/>
                <w:bCs/>
                <w:i/>
                <w:iCs/>
                <w:color w:val="000000"/>
                <w:sz w:val="20"/>
              </w:rPr>
              <w:t>*</w:t>
            </w:r>
          </w:p>
        </w:tc>
        <w:tc>
          <w:tcPr>
            <w:tcW w:w="0" w:type="auto"/>
            <w:tcBorders>
              <w:top w:val="single" w:sz="6" w:space="0" w:color="auto"/>
              <w:left w:val="single" w:sz="6" w:space="0" w:color="auto"/>
              <w:bottom w:val="single" w:sz="6" w:space="0" w:color="auto"/>
              <w:right w:val="single" w:sz="6" w:space="0" w:color="auto"/>
            </w:tcBorders>
          </w:tcPr>
          <w:p w:rsidR="009726AB" w:rsidRPr="00BB4117" w:rsidRDefault="009726AB" w:rsidP="00106FAF">
            <w:pPr>
              <w:overflowPunct/>
              <w:spacing w:before="0" w:after="0"/>
              <w:jc w:val="center"/>
              <w:textAlignment w:val="auto"/>
              <w:rPr>
                <w:rFonts w:ascii="Arial" w:hAnsi="Arial" w:cs="Arial"/>
                <w:color w:val="000000"/>
                <w:sz w:val="20"/>
              </w:rPr>
            </w:pPr>
            <w:r w:rsidRPr="00BB4117">
              <w:rPr>
                <w:rFonts w:ascii="Arial" w:hAnsi="Arial" w:cs="Arial"/>
                <w:color w:val="000000"/>
                <w:sz w:val="20"/>
              </w:rPr>
              <w:t>0.6</w:t>
            </w:r>
          </w:p>
        </w:tc>
        <w:tc>
          <w:tcPr>
            <w:tcW w:w="0" w:type="auto"/>
            <w:tcBorders>
              <w:top w:val="single" w:sz="6" w:space="0" w:color="auto"/>
              <w:left w:val="single" w:sz="6" w:space="0" w:color="auto"/>
              <w:bottom w:val="single" w:sz="6" w:space="0" w:color="auto"/>
              <w:right w:val="single" w:sz="6" w:space="0" w:color="auto"/>
            </w:tcBorders>
          </w:tcPr>
          <w:p w:rsidR="009726AB" w:rsidRPr="00BB4117" w:rsidRDefault="009726AB" w:rsidP="00F9182D">
            <w:pPr>
              <w:overflowPunct/>
              <w:spacing w:before="0" w:after="0"/>
              <w:jc w:val="center"/>
              <w:textAlignment w:val="auto"/>
              <w:rPr>
                <w:rFonts w:ascii="Arial" w:hAnsi="Arial" w:cs="Arial"/>
                <w:color w:val="000000"/>
                <w:sz w:val="20"/>
              </w:rPr>
            </w:pPr>
            <w:r w:rsidRPr="00BB4117">
              <w:rPr>
                <w:rFonts w:ascii="Arial" w:hAnsi="Arial" w:cs="Arial"/>
                <w:color w:val="000000"/>
                <w:sz w:val="20"/>
              </w:rPr>
              <w:t>2.8</w:t>
            </w:r>
          </w:p>
        </w:tc>
        <w:tc>
          <w:tcPr>
            <w:tcW w:w="0" w:type="auto"/>
            <w:tcBorders>
              <w:top w:val="single" w:sz="6" w:space="0" w:color="auto"/>
              <w:left w:val="single" w:sz="6" w:space="0" w:color="auto"/>
              <w:bottom w:val="single" w:sz="6" w:space="0" w:color="auto"/>
              <w:right w:val="single" w:sz="6" w:space="0" w:color="auto"/>
            </w:tcBorders>
          </w:tcPr>
          <w:p w:rsidR="009726AB" w:rsidRPr="00BB4117" w:rsidRDefault="009726AB" w:rsidP="0025246F">
            <w:pPr>
              <w:overflowPunct/>
              <w:spacing w:before="0" w:after="0"/>
              <w:jc w:val="center"/>
              <w:textAlignment w:val="auto"/>
              <w:rPr>
                <w:rFonts w:ascii="Arial" w:hAnsi="Arial" w:cs="Arial"/>
                <w:color w:val="000000"/>
                <w:sz w:val="20"/>
              </w:rPr>
            </w:pPr>
            <w:r w:rsidRPr="00BB4117">
              <w:rPr>
                <w:rFonts w:ascii="Arial" w:hAnsi="Arial" w:cs="Arial"/>
                <w:color w:val="000000"/>
                <w:sz w:val="20"/>
              </w:rPr>
              <w:t>0.214</w:t>
            </w:r>
          </w:p>
        </w:tc>
        <w:tc>
          <w:tcPr>
            <w:tcW w:w="0" w:type="auto"/>
            <w:tcBorders>
              <w:top w:val="single" w:sz="6" w:space="0" w:color="auto"/>
              <w:left w:val="single" w:sz="6" w:space="0" w:color="auto"/>
              <w:bottom w:val="single" w:sz="6" w:space="0" w:color="auto"/>
              <w:right w:val="single" w:sz="6" w:space="0" w:color="auto"/>
            </w:tcBorders>
          </w:tcPr>
          <w:p w:rsidR="009726AB" w:rsidRPr="00BB4117" w:rsidRDefault="009726AB" w:rsidP="00F9182D">
            <w:pPr>
              <w:overflowPunct/>
              <w:spacing w:before="0" w:after="0"/>
              <w:jc w:val="center"/>
              <w:textAlignment w:val="auto"/>
              <w:rPr>
                <w:rFonts w:ascii="Arial" w:hAnsi="Arial" w:cs="Arial"/>
                <w:color w:val="000000"/>
                <w:sz w:val="20"/>
              </w:rPr>
            </w:pPr>
            <w:r w:rsidRPr="00BB4117">
              <w:rPr>
                <w:rFonts w:ascii="Arial" w:hAnsi="Arial" w:cs="Arial"/>
                <w:color w:val="000000"/>
                <w:sz w:val="20"/>
              </w:rPr>
              <w:t>1.1</w:t>
            </w:r>
          </w:p>
        </w:tc>
      </w:tr>
      <w:tr w:rsidR="009726AB" w:rsidRPr="00BB4117" w:rsidTr="0004593F">
        <w:trPr>
          <w:trHeight w:val="290"/>
        </w:trPr>
        <w:tc>
          <w:tcPr>
            <w:tcW w:w="0" w:type="auto"/>
            <w:tcBorders>
              <w:top w:val="single" w:sz="6" w:space="0" w:color="auto"/>
              <w:left w:val="single" w:sz="6" w:space="0" w:color="auto"/>
              <w:bottom w:val="single" w:sz="6" w:space="0" w:color="auto"/>
              <w:right w:val="single" w:sz="6" w:space="0" w:color="auto"/>
            </w:tcBorders>
            <w:shd w:val="solid" w:color="C0C0C0" w:fill="auto"/>
          </w:tcPr>
          <w:p w:rsidR="009726AB" w:rsidRPr="00BB4117" w:rsidRDefault="009726AB" w:rsidP="0025246F">
            <w:pPr>
              <w:overflowPunct/>
              <w:spacing w:before="0" w:after="0"/>
              <w:textAlignment w:val="auto"/>
              <w:rPr>
                <w:rFonts w:ascii="Arial" w:hAnsi="Arial" w:cs="Arial"/>
                <w:b/>
                <w:bCs/>
                <w:i/>
                <w:iCs/>
                <w:color w:val="000000"/>
                <w:sz w:val="20"/>
              </w:rPr>
            </w:pPr>
            <w:r w:rsidRPr="00BB4117">
              <w:rPr>
                <w:rFonts w:ascii="Arial" w:hAnsi="Arial" w:cs="Arial"/>
                <w:b/>
                <w:bCs/>
                <w:i/>
                <w:iCs/>
                <w:color w:val="000000"/>
                <w:sz w:val="20"/>
              </w:rPr>
              <w:t>Subtotal</w:t>
            </w:r>
          </w:p>
        </w:tc>
        <w:tc>
          <w:tcPr>
            <w:tcW w:w="0" w:type="auto"/>
            <w:tcBorders>
              <w:top w:val="single" w:sz="6" w:space="0" w:color="auto"/>
              <w:left w:val="single" w:sz="6" w:space="0" w:color="auto"/>
              <w:bottom w:val="single" w:sz="6" w:space="0" w:color="auto"/>
              <w:right w:val="single" w:sz="6" w:space="0" w:color="auto"/>
            </w:tcBorders>
            <w:shd w:val="solid" w:color="C0C0C0" w:fill="auto"/>
          </w:tcPr>
          <w:p w:rsidR="009726AB" w:rsidRPr="00BB4117" w:rsidRDefault="009726AB" w:rsidP="0025246F">
            <w:pPr>
              <w:overflowPunct/>
              <w:spacing w:before="0" w:after="0"/>
              <w:jc w:val="center"/>
              <w:textAlignment w:val="auto"/>
              <w:rPr>
                <w:rFonts w:ascii="Arial" w:hAnsi="Arial" w:cs="Arial"/>
                <w:color w:val="000000"/>
                <w:sz w:val="20"/>
              </w:rPr>
            </w:pPr>
            <w:r w:rsidRPr="00BB4117">
              <w:rPr>
                <w:rFonts w:ascii="Arial" w:hAnsi="Arial" w:cs="Arial"/>
                <w:color w:val="000000"/>
                <w:sz w:val="20"/>
              </w:rPr>
              <w:t>4.2</w:t>
            </w:r>
          </w:p>
        </w:tc>
        <w:tc>
          <w:tcPr>
            <w:tcW w:w="0" w:type="auto"/>
            <w:tcBorders>
              <w:top w:val="single" w:sz="6" w:space="0" w:color="auto"/>
              <w:left w:val="single" w:sz="6" w:space="0" w:color="auto"/>
              <w:bottom w:val="single" w:sz="6" w:space="0" w:color="auto"/>
              <w:right w:val="single" w:sz="6" w:space="0" w:color="auto"/>
            </w:tcBorders>
            <w:shd w:val="solid" w:color="C0C0C0" w:fill="auto"/>
          </w:tcPr>
          <w:p w:rsidR="009726AB" w:rsidRPr="00BB4117" w:rsidRDefault="009726AB" w:rsidP="00F9182D">
            <w:pPr>
              <w:overflowPunct/>
              <w:spacing w:before="0" w:after="0"/>
              <w:jc w:val="center"/>
              <w:textAlignment w:val="auto"/>
              <w:rPr>
                <w:rFonts w:ascii="Arial" w:hAnsi="Arial" w:cs="Arial"/>
                <w:color w:val="000000"/>
                <w:sz w:val="20"/>
              </w:rPr>
            </w:pPr>
            <w:r w:rsidRPr="00BB4117">
              <w:rPr>
                <w:rFonts w:ascii="Arial" w:hAnsi="Arial" w:cs="Arial"/>
                <w:color w:val="000000"/>
                <w:sz w:val="20"/>
              </w:rPr>
              <w:t>19</w:t>
            </w:r>
          </w:p>
        </w:tc>
        <w:tc>
          <w:tcPr>
            <w:tcW w:w="0" w:type="auto"/>
            <w:tcBorders>
              <w:top w:val="single" w:sz="6" w:space="0" w:color="auto"/>
              <w:left w:val="single" w:sz="6" w:space="0" w:color="auto"/>
              <w:bottom w:val="single" w:sz="6" w:space="0" w:color="auto"/>
              <w:right w:val="single" w:sz="6" w:space="0" w:color="auto"/>
            </w:tcBorders>
            <w:shd w:val="solid" w:color="C0C0C0" w:fill="auto"/>
          </w:tcPr>
          <w:p w:rsidR="009726AB" w:rsidRPr="00BB4117" w:rsidRDefault="009726AB" w:rsidP="0025246F">
            <w:pPr>
              <w:overflowPunct/>
              <w:spacing w:before="0" w:after="0"/>
              <w:jc w:val="center"/>
              <w:textAlignment w:val="auto"/>
              <w:rPr>
                <w:rFonts w:ascii="Arial" w:hAnsi="Arial" w:cs="Arial"/>
                <w:color w:val="000000"/>
                <w:sz w:val="20"/>
              </w:rPr>
            </w:pPr>
            <w:r w:rsidRPr="00BB4117">
              <w:rPr>
                <w:rFonts w:ascii="Arial" w:hAnsi="Arial" w:cs="Arial"/>
                <w:color w:val="000000"/>
                <w:sz w:val="20"/>
              </w:rPr>
              <w:t>0.3</w:t>
            </w:r>
          </w:p>
        </w:tc>
        <w:tc>
          <w:tcPr>
            <w:tcW w:w="0" w:type="auto"/>
            <w:tcBorders>
              <w:top w:val="single" w:sz="6" w:space="0" w:color="auto"/>
              <w:left w:val="single" w:sz="6" w:space="0" w:color="auto"/>
              <w:bottom w:val="single" w:sz="6" w:space="0" w:color="auto"/>
              <w:right w:val="single" w:sz="6" w:space="0" w:color="auto"/>
            </w:tcBorders>
            <w:shd w:val="solid" w:color="C0C0C0" w:fill="auto"/>
          </w:tcPr>
          <w:p w:rsidR="009726AB" w:rsidRPr="00BB4117" w:rsidRDefault="009726AB" w:rsidP="00F9182D">
            <w:pPr>
              <w:overflowPunct/>
              <w:spacing w:before="0" w:after="0"/>
              <w:jc w:val="center"/>
              <w:textAlignment w:val="auto"/>
              <w:rPr>
                <w:rFonts w:ascii="Arial" w:hAnsi="Arial" w:cs="Arial"/>
                <w:color w:val="000000"/>
                <w:sz w:val="20"/>
              </w:rPr>
            </w:pPr>
            <w:r w:rsidRPr="00BB4117">
              <w:rPr>
                <w:rFonts w:ascii="Arial" w:hAnsi="Arial" w:cs="Arial"/>
                <w:color w:val="000000"/>
                <w:sz w:val="20"/>
              </w:rPr>
              <w:t>1.4</w:t>
            </w:r>
          </w:p>
        </w:tc>
      </w:tr>
      <w:tr w:rsidR="009726AB" w:rsidRPr="00BB4117" w:rsidTr="0004593F">
        <w:trPr>
          <w:trHeight w:val="290"/>
        </w:trPr>
        <w:tc>
          <w:tcPr>
            <w:tcW w:w="0" w:type="auto"/>
            <w:tcBorders>
              <w:top w:val="single" w:sz="6" w:space="0" w:color="auto"/>
              <w:left w:val="single" w:sz="6" w:space="0" w:color="auto"/>
              <w:bottom w:val="single" w:sz="6" w:space="0" w:color="auto"/>
              <w:right w:val="single" w:sz="6" w:space="0" w:color="auto"/>
            </w:tcBorders>
          </w:tcPr>
          <w:p w:rsidR="009726AB" w:rsidRPr="00BB4117" w:rsidRDefault="009726AB" w:rsidP="0025246F">
            <w:pPr>
              <w:overflowPunct/>
              <w:spacing w:before="0" w:after="0"/>
              <w:textAlignment w:val="auto"/>
              <w:rPr>
                <w:rFonts w:ascii="Arial" w:hAnsi="Arial" w:cs="Arial"/>
                <w:b/>
                <w:bCs/>
                <w:i/>
                <w:iCs/>
                <w:color w:val="000000"/>
                <w:sz w:val="20"/>
              </w:rPr>
            </w:pPr>
            <w:r w:rsidRPr="00BB4117">
              <w:rPr>
                <w:rFonts w:ascii="Arial" w:hAnsi="Arial" w:cs="Arial"/>
                <w:b/>
                <w:bCs/>
                <w:i/>
                <w:iCs/>
                <w:color w:val="000000"/>
                <w:sz w:val="20"/>
              </w:rPr>
              <w:t>End-of-life</w:t>
            </w:r>
          </w:p>
        </w:tc>
        <w:tc>
          <w:tcPr>
            <w:tcW w:w="0" w:type="auto"/>
            <w:tcBorders>
              <w:top w:val="single" w:sz="6" w:space="0" w:color="auto"/>
              <w:left w:val="single" w:sz="6" w:space="0" w:color="auto"/>
              <w:bottom w:val="single" w:sz="6" w:space="0" w:color="auto"/>
              <w:right w:val="single" w:sz="6" w:space="0" w:color="auto"/>
            </w:tcBorders>
          </w:tcPr>
          <w:p w:rsidR="009726AB" w:rsidRPr="00BB4117" w:rsidRDefault="009726AB" w:rsidP="0025246F">
            <w:pPr>
              <w:overflowPunct/>
              <w:spacing w:before="0" w:after="0"/>
              <w:jc w:val="center"/>
              <w:textAlignment w:val="auto"/>
              <w:rPr>
                <w:rFonts w:ascii="Arial" w:hAnsi="Arial" w:cs="Arial"/>
                <w:color w:val="000000"/>
                <w:sz w:val="20"/>
              </w:rPr>
            </w:pPr>
            <w:r w:rsidRPr="00BB4117">
              <w:rPr>
                <w:rFonts w:ascii="Arial" w:hAnsi="Arial" w:cs="Arial"/>
                <w:color w:val="000000"/>
                <w:sz w:val="20"/>
              </w:rPr>
              <w:t>-1.1</w:t>
            </w:r>
          </w:p>
        </w:tc>
        <w:tc>
          <w:tcPr>
            <w:tcW w:w="0" w:type="auto"/>
            <w:tcBorders>
              <w:top w:val="single" w:sz="6" w:space="0" w:color="auto"/>
              <w:left w:val="single" w:sz="6" w:space="0" w:color="auto"/>
              <w:bottom w:val="single" w:sz="6" w:space="0" w:color="auto"/>
              <w:right w:val="single" w:sz="6" w:space="0" w:color="auto"/>
            </w:tcBorders>
          </w:tcPr>
          <w:p w:rsidR="009726AB" w:rsidRPr="00BB4117" w:rsidRDefault="009726AB" w:rsidP="00F9182D">
            <w:pPr>
              <w:overflowPunct/>
              <w:spacing w:before="0" w:after="0"/>
              <w:jc w:val="center"/>
              <w:textAlignment w:val="auto"/>
              <w:rPr>
                <w:rFonts w:ascii="Arial" w:hAnsi="Arial" w:cs="Arial"/>
                <w:color w:val="000000"/>
                <w:sz w:val="20"/>
              </w:rPr>
            </w:pPr>
            <w:r w:rsidRPr="00BB4117">
              <w:rPr>
                <w:rFonts w:ascii="Arial" w:hAnsi="Arial" w:cs="Arial"/>
                <w:color w:val="000000"/>
                <w:sz w:val="20"/>
              </w:rPr>
              <w:t>-4.8</w:t>
            </w:r>
          </w:p>
        </w:tc>
        <w:tc>
          <w:tcPr>
            <w:tcW w:w="0" w:type="auto"/>
            <w:tcBorders>
              <w:top w:val="single" w:sz="6" w:space="0" w:color="auto"/>
              <w:left w:val="single" w:sz="6" w:space="0" w:color="auto"/>
              <w:bottom w:val="single" w:sz="6" w:space="0" w:color="auto"/>
              <w:right w:val="single" w:sz="6" w:space="0" w:color="auto"/>
            </w:tcBorders>
          </w:tcPr>
          <w:p w:rsidR="009726AB" w:rsidRPr="00BB4117" w:rsidRDefault="009726AB" w:rsidP="0025246F">
            <w:pPr>
              <w:overflowPunct/>
              <w:spacing w:before="0" w:after="0"/>
              <w:jc w:val="center"/>
              <w:textAlignment w:val="auto"/>
              <w:rPr>
                <w:rFonts w:ascii="Arial" w:hAnsi="Arial" w:cs="Arial"/>
                <w:color w:val="000000"/>
                <w:sz w:val="20"/>
              </w:rPr>
            </w:pPr>
            <w:r w:rsidRPr="00BB4117">
              <w:rPr>
                <w:rFonts w:ascii="Arial" w:hAnsi="Arial" w:cs="Arial"/>
                <w:color w:val="000000"/>
                <w:sz w:val="20"/>
              </w:rPr>
              <w:t>-0.0142</w:t>
            </w:r>
          </w:p>
        </w:tc>
        <w:tc>
          <w:tcPr>
            <w:tcW w:w="0" w:type="auto"/>
            <w:tcBorders>
              <w:top w:val="single" w:sz="6" w:space="0" w:color="auto"/>
              <w:left w:val="single" w:sz="6" w:space="0" w:color="auto"/>
              <w:bottom w:val="single" w:sz="6" w:space="0" w:color="auto"/>
              <w:right w:val="single" w:sz="6" w:space="0" w:color="auto"/>
            </w:tcBorders>
          </w:tcPr>
          <w:p w:rsidR="009726AB" w:rsidRPr="00BB4117" w:rsidRDefault="009726AB" w:rsidP="00F9182D">
            <w:pPr>
              <w:overflowPunct/>
              <w:spacing w:before="0" w:after="0"/>
              <w:jc w:val="center"/>
              <w:textAlignment w:val="auto"/>
              <w:rPr>
                <w:rFonts w:ascii="Arial" w:hAnsi="Arial" w:cs="Arial"/>
                <w:color w:val="000000"/>
                <w:sz w:val="20"/>
              </w:rPr>
            </w:pPr>
            <w:r w:rsidRPr="00BB4117">
              <w:rPr>
                <w:rFonts w:ascii="Arial" w:hAnsi="Arial" w:cs="Arial"/>
                <w:color w:val="000000"/>
                <w:sz w:val="20"/>
              </w:rPr>
              <w:t>-0.076</w:t>
            </w:r>
          </w:p>
        </w:tc>
      </w:tr>
      <w:tr w:rsidR="009726AB" w:rsidRPr="00BB4117" w:rsidTr="001655FA">
        <w:trPr>
          <w:trHeight w:val="290"/>
        </w:trPr>
        <w:tc>
          <w:tcPr>
            <w:tcW w:w="0" w:type="auto"/>
            <w:tcBorders>
              <w:top w:val="single" w:sz="6" w:space="0" w:color="auto"/>
              <w:left w:val="single" w:sz="6" w:space="0" w:color="auto"/>
              <w:bottom w:val="single" w:sz="6" w:space="0" w:color="auto"/>
              <w:right w:val="single" w:sz="6" w:space="0" w:color="auto"/>
            </w:tcBorders>
            <w:shd w:val="solid" w:color="C0C0C0" w:fill="auto"/>
          </w:tcPr>
          <w:p w:rsidR="009726AB" w:rsidRPr="00BB4117" w:rsidRDefault="009726AB" w:rsidP="0025246F">
            <w:pPr>
              <w:overflowPunct/>
              <w:spacing w:before="0" w:after="0"/>
              <w:textAlignment w:val="auto"/>
              <w:rPr>
                <w:rFonts w:ascii="Arial" w:hAnsi="Arial" w:cs="Arial"/>
                <w:b/>
                <w:bCs/>
                <w:i/>
                <w:iCs/>
                <w:color w:val="000000"/>
                <w:sz w:val="20"/>
              </w:rPr>
            </w:pPr>
            <w:r w:rsidRPr="00BB4117">
              <w:rPr>
                <w:rFonts w:ascii="Arial" w:hAnsi="Arial" w:cs="Arial"/>
                <w:b/>
                <w:bCs/>
                <w:i/>
                <w:iCs/>
                <w:color w:val="000000"/>
                <w:sz w:val="20"/>
              </w:rPr>
              <w:t>Total</w:t>
            </w:r>
          </w:p>
        </w:tc>
        <w:tc>
          <w:tcPr>
            <w:tcW w:w="0" w:type="auto"/>
            <w:tcBorders>
              <w:top w:val="single" w:sz="6" w:space="0" w:color="auto"/>
              <w:left w:val="single" w:sz="6" w:space="0" w:color="auto"/>
              <w:bottom w:val="single" w:sz="6" w:space="0" w:color="auto"/>
              <w:right w:val="single" w:sz="6" w:space="0" w:color="auto"/>
            </w:tcBorders>
            <w:shd w:val="solid" w:color="C0C0C0" w:fill="auto"/>
          </w:tcPr>
          <w:p w:rsidR="009726AB" w:rsidRPr="00BB4117" w:rsidRDefault="009726AB" w:rsidP="0025246F">
            <w:pPr>
              <w:overflowPunct/>
              <w:spacing w:before="0" w:after="0"/>
              <w:jc w:val="center"/>
              <w:textAlignment w:val="auto"/>
              <w:rPr>
                <w:rFonts w:ascii="Arial" w:hAnsi="Arial" w:cs="Arial"/>
                <w:color w:val="000000"/>
                <w:sz w:val="20"/>
              </w:rPr>
            </w:pPr>
            <w:r w:rsidRPr="00BB4117">
              <w:rPr>
                <w:rFonts w:ascii="Arial" w:hAnsi="Arial" w:cs="Arial"/>
                <w:color w:val="000000"/>
                <w:sz w:val="20"/>
              </w:rPr>
              <w:t>3.1</w:t>
            </w:r>
          </w:p>
        </w:tc>
        <w:tc>
          <w:tcPr>
            <w:tcW w:w="0" w:type="auto"/>
            <w:tcBorders>
              <w:top w:val="single" w:sz="6" w:space="0" w:color="auto"/>
              <w:left w:val="single" w:sz="6" w:space="0" w:color="auto"/>
              <w:bottom w:val="single" w:sz="6" w:space="0" w:color="auto"/>
              <w:right w:val="single" w:sz="6" w:space="0" w:color="auto"/>
            </w:tcBorders>
            <w:shd w:val="solid" w:color="C0C0C0" w:fill="auto"/>
          </w:tcPr>
          <w:p w:rsidR="009726AB" w:rsidRPr="00BB4117" w:rsidRDefault="009726AB" w:rsidP="00F9182D">
            <w:pPr>
              <w:overflowPunct/>
              <w:spacing w:before="0" w:after="0"/>
              <w:jc w:val="center"/>
              <w:textAlignment w:val="auto"/>
              <w:rPr>
                <w:rFonts w:ascii="Arial" w:hAnsi="Arial" w:cs="Arial"/>
                <w:color w:val="000000"/>
                <w:sz w:val="20"/>
              </w:rPr>
            </w:pPr>
            <w:r w:rsidRPr="00BB4117">
              <w:rPr>
                <w:rFonts w:ascii="Arial" w:hAnsi="Arial" w:cs="Arial"/>
                <w:color w:val="000000"/>
                <w:sz w:val="20"/>
              </w:rPr>
              <w:t>14</w:t>
            </w:r>
          </w:p>
        </w:tc>
        <w:tc>
          <w:tcPr>
            <w:tcW w:w="0" w:type="auto"/>
            <w:tcBorders>
              <w:top w:val="single" w:sz="6" w:space="0" w:color="auto"/>
              <w:left w:val="single" w:sz="6" w:space="0" w:color="auto"/>
              <w:bottom w:val="single" w:sz="6" w:space="0" w:color="auto"/>
              <w:right w:val="single" w:sz="6" w:space="0" w:color="auto"/>
            </w:tcBorders>
            <w:shd w:val="solid" w:color="C0C0C0" w:fill="auto"/>
          </w:tcPr>
          <w:p w:rsidR="009726AB" w:rsidRPr="00BB4117" w:rsidRDefault="009726AB" w:rsidP="0025246F">
            <w:pPr>
              <w:overflowPunct/>
              <w:spacing w:before="0" w:after="0"/>
              <w:jc w:val="center"/>
              <w:textAlignment w:val="auto"/>
              <w:rPr>
                <w:rFonts w:ascii="Arial" w:hAnsi="Arial" w:cs="Arial"/>
                <w:color w:val="000000"/>
                <w:sz w:val="20"/>
              </w:rPr>
            </w:pPr>
            <w:r w:rsidRPr="00BB4117">
              <w:rPr>
                <w:rFonts w:ascii="Arial" w:hAnsi="Arial" w:cs="Arial"/>
                <w:color w:val="000000"/>
                <w:sz w:val="20"/>
              </w:rPr>
              <w:t>0.2</w:t>
            </w:r>
          </w:p>
        </w:tc>
        <w:tc>
          <w:tcPr>
            <w:tcW w:w="0" w:type="auto"/>
            <w:tcBorders>
              <w:top w:val="single" w:sz="6" w:space="0" w:color="auto"/>
              <w:left w:val="single" w:sz="6" w:space="0" w:color="auto"/>
              <w:bottom w:val="single" w:sz="6" w:space="0" w:color="auto"/>
              <w:right w:val="single" w:sz="6" w:space="0" w:color="auto"/>
            </w:tcBorders>
            <w:shd w:val="solid" w:color="C0C0C0" w:fill="auto"/>
          </w:tcPr>
          <w:p w:rsidR="009726AB" w:rsidRPr="00BB4117" w:rsidRDefault="009726AB" w:rsidP="00F9182D">
            <w:pPr>
              <w:overflowPunct/>
              <w:spacing w:before="0" w:after="0"/>
              <w:jc w:val="center"/>
              <w:textAlignment w:val="auto"/>
              <w:rPr>
                <w:rFonts w:ascii="Arial" w:hAnsi="Arial" w:cs="Arial"/>
                <w:color w:val="000000"/>
                <w:sz w:val="20"/>
              </w:rPr>
            </w:pPr>
            <w:r w:rsidRPr="00BB4117">
              <w:rPr>
                <w:rFonts w:ascii="Arial" w:hAnsi="Arial" w:cs="Arial"/>
                <w:color w:val="000000"/>
                <w:sz w:val="20"/>
              </w:rPr>
              <w:t>1.3</w:t>
            </w:r>
          </w:p>
        </w:tc>
      </w:tr>
      <w:tr w:rsidR="001655FA" w:rsidRPr="00BB4117" w:rsidTr="001655FA">
        <w:trPr>
          <w:trHeight w:val="290"/>
        </w:trPr>
        <w:tc>
          <w:tcPr>
            <w:tcW w:w="0" w:type="auto"/>
            <w:gridSpan w:val="5"/>
            <w:tcBorders>
              <w:top w:val="single" w:sz="6" w:space="0" w:color="auto"/>
              <w:left w:val="single" w:sz="6" w:space="0" w:color="auto"/>
              <w:bottom w:val="single" w:sz="6" w:space="0" w:color="auto"/>
              <w:right w:val="single" w:sz="6" w:space="0" w:color="auto"/>
            </w:tcBorders>
            <w:shd w:val="clear" w:color="C0C0C0" w:fill="auto"/>
          </w:tcPr>
          <w:p w:rsidR="001655FA" w:rsidRPr="00BB4117" w:rsidRDefault="001655FA" w:rsidP="001655FA">
            <w:pPr>
              <w:overflowPunct/>
              <w:spacing w:before="0" w:after="0"/>
              <w:textAlignment w:val="auto"/>
              <w:rPr>
                <w:rFonts w:ascii="Arial" w:hAnsi="Arial" w:cs="Arial"/>
                <w:color w:val="000000"/>
                <w:sz w:val="20"/>
              </w:rPr>
            </w:pPr>
            <w:r w:rsidRPr="00BB4117">
              <w:rPr>
                <w:rFonts w:ascii="Arial" w:hAnsi="Arial" w:cs="Arial"/>
                <w:color w:val="000000"/>
                <w:sz w:val="16"/>
              </w:rPr>
              <w:t>*The presented use phase impacts cover only battery related losses. The operation in terms of propelling the vehicle is not included.</w:t>
            </w:r>
          </w:p>
        </w:tc>
      </w:tr>
    </w:tbl>
    <w:p w:rsidR="00512387" w:rsidRPr="00BB4117" w:rsidRDefault="00512387" w:rsidP="00480641">
      <w:pPr>
        <w:pStyle w:val="Rubrik3"/>
      </w:pPr>
      <w:bookmarkStart w:id="71" w:name="_Toc428370329"/>
      <w:r w:rsidRPr="00BB4117">
        <w:t>Production related ecotoxicity</w:t>
      </w:r>
      <w:bookmarkEnd w:id="71"/>
    </w:p>
    <w:p w:rsidR="005430F2" w:rsidRPr="00BB4117" w:rsidRDefault="00F22E46" w:rsidP="005430F2">
      <w:pPr>
        <w:pStyle w:val="Brdtext"/>
      </w:pPr>
      <w:r w:rsidRPr="00BB4117">
        <w:t>E</w:t>
      </w:r>
      <w:r w:rsidR="00512387" w:rsidRPr="00BB4117">
        <w:t xml:space="preserve">cotoxicity from the production phase </w:t>
      </w:r>
      <w:r w:rsidRPr="00BB4117">
        <w:t xml:space="preserve">is </w:t>
      </w:r>
      <w:r w:rsidR="00512387" w:rsidRPr="00BB4117">
        <w:t xml:space="preserve">high per km or delivered kWh at the present level of development, but decreases rapidly with increasing energy density, efficiency, number of charge cycles and depth of discharge as fewer cells are needed per vehicle kilometre or delivered kWh. Production related ecotoxicity </w:t>
      </w:r>
      <w:r w:rsidR="00927E01" w:rsidRPr="00BB4117">
        <w:t>is</w:t>
      </w:r>
      <w:r w:rsidR="00512387" w:rsidRPr="00BB4117">
        <w:t xml:space="preserve"> fairly evenly distributed among the cell components: </w:t>
      </w:r>
      <w:r w:rsidR="0053039F" w:rsidRPr="00BB4117">
        <w:t>67</w:t>
      </w:r>
      <w:r w:rsidR="00512387" w:rsidRPr="00BB4117">
        <w:t xml:space="preserve">% from the copper tab; </w:t>
      </w:r>
      <w:r w:rsidR="0053039F" w:rsidRPr="00BB4117">
        <w:t>10</w:t>
      </w:r>
      <w:r w:rsidR="00512387" w:rsidRPr="00BB4117">
        <w:t xml:space="preserve">% from the lithium foil, </w:t>
      </w:r>
      <w:r w:rsidR="0053039F" w:rsidRPr="00BB4117">
        <w:t>9</w:t>
      </w:r>
      <w:r w:rsidR="00512387" w:rsidRPr="00BB4117">
        <w:t xml:space="preserve">% from the electricity used for the cathode; </w:t>
      </w:r>
      <w:r w:rsidR="0053039F" w:rsidRPr="00BB4117">
        <w:t>8</w:t>
      </w:r>
      <w:r w:rsidR="00512387" w:rsidRPr="00BB4117">
        <w:t xml:space="preserve">% from the assembly energy use; and 2% from the electrolyte accounts for more than </w:t>
      </w:r>
      <w:r w:rsidR="0053039F" w:rsidRPr="00BB4117">
        <w:t>90</w:t>
      </w:r>
      <w:r w:rsidR="00512387" w:rsidRPr="00BB4117">
        <w:t>% of production related ecotoxicity</w:t>
      </w:r>
      <w:r w:rsidR="00106FAF" w:rsidRPr="00BB4117">
        <w:t xml:space="preserve">. </w:t>
      </w:r>
    </w:p>
    <w:p w:rsidR="005430F2" w:rsidRPr="00BB4117" w:rsidRDefault="005430F2" w:rsidP="00480641">
      <w:pPr>
        <w:pStyle w:val="Rubrik3"/>
      </w:pPr>
      <w:bookmarkStart w:id="72" w:name="_Toc428370330"/>
      <w:r w:rsidRPr="00BB4117">
        <w:t>Use phase ecotoxicity</w:t>
      </w:r>
      <w:bookmarkEnd w:id="72"/>
    </w:p>
    <w:p w:rsidR="005430F2" w:rsidRPr="00BB4117" w:rsidRDefault="00F22E46" w:rsidP="005430F2">
      <w:pPr>
        <w:pStyle w:val="Brdtext"/>
      </w:pPr>
      <w:r w:rsidRPr="00BB4117">
        <w:t>E</w:t>
      </w:r>
      <w:r w:rsidR="005430F2" w:rsidRPr="00BB4117">
        <w:t xml:space="preserve">cotoxicity from the use phase </w:t>
      </w:r>
      <w:r w:rsidRPr="00BB4117">
        <w:t xml:space="preserve">is </w:t>
      </w:r>
      <w:r w:rsidR="005430F2" w:rsidRPr="00BB4117">
        <w:t>dominating more and more as the cell develops, even though in absolute terms also the use phase ecotoxicity decrease</w:t>
      </w:r>
      <w:r w:rsidR="00DE0959" w:rsidRPr="00BB4117">
        <w:t>s</w:t>
      </w:r>
      <w:r w:rsidR="005430F2" w:rsidRPr="00BB4117">
        <w:t xml:space="preserve"> as the cell develops. The use phase ecotoxicity stems mainly from electricity during the use phase</w:t>
      </w:r>
      <w:r w:rsidR="00106FAF" w:rsidRPr="00BB4117">
        <w:t xml:space="preserve"> (99%)</w:t>
      </w:r>
      <w:r w:rsidR="005430F2" w:rsidRPr="00BB4117">
        <w:t xml:space="preserve">. </w:t>
      </w:r>
    </w:p>
    <w:p w:rsidR="003E5C2A" w:rsidRPr="00BB4117" w:rsidRDefault="009059EA" w:rsidP="002049D0">
      <w:pPr>
        <w:pStyle w:val="Rubrik2"/>
        <w:numPr>
          <w:ilvl w:val="1"/>
          <w:numId w:val="46"/>
        </w:numPr>
        <w:rPr>
          <w:lang w:val="en-GB"/>
        </w:rPr>
      </w:pPr>
      <w:bookmarkStart w:id="73" w:name="_Toc428370331"/>
      <w:bookmarkStart w:id="74" w:name="_Toc197942754"/>
      <w:r w:rsidRPr="00BB4117">
        <w:rPr>
          <w:lang w:val="en-GB"/>
        </w:rPr>
        <w:lastRenderedPageBreak/>
        <w:t>Dominance analysis</w:t>
      </w:r>
      <w:bookmarkEnd w:id="73"/>
    </w:p>
    <w:p w:rsidR="00DE0959" w:rsidRPr="00BB4117" w:rsidRDefault="009F441B" w:rsidP="002A7DE6">
      <w:pPr>
        <w:pStyle w:val="Brdtext"/>
      </w:pPr>
      <w:r w:rsidRPr="00BB4117">
        <w:t xml:space="preserve">In </w:t>
      </w:r>
      <w:r w:rsidR="00524197" w:rsidRPr="00BB4117">
        <w:fldChar w:fldCharType="begin"/>
      </w:r>
      <w:r w:rsidRPr="00BB4117">
        <w:instrText xml:space="preserve"> REF _Ref423684789 \h </w:instrText>
      </w:r>
      <w:r w:rsidR="00524197" w:rsidRPr="00BB4117">
        <w:fldChar w:fldCharType="separate"/>
      </w:r>
      <w:r w:rsidR="00094C5D" w:rsidRPr="00BB4117">
        <w:t xml:space="preserve">Table </w:t>
      </w:r>
      <w:r w:rsidR="00094C5D">
        <w:rPr>
          <w:noProof/>
        </w:rPr>
        <w:t>7</w:t>
      </w:r>
      <w:r w:rsidR="00524197" w:rsidRPr="00BB4117">
        <w:fldChar w:fldCharType="end"/>
      </w:r>
      <w:r w:rsidRPr="00BB4117">
        <w:t xml:space="preserve"> can be seen that e</w:t>
      </w:r>
      <w:r w:rsidR="002A7DE6" w:rsidRPr="00BB4117">
        <w:t xml:space="preserve">lectricity, copper and lithium dominate the Production phase and electricity completely </w:t>
      </w:r>
      <w:r w:rsidR="0068520A" w:rsidRPr="00BB4117">
        <w:t>dominate</w:t>
      </w:r>
      <w:r w:rsidR="002A7DE6" w:rsidRPr="00BB4117">
        <w:t xml:space="preserve"> the Use phase</w:t>
      </w:r>
      <w:r w:rsidRPr="00BB4117">
        <w:t xml:space="preserve"> in all impact categories</w:t>
      </w:r>
      <w:r w:rsidR="00777426" w:rsidRPr="00BB4117">
        <w:t>.</w:t>
      </w:r>
      <w:r w:rsidR="009059EA" w:rsidRPr="00BB4117">
        <w:t xml:space="preserve"> </w:t>
      </w:r>
      <w:r w:rsidR="00DE0959" w:rsidRPr="00BB4117">
        <w:t xml:space="preserve">Toxicity was calculated as two human toxicity scores (cancer and non-cancer related) and one ecotoxicity score. Non-cancer human toxicity was found to give around ten </w:t>
      </w:r>
      <w:proofErr w:type="gramStart"/>
      <w:r w:rsidR="00DE0959" w:rsidRPr="00BB4117">
        <w:t>times</w:t>
      </w:r>
      <w:proofErr w:type="gramEnd"/>
      <w:r w:rsidR="00DE0959" w:rsidRPr="00BB4117">
        <w:t xml:space="preserve"> higher morbidity rate than cancer-related human toxicity. In this article, only ecotoxicity is presented. From a dominance perspective, ecotoxicity represents well in particular non-cancer human toxicity, see </w:t>
      </w:r>
      <w:r w:rsidR="00524197" w:rsidRPr="00BB4117">
        <w:fldChar w:fldCharType="begin"/>
      </w:r>
      <w:r w:rsidR="00DE0959" w:rsidRPr="00BB4117">
        <w:instrText xml:space="preserve"> REF _Ref423684789 \h </w:instrText>
      </w:r>
      <w:r w:rsidR="00524197" w:rsidRPr="00BB4117">
        <w:fldChar w:fldCharType="separate"/>
      </w:r>
      <w:r w:rsidR="00094C5D" w:rsidRPr="00BB4117">
        <w:t xml:space="preserve">Table </w:t>
      </w:r>
      <w:r w:rsidR="00094C5D">
        <w:rPr>
          <w:noProof/>
        </w:rPr>
        <w:t>7</w:t>
      </w:r>
      <w:r w:rsidR="00524197" w:rsidRPr="00BB4117">
        <w:fldChar w:fldCharType="end"/>
      </w:r>
      <w:r w:rsidR="00DE0959" w:rsidRPr="00BB4117">
        <w:t xml:space="preserve">. </w:t>
      </w:r>
    </w:p>
    <w:p w:rsidR="002A7DE6" w:rsidRPr="00BB4117" w:rsidRDefault="002A7DE6" w:rsidP="002A7DE6">
      <w:pPr>
        <w:pStyle w:val="Beskrivning"/>
      </w:pPr>
      <w:bookmarkStart w:id="75" w:name="_Ref423684789"/>
      <w:bookmarkStart w:id="76" w:name="_Ref427328035"/>
      <w:bookmarkStart w:id="77" w:name="_Toc428370278"/>
      <w:r w:rsidRPr="00BB4117">
        <w:t xml:space="preserve">Table </w:t>
      </w:r>
      <w:r w:rsidR="00524197" w:rsidRPr="00BB4117">
        <w:fldChar w:fldCharType="begin"/>
      </w:r>
      <w:r w:rsidR="004C6C5C" w:rsidRPr="00BB4117">
        <w:instrText xml:space="preserve"> SEQ Table \* ARABIC </w:instrText>
      </w:r>
      <w:r w:rsidR="00524197" w:rsidRPr="00BB4117">
        <w:fldChar w:fldCharType="separate"/>
      </w:r>
      <w:r w:rsidR="00094C5D">
        <w:rPr>
          <w:noProof/>
        </w:rPr>
        <w:t>7</w:t>
      </w:r>
      <w:r w:rsidR="00524197" w:rsidRPr="00BB4117">
        <w:rPr>
          <w:noProof/>
        </w:rPr>
        <w:fldChar w:fldCharType="end"/>
      </w:r>
      <w:bookmarkEnd w:id="75"/>
      <w:r w:rsidRPr="00BB4117">
        <w:tab/>
      </w:r>
      <w:r w:rsidR="000344BD" w:rsidRPr="00BB4117">
        <w:t>Dominance</w:t>
      </w:r>
      <w:r w:rsidRPr="00BB4117">
        <w:t xml:space="preserve"> analysi</w:t>
      </w:r>
      <w:bookmarkEnd w:id="76"/>
      <w:r w:rsidR="004212D2" w:rsidRPr="00BB4117">
        <w:t>s</w:t>
      </w:r>
      <w:bookmarkEnd w:id="77"/>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030"/>
        <w:gridCol w:w="1585"/>
        <w:gridCol w:w="1585"/>
        <w:gridCol w:w="1952"/>
      </w:tblGrid>
      <w:tr w:rsidR="002A7DE6" w:rsidRPr="00BB4117" w:rsidTr="00D87C1C">
        <w:trPr>
          <w:trHeight w:val="274"/>
          <w:tblHeader/>
        </w:trPr>
        <w:tc>
          <w:tcPr>
            <w:tcW w:w="0" w:type="auto"/>
          </w:tcPr>
          <w:p w:rsidR="002A7DE6" w:rsidRPr="00BB4117" w:rsidRDefault="002A7DE6" w:rsidP="00D87C1C">
            <w:pPr>
              <w:overflowPunct/>
              <w:spacing w:before="60" w:after="60"/>
              <w:jc w:val="right"/>
              <w:textAlignment w:val="auto"/>
              <w:rPr>
                <w:rFonts w:ascii="Arial" w:hAnsi="Arial" w:cs="Arial"/>
                <w:b/>
                <w:color w:val="000000"/>
                <w:sz w:val="20"/>
                <w:szCs w:val="22"/>
              </w:rPr>
            </w:pPr>
            <w:r w:rsidRPr="00BB4117">
              <w:rPr>
                <w:rFonts w:ascii="Arial" w:hAnsi="Arial" w:cs="Arial"/>
                <w:b/>
                <w:color w:val="000000"/>
                <w:sz w:val="20"/>
                <w:szCs w:val="22"/>
              </w:rPr>
              <w:t>Life cycle phase</w:t>
            </w:r>
          </w:p>
          <w:p w:rsidR="002A7DE6" w:rsidRPr="00BB4117" w:rsidRDefault="002A7DE6" w:rsidP="00D87C1C">
            <w:pPr>
              <w:overflowPunct/>
              <w:spacing w:before="60" w:after="60"/>
              <w:textAlignment w:val="auto"/>
              <w:rPr>
                <w:rFonts w:ascii="Arial" w:hAnsi="Arial" w:cs="Arial"/>
                <w:b/>
                <w:i/>
                <w:color w:val="000000"/>
                <w:sz w:val="20"/>
                <w:szCs w:val="22"/>
              </w:rPr>
            </w:pPr>
            <w:r w:rsidRPr="00BB4117">
              <w:rPr>
                <w:rFonts w:ascii="Arial" w:hAnsi="Arial" w:cs="Arial"/>
                <w:b/>
                <w:i/>
                <w:color w:val="000000"/>
                <w:sz w:val="20"/>
                <w:szCs w:val="22"/>
              </w:rPr>
              <w:t>Impact category</w:t>
            </w:r>
          </w:p>
        </w:tc>
        <w:tc>
          <w:tcPr>
            <w:tcW w:w="0" w:type="auto"/>
          </w:tcPr>
          <w:p w:rsidR="002A7DE6" w:rsidRPr="00BB4117" w:rsidRDefault="002A7DE6" w:rsidP="00D87C1C">
            <w:pPr>
              <w:overflowPunct/>
              <w:spacing w:before="60" w:after="60"/>
              <w:textAlignment w:val="auto"/>
              <w:rPr>
                <w:rFonts w:ascii="Arial" w:hAnsi="Arial" w:cs="Arial"/>
                <w:b/>
                <w:color w:val="000000"/>
                <w:sz w:val="20"/>
                <w:szCs w:val="22"/>
              </w:rPr>
            </w:pPr>
            <w:r w:rsidRPr="00BB4117">
              <w:rPr>
                <w:rFonts w:ascii="Arial" w:hAnsi="Arial" w:cs="Arial"/>
                <w:b/>
                <w:color w:val="000000"/>
                <w:sz w:val="20"/>
                <w:szCs w:val="22"/>
              </w:rPr>
              <w:t>Production</w:t>
            </w:r>
          </w:p>
        </w:tc>
        <w:tc>
          <w:tcPr>
            <w:tcW w:w="0" w:type="auto"/>
          </w:tcPr>
          <w:p w:rsidR="002A7DE6" w:rsidRPr="00BB4117" w:rsidRDefault="002A7DE6" w:rsidP="00D87C1C">
            <w:pPr>
              <w:overflowPunct/>
              <w:spacing w:before="60" w:after="60"/>
              <w:textAlignment w:val="auto"/>
              <w:rPr>
                <w:rFonts w:ascii="Arial" w:hAnsi="Arial" w:cs="Arial"/>
                <w:b/>
                <w:color w:val="000000"/>
                <w:sz w:val="20"/>
                <w:szCs w:val="22"/>
              </w:rPr>
            </w:pPr>
            <w:r w:rsidRPr="00BB4117">
              <w:rPr>
                <w:rFonts w:ascii="Arial" w:hAnsi="Arial" w:cs="Arial"/>
                <w:b/>
                <w:color w:val="000000"/>
                <w:sz w:val="20"/>
                <w:szCs w:val="22"/>
              </w:rPr>
              <w:t>Use</w:t>
            </w:r>
          </w:p>
        </w:tc>
        <w:tc>
          <w:tcPr>
            <w:tcW w:w="0" w:type="auto"/>
          </w:tcPr>
          <w:p w:rsidR="002A7DE6" w:rsidRPr="00BB4117" w:rsidRDefault="002A7DE6" w:rsidP="00D87C1C">
            <w:pPr>
              <w:overflowPunct/>
              <w:spacing w:before="60" w:after="60"/>
              <w:textAlignment w:val="auto"/>
              <w:rPr>
                <w:rFonts w:ascii="Arial" w:hAnsi="Arial" w:cs="Arial"/>
                <w:b/>
                <w:color w:val="000000"/>
                <w:sz w:val="20"/>
                <w:szCs w:val="22"/>
              </w:rPr>
            </w:pPr>
            <w:r w:rsidRPr="00BB4117">
              <w:rPr>
                <w:rFonts w:ascii="Arial" w:hAnsi="Arial" w:cs="Arial"/>
                <w:b/>
                <w:color w:val="000000"/>
                <w:sz w:val="20"/>
                <w:szCs w:val="22"/>
              </w:rPr>
              <w:t>End-of-life</w:t>
            </w:r>
          </w:p>
        </w:tc>
      </w:tr>
      <w:tr w:rsidR="00B83711" w:rsidRPr="00BB4117" w:rsidTr="00D87C1C">
        <w:trPr>
          <w:trHeight w:val="1094"/>
        </w:trPr>
        <w:tc>
          <w:tcPr>
            <w:tcW w:w="0" w:type="auto"/>
          </w:tcPr>
          <w:p w:rsidR="00B83711" w:rsidRPr="00BB4117" w:rsidRDefault="00B83711" w:rsidP="00D87C1C">
            <w:pPr>
              <w:overflowPunct/>
              <w:spacing w:before="60" w:after="60"/>
              <w:textAlignment w:val="auto"/>
              <w:rPr>
                <w:rFonts w:ascii="Arial" w:hAnsi="Arial" w:cs="Arial"/>
                <w:b/>
                <w:i/>
                <w:color w:val="000000"/>
                <w:sz w:val="20"/>
                <w:szCs w:val="22"/>
              </w:rPr>
            </w:pPr>
            <w:r w:rsidRPr="00BB4117">
              <w:rPr>
                <w:rFonts w:ascii="Arial" w:hAnsi="Arial" w:cs="Arial"/>
                <w:b/>
                <w:i/>
                <w:color w:val="000000"/>
                <w:sz w:val="20"/>
                <w:szCs w:val="22"/>
              </w:rPr>
              <w:t>Climate impact</w:t>
            </w:r>
          </w:p>
        </w:tc>
        <w:tc>
          <w:tcPr>
            <w:tcW w:w="0" w:type="auto"/>
          </w:tcPr>
          <w:p w:rsidR="00B83711" w:rsidRPr="00BB4117" w:rsidRDefault="00B83711" w:rsidP="002657B6">
            <w:pPr>
              <w:overflowPunct/>
              <w:spacing w:before="60" w:after="60"/>
              <w:textAlignment w:val="auto"/>
              <w:rPr>
                <w:rFonts w:ascii="Arial" w:hAnsi="Arial" w:cs="Arial"/>
                <w:color w:val="000000"/>
                <w:sz w:val="20"/>
                <w:szCs w:val="22"/>
              </w:rPr>
            </w:pPr>
            <w:r w:rsidRPr="00BB4117">
              <w:rPr>
                <w:rFonts w:ascii="Arial" w:hAnsi="Arial" w:cs="Arial"/>
                <w:color w:val="000000"/>
                <w:sz w:val="20"/>
                <w:szCs w:val="22"/>
              </w:rPr>
              <w:t>Electricity (54%)</w:t>
            </w:r>
          </w:p>
          <w:p w:rsidR="00B83711" w:rsidRPr="00BB4117" w:rsidRDefault="00B83711" w:rsidP="002657B6">
            <w:pPr>
              <w:overflowPunct/>
              <w:spacing w:before="60" w:after="60"/>
              <w:textAlignment w:val="auto"/>
              <w:rPr>
                <w:rFonts w:ascii="Arial" w:hAnsi="Arial" w:cs="Arial"/>
                <w:color w:val="000000"/>
                <w:sz w:val="20"/>
                <w:szCs w:val="22"/>
              </w:rPr>
            </w:pPr>
            <w:r w:rsidRPr="00BB4117">
              <w:rPr>
                <w:rFonts w:ascii="Arial" w:hAnsi="Arial" w:cs="Arial"/>
                <w:color w:val="000000"/>
                <w:sz w:val="20"/>
                <w:szCs w:val="22"/>
              </w:rPr>
              <w:t>Lithium (23%)</w:t>
            </w:r>
          </w:p>
          <w:p w:rsidR="00B83711" w:rsidRPr="00BB4117" w:rsidRDefault="00B83711" w:rsidP="002657B6">
            <w:pPr>
              <w:overflowPunct/>
              <w:spacing w:before="60" w:after="60"/>
              <w:textAlignment w:val="auto"/>
              <w:rPr>
                <w:rFonts w:ascii="Arial" w:hAnsi="Arial" w:cs="Arial"/>
                <w:color w:val="000000"/>
                <w:sz w:val="20"/>
                <w:szCs w:val="22"/>
              </w:rPr>
            </w:pPr>
            <w:r w:rsidRPr="00BB4117">
              <w:rPr>
                <w:rFonts w:ascii="Arial" w:hAnsi="Arial" w:cs="Arial"/>
                <w:color w:val="000000"/>
                <w:sz w:val="20"/>
                <w:szCs w:val="22"/>
              </w:rPr>
              <w:t>Gas (8%)</w:t>
            </w:r>
          </w:p>
          <w:p w:rsidR="00B83711" w:rsidRPr="00BB4117" w:rsidRDefault="00B83711" w:rsidP="002657B6">
            <w:pPr>
              <w:overflowPunct/>
              <w:spacing w:before="60" w:after="60"/>
              <w:textAlignment w:val="auto"/>
              <w:rPr>
                <w:rFonts w:ascii="Arial" w:hAnsi="Arial" w:cs="Arial"/>
                <w:color w:val="000000"/>
                <w:sz w:val="20"/>
                <w:szCs w:val="22"/>
              </w:rPr>
            </w:pPr>
            <w:r w:rsidRPr="00BB4117">
              <w:rPr>
                <w:rFonts w:ascii="Arial" w:hAnsi="Arial" w:cs="Arial"/>
                <w:color w:val="000000"/>
                <w:sz w:val="20"/>
                <w:szCs w:val="22"/>
              </w:rPr>
              <w:t>TEGDME (4%)</w:t>
            </w:r>
          </w:p>
        </w:tc>
        <w:tc>
          <w:tcPr>
            <w:tcW w:w="0" w:type="auto"/>
          </w:tcPr>
          <w:p w:rsidR="00B83711" w:rsidRPr="00BB4117" w:rsidRDefault="00B83711" w:rsidP="00F63A3A">
            <w:pPr>
              <w:overflowPunct/>
              <w:spacing w:before="60" w:after="60"/>
              <w:textAlignment w:val="auto"/>
              <w:rPr>
                <w:rFonts w:ascii="Arial" w:hAnsi="Arial" w:cs="Arial"/>
                <w:color w:val="000000"/>
                <w:sz w:val="20"/>
                <w:szCs w:val="22"/>
              </w:rPr>
            </w:pPr>
            <w:r w:rsidRPr="00BB4117">
              <w:rPr>
                <w:rFonts w:ascii="Arial" w:hAnsi="Arial" w:cs="Arial"/>
                <w:color w:val="000000"/>
                <w:sz w:val="20"/>
                <w:szCs w:val="22"/>
              </w:rPr>
              <w:t>Electricity (9</w:t>
            </w:r>
            <w:r w:rsidR="00F63A3A" w:rsidRPr="00BB4117">
              <w:rPr>
                <w:rFonts w:ascii="Arial" w:hAnsi="Arial" w:cs="Arial"/>
                <w:color w:val="000000"/>
                <w:sz w:val="20"/>
                <w:szCs w:val="22"/>
              </w:rPr>
              <w:t>9</w:t>
            </w:r>
            <w:r w:rsidRPr="00BB4117">
              <w:rPr>
                <w:rFonts w:ascii="Arial" w:hAnsi="Arial" w:cs="Arial"/>
                <w:color w:val="000000"/>
                <w:sz w:val="20"/>
                <w:szCs w:val="22"/>
              </w:rPr>
              <w:t>%)</w:t>
            </w:r>
          </w:p>
        </w:tc>
        <w:tc>
          <w:tcPr>
            <w:tcW w:w="0" w:type="auto"/>
          </w:tcPr>
          <w:p w:rsidR="00B83711" w:rsidRPr="00BB4117" w:rsidRDefault="00B83711" w:rsidP="00D87C1C">
            <w:pPr>
              <w:overflowPunct/>
              <w:spacing w:before="60" w:after="60"/>
              <w:textAlignment w:val="auto"/>
              <w:rPr>
                <w:rFonts w:ascii="Arial" w:hAnsi="Arial" w:cs="Arial"/>
                <w:color w:val="000000"/>
                <w:sz w:val="20"/>
                <w:szCs w:val="22"/>
              </w:rPr>
            </w:pPr>
            <w:r w:rsidRPr="00BB4117">
              <w:rPr>
                <w:rFonts w:ascii="Arial" w:hAnsi="Arial" w:cs="Arial"/>
                <w:color w:val="000000"/>
                <w:sz w:val="20"/>
                <w:szCs w:val="22"/>
              </w:rPr>
              <w:t xml:space="preserve">Lithium (-105%) </w:t>
            </w:r>
          </w:p>
          <w:p w:rsidR="00B83711" w:rsidRPr="00BB4117" w:rsidRDefault="00B83711" w:rsidP="00D87C1C">
            <w:pPr>
              <w:overflowPunct/>
              <w:spacing w:before="60" w:after="60"/>
              <w:textAlignment w:val="auto"/>
              <w:rPr>
                <w:rFonts w:ascii="Arial" w:hAnsi="Arial" w:cs="Arial"/>
                <w:color w:val="000000"/>
                <w:sz w:val="20"/>
                <w:szCs w:val="22"/>
              </w:rPr>
            </w:pPr>
            <w:r w:rsidRPr="00BB4117">
              <w:rPr>
                <w:rFonts w:ascii="Arial" w:hAnsi="Arial" w:cs="Arial"/>
                <w:color w:val="000000"/>
                <w:sz w:val="20"/>
                <w:szCs w:val="22"/>
              </w:rPr>
              <w:t>Copper (-6%)</w:t>
            </w:r>
          </w:p>
          <w:p w:rsidR="00B83711" w:rsidRPr="00BB4117" w:rsidRDefault="00B83711" w:rsidP="00D87C1C">
            <w:pPr>
              <w:overflowPunct/>
              <w:spacing w:before="60" w:after="60"/>
              <w:textAlignment w:val="auto"/>
              <w:rPr>
                <w:rFonts w:ascii="Arial" w:hAnsi="Arial" w:cs="Arial"/>
                <w:color w:val="000000"/>
                <w:sz w:val="20"/>
                <w:szCs w:val="22"/>
              </w:rPr>
            </w:pPr>
            <w:r w:rsidRPr="00BB4117">
              <w:rPr>
                <w:rFonts w:ascii="Arial" w:hAnsi="Arial" w:cs="Arial"/>
                <w:color w:val="000000"/>
                <w:sz w:val="20"/>
                <w:szCs w:val="22"/>
              </w:rPr>
              <w:t>Polypropylene (-4%)</w:t>
            </w:r>
          </w:p>
          <w:p w:rsidR="00B83711" w:rsidRPr="00BB4117" w:rsidRDefault="00B83711" w:rsidP="00D87C1C">
            <w:pPr>
              <w:overflowPunct/>
              <w:spacing w:before="60" w:after="60"/>
              <w:textAlignment w:val="auto"/>
              <w:rPr>
                <w:rFonts w:ascii="Arial" w:hAnsi="Arial" w:cs="Arial"/>
                <w:color w:val="000000"/>
                <w:sz w:val="20"/>
                <w:szCs w:val="22"/>
              </w:rPr>
            </w:pPr>
            <w:r w:rsidRPr="00BB4117">
              <w:rPr>
                <w:rFonts w:ascii="Arial" w:hAnsi="Arial" w:cs="Arial"/>
                <w:color w:val="000000"/>
                <w:sz w:val="20"/>
                <w:szCs w:val="22"/>
              </w:rPr>
              <w:t>Transport (15%)</w:t>
            </w:r>
          </w:p>
        </w:tc>
      </w:tr>
      <w:tr w:rsidR="00B83711" w:rsidRPr="00BB4117" w:rsidTr="00D87C1C">
        <w:trPr>
          <w:trHeight w:val="547"/>
        </w:trPr>
        <w:tc>
          <w:tcPr>
            <w:tcW w:w="0" w:type="auto"/>
          </w:tcPr>
          <w:p w:rsidR="00B83711" w:rsidRPr="00BB4117" w:rsidRDefault="00B83711" w:rsidP="00D87C1C">
            <w:pPr>
              <w:overflowPunct/>
              <w:spacing w:before="60" w:after="60"/>
              <w:textAlignment w:val="auto"/>
              <w:rPr>
                <w:rFonts w:ascii="Arial" w:hAnsi="Arial" w:cs="Arial"/>
                <w:b/>
                <w:i/>
                <w:color w:val="000000"/>
                <w:sz w:val="20"/>
                <w:szCs w:val="22"/>
              </w:rPr>
            </w:pPr>
            <w:r w:rsidRPr="00BB4117">
              <w:rPr>
                <w:rFonts w:ascii="Arial" w:hAnsi="Arial" w:cs="Arial"/>
                <w:b/>
                <w:i/>
                <w:color w:val="000000"/>
                <w:sz w:val="20"/>
                <w:szCs w:val="22"/>
              </w:rPr>
              <w:t>Abiotic depletion</w:t>
            </w:r>
          </w:p>
        </w:tc>
        <w:tc>
          <w:tcPr>
            <w:tcW w:w="0" w:type="auto"/>
          </w:tcPr>
          <w:p w:rsidR="00B83711" w:rsidRPr="00BB4117" w:rsidRDefault="00B83711" w:rsidP="002657B6">
            <w:pPr>
              <w:overflowPunct/>
              <w:spacing w:before="60" w:after="60"/>
              <w:textAlignment w:val="auto"/>
              <w:rPr>
                <w:rFonts w:ascii="Arial" w:hAnsi="Arial" w:cs="Arial"/>
                <w:color w:val="000000"/>
                <w:sz w:val="20"/>
                <w:szCs w:val="22"/>
              </w:rPr>
            </w:pPr>
            <w:r w:rsidRPr="00BB4117">
              <w:rPr>
                <w:rFonts w:ascii="Arial" w:hAnsi="Arial" w:cs="Arial"/>
                <w:color w:val="000000"/>
                <w:sz w:val="20"/>
                <w:szCs w:val="22"/>
              </w:rPr>
              <w:t>Copper (89%)</w:t>
            </w:r>
          </w:p>
          <w:p w:rsidR="00B83711" w:rsidRPr="00BB4117" w:rsidRDefault="00B83711" w:rsidP="002657B6">
            <w:pPr>
              <w:overflowPunct/>
              <w:spacing w:before="60" w:after="60"/>
              <w:textAlignment w:val="auto"/>
              <w:rPr>
                <w:rFonts w:ascii="Arial" w:hAnsi="Arial" w:cs="Arial"/>
                <w:color w:val="000000"/>
                <w:sz w:val="20"/>
                <w:szCs w:val="22"/>
              </w:rPr>
            </w:pPr>
            <w:r w:rsidRPr="00BB4117">
              <w:rPr>
                <w:rFonts w:ascii="Arial" w:hAnsi="Arial" w:cs="Arial"/>
                <w:color w:val="000000"/>
                <w:sz w:val="20"/>
                <w:szCs w:val="22"/>
              </w:rPr>
              <w:t>Lithium (5%)</w:t>
            </w:r>
          </w:p>
        </w:tc>
        <w:tc>
          <w:tcPr>
            <w:tcW w:w="0" w:type="auto"/>
          </w:tcPr>
          <w:p w:rsidR="00B83711" w:rsidRPr="00BB4117" w:rsidRDefault="00B83711" w:rsidP="00F63A3A">
            <w:pPr>
              <w:overflowPunct/>
              <w:spacing w:before="60" w:after="60"/>
              <w:textAlignment w:val="auto"/>
              <w:rPr>
                <w:rFonts w:ascii="Arial" w:hAnsi="Arial" w:cs="Arial"/>
                <w:color w:val="000000"/>
                <w:sz w:val="20"/>
                <w:szCs w:val="22"/>
              </w:rPr>
            </w:pPr>
            <w:r w:rsidRPr="00BB4117">
              <w:rPr>
                <w:rFonts w:ascii="Arial" w:hAnsi="Arial" w:cs="Arial"/>
                <w:color w:val="000000"/>
                <w:sz w:val="20"/>
                <w:szCs w:val="22"/>
              </w:rPr>
              <w:t>Electricity (9</w:t>
            </w:r>
            <w:r w:rsidR="00F63A3A" w:rsidRPr="00BB4117">
              <w:rPr>
                <w:rFonts w:ascii="Arial" w:hAnsi="Arial" w:cs="Arial"/>
                <w:color w:val="000000"/>
                <w:sz w:val="20"/>
                <w:szCs w:val="22"/>
              </w:rPr>
              <w:t>9</w:t>
            </w:r>
            <w:r w:rsidRPr="00BB4117">
              <w:rPr>
                <w:rFonts w:ascii="Arial" w:hAnsi="Arial" w:cs="Arial"/>
                <w:color w:val="000000"/>
                <w:sz w:val="20"/>
                <w:szCs w:val="22"/>
              </w:rPr>
              <w:t>%)</w:t>
            </w:r>
          </w:p>
        </w:tc>
        <w:tc>
          <w:tcPr>
            <w:tcW w:w="0" w:type="auto"/>
          </w:tcPr>
          <w:p w:rsidR="00B83711" w:rsidRPr="00BB4117" w:rsidRDefault="00B83711" w:rsidP="00D87C1C">
            <w:pPr>
              <w:overflowPunct/>
              <w:spacing w:before="60" w:after="60"/>
              <w:textAlignment w:val="auto"/>
              <w:rPr>
                <w:rFonts w:ascii="Arial" w:hAnsi="Arial" w:cs="Arial"/>
                <w:color w:val="000000"/>
                <w:sz w:val="20"/>
                <w:szCs w:val="22"/>
              </w:rPr>
            </w:pPr>
            <w:r w:rsidRPr="00BB4117">
              <w:rPr>
                <w:rFonts w:ascii="Arial" w:hAnsi="Arial" w:cs="Arial"/>
                <w:color w:val="000000"/>
                <w:sz w:val="20"/>
                <w:szCs w:val="22"/>
              </w:rPr>
              <w:t>Copper (-96%)</w:t>
            </w:r>
          </w:p>
          <w:p w:rsidR="00B83711" w:rsidRPr="00BB4117" w:rsidRDefault="00B83711" w:rsidP="00D87C1C">
            <w:pPr>
              <w:overflowPunct/>
              <w:spacing w:before="60" w:after="60"/>
              <w:textAlignment w:val="auto"/>
              <w:rPr>
                <w:rFonts w:ascii="Arial" w:hAnsi="Arial" w:cs="Arial"/>
                <w:color w:val="000000"/>
                <w:sz w:val="20"/>
                <w:szCs w:val="22"/>
              </w:rPr>
            </w:pPr>
            <w:r w:rsidRPr="00BB4117">
              <w:rPr>
                <w:rFonts w:ascii="Arial" w:hAnsi="Arial" w:cs="Arial"/>
                <w:color w:val="000000"/>
                <w:sz w:val="20"/>
                <w:szCs w:val="22"/>
              </w:rPr>
              <w:t>Lithium (-5%)</w:t>
            </w:r>
          </w:p>
          <w:p w:rsidR="00B83711" w:rsidRPr="00BB4117" w:rsidRDefault="00B83711" w:rsidP="00D87C1C">
            <w:pPr>
              <w:overflowPunct/>
              <w:spacing w:before="60" w:after="60"/>
              <w:textAlignment w:val="auto"/>
              <w:rPr>
                <w:rFonts w:ascii="Arial" w:hAnsi="Arial" w:cs="Arial"/>
                <w:color w:val="000000"/>
                <w:sz w:val="20"/>
                <w:szCs w:val="22"/>
              </w:rPr>
            </w:pPr>
            <w:r w:rsidRPr="00BB4117">
              <w:rPr>
                <w:rFonts w:ascii="Arial" w:hAnsi="Arial" w:cs="Arial"/>
                <w:color w:val="000000"/>
                <w:sz w:val="20"/>
                <w:szCs w:val="22"/>
              </w:rPr>
              <w:t>Transport (1%)</w:t>
            </w:r>
          </w:p>
        </w:tc>
      </w:tr>
      <w:tr w:rsidR="002A7DE6" w:rsidRPr="00BB4117" w:rsidTr="00D87C1C">
        <w:trPr>
          <w:trHeight w:val="821"/>
        </w:trPr>
        <w:tc>
          <w:tcPr>
            <w:tcW w:w="0" w:type="auto"/>
          </w:tcPr>
          <w:p w:rsidR="002A7DE6" w:rsidRPr="00BB4117" w:rsidRDefault="002A7DE6" w:rsidP="00D87C1C">
            <w:pPr>
              <w:overflowPunct/>
              <w:spacing w:before="60" w:after="60"/>
              <w:textAlignment w:val="auto"/>
              <w:rPr>
                <w:rFonts w:ascii="Arial" w:hAnsi="Arial" w:cs="Arial"/>
                <w:b/>
                <w:i/>
                <w:color w:val="000000"/>
                <w:sz w:val="20"/>
                <w:szCs w:val="22"/>
              </w:rPr>
            </w:pPr>
            <w:r w:rsidRPr="00BB4117">
              <w:rPr>
                <w:rFonts w:ascii="Arial" w:hAnsi="Arial" w:cs="Arial"/>
                <w:b/>
                <w:i/>
                <w:color w:val="000000"/>
                <w:sz w:val="20"/>
                <w:szCs w:val="22"/>
              </w:rPr>
              <w:t>Toxicity-cancer</w:t>
            </w:r>
          </w:p>
        </w:tc>
        <w:tc>
          <w:tcPr>
            <w:tcW w:w="0" w:type="auto"/>
          </w:tcPr>
          <w:p w:rsidR="002A7DE6" w:rsidRPr="00BB4117" w:rsidRDefault="002A7DE6" w:rsidP="00D87C1C">
            <w:pPr>
              <w:overflowPunct/>
              <w:spacing w:before="60" w:after="60"/>
              <w:textAlignment w:val="auto"/>
              <w:rPr>
                <w:rFonts w:ascii="Arial" w:hAnsi="Arial" w:cs="Arial"/>
                <w:color w:val="000000"/>
                <w:sz w:val="20"/>
                <w:szCs w:val="22"/>
              </w:rPr>
            </w:pPr>
            <w:r w:rsidRPr="00BB4117">
              <w:rPr>
                <w:rFonts w:ascii="Arial" w:hAnsi="Arial" w:cs="Arial"/>
                <w:color w:val="000000"/>
                <w:sz w:val="20"/>
                <w:szCs w:val="22"/>
              </w:rPr>
              <w:t>Copper (35%)</w:t>
            </w:r>
          </w:p>
          <w:p w:rsidR="002A7DE6" w:rsidRPr="00BB4117" w:rsidRDefault="002A7DE6" w:rsidP="00D87C1C">
            <w:pPr>
              <w:overflowPunct/>
              <w:spacing w:before="60" w:after="60"/>
              <w:textAlignment w:val="auto"/>
              <w:rPr>
                <w:rFonts w:ascii="Arial" w:hAnsi="Arial" w:cs="Arial"/>
                <w:color w:val="000000"/>
                <w:sz w:val="20"/>
                <w:szCs w:val="22"/>
              </w:rPr>
            </w:pPr>
            <w:r w:rsidRPr="00BB4117">
              <w:rPr>
                <w:rFonts w:ascii="Arial" w:hAnsi="Arial" w:cs="Arial"/>
                <w:color w:val="000000"/>
                <w:sz w:val="20"/>
                <w:szCs w:val="22"/>
              </w:rPr>
              <w:t>Lithium (26%)</w:t>
            </w:r>
          </w:p>
          <w:p w:rsidR="002A7DE6" w:rsidRPr="00BB4117" w:rsidRDefault="002A7DE6" w:rsidP="00D87C1C">
            <w:pPr>
              <w:overflowPunct/>
              <w:spacing w:before="60" w:after="60"/>
              <w:textAlignment w:val="auto"/>
              <w:rPr>
                <w:rFonts w:ascii="Arial" w:hAnsi="Arial" w:cs="Arial"/>
                <w:color w:val="000000"/>
                <w:sz w:val="20"/>
                <w:szCs w:val="22"/>
              </w:rPr>
            </w:pPr>
            <w:r w:rsidRPr="00BB4117">
              <w:rPr>
                <w:rFonts w:ascii="Arial" w:hAnsi="Arial" w:cs="Arial"/>
                <w:color w:val="000000"/>
                <w:sz w:val="20"/>
                <w:szCs w:val="22"/>
              </w:rPr>
              <w:t>Electricity (24%)</w:t>
            </w:r>
          </w:p>
        </w:tc>
        <w:tc>
          <w:tcPr>
            <w:tcW w:w="0" w:type="auto"/>
          </w:tcPr>
          <w:p w:rsidR="002A7DE6" w:rsidRPr="00BB4117" w:rsidRDefault="002A7DE6" w:rsidP="00F63A3A">
            <w:pPr>
              <w:overflowPunct/>
              <w:spacing w:before="60" w:after="60"/>
              <w:textAlignment w:val="auto"/>
              <w:rPr>
                <w:rFonts w:ascii="Arial" w:hAnsi="Arial" w:cs="Arial"/>
                <w:color w:val="000000"/>
                <w:sz w:val="20"/>
                <w:szCs w:val="22"/>
              </w:rPr>
            </w:pPr>
            <w:r w:rsidRPr="00BB4117">
              <w:rPr>
                <w:rFonts w:ascii="Arial" w:hAnsi="Arial" w:cs="Arial"/>
                <w:color w:val="000000"/>
                <w:sz w:val="20"/>
                <w:szCs w:val="22"/>
              </w:rPr>
              <w:t>Electricity (9</w:t>
            </w:r>
            <w:r w:rsidR="00F63A3A" w:rsidRPr="00BB4117">
              <w:rPr>
                <w:rFonts w:ascii="Arial" w:hAnsi="Arial" w:cs="Arial"/>
                <w:color w:val="000000"/>
                <w:sz w:val="20"/>
                <w:szCs w:val="22"/>
              </w:rPr>
              <w:t>9</w:t>
            </w:r>
            <w:r w:rsidRPr="00BB4117">
              <w:rPr>
                <w:rFonts w:ascii="Arial" w:hAnsi="Arial" w:cs="Arial"/>
                <w:color w:val="000000"/>
                <w:sz w:val="20"/>
                <w:szCs w:val="22"/>
              </w:rPr>
              <w:t>%)</w:t>
            </w:r>
          </w:p>
        </w:tc>
        <w:tc>
          <w:tcPr>
            <w:tcW w:w="0" w:type="auto"/>
          </w:tcPr>
          <w:p w:rsidR="002A7DE6" w:rsidRPr="00BB4117" w:rsidRDefault="002A7DE6" w:rsidP="00D87C1C">
            <w:pPr>
              <w:overflowPunct/>
              <w:spacing w:before="60" w:after="60"/>
              <w:textAlignment w:val="auto"/>
              <w:rPr>
                <w:rFonts w:ascii="Arial" w:hAnsi="Arial" w:cs="Arial"/>
                <w:color w:val="000000"/>
                <w:sz w:val="20"/>
                <w:szCs w:val="22"/>
              </w:rPr>
            </w:pPr>
            <w:r w:rsidRPr="00BB4117">
              <w:rPr>
                <w:rFonts w:ascii="Arial" w:hAnsi="Arial" w:cs="Arial"/>
                <w:color w:val="000000"/>
                <w:sz w:val="20"/>
                <w:szCs w:val="22"/>
              </w:rPr>
              <w:t>Copper (-59%)</w:t>
            </w:r>
          </w:p>
          <w:p w:rsidR="002A7DE6" w:rsidRPr="00BB4117" w:rsidRDefault="002A7DE6" w:rsidP="00D87C1C">
            <w:pPr>
              <w:overflowPunct/>
              <w:spacing w:before="60" w:after="60"/>
              <w:textAlignment w:val="auto"/>
              <w:rPr>
                <w:rFonts w:ascii="Arial" w:hAnsi="Arial" w:cs="Arial"/>
                <w:color w:val="000000"/>
                <w:sz w:val="20"/>
                <w:szCs w:val="22"/>
              </w:rPr>
            </w:pPr>
            <w:r w:rsidRPr="00BB4117">
              <w:rPr>
                <w:rFonts w:ascii="Arial" w:hAnsi="Arial" w:cs="Arial"/>
                <w:color w:val="000000"/>
                <w:sz w:val="20"/>
                <w:szCs w:val="22"/>
              </w:rPr>
              <w:t>Lithium (-44%)</w:t>
            </w:r>
          </w:p>
          <w:p w:rsidR="002A7DE6" w:rsidRPr="00BB4117" w:rsidRDefault="002A7DE6" w:rsidP="00D87C1C">
            <w:pPr>
              <w:overflowPunct/>
              <w:spacing w:before="60" w:after="60"/>
              <w:textAlignment w:val="auto"/>
              <w:rPr>
                <w:rFonts w:ascii="Arial" w:hAnsi="Arial" w:cs="Arial"/>
                <w:color w:val="000000"/>
                <w:sz w:val="20"/>
                <w:szCs w:val="22"/>
              </w:rPr>
            </w:pPr>
            <w:r w:rsidRPr="00BB4117">
              <w:rPr>
                <w:rFonts w:ascii="Arial" w:hAnsi="Arial" w:cs="Arial"/>
                <w:color w:val="000000"/>
                <w:sz w:val="20"/>
                <w:szCs w:val="22"/>
              </w:rPr>
              <w:t>Transport (3%)</w:t>
            </w:r>
          </w:p>
        </w:tc>
      </w:tr>
      <w:tr w:rsidR="002A7DE6" w:rsidRPr="00BB4117" w:rsidTr="00D87C1C">
        <w:trPr>
          <w:trHeight w:val="821"/>
        </w:trPr>
        <w:tc>
          <w:tcPr>
            <w:tcW w:w="0" w:type="auto"/>
          </w:tcPr>
          <w:p w:rsidR="002A7DE6" w:rsidRPr="00BB4117" w:rsidRDefault="002A7DE6" w:rsidP="00D87C1C">
            <w:pPr>
              <w:overflowPunct/>
              <w:spacing w:before="60" w:after="60"/>
              <w:textAlignment w:val="auto"/>
              <w:rPr>
                <w:rFonts w:ascii="Arial" w:hAnsi="Arial" w:cs="Arial"/>
                <w:b/>
                <w:i/>
                <w:color w:val="000000"/>
                <w:sz w:val="20"/>
                <w:szCs w:val="22"/>
              </w:rPr>
            </w:pPr>
            <w:r w:rsidRPr="00BB4117">
              <w:rPr>
                <w:rFonts w:ascii="Arial" w:hAnsi="Arial" w:cs="Arial"/>
                <w:b/>
                <w:i/>
                <w:color w:val="000000"/>
                <w:sz w:val="20"/>
                <w:szCs w:val="22"/>
              </w:rPr>
              <w:t>Toxicity non-cancer</w:t>
            </w:r>
          </w:p>
        </w:tc>
        <w:tc>
          <w:tcPr>
            <w:tcW w:w="0" w:type="auto"/>
          </w:tcPr>
          <w:p w:rsidR="002A7DE6" w:rsidRPr="00BB4117" w:rsidRDefault="002A7DE6" w:rsidP="00D87C1C">
            <w:pPr>
              <w:overflowPunct/>
              <w:spacing w:before="60" w:after="60"/>
              <w:textAlignment w:val="auto"/>
              <w:rPr>
                <w:rFonts w:ascii="Arial" w:hAnsi="Arial" w:cs="Arial"/>
                <w:color w:val="000000"/>
                <w:sz w:val="20"/>
                <w:szCs w:val="22"/>
              </w:rPr>
            </w:pPr>
            <w:r w:rsidRPr="00BB4117">
              <w:rPr>
                <w:rFonts w:ascii="Arial" w:hAnsi="Arial" w:cs="Arial"/>
                <w:color w:val="000000"/>
                <w:sz w:val="20"/>
                <w:szCs w:val="22"/>
              </w:rPr>
              <w:t>Copper (79%)</w:t>
            </w:r>
          </w:p>
          <w:p w:rsidR="002A7DE6" w:rsidRPr="00BB4117" w:rsidRDefault="002A7DE6" w:rsidP="00D87C1C">
            <w:pPr>
              <w:overflowPunct/>
              <w:spacing w:before="60" w:after="60"/>
              <w:textAlignment w:val="auto"/>
              <w:rPr>
                <w:rFonts w:ascii="Arial" w:hAnsi="Arial" w:cs="Arial"/>
                <w:color w:val="000000"/>
                <w:sz w:val="20"/>
                <w:szCs w:val="22"/>
              </w:rPr>
            </w:pPr>
            <w:r w:rsidRPr="00BB4117">
              <w:rPr>
                <w:rFonts w:ascii="Arial" w:hAnsi="Arial" w:cs="Arial"/>
                <w:color w:val="000000"/>
                <w:sz w:val="20"/>
                <w:szCs w:val="22"/>
              </w:rPr>
              <w:t>Lithium (8%)</w:t>
            </w:r>
          </w:p>
          <w:p w:rsidR="002A7DE6" w:rsidRPr="00BB4117" w:rsidRDefault="002A7DE6" w:rsidP="00D87C1C">
            <w:pPr>
              <w:overflowPunct/>
              <w:spacing w:before="60" w:after="60"/>
              <w:textAlignment w:val="auto"/>
              <w:rPr>
                <w:rFonts w:ascii="Arial" w:hAnsi="Arial" w:cs="Arial"/>
                <w:color w:val="000000"/>
                <w:sz w:val="20"/>
                <w:szCs w:val="22"/>
              </w:rPr>
            </w:pPr>
            <w:r w:rsidRPr="00BB4117">
              <w:rPr>
                <w:rFonts w:ascii="Arial" w:hAnsi="Arial" w:cs="Arial"/>
                <w:color w:val="000000"/>
                <w:sz w:val="20"/>
                <w:szCs w:val="22"/>
              </w:rPr>
              <w:t>Electricity (8%)</w:t>
            </w:r>
          </w:p>
        </w:tc>
        <w:tc>
          <w:tcPr>
            <w:tcW w:w="0" w:type="auto"/>
          </w:tcPr>
          <w:p w:rsidR="002A7DE6" w:rsidRPr="00BB4117" w:rsidRDefault="002A7DE6" w:rsidP="00F63A3A">
            <w:pPr>
              <w:overflowPunct/>
              <w:spacing w:before="60" w:after="60"/>
              <w:textAlignment w:val="auto"/>
              <w:rPr>
                <w:rFonts w:ascii="Arial" w:hAnsi="Arial" w:cs="Arial"/>
                <w:color w:val="000000"/>
                <w:sz w:val="20"/>
                <w:szCs w:val="22"/>
              </w:rPr>
            </w:pPr>
            <w:r w:rsidRPr="00BB4117">
              <w:rPr>
                <w:rFonts w:ascii="Arial" w:hAnsi="Arial" w:cs="Arial"/>
                <w:color w:val="000000"/>
                <w:sz w:val="20"/>
                <w:szCs w:val="22"/>
              </w:rPr>
              <w:t>Electricity (9</w:t>
            </w:r>
            <w:r w:rsidR="00F63A3A" w:rsidRPr="00BB4117">
              <w:rPr>
                <w:rFonts w:ascii="Arial" w:hAnsi="Arial" w:cs="Arial"/>
                <w:color w:val="000000"/>
                <w:sz w:val="20"/>
                <w:szCs w:val="22"/>
              </w:rPr>
              <w:t>9</w:t>
            </w:r>
            <w:r w:rsidRPr="00BB4117">
              <w:rPr>
                <w:rFonts w:ascii="Arial" w:hAnsi="Arial" w:cs="Arial"/>
                <w:color w:val="000000"/>
                <w:sz w:val="20"/>
                <w:szCs w:val="22"/>
              </w:rPr>
              <w:t>%)</w:t>
            </w:r>
          </w:p>
        </w:tc>
        <w:tc>
          <w:tcPr>
            <w:tcW w:w="0" w:type="auto"/>
          </w:tcPr>
          <w:p w:rsidR="002A7DE6" w:rsidRPr="00BB4117" w:rsidRDefault="002A7DE6" w:rsidP="00D87C1C">
            <w:pPr>
              <w:overflowPunct/>
              <w:spacing w:before="60" w:after="60"/>
              <w:textAlignment w:val="auto"/>
              <w:rPr>
                <w:rFonts w:ascii="Arial" w:hAnsi="Arial" w:cs="Arial"/>
                <w:color w:val="000000"/>
                <w:sz w:val="20"/>
                <w:szCs w:val="22"/>
              </w:rPr>
            </w:pPr>
            <w:r w:rsidRPr="00BB4117">
              <w:rPr>
                <w:rFonts w:ascii="Arial" w:hAnsi="Arial" w:cs="Arial"/>
                <w:color w:val="000000"/>
                <w:sz w:val="20"/>
                <w:szCs w:val="22"/>
              </w:rPr>
              <w:t>Copper (-92%)</w:t>
            </w:r>
          </w:p>
          <w:p w:rsidR="002A7DE6" w:rsidRPr="00BB4117" w:rsidRDefault="002A7DE6" w:rsidP="00D87C1C">
            <w:pPr>
              <w:overflowPunct/>
              <w:spacing w:before="60" w:after="60"/>
              <w:textAlignment w:val="auto"/>
              <w:rPr>
                <w:rFonts w:ascii="Arial" w:hAnsi="Arial" w:cs="Arial"/>
                <w:color w:val="000000"/>
                <w:sz w:val="20"/>
                <w:szCs w:val="22"/>
              </w:rPr>
            </w:pPr>
            <w:r w:rsidRPr="00BB4117">
              <w:rPr>
                <w:rFonts w:ascii="Arial" w:hAnsi="Arial" w:cs="Arial"/>
                <w:color w:val="000000"/>
                <w:sz w:val="20"/>
                <w:szCs w:val="22"/>
              </w:rPr>
              <w:t>Lithium (-10%)</w:t>
            </w:r>
          </w:p>
          <w:p w:rsidR="002A7DE6" w:rsidRPr="00BB4117" w:rsidRDefault="002A7DE6" w:rsidP="00D87C1C">
            <w:pPr>
              <w:overflowPunct/>
              <w:spacing w:before="60" w:after="60"/>
              <w:textAlignment w:val="auto"/>
              <w:rPr>
                <w:rFonts w:ascii="Arial" w:hAnsi="Arial" w:cs="Arial"/>
                <w:color w:val="000000"/>
                <w:sz w:val="20"/>
                <w:szCs w:val="22"/>
              </w:rPr>
            </w:pPr>
            <w:r w:rsidRPr="00BB4117">
              <w:rPr>
                <w:rFonts w:ascii="Arial" w:hAnsi="Arial" w:cs="Arial"/>
                <w:color w:val="000000"/>
                <w:sz w:val="20"/>
                <w:szCs w:val="22"/>
              </w:rPr>
              <w:t>Transport (2%)</w:t>
            </w:r>
          </w:p>
        </w:tc>
      </w:tr>
      <w:tr w:rsidR="002A7DE6" w:rsidRPr="00BB4117" w:rsidTr="00D87C1C">
        <w:trPr>
          <w:trHeight w:val="821"/>
        </w:trPr>
        <w:tc>
          <w:tcPr>
            <w:tcW w:w="0" w:type="auto"/>
          </w:tcPr>
          <w:p w:rsidR="002A7DE6" w:rsidRPr="00BB4117" w:rsidRDefault="002A7DE6" w:rsidP="00D87C1C">
            <w:pPr>
              <w:overflowPunct/>
              <w:spacing w:before="60" w:after="60"/>
              <w:textAlignment w:val="auto"/>
              <w:rPr>
                <w:rFonts w:ascii="Arial" w:hAnsi="Arial" w:cs="Arial"/>
                <w:b/>
                <w:i/>
                <w:color w:val="000000"/>
                <w:sz w:val="20"/>
                <w:szCs w:val="22"/>
              </w:rPr>
            </w:pPr>
            <w:r w:rsidRPr="00BB4117">
              <w:rPr>
                <w:rFonts w:ascii="Arial" w:hAnsi="Arial" w:cs="Arial"/>
                <w:b/>
                <w:i/>
                <w:color w:val="000000"/>
                <w:sz w:val="20"/>
                <w:szCs w:val="22"/>
              </w:rPr>
              <w:t>Ecotoxicity</w:t>
            </w:r>
          </w:p>
        </w:tc>
        <w:tc>
          <w:tcPr>
            <w:tcW w:w="0" w:type="auto"/>
          </w:tcPr>
          <w:p w:rsidR="002A7DE6" w:rsidRPr="00BB4117" w:rsidRDefault="002A7DE6" w:rsidP="00D87C1C">
            <w:pPr>
              <w:overflowPunct/>
              <w:spacing w:before="60" w:after="60"/>
              <w:textAlignment w:val="auto"/>
              <w:rPr>
                <w:rFonts w:ascii="Arial" w:hAnsi="Arial" w:cs="Arial"/>
                <w:color w:val="000000"/>
                <w:sz w:val="20"/>
                <w:szCs w:val="22"/>
              </w:rPr>
            </w:pPr>
            <w:r w:rsidRPr="00BB4117">
              <w:rPr>
                <w:rFonts w:ascii="Arial" w:hAnsi="Arial" w:cs="Arial"/>
                <w:color w:val="000000"/>
                <w:sz w:val="20"/>
                <w:szCs w:val="22"/>
              </w:rPr>
              <w:t>Copper (67%)</w:t>
            </w:r>
          </w:p>
          <w:p w:rsidR="002A7DE6" w:rsidRPr="00BB4117" w:rsidRDefault="002A7DE6" w:rsidP="00D87C1C">
            <w:pPr>
              <w:overflowPunct/>
              <w:spacing w:before="60" w:after="60"/>
              <w:textAlignment w:val="auto"/>
              <w:rPr>
                <w:rFonts w:ascii="Arial" w:hAnsi="Arial" w:cs="Arial"/>
                <w:color w:val="000000"/>
                <w:sz w:val="20"/>
                <w:szCs w:val="22"/>
              </w:rPr>
            </w:pPr>
            <w:r w:rsidRPr="00BB4117">
              <w:rPr>
                <w:rFonts w:ascii="Arial" w:hAnsi="Arial" w:cs="Arial"/>
                <w:color w:val="000000"/>
                <w:sz w:val="20"/>
                <w:szCs w:val="22"/>
              </w:rPr>
              <w:t>Electricity (17%)</w:t>
            </w:r>
          </w:p>
          <w:p w:rsidR="002A7DE6" w:rsidRPr="00BB4117" w:rsidRDefault="002A7DE6" w:rsidP="00D87C1C">
            <w:pPr>
              <w:overflowPunct/>
              <w:spacing w:before="60" w:after="60"/>
              <w:textAlignment w:val="auto"/>
              <w:rPr>
                <w:rFonts w:ascii="Arial" w:hAnsi="Arial" w:cs="Arial"/>
                <w:color w:val="000000"/>
                <w:sz w:val="20"/>
                <w:szCs w:val="22"/>
              </w:rPr>
            </w:pPr>
            <w:r w:rsidRPr="00BB4117">
              <w:rPr>
                <w:rFonts w:ascii="Arial" w:hAnsi="Arial" w:cs="Arial"/>
                <w:color w:val="000000"/>
                <w:sz w:val="20"/>
                <w:szCs w:val="22"/>
              </w:rPr>
              <w:t>Lithium (10%)</w:t>
            </w:r>
          </w:p>
        </w:tc>
        <w:tc>
          <w:tcPr>
            <w:tcW w:w="0" w:type="auto"/>
          </w:tcPr>
          <w:p w:rsidR="002A7DE6" w:rsidRPr="00BB4117" w:rsidRDefault="002A7DE6" w:rsidP="00F63A3A">
            <w:pPr>
              <w:overflowPunct/>
              <w:spacing w:before="60" w:after="60"/>
              <w:textAlignment w:val="auto"/>
              <w:rPr>
                <w:rFonts w:ascii="Arial" w:hAnsi="Arial" w:cs="Arial"/>
                <w:color w:val="000000"/>
                <w:sz w:val="20"/>
                <w:szCs w:val="22"/>
              </w:rPr>
            </w:pPr>
            <w:r w:rsidRPr="00BB4117">
              <w:rPr>
                <w:rFonts w:ascii="Arial" w:hAnsi="Arial" w:cs="Arial"/>
                <w:color w:val="000000"/>
                <w:sz w:val="20"/>
                <w:szCs w:val="22"/>
              </w:rPr>
              <w:t>Electricity (9</w:t>
            </w:r>
            <w:r w:rsidR="00F63A3A" w:rsidRPr="00BB4117">
              <w:rPr>
                <w:rFonts w:ascii="Arial" w:hAnsi="Arial" w:cs="Arial"/>
                <w:color w:val="000000"/>
                <w:sz w:val="20"/>
                <w:szCs w:val="22"/>
              </w:rPr>
              <w:t>9</w:t>
            </w:r>
            <w:r w:rsidRPr="00BB4117">
              <w:rPr>
                <w:rFonts w:ascii="Arial" w:hAnsi="Arial" w:cs="Arial"/>
                <w:color w:val="000000"/>
                <w:sz w:val="20"/>
                <w:szCs w:val="22"/>
              </w:rPr>
              <w:t>%)</w:t>
            </w:r>
          </w:p>
        </w:tc>
        <w:tc>
          <w:tcPr>
            <w:tcW w:w="0" w:type="auto"/>
          </w:tcPr>
          <w:p w:rsidR="002A7DE6" w:rsidRPr="00BB4117" w:rsidRDefault="002A7DE6" w:rsidP="00D87C1C">
            <w:pPr>
              <w:overflowPunct/>
              <w:spacing w:before="60" w:after="60"/>
              <w:textAlignment w:val="auto"/>
              <w:rPr>
                <w:rFonts w:ascii="Arial" w:hAnsi="Arial" w:cs="Arial"/>
                <w:color w:val="000000"/>
                <w:sz w:val="20"/>
                <w:szCs w:val="22"/>
              </w:rPr>
            </w:pPr>
            <w:r w:rsidRPr="00BB4117">
              <w:rPr>
                <w:rFonts w:ascii="Arial" w:hAnsi="Arial" w:cs="Arial"/>
                <w:color w:val="000000"/>
                <w:sz w:val="20"/>
                <w:szCs w:val="22"/>
              </w:rPr>
              <w:t>Copper (-88%)</w:t>
            </w:r>
          </w:p>
          <w:p w:rsidR="002A7DE6" w:rsidRPr="00BB4117" w:rsidRDefault="002A7DE6" w:rsidP="00D87C1C">
            <w:pPr>
              <w:overflowPunct/>
              <w:spacing w:before="60" w:after="60"/>
              <w:textAlignment w:val="auto"/>
              <w:rPr>
                <w:rFonts w:ascii="Arial" w:hAnsi="Arial" w:cs="Arial"/>
                <w:color w:val="000000"/>
                <w:sz w:val="20"/>
                <w:szCs w:val="22"/>
              </w:rPr>
            </w:pPr>
            <w:r w:rsidRPr="00BB4117">
              <w:rPr>
                <w:rFonts w:ascii="Arial" w:hAnsi="Arial" w:cs="Arial"/>
                <w:color w:val="000000"/>
                <w:sz w:val="20"/>
                <w:szCs w:val="22"/>
              </w:rPr>
              <w:t>Lithium (-14%)</w:t>
            </w:r>
          </w:p>
          <w:p w:rsidR="002A7DE6" w:rsidRPr="00BB4117" w:rsidRDefault="002A7DE6" w:rsidP="00D87C1C">
            <w:pPr>
              <w:overflowPunct/>
              <w:spacing w:before="60" w:after="60"/>
              <w:textAlignment w:val="auto"/>
              <w:rPr>
                <w:rFonts w:ascii="Arial" w:hAnsi="Arial" w:cs="Arial"/>
                <w:color w:val="000000"/>
                <w:sz w:val="20"/>
                <w:szCs w:val="22"/>
              </w:rPr>
            </w:pPr>
            <w:r w:rsidRPr="00BB4117">
              <w:rPr>
                <w:rFonts w:ascii="Arial" w:hAnsi="Arial" w:cs="Arial"/>
                <w:color w:val="000000"/>
                <w:sz w:val="20"/>
                <w:szCs w:val="22"/>
              </w:rPr>
              <w:t>Transport (2%)</w:t>
            </w:r>
          </w:p>
        </w:tc>
      </w:tr>
    </w:tbl>
    <w:p w:rsidR="007315C9" w:rsidRPr="00BB4117" w:rsidRDefault="007315C9" w:rsidP="002049D0">
      <w:pPr>
        <w:pStyle w:val="Rubrik2"/>
        <w:numPr>
          <w:ilvl w:val="1"/>
          <w:numId w:val="46"/>
        </w:numPr>
        <w:rPr>
          <w:lang w:val="en-GB"/>
        </w:rPr>
      </w:pPr>
      <w:bookmarkStart w:id="78" w:name="_Toc428370332"/>
      <w:r w:rsidRPr="00BB4117">
        <w:rPr>
          <w:lang w:val="en-GB"/>
        </w:rPr>
        <w:t>Sensitivity calculation</w:t>
      </w:r>
      <w:bookmarkEnd w:id="74"/>
      <w:bookmarkEnd w:id="78"/>
    </w:p>
    <w:p w:rsidR="00353685" w:rsidRPr="00BB4117" w:rsidRDefault="00804716">
      <w:pPr>
        <w:pStyle w:val="Brdtext"/>
        <w:rPr>
          <w:rFonts w:ascii="TimesNewRomanPSMT" w:hAnsi="TimesNewRomanPSMT"/>
          <w:szCs w:val="24"/>
        </w:rPr>
      </w:pPr>
      <w:r w:rsidRPr="00BB4117">
        <w:rPr>
          <w:rFonts w:ascii="TimesNewRomanPSMT" w:hAnsi="TimesNewRomanPSMT"/>
          <w:szCs w:val="24"/>
        </w:rPr>
        <w:t>T</w:t>
      </w:r>
      <w:r w:rsidR="00AC2687" w:rsidRPr="00BB4117">
        <w:rPr>
          <w:rFonts w:ascii="TimesNewRomanPSMT" w:hAnsi="TimesNewRomanPSMT"/>
          <w:szCs w:val="24"/>
        </w:rPr>
        <w:t>he use phase</w:t>
      </w:r>
      <w:r w:rsidR="007B5667" w:rsidRPr="00BB4117">
        <w:rPr>
          <w:rFonts w:ascii="TimesNewRomanPSMT" w:hAnsi="TimesNewRomanPSMT"/>
          <w:szCs w:val="24"/>
        </w:rPr>
        <w:t xml:space="preserve"> climate and toxicity</w:t>
      </w:r>
      <w:r w:rsidR="00AC2687" w:rsidRPr="00BB4117">
        <w:rPr>
          <w:rFonts w:ascii="TimesNewRomanPSMT" w:hAnsi="TimesNewRomanPSMT"/>
          <w:szCs w:val="24"/>
        </w:rPr>
        <w:t xml:space="preserve"> impacts </w:t>
      </w:r>
      <w:r w:rsidRPr="00BB4117">
        <w:rPr>
          <w:rFonts w:ascii="TimesNewRomanPSMT" w:hAnsi="TimesNewRomanPSMT"/>
          <w:szCs w:val="24"/>
        </w:rPr>
        <w:t>are</w:t>
      </w:r>
      <w:r w:rsidR="00AC2687" w:rsidRPr="00BB4117">
        <w:rPr>
          <w:rFonts w:ascii="TimesNewRomanPSMT" w:hAnsi="TimesNewRomanPSMT"/>
          <w:szCs w:val="24"/>
        </w:rPr>
        <w:t xml:space="preserve"> </w:t>
      </w:r>
      <w:r w:rsidRPr="00BB4117">
        <w:rPr>
          <w:rFonts w:ascii="TimesNewRomanPSMT" w:hAnsi="TimesNewRomanPSMT"/>
          <w:szCs w:val="24"/>
        </w:rPr>
        <w:t xml:space="preserve">very </w:t>
      </w:r>
      <w:r w:rsidR="00AC2687" w:rsidRPr="00BB4117">
        <w:rPr>
          <w:rFonts w:ascii="TimesNewRomanPSMT" w:hAnsi="TimesNewRomanPSMT"/>
          <w:szCs w:val="24"/>
        </w:rPr>
        <w:t>dominant</w:t>
      </w:r>
      <w:r w:rsidRPr="00BB4117">
        <w:rPr>
          <w:rFonts w:ascii="TimesNewRomanPSMT" w:hAnsi="TimesNewRomanPSMT"/>
          <w:szCs w:val="24"/>
        </w:rPr>
        <w:t xml:space="preserve"> at the long-term goal level</w:t>
      </w:r>
      <w:r w:rsidR="00AC2687" w:rsidRPr="00BB4117">
        <w:rPr>
          <w:rFonts w:ascii="TimesNewRomanPSMT" w:hAnsi="TimesNewRomanPSMT"/>
          <w:szCs w:val="24"/>
        </w:rPr>
        <w:t>.</w:t>
      </w:r>
      <w:r w:rsidR="00544C74" w:rsidRPr="00BB4117">
        <w:rPr>
          <w:rFonts w:ascii="TimesNewRomanPSMT" w:hAnsi="TimesNewRomanPSMT"/>
          <w:szCs w:val="24"/>
        </w:rPr>
        <w:t xml:space="preserve"> </w:t>
      </w:r>
      <w:r w:rsidR="00F22E46" w:rsidRPr="00BB4117">
        <w:rPr>
          <w:rFonts w:ascii="TimesNewRomanPSMT" w:hAnsi="TimesNewRomanPSMT"/>
          <w:szCs w:val="24"/>
        </w:rPr>
        <w:t>T</w:t>
      </w:r>
      <w:r w:rsidR="00AC2687" w:rsidRPr="00BB4117">
        <w:rPr>
          <w:rFonts w:ascii="TimesNewRomanPSMT" w:hAnsi="TimesNewRomanPSMT"/>
          <w:szCs w:val="24"/>
        </w:rPr>
        <w:t xml:space="preserve">his result </w:t>
      </w:r>
      <w:r w:rsidR="00F22E46" w:rsidRPr="00BB4117">
        <w:rPr>
          <w:rFonts w:ascii="TimesNewRomanPSMT" w:hAnsi="TimesNewRomanPSMT"/>
          <w:szCs w:val="24"/>
        </w:rPr>
        <w:t xml:space="preserve">is scrutinized </w:t>
      </w:r>
      <w:r w:rsidR="00AC2687" w:rsidRPr="00BB4117">
        <w:rPr>
          <w:rFonts w:ascii="TimesNewRomanPSMT" w:hAnsi="TimesNewRomanPSMT"/>
          <w:szCs w:val="24"/>
        </w:rPr>
        <w:t>with another electricity mix.</w:t>
      </w:r>
      <w:r w:rsidR="00F57542" w:rsidRPr="00BB4117">
        <w:rPr>
          <w:rFonts w:ascii="TimesNewRomanPSMT" w:hAnsi="TimesNewRomanPSMT"/>
          <w:szCs w:val="24"/>
        </w:rPr>
        <w:t xml:space="preserve"> </w:t>
      </w:r>
    </w:p>
    <w:p w:rsidR="00B7407A" w:rsidRPr="00BB4117" w:rsidRDefault="00CE6045" w:rsidP="007A3732">
      <w:pPr>
        <w:pStyle w:val="Brdtext"/>
        <w:keepNext/>
        <w:keepLines/>
        <w:rPr>
          <w:rFonts w:ascii="TimesNewRomanPSMT" w:hAnsi="TimesNewRomanPSMT"/>
          <w:szCs w:val="24"/>
        </w:rPr>
      </w:pPr>
      <w:r w:rsidRPr="00BB4117">
        <w:rPr>
          <w:rFonts w:ascii="TimesNewRomanPSMT" w:hAnsi="TimesNewRomanPSMT"/>
          <w:noProof/>
          <w:szCs w:val="24"/>
          <w:lang w:val="sv-SE"/>
        </w:rPr>
        <w:lastRenderedPageBreak/>
        <w:drawing>
          <wp:inline distT="0" distB="0" distL="0" distR="0">
            <wp:extent cx="5039995" cy="3390721"/>
            <wp:effectExtent l="19050" t="0" r="8255" b="0"/>
            <wp:docPr id="5"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srcRect/>
                    <a:stretch>
                      <a:fillRect/>
                    </a:stretch>
                  </pic:blipFill>
                  <pic:spPr bwMode="auto">
                    <a:xfrm>
                      <a:off x="0" y="0"/>
                      <a:ext cx="5039995" cy="3390721"/>
                    </a:xfrm>
                    <a:prstGeom prst="rect">
                      <a:avLst/>
                    </a:prstGeom>
                    <a:noFill/>
                    <a:ln w="9525">
                      <a:noFill/>
                      <a:miter lim="800000"/>
                      <a:headEnd/>
                      <a:tailEnd/>
                    </a:ln>
                  </pic:spPr>
                </pic:pic>
              </a:graphicData>
            </a:graphic>
          </wp:inline>
        </w:drawing>
      </w:r>
    </w:p>
    <w:p w:rsidR="000D4CEB" w:rsidRPr="00BB4117" w:rsidRDefault="00B7407A" w:rsidP="00B7407A">
      <w:pPr>
        <w:pStyle w:val="Beskrivning"/>
        <w:rPr>
          <w:rFonts w:ascii="TimesNewRomanPSMT" w:hAnsi="TimesNewRomanPSMT"/>
          <w:szCs w:val="24"/>
        </w:rPr>
      </w:pPr>
      <w:bookmarkStart w:id="79" w:name="_Ref420498581"/>
      <w:bookmarkStart w:id="80" w:name="_Toc428360866"/>
      <w:r w:rsidRPr="00BB4117">
        <w:t xml:space="preserve">Figure </w:t>
      </w:r>
      <w:r w:rsidR="00524197" w:rsidRPr="00BB4117">
        <w:fldChar w:fldCharType="begin"/>
      </w:r>
      <w:r w:rsidR="004C6C5C" w:rsidRPr="00BB4117">
        <w:instrText xml:space="preserve"> SEQ Figure \* ARABIC </w:instrText>
      </w:r>
      <w:r w:rsidR="00524197" w:rsidRPr="00BB4117">
        <w:fldChar w:fldCharType="separate"/>
      </w:r>
      <w:r w:rsidR="00094C5D">
        <w:rPr>
          <w:noProof/>
        </w:rPr>
        <w:t>9</w:t>
      </w:r>
      <w:r w:rsidR="00524197" w:rsidRPr="00BB4117">
        <w:rPr>
          <w:noProof/>
        </w:rPr>
        <w:fldChar w:fldCharType="end"/>
      </w:r>
      <w:bookmarkEnd w:id="79"/>
      <w:r w:rsidRPr="00BB4117">
        <w:tab/>
        <w:t>Climate impact per vehicle km with</w:t>
      </w:r>
      <w:r w:rsidR="007A3732" w:rsidRPr="00BB4117">
        <w:t xml:space="preserve"> West European electricity mix and with</w:t>
      </w:r>
      <w:r w:rsidRPr="00BB4117">
        <w:t xml:space="preserve"> Swedish electricity</w:t>
      </w:r>
      <w:r w:rsidR="007A3732" w:rsidRPr="00BB4117">
        <w:t xml:space="preserve"> mix for the use phase</w:t>
      </w:r>
      <w:bookmarkEnd w:id="80"/>
    </w:p>
    <w:p w:rsidR="0061275F" w:rsidRPr="00BB4117" w:rsidRDefault="00F22E46" w:rsidP="0013068D">
      <w:pPr>
        <w:pStyle w:val="Brdtext"/>
      </w:pPr>
      <w:r w:rsidRPr="00BB4117">
        <w:rPr>
          <w:rFonts w:ascii="TimesNewRomanPSMT" w:hAnsi="TimesNewRomanPSMT"/>
          <w:szCs w:val="24"/>
        </w:rPr>
        <w:t>W</w:t>
      </w:r>
      <w:r w:rsidR="00BF3C3A" w:rsidRPr="00BB4117">
        <w:rPr>
          <w:rFonts w:ascii="TimesNewRomanPSMT" w:hAnsi="TimesNewRomanPSMT"/>
          <w:szCs w:val="24"/>
        </w:rPr>
        <w:t>hen the battery is using Swedish electricity mix (63 g CO</w:t>
      </w:r>
      <w:r w:rsidR="00BF3C3A" w:rsidRPr="00BB4117">
        <w:rPr>
          <w:rFonts w:ascii="TimesNewRomanPSMT" w:hAnsi="TimesNewRomanPSMT"/>
          <w:szCs w:val="24"/>
          <w:vertAlign w:val="subscript"/>
        </w:rPr>
        <w:t>2</w:t>
      </w:r>
      <w:r w:rsidR="00BF3C3A" w:rsidRPr="00BB4117">
        <w:rPr>
          <w:rFonts w:ascii="TimesNewRomanPSMT" w:hAnsi="TimesNewRomanPSMT"/>
          <w:szCs w:val="24"/>
        </w:rPr>
        <w:t>-eq/kWh)</w:t>
      </w:r>
      <w:r w:rsidR="002E56CB" w:rsidRPr="00BB4117">
        <w:rPr>
          <w:rFonts w:ascii="TimesNewRomanPSMT" w:hAnsi="TimesNewRomanPSMT"/>
          <w:szCs w:val="24"/>
        </w:rPr>
        <w:t>,</w:t>
      </w:r>
      <w:r w:rsidR="00BF3C3A" w:rsidRPr="00BB4117">
        <w:rPr>
          <w:rFonts w:ascii="TimesNewRomanPSMT" w:hAnsi="TimesNewRomanPSMT"/>
          <w:szCs w:val="24"/>
        </w:rPr>
        <w:t xml:space="preserve"> the use phase </w:t>
      </w:r>
      <w:r w:rsidR="005D0010" w:rsidRPr="00BB4117">
        <w:rPr>
          <w:rFonts w:ascii="TimesNewRomanPSMT" w:hAnsi="TimesNewRomanPSMT"/>
          <w:szCs w:val="24"/>
        </w:rPr>
        <w:t>climate impact is</w:t>
      </w:r>
      <w:r w:rsidR="00BF3C3A" w:rsidRPr="00BB4117">
        <w:rPr>
          <w:rFonts w:ascii="TimesNewRomanPSMT" w:hAnsi="TimesNewRomanPSMT"/>
          <w:szCs w:val="24"/>
        </w:rPr>
        <w:t xml:space="preserve"> no longer dominant in any scenario. </w:t>
      </w:r>
      <w:r w:rsidR="007B5667" w:rsidRPr="00BB4117">
        <w:rPr>
          <w:rFonts w:ascii="TimesNewRomanPSMT" w:hAnsi="TimesNewRomanPSMT"/>
          <w:szCs w:val="24"/>
        </w:rPr>
        <w:t xml:space="preserve">Note that the presented use phase impacts only cover battery related losses. The </w:t>
      </w:r>
      <w:r w:rsidR="00A317C6" w:rsidRPr="00BB4117">
        <w:rPr>
          <w:rFonts w:ascii="TimesNewRomanPSMT" w:hAnsi="TimesNewRomanPSMT"/>
          <w:szCs w:val="24"/>
        </w:rPr>
        <w:t>propulsion related</w:t>
      </w:r>
      <w:r w:rsidR="007B5667" w:rsidRPr="00BB4117">
        <w:rPr>
          <w:rFonts w:ascii="TimesNewRomanPSMT" w:hAnsi="TimesNewRomanPSMT"/>
          <w:szCs w:val="24"/>
        </w:rPr>
        <w:t xml:space="preserve"> use phase climate impact would be around 12 g CO</w:t>
      </w:r>
      <w:r w:rsidR="007B5667" w:rsidRPr="00BB4117">
        <w:rPr>
          <w:rFonts w:ascii="TimesNewRomanPSMT" w:hAnsi="TimesNewRomanPSMT"/>
          <w:szCs w:val="24"/>
          <w:vertAlign w:val="subscript"/>
        </w:rPr>
        <w:t>2</w:t>
      </w:r>
      <w:r w:rsidR="007B5667" w:rsidRPr="00BB4117">
        <w:rPr>
          <w:rFonts w:ascii="TimesNewRomanPSMT" w:hAnsi="TimesNewRomanPSMT"/>
          <w:szCs w:val="24"/>
        </w:rPr>
        <w:t>-eq/vehicle km with average</w:t>
      </w:r>
      <w:r w:rsidR="002E56CB" w:rsidRPr="00BB4117">
        <w:rPr>
          <w:rFonts w:ascii="TimesNewRomanPSMT" w:hAnsi="TimesNewRomanPSMT"/>
          <w:szCs w:val="24"/>
        </w:rPr>
        <w:t xml:space="preserve"> </w:t>
      </w:r>
      <w:r w:rsidR="00DB795E" w:rsidRPr="00BB4117">
        <w:rPr>
          <w:rFonts w:ascii="TimesNewRomanPSMT" w:hAnsi="TimesNewRomanPSMT"/>
          <w:szCs w:val="24"/>
        </w:rPr>
        <w:t>Swedish electricity</w:t>
      </w:r>
      <w:r w:rsidR="007B5667" w:rsidRPr="00BB4117">
        <w:rPr>
          <w:rFonts w:ascii="TimesNewRomanPSMT" w:hAnsi="TimesNewRomanPSMT"/>
          <w:szCs w:val="24"/>
        </w:rPr>
        <w:t>.</w:t>
      </w:r>
      <w:r w:rsidR="00DC1417" w:rsidRPr="00BB4117">
        <w:rPr>
          <w:rFonts w:ascii="TimesNewRomanPSMT" w:hAnsi="TimesNewRomanPSMT"/>
          <w:szCs w:val="24"/>
        </w:rPr>
        <w:t xml:space="preserve"> These 12 g CO</w:t>
      </w:r>
      <w:r w:rsidR="00DC1417" w:rsidRPr="00BB4117">
        <w:rPr>
          <w:rFonts w:ascii="TimesNewRomanPSMT" w:hAnsi="TimesNewRomanPSMT"/>
          <w:szCs w:val="24"/>
          <w:vertAlign w:val="subscript"/>
        </w:rPr>
        <w:t>2</w:t>
      </w:r>
      <w:r w:rsidR="00DC1417" w:rsidRPr="00BB4117">
        <w:rPr>
          <w:rFonts w:ascii="TimesNewRomanPSMT" w:hAnsi="TimesNewRomanPSMT"/>
          <w:szCs w:val="24"/>
        </w:rPr>
        <w:t xml:space="preserve">-eq/vehicle km should be compared to </w:t>
      </w:r>
      <w:r w:rsidR="00DC1417" w:rsidRPr="00BB4117">
        <w:t xml:space="preserve">the 95 </w:t>
      </w:r>
      <w:r w:rsidR="00DC1417" w:rsidRPr="00BB4117">
        <w:rPr>
          <w:rFonts w:ascii="TimesNewRomanPSMT" w:hAnsi="TimesNewRomanPSMT"/>
          <w:szCs w:val="24"/>
        </w:rPr>
        <w:t>g CO</w:t>
      </w:r>
      <w:r w:rsidR="00DC1417" w:rsidRPr="00BB4117">
        <w:rPr>
          <w:rFonts w:ascii="TimesNewRomanPSMT" w:hAnsi="TimesNewRomanPSMT"/>
          <w:szCs w:val="24"/>
          <w:vertAlign w:val="subscript"/>
        </w:rPr>
        <w:t>2</w:t>
      </w:r>
      <w:r w:rsidR="00DC1417" w:rsidRPr="00BB4117">
        <w:rPr>
          <w:rFonts w:ascii="TimesNewRomanPSMT" w:hAnsi="TimesNewRomanPSMT"/>
          <w:szCs w:val="24"/>
        </w:rPr>
        <w:t xml:space="preserve">-eq/km tailpipe </w:t>
      </w:r>
      <w:r w:rsidR="003E40AC" w:rsidRPr="00BB4117">
        <w:rPr>
          <w:rFonts w:ascii="TimesNewRomanPSMT" w:hAnsi="TimesNewRomanPSMT"/>
          <w:szCs w:val="24"/>
        </w:rPr>
        <w:t>emissions</w:t>
      </w:r>
      <w:r w:rsidR="00DC1417" w:rsidRPr="00BB4117">
        <w:rPr>
          <w:rFonts w:ascii="TimesNewRomanPSMT" w:hAnsi="TimesNewRomanPSMT"/>
          <w:szCs w:val="24"/>
        </w:rPr>
        <w:t xml:space="preserve"> limit. However, it should be noted that wi</w:t>
      </w:r>
      <w:r w:rsidR="00FB055B" w:rsidRPr="00BB4117">
        <w:rPr>
          <w:rFonts w:ascii="TimesNewRomanPSMT" w:hAnsi="TimesNewRomanPSMT"/>
          <w:szCs w:val="24"/>
        </w:rPr>
        <w:t>th carbon-rich electricity (e.g.</w:t>
      </w:r>
      <w:r w:rsidR="00DC1417" w:rsidRPr="00BB4117">
        <w:rPr>
          <w:rFonts w:ascii="TimesNewRomanPSMT" w:hAnsi="TimesNewRomanPSMT"/>
          <w:szCs w:val="24"/>
        </w:rPr>
        <w:t xml:space="preserve"> West European electricity mix at 594 </w:t>
      </w:r>
      <w:r w:rsidR="00D06CB5" w:rsidRPr="00BB4117">
        <w:rPr>
          <w:rFonts w:ascii="TimesNewRomanPSMT" w:hAnsi="TimesNewRomanPSMT"/>
          <w:szCs w:val="24"/>
        </w:rPr>
        <w:t xml:space="preserve">g </w:t>
      </w:r>
      <w:r w:rsidR="00DC1417" w:rsidRPr="00BB4117">
        <w:rPr>
          <w:rFonts w:ascii="TimesNewRomanPSMT" w:hAnsi="TimesNewRomanPSMT"/>
          <w:szCs w:val="24"/>
        </w:rPr>
        <w:t>CO</w:t>
      </w:r>
      <w:r w:rsidR="00DC1417" w:rsidRPr="00BB4117">
        <w:rPr>
          <w:rFonts w:ascii="TimesNewRomanPSMT" w:hAnsi="TimesNewRomanPSMT"/>
          <w:szCs w:val="24"/>
          <w:vertAlign w:val="subscript"/>
        </w:rPr>
        <w:t>2</w:t>
      </w:r>
      <w:r w:rsidR="00DC1417" w:rsidRPr="00BB4117">
        <w:rPr>
          <w:rFonts w:ascii="TimesNewRomanPSMT" w:hAnsi="TimesNewRomanPSMT"/>
          <w:szCs w:val="24"/>
        </w:rPr>
        <w:t xml:space="preserve">-eq/kWh), electric cars </w:t>
      </w:r>
      <w:r w:rsidR="00604E98" w:rsidRPr="00BB4117">
        <w:rPr>
          <w:rFonts w:ascii="TimesNewRomanPSMT" w:hAnsi="TimesNewRomanPSMT"/>
          <w:szCs w:val="24"/>
        </w:rPr>
        <w:t xml:space="preserve">approach </w:t>
      </w:r>
      <w:r w:rsidR="007B0B9C" w:rsidRPr="00BB4117">
        <w:rPr>
          <w:rFonts w:ascii="TimesNewRomanPSMT" w:hAnsi="TimesNewRomanPSMT"/>
          <w:szCs w:val="24"/>
        </w:rPr>
        <w:t xml:space="preserve">the </w:t>
      </w:r>
      <w:r w:rsidR="007B0B9C" w:rsidRPr="00BB4117">
        <w:t xml:space="preserve">95 </w:t>
      </w:r>
      <w:r w:rsidR="007B0B9C" w:rsidRPr="00BB4117">
        <w:rPr>
          <w:rFonts w:ascii="TimesNewRomanPSMT" w:hAnsi="TimesNewRomanPSMT"/>
          <w:szCs w:val="24"/>
        </w:rPr>
        <w:t>g CO</w:t>
      </w:r>
      <w:r w:rsidR="007B0B9C" w:rsidRPr="00BB4117">
        <w:rPr>
          <w:rFonts w:ascii="TimesNewRomanPSMT" w:hAnsi="TimesNewRomanPSMT"/>
          <w:szCs w:val="24"/>
          <w:vertAlign w:val="subscript"/>
        </w:rPr>
        <w:t>2</w:t>
      </w:r>
      <w:r w:rsidR="007B0B9C" w:rsidRPr="00BB4117">
        <w:rPr>
          <w:rFonts w:ascii="TimesNewRomanPSMT" w:hAnsi="TimesNewRomanPSMT"/>
          <w:szCs w:val="24"/>
        </w:rPr>
        <w:t>-eq/km</w:t>
      </w:r>
      <w:r w:rsidR="00DC1417" w:rsidRPr="00BB4117">
        <w:rPr>
          <w:rFonts w:ascii="TimesNewRomanPSMT" w:hAnsi="TimesNewRomanPSMT"/>
          <w:szCs w:val="24"/>
        </w:rPr>
        <w:t xml:space="preserve"> </w:t>
      </w:r>
      <w:r w:rsidR="007B0B9C" w:rsidRPr="00BB4117">
        <w:rPr>
          <w:rFonts w:ascii="TimesNewRomanPSMT" w:hAnsi="TimesNewRomanPSMT"/>
          <w:szCs w:val="24"/>
        </w:rPr>
        <w:t>limit</w:t>
      </w:r>
      <w:r w:rsidR="00DC1417" w:rsidRPr="00BB4117">
        <w:rPr>
          <w:rFonts w:ascii="TimesNewRomanPSMT" w:hAnsi="TimesNewRomanPSMT"/>
          <w:szCs w:val="24"/>
        </w:rPr>
        <w:t xml:space="preserve"> if propulsion impacts </w:t>
      </w:r>
      <w:r w:rsidR="00FB055B" w:rsidRPr="00BB4117">
        <w:rPr>
          <w:rFonts w:ascii="TimesNewRomanPSMT" w:hAnsi="TimesNewRomanPSMT"/>
          <w:szCs w:val="24"/>
        </w:rPr>
        <w:t xml:space="preserve">are included </w:t>
      </w:r>
      <w:r w:rsidR="00DC1417" w:rsidRPr="00BB4117">
        <w:rPr>
          <w:rFonts w:ascii="TimesNewRomanPSMT" w:hAnsi="TimesNewRomanPSMT"/>
          <w:szCs w:val="24"/>
        </w:rPr>
        <w:t xml:space="preserve">(594 </w:t>
      </w:r>
      <w:r w:rsidR="00D06CB5" w:rsidRPr="00BB4117">
        <w:rPr>
          <w:rFonts w:ascii="TimesNewRomanPSMT" w:hAnsi="TimesNewRomanPSMT"/>
          <w:szCs w:val="24"/>
        </w:rPr>
        <w:t xml:space="preserve">g </w:t>
      </w:r>
      <w:r w:rsidR="00DC1417" w:rsidRPr="00BB4117">
        <w:rPr>
          <w:rFonts w:ascii="TimesNewRomanPSMT" w:hAnsi="TimesNewRomanPSMT"/>
          <w:szCs w:val="24"/>
        </w:rPr>
        <w:t>CO</w:t>
      </w:r>
      <w:r w:rsidR="00DC1417" w:rsidRPr="00BB4117">
        <w:rPr>
          <w:rFonts w:ascii="TimesNewRomanPSMT" w:hAnsi="TimesNewRomanPSMT"/>
          <w:szCs w:val="24"/>
          <w:vertAlign w:val="subscript"/>
        </w:rPr>
        <w:t>2</w:t>
      </w:r>
      <w:r w:rsidR="00DC1417" w:rsidRPr="00BB4117">
        <w:rPr>
          <w:rFonts w:ascii="TimesNewRomanPSMT" w:hAnsi="TimesNewRomanPSMT"/>
          <w:szCs w:val="24"/>
        </w:rPr>
        <w:t>-eq/kWh * 0</w:t>
      </w:r>
      <w:r w:rsidR="00604E98" w:rsidRPr="00BB4117">
        <w:rPr>
          <w:rFonts w:ascii="TimesNewRomanPSMT" w:hAnsi="TimesNewRomanPSMT"/>
          <w:szCs w:val="24"/>
        </w:rPr>
        <w:t>.</w:t>
      </w:r>
      <w:r w:rsidR="00DC1417" w:rsidRPr="00BB4117">
        <w:rPr>
          <w:rFonts w:ascii="TimesNewRomanPSMT" w:hAnsi="TimesNewRomanPSMT"/>
          <w:szCs w:val="24"/>
        </w:rPr>
        <w:t xml:space="preserve">15 kWh/km= 89 </w:t>
      </w:r>
      <w:r w:rsidR="00D06CB5" w:rsidRPr="00BB4117">
        <w:rPr>
          <w:rFonts w:ascii="TimesNewRomanPSMT" w:hAnsi="TimesNewRomanPSMT"/>
          <w:szCs w:val="24"/>
        </w:rPr>
        <w:t xml:space="preserve">g </w:t>
      </w:r>
      <w:r w:rsidR="00DC1417" w:rsidRPr="00BB4117">
        <w:rPr>
          <w:rFonts w:ascii="TimesNewRomanPSMT" w:hAnsi="TimesNewRomanPSMT"/>
          <w:szCs w:val="24"/>
        </w:rPr>
        <w:t>CO</w:t>
      </w:r>
      <w:r w:rsidR="00DC1417" w:rsidRPr="00BB4117">
        <w:rPr>
          <w:rFonts w:ascii="TimesNewRomanPSMT" w:hAnsi="TimesNewRomanPSMT"/>
          <w:szCs w:val="24"/>
          <w:vertAlign w:val="subscript"/>
        </w:rPr>
        <w:t>2</w:t>
      </w:r>
      <w:r w:rsidR="00DC1417" w:rsidRPr="00BB4117">
        <w:rPr>
          <w:rFonts w:ascii="TimesNewRomanPSMT" w:hAnsi="TimesNewRomanPSMT"/>
          <w:szCs w:val="24"/>
        </w:rPr>
        <w:t>-eq/km)</w:t>
      </w:r>
      <w:r w:rsidR="007B0B9C" w:rsidRPr="00BB4117">
        <w:rPr>
          <w:rFonts w:ascii="TimesNewRomanPSMT" w:hAnsi="TimesNewRomanPSMT"/>
          <w:szCs w:val="24"/>
        </w:rPr>
        <w:t>, even if the limit does not legally apply to EVs</w:t>
      </w:r>
      <w:r w:rsidR="00DC1417" w:rsidRPr="00BB4117">
        <w:rPr>
          <w:rFonts w:ascii="TimesNewRomanPSMT" w:hAnsi="TimesNewRomanPSMT"/>
          <w:szCs w:val="24"/>
        </w:rPr>
        <w:t>.</w:t>
      </w:r>
      <w:bookmarkStart w:id="81" w:name="_Toc197942755"/>
    </w:p>
    <w:p w:rsidR="007315C9" w:rsidRPr="00BB4117" w:rsidRDefault="007315C9" w:rsidP="002D62FE">
      <w:pPr>
        <w:pStyle w:val="Rubrik1"/>
        <w:rPr>
          <w:lang w:val="en-GB"/>
        </w:rPr>
      </w:pPr>
      <w:bookmarkStart w:id="82" w:name="_Toc428370333"/>
      <w:r w:rsidRPr="00BB4117">
        <w:rPr>
          <w:lang w:val="en-GB"/>
        </w:rPr>
        <w:t>Discussion</w:t>
      </w:r>
      <w:bookmarkEnd w:id="81"/>
      <w:r w:rsidR="003E30D4" w:rsidRPr="00BB4117">
        <w:rPr>
          <w:lang w:val="en-GB"/>
        </w:rPr>
        <w:t>s and conclusions</w:t>
      </w:r>
      <w:bookmarkEnd w:id="82"/>
    </w:p>
    <w:p w:rsidR="00A36A42" w:rsidRPr="00BB4117" w:rsidRDefault="00A36A42" w:rsidP="002049D0">
      <w:pPr>
        <w:pStyle w:val="Rubrik2"/>
        <w:numPr>
          <w:ilvl w:val="1"/>
          <w:numId w:val="47"/>
        </w:numPr>
        <w:rPr>
          <w:lang w:val="en-GB"/>
        </w:rPr>
      </w:pPr>
      <w:bookmarkStart w:id="83" w:name="_Toc428370334"/>
      <w:r w:rsidRPr="00BB4117">
        <w:rPr>
          <w:lang w:val="en-GB"/>
        </w:rPr>
        <w:t>Comp</w:t>
      </w:r>
      <w:r w:rsidR="003E30D4" w:rsidRPr="00BB4117">
        <w:rPr>
          <w:lang w:val="en-GB"/>
        </w:rPr>
        <w:t>arisons</w:t>
      </w:r>
      <w:r w:rsidRPr="00BB4117">
        <w:rPr>
          <w:lang w:val="en-GB"/>
        </w:rPr>
        <w:t xml:space="preserve"> with other studies</w:t>
      </w:r>
      <w:bookmarkEnd w:id="83"/>
    </w:p>
    <w:p w:rsidR="003E30D4" w:rsidRPr="00BB4117" w:rsidRDefault="003E30D4" w:rsidP="006D1AA2">
      <w:pPr>
        <w:overflowPunct/>
        <w:autoSpaceDE/>
        <w:autoSpaceDN/>
        <w:adjustRightInd/>
        <w:spacing w:before="0" w:after="0"/>
        <w:textAlignment w:val="auto"/>
      </w:pPr>
      <w:r w:rsidRPr="00BB4117">
        <w:t>In order to understand and interpret the LCA, results were compared to three other studies. The results of the comparisons are summarized in</w:t>
      </w:r>
      <w:r w:rsidR="006D1AA2" w:rsidRPr="00BB4117">
        <w:t xml:space="preserve"> </w:t>
      </w:r>
      <w:r w:rsidR="00524197" w:rsidRPr="00BB4117">
        <w:fldChar w:fldCharType="begin"/>
      </w:r>
      <w:r w:rsidR="006D1AA2" w:rsidRPr="00BB4117">
        <w:instrText xml:space="preserve"> REF _Ref427769266 \h </w:instrText>
      </w:r>
      <w:r w:rsidR="00524197" w:rsidRPr="00BB4117">
        <w:fldChar w:fldCharType="separate"/>
      </w:r>
      <w:r w:rsidR="00094C5D" w:rsidRPr="00BB4117">
        <w:t xml:space="preserve">Table </w:t>
      </w:r>
      <w:r w:rsidR="00094C5D">
        <w:rPr>
          <w:noProof/>
        </w:rPr>
        <w:t>8</w:t>
      </w:r>
      <w:r w:rsidR="00524197" w:rsidRPr="00BB4117">
        <w:fldChar w:fldCharType="end"/>
      </w:r>
      <w:r w:rsidRPr="00BB4117">
        <w:t>.</w:t>
      </w:r>
    </w:p>
    <w:p w:rsidR="00575C6A" w:rsidRPr="00BB4117" w:rsidRDefault="00575C6A">
      <w:pPr>
        <w:overflowPunct/>
        <w:autoSpaceDE/>
        <w:autoSpaceDN/>
        <w:adjustRightInd/>
        <w:spacing w:before="0" w:after="0"/>
        <w:textAlignment w:val="auto"/>
        <w:rPr>
          <w:i/>
        </w:rPr>
      </w:pPr>
      <w:bookmarkStart w:id="84" w:name="_Ref423693152"/>
      <w:r w:rsidRPr="00BB4117">
        <w:br w:type="page"/>
      </w:r>
    </w:p>
    <w:p w:rsidR="00855B1A" w:rsidRPr="00BB4117" w:rsidRDefault="00855B1A" w:rsidP="00855B1A">
      <w:pPr>
        <w:pStyle w:val="Beskrivning"/>
      </w:pPr>
      <w:bookmarkStart w:id="85" w:name="_Ref427769266"/>
      <w:bookmarkStart w:id="86" w:name="_Toc428370279"/>
      <w:r w:rsidRPr="00BB4117">
        <w:lastRenderedPageBreak/>
        <w:t xml:space="preserve">Table </w:t>
      </w:r>
      <w:r w:rsidR="00524197" w:rsidRPr="00BB4117">
        <w:fldChar w:fldCharType="begin"/>
      </w:r>
      <w:r w:rsidR="004C6C5C" w:rsidRPr="00BB4117">
        <w:instrText xml:space="preserve"> SEQ Table \* ARABIC </w:instrText>
      </w:r>
      <w:r w:rsidR="00524197" w:rsidRPr="00BB4117">
        <w:fldChar w:fldCharType="separate"/>
      </w:r>
      <w:r w:rsidR="00094C5D">
        <w:rPr>
          <w:noProof/>
        </w:rPr>
        <w:t>8</w:t>
      </w:r>
      <w:r w:rsidR="00524197" w:rsidRPr="00BB4117">
        <w:rPr>
          <w:noProof/>
        </w:rPr>
        <w:fldChar w:fldCharType="end"/>
      </w:r>
      <w:bookmarkEnd w:id="84"/>
      <w:bookmarkEnd w:id="85"/>
      <w:r w:rsidRPr="00BB4117">
        <w:tab/>
        <w:t>Comparisons with other studies</w:t>
      </w:r>
      <w:bookmarkEnd w:id="86"/>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384"/>
        <w:gridCol w:w="1952"/>
        <w:gridCol w:w="2919"/>
        <w:gridCol w:w="1898"/>
      </w:tblGrid>
      <w:tr w:rsidR="002C3963" w:rsidRPr="00BB4117" w:rsidTr="00CB77F8">
        <w:trPr>
          <w:tblHeader/>
        </w:trPr>
        <w:tc>
          <w:tcPr>
            <w:tcW w:w="0" w:type="auto"/>
          </w:tcPr>
          <w:p w:rsidR="00220238" w:rsidRPr="00BB4117" w:rsidRDefault="00220238" w:rsidP="00591A93">
            <w:pPr>
              <w:pStyle w:val="Brdtext"/>
              <w:spacing w:after="60"/>
              <w:jc w:val="right"/>
              <w:rPr>
                <w:rFonts w:ascii="Arial" w:hAnsi="Arial" w:cs="Arial"/>
                <w:b/>
                <w:i/>
                <w:sz w:val="20"/>
              </w:rPr>
            </w:pPr>
            <w:r w:rsidRPr="00BB4117">
              <w:rPr>
                <w:rFonts w:ascii="Arial" w:hAnsi="Arial" w:cs="Arial"/>
                <w:b/>
                <w:sz w:val="20"/>
              </w:rPr>
              <w:t>Study</w:t>
            </w:r>
          </w:p>
          <w:p w:rsidR="003E30D4" w:rsidRPr="00BB4117" w:rsidRDefault="003E30D4" w:rsidP="00220238">
            <w:pPr>
              <w:pStyle w:val="Brdtext"/>
              <w:spacing w:before="60" w:after="60"/>
              <w:rPr>
                <w:rFonts w:ascii="Arial" w:hAnsi="Arial" w:cs="Arial"/>
                <w:b/>
                <w:sz w:val="20"/>
              </w:rPr>
            </w:pPr>
            <w:r w:rsidRPr="00BB4117">
              <w:rPr>
                <w:rFonts w:ascii="Arial" w:hAnsi="Arial" w:cs="Arial"/>
                <w:b/>
                <w:i/>
                <w:sz w:val="20"/>
              </w:rPr>
              <w:t>Impact category</w:t>
            </w:r>
          </w:p>
        </w:tc>
        <w:tc>
          <w:tcPr>
            <w:tcW w:w="0" w:type="auto"/>
          </w:tcPr>
          <w:p w:rsidR="003E30D4" w:rsidRPr="00BB4117" w:rsidRDefault="003E30D4" w:rsidP="00B564DC">
            <w:pPr>
              <w:pStyle w:val="Brdtext"/>
              <w:spacing w:after="60"/>
              <w:rPr>
                <w:rFonts w:ascii="Arial" w:hAnsi="Arial" w:cs="Arial"/>
                <w:b/>
                <w:sz w:val="20"/>
              </w:rPr>
            </w:pPr>
            <w:proofErr w:type="spellStart"/>
            <w:r w:rsidRPr="00BB4117">
              <w:rPr>
                <w:rFonts w:ascii="Arial" w:hAnsi="Arial" w:cs="Arial"/>
                <w:b/>
                <w:sz w:val="20"/>
              </w:rPr>
              <w:t>Notter</w:t>
            </w:r>
            <w:proofErr w:type="spellEnd"/>
            <w:r w:rsidR="00446F3D" w:rsidRPr="00BB4117">
              <w:rPr>
                <w:rFonts w:ascii="Arial" w:hAnsi="Arial" w:cs="Arial"/>
                <w:b/>
                <w:sz w:val="20"/>
              </w:rPr>
              <w:t xml:space="preserve"> et al 2010</w:t>
            </w:r>
            <w:r w:rsidR="00EA28C4" w:rsidRPr="00BB4117">
              <w:rPr>
                <w:rFonts w:ascii="Arial" w:hAnsi="Arial" w:cs="Arial"/>
                <w:b/>
                <w:sz w:val="20"/>
              </w:rPr>
              <w:t xml:space="preserve"> </w:t>
            </w:r>
            <w:r w:rsidR="00D937F9" w:rsidRPr="00BB4117">
              <w:rPr>
                <w:rFonts w:ascii="Arial" w:hAnsi="Arial" w:cs="Arial"/>
                <w:b/>
                <w:sz w:val="20"/>
              </w:rPr>
              <w:t xml:space="preserve">             </w:t>
            </w:r>
            <w:r w:rsidR="00D937F9" w:rsidRPr="00BB4117">
              <w:rPr>
                <w:rFonts w:ascii="Arial" w:hAnsi="Arial" w:cs="Arial"/>
                <w:sz w:val="18"/>
              </w:rPr>
              <w:t>LCA of</w:t>
            </w:r>
            <w:r w:rsidR="00EA28C4" w:rsidRPr="00BB4117">
              <w:rPr>
                <w:rFonts w:ascii="Arial" w:hAnsi="Arial" w:cs="Arial"/>
                <w:sz w:val="18"/>
              </w:rPr>
              <w:t xml:space="preserve"> typical EV </w:t>
            </w:r>
            <w:r w:rsidR="00B564DC" w:rsidRPr="00BB4117">
              <w:rPr>
                <w:rFonts w:ascii="Arial" w:hAnsi="Arial" w:cs="Arial"/>
                <w:sz w:val="18"/>
              </w:rPr>
              <w:t>compared with</w:t>
            </w:r>
            <w:r w:rsidR="00EA28C4" w:rsidRPr="00BB4117">
              <w:rPr>
                <w:rFonts w:ascii="Arial" w:hAnsi="Arial" w:cs="Arial"/>
                <w:sz w:val="18"/>
              </w:rPr>
              <w:t xml:space="preserve"> typical ICEV</w:t>
            </w:r>
          </w:p>
        </w:tc>
        <w:tc>
          <w:tcPr>
            <w:tcW w:w="0" w:type="auto"/>
          </w:tcPr>
          <w:p w:rsidR="003E30D4" w:rsidRPr="00BB4117" w:rsidRDefault="003E30D4" w:rsidP="00B564DC">
            <w:pPr>
              <w:pStyle w:val="Brdtext"/>
              <w:spacing w:after="60"/>
              <w:rPr>
                <w:rFonts w:ascii="Arial" w:hAnsi="Arial" w:cs="Arial"/>
                <w:b/>
                <w:sz w:val="20"/>
              </w:rPr>
            </w:pPr>
            <w:proofErr w:type="spellStart"/>
            <w:r w:rsidRPr="00BB4117">
              <w:rPr>
                <w:rFonts w:ascii="Arial" w:hAnsi="Arial" w:cs="Arial"/>
                <w:b/>
                <w:sz w:val="20"/>
              </w:rPr>
              <w:t>Amarakoon</w:t>
            </w:r>
            <w:proofErr w:type="spellEnd"/>
            <w:r w:rsidR="00446F3D" w:rsidRPr="00BB4117">
              <w:rPr>
                <w:rFonts w:ascii="Arial" w:hAnsi="Arial" w:cs="Arial"/>
                <w:b/>
                <w:sz w:val="20"/>
              </w:rPr>
              <w:t xml:space="preserve"> et al 2013</w:t>
            </w:r>
            <w:r w:rsidR="00EA28C4" w:rsidRPr="00BB4117">
              <w:rPr>
                <w:rFonts w:ascii="Arial" w:hAnsi="Arial" w:cs="Arial"/>
                <w:b/>
                <w:sz w:val="20"/>
              </w:rPr>
              <w:t xml:space="preserve"> </w:t>
            </w:r>
            <w:r w:rsidR="00220238" w:rsidRPr="00BB4117">
              <w:rPr>
                <w:rFonts w:ascii="Arial" w:hAnsi="Arial" w:cs="Arial"/>
                <w:b/>
                <w:sz w:val="20"/>
              </w:rPr>
              <w:t xml:space="preserve">       </w:t>
            </w:r>
            <w:r w:rsidR="00B564DC" w:rsidRPr="00BB4117">
              <w:rPr>
                <w:rFonts w:ascii="Arial" w:hAnsi="Arial" w:cs="Arial"/>
                <w:sz w:val="18"/>
              </w:rPr>
              <w:t>LCA of</w:t>
            </w:r>
            <w:r w:rsidR="00EA28C4" w:rsidRPr="00BB4117">
              <w:rPr>
                <w:rFonts w:ascii="Arial" w:hAnsi="Arial" w:cs="Arial"/>
                <w:sz w:val="18"/>
              </w:rPr>
              <w:t xml:space="preserve"> lithium chemistries for EV and PHEV batteries</w:t>
            </w:r>
          </w:p>
        </w:tc>
        <w:tc>
          <w:tcPr>
            <w:tcW w:w="0" w:type="auto"/>
          </w:tcPr>
          <w:p w:rsidR="003E30D4" w:rsidRPr="00BB4117" w:rsidRDefault="003E30D4" w:rsidP="00B564DC">
            <w:pPr>
              <w:pStyle w:val="Brdtext"/>
              <w:spacing w:after="60"/>
              <w:rPr>
                <w:rFonts w:ascii="Arial" w:hAnsi="Arial" w:cs="Arial"/>
                <w:b/>
                <w:sz w:val="20"/>
              </w:rPr>
            </w:pPr>
            <w:proofErr w:type="spellStart"/>
            <w:r w:rsidRPr="00BB4117">
              <w:rPr>
                <w:rFonts w:ascii="Arial" w:hAnsi="Arial" w:cs="Arial"/>
                <w:b/>
                <w:sz w:val="20"/>
              </w:rPr>
              <w:t>Buchert</w:t>
            </w:r>
            <w:proofErr w:type="spellEnd"/>
            <w:r w:rsidR="00446F3D" w:rsidRPr="00BB4117">
              <w:rPr>
                <w:rFonts w:ascii="Arial" w:hAnsi="Arial" w:cs="Arial"/>
                <w:b/>
                <w:sz w:val="20"/>
              </w:rPr>
              <w:t xml:space="preserve"> 2011</w:t>
            </w:r>
            <w:r w:rsidR="00EA28C4" w:rsidRPr="00BB4117">
              <w:rPr>
                <w:rFonts w:ascii="Arial" w:hAnsi="Arial" w:cs="Arial"/>
                <w:b/>
                <w:sz w:val="20"/>
              </w:rPr>
              <w:t xml:space="preserve"> </w:t>
            </w:r>
            <w:r w:rsidR="00B564DC" w:rsidRPr="00BB4117">
              <w:rPr>
                <w:rFonts w:ascii="Arial" w:hAnsi="Arial" w:cs="Arial"/>
                <w:b/>
                <w:sz w:val="20"/>
              </w:rPr>
              <w:t xml:space="preserve">    </w:t>
            </w:r>
            <w:r w:rsidR="00B564DC" w:rsidRPr="00BB4117">
              <w:rPr>
                <w:rFonts w:ascii="Arial" w:hAnsi="Arial" w:cs="Arial"/>
                <w:sz w:val="18"/>
              </w:rPr>
              <w:t>LCA of r</w:t>
            </w:r>
            <w:r w:rsidR="00EA28C4" w:rsidRPr="00BB4117">
              <w:rPr>
                <w:rFonts w:ascii="Arial" w:hAnsi="Arial" w:cs="Arial"/>
                <w:sz w:val="18"/>
              </w:rPr>
              <w:t xml:space="preserve">ecycling of lithium battery chemistries </w:t>
            </w:r>
          </w:p>
        </w:tc>
      </w:tr>
      <w:tr w:rsidR="002C3963" w:rsidRPr="00BB4117" w:rsidTr="00F025E3">
        <w:tc>
          <w:tcPr>
            <w:tcW w:w="0" w:type="auto"/>
          </w:tcPr>
          <w:p w:rsidR="003E30D4" w:rsidRPr="00BB4117" w:rsidRDefault="003E30D4" w:rsidP="00F025E3">
            <w:pPr>
              <w:pStyle w:val="Brdtext"/>
              <w:spacing w:before="60" w:after="60"/>
              <w:rPr>
                <w:rFonts w:ascii="Arial" w:hAnsi="Arial" w:cs="Arial"/>
                <w:b/>
                <w:i/>
                <w:sz w:val="20"/>
              </w:rPr>
            </w:pPr>
            <w:r w:rsidRPr="00BB4117">
              <w:rPr>
                <w:rFonts w:ascii="Arial" w:hAnsi="Arial" w:cs="Arial"/>
                <w:b/>
                <w:i/>
                <w:sz w:val="20"/>
              </w:rPr>
              <w:t>Climate</w:t>
            </w:r>
          </w:p>
        </w:tc>
        <w:tc>
          <w:tcPr>
            <w:tcW w:w="0" w:type="auto"/>
            <w:gridSpan w:val="2"/>
          </w:tcPr>
          <w:p w:rsidR="003E30D4" w:rsidRPr="00BB4117" w:rsidRDefault="003E30D4" w:rsidP="00F025E3">
            <w:pPr>
              <w:pStyle w:val="Brdtext"/>
              <w:spacing w:before="60" w:after="60"/>
              <w:rPr>
                <w:rFonts w:ascii="Arial" w:hAnsi="Arial" w:cs="Arial"/>
                <w:sz w:val="20"/>
              </w:rPr>
            </w:pPr>
            <w:r w:rsidRPr="00BB4117">
              <w:rPr>
                <w:rFonts w:ascii="Arial" w:hAnsi="Arial" w:cs="Arial"/>
                <w:sz w:val="20"/>
              </w:rPr>
              <w:t>Indicate</w:t>
            </w:r>
            <w:r w:rsidR="00DD0D29" w:rsidRPr="00BB4117">
              <w:rPr>
                <w:rFonts w:ascii="Arial" w:hAnsi="Arial" w:cs="Arial"/>
                <w:sz w:val="20"/>
              </w:rPr>
              <w:t xml:space="preserve"> that lithium-air cells could have potentially</w:t>
            </w:r>
            <w:r w:rsidRPr="00BB4117">
              <w:rPr>
                <w:rFonts w:ascii="Arial" w:hAnsi="Arial" w:cs="Arial"/>
                <w:sz w:val="20"/>
              </w:rPr>
              <w:t xml:space="preserve"> 4-9 times less production related </w:t>
            </w:r>
            <w:r w:rsidR="007F2A7D" w:rsidRPr="00BB4117">
              <w:rPr>
                <w:rFonts w:ascii="Arial" w:hAnsi="Arial" w:cs="Arial"/>
                <w:sz w:val="20"/>
              </w:rPr>
              <w:t>climate impact</w:t>
            </w:r>
            <w:r w:rsidR="00DD0D29" w:rsidRPr="00BB4117">
              <w:rPr>
                <w:rFonts w:ascii="Arial" w:hAnsi="Arial" w:cs="Arial"/>
                <w:sz w:val="20"/>
              </w:rPr>
              <w:t xml:space="preserve"> than the best lithium-ion cells of today</w:t>
            </w:r>
          </w:p>
          <w:p w:rsidR="003E30D4" w:rsidRPr="00BB4117" w:rsidRDefault="003E30D4" w:rsidP="00F025E3">
            <w:pPr>
              <w:pStyle w:val="Brdtext"/>
              <w:spacing w:before="60" w:after="60"/>
              <w:rPr>
                <w:rFonts w:ascii="Arial" w:hAnsi="Arial" w:cs="Arial"/>
                <w:sz w:val="20"/>
              </w:rPr>
            </w:pPr>
            <w:r w:rsidRPr="00BB4117">
              <w:rPr>
                <w:rFonts w:ascii="Arial" w:hAnsi="Arial" w:cs="Arial"/>
                <w:sz w:val="20"/>
              </w:rPr>
              <w:t>Confirms dominance of use phase</w:t>
            </w:r>
          </w:p>
          <w:p w:rsidR="003E30D4" w:rsidRPr="00BB4117" w:rsidRDefault="003E30D4" w:rsidP="00F025E3">
            <w:pPr>
              <w:pStyle w:val="Brdtext"/>
              <w:spacing w:before="60" w:after="60"/>
              <w:rPr>
                <w:rFonts w:ascii="Arial" w:hAnsi="Arial" w:cs="Arial"/>
                <w:sz w:val="20"/>
              </w:rPr>
            </w:pPr>
            <w:r w:rsidRPr="00BB4117">
              <w:rPr>
                <w:rFonts w:ascii="Arial" w:hAnsi="Arial" w:cs="Arial"/>
                <w:sz w:val="20"/>
              </w:rPr>
              <w:t>Confirms level of avoidance by recycling (</w:t>
            </w:r>
            <w:proofErr w:type="spellStart"/>
            <w:r w:rsidRPr="00BB4117">
              <w:rPr>
                <w:rFonts w:ascii="Arial" w:hAnsi="Arial" w:cs="Arial"/>
                <w:sz w:val="20"/>
              </w:rPr>
              <w:t>Amarakoon</w:t>
            </w:r>
            <w:proofErr w:type="spellEnd"/>
            <w:r w:rsidRPr="00BB4117">
              <w:rPr>
                <w:rFonts w:ascii="Arial" w:hAnsi="Arial" w:cs="Arial"/>
                <w:sz w:val="20"/>
              </w:rPr>
              <w:t>)</w:t>
            </w:r>
          </w:p>
        </w:tc>
        <w:tc>
          <w:tcPr>
            <w:tcW w:w="0" w:type="auto"/>
          </w:tcPr>
          <w:p w:rsidR="003E30D4" w:rsidRPr="00BB4117" w:rsidRDefault="003E30D4" w:rsidP="00F025E3">
            <w:pPr>
              <w:pStyle w:val="Brdtext"/>
              <w:spacing w:before="60" w:after="60"/>
              <w:rPr>
                <w:rFonts w:ascii="Arial" w:hAnsi="Arial" w:cs="Arial"/>
                <w:sz w:val="20"/>
              </w:rPr>
            </w:pPr>
            <w:r w:rsidRPr="00BB4117">
              <w:rPr>
                <w:rFonts w:ascii="Arial" w:hAnsi="Arial" w:cs="Arial"/>
                <w:sz w:val="20"/>
              </w:rPr>
              <w:t>Confirms level of avoidance by recycling</w:t>
            </w:r>
          </w:p>
        </w:tc>
      </w:tr>
      <w:tr w:rsidR="002C3963" w:rsidRPr="00BB4117" w:rsidTr="00F025E3">
        <w:tc>
          <w:tcPr>
            <w:tcW w:w="0" w:type="auto"/>
          </w:tcPr>
          <w:p w:rsidR="003E30D4" w:rsidRPr="00BB4117" w:rsidRDefault="003E30D4" w:rsidP="00EA28C4">
            <w:pPr>
              <w:pStyle w:val="Brdtext"/>
              <w:spacing w:before="60" w:after="60"/>
              <w:rPr>
                <w:rFonts w:ascii="Arial" w:hAnsi="Arial" w:cs="Arial"/>
                <w:b/>
                <w:i/>
                <w:sz w:val="20"/>
              </w:rPr>
            </w:pPr>
            <w:r w:rsidRPr="00BB4117">
              <w:rPr>
                <w:rFonts w:ascii="Arial" w:hAnsi="Arial" w:cs="Arial"/>
                <w:b/>
                <w:i/>
                <w:sz w:val="20"/>
              </w:rPr>
              <w:t>A</w:t>
            </w:r>
            <w:r w:rsidR="00EA28C4" w:rsidRPr="00BB4117">
              <w:rPr>
                <w:rFonts w:ascii="Arial" w:hAnsi="Arial" w:cs="Arial"/>
                <w:b/>
                <w:i/>
                <w:sz w:val="20"/>
              </w:rPr>
              <w:t>biotic depletion</w:t>
            </w:r>
          </w:p>
        </w:tc>
        <w:tc>
          <w:tcPr>
            <w:tcW w:w="0" w:type="auto"/>
            <w:gridSpan w:val="2"/>
          </w:tcPr>
          <w:p w:rsidR="003E30D4" w:rsidRPr="00BB4117" w:rsidRDefault="002C3963" w:rsidP="002C3963">
            <w:pPr>
              <w:pStyle w:val="Brdtext"/>
              <w:spacing w:before="60" w:after="60"/>
              <w:rPr>
                <w:rFonts w:ascii="Arial" w:hAnsi="Arial" w:cs="Arial"/>
                <w:sz w:val="20"/>
              </w:rPr>
            </w:pPr>
            <w:r w:rsidRPr="00BB4117">
              <w:rPr>
                <w:rFonts w:ascii="Arial" w:hAnsi="Arial" w:cs="Arial"/>
                <w:sz w:val="20"/>
              </w:rPr>
              <w:t xml:space="preserve">Reports </w:t>
            </w:r>
            <w:r w:rsidR="003E30D4" w:rsidRPr="00BB4117">
              <w:rPr>
                <w:rFonts w:ascii="Arial" w:hAnsi="Arial" w:cs="Arial"/>
                <w:sz w:val="20"/>
              </w:rPr>
              <w:t xml:space="preserve">1000 times </w:t>
            </w:r>
            <w:r w:rsidRPr="00BB4117">
              <w:rPr>
                <w:rFonts w:ascii="Arial" w:hAnsi="Arial" w:cs="Arial"/>
                <w:sz w:val="20"/>
              </w:rPr>
              <w:t>high</w:t>
            </w:r>
            <w:r w:rsidR="003E30D4" w:rsidRPr="00BB4117">
              <w:rPr>
                <w:rFonts w:ascii="Arial" w:hAnsi="Arial" w:cs="Arial"/>
                <w:sz w:val="20"/>
              </w:rPr>
              <w:t>er values probably caused by recent change in method</w:t>
            </w:r>
          </w:p>
        </w:tc>
        <w:tc>
          <w:tcPr>
            <w:tcW w:w="0" w:type="auto"/>
          </w:tcPr>
          <w:p w:rsidR="003E30D4" w:rsidRPr="00BB4117" w:rsidRDefault="003E30D4" w:rsidP="00F025E3">
            <w:pPr>
              <w:pStyle w:val="Brdtext"/>
              <w:spacing w:before="60" w:after="60"/>
              <w:rPr>
                <w:rFonts w:ascii="Arial" w:hAnsi="Arial" w:cs="Arial"/>
                <w:sz w:val="20"/>
              </w:rPr>
            </w:pPr>
            <w:r w:rsidRPr="00BB4117">
              <w:rPr>
                <w:rFonts w:ascii="Arial" w:hAnsi="Arial" w:cs="Arial"/>
                <w:sz w:val="20"/>
              </w:rPr>
              <w:t>Confirms level of avoidance by recycling</w:t>
            </w:r>
          </w:p>
        </w:tc>
      </w:tr>
      <w:tr w:rsidR="002C3963" w:rsidRPr="00BB4117" w:rsidTr="00F025E3">
        <w:tc>
          <w:tcPr>
            <w:tcW w:w="0" w:type="auto"/>
          </w:tcPr>
          <w:p w:rsidR="003E30D4" w:rsidRPr="00BB4117" w:rsidRDefault="003E30D4" w:rsidP="00F025E3">
            <w:pPr>
              <w:pStyle w:val="Brdtext"/>
              <w:spacing w:before="60" w:after="60"/>
              <w:rPr>
                <w:rFonts w:ascii="Arial" w:hAnsi="Arial" w:cs="Arial"/>
                <w:b/>
                <w:i/>
                <w:sz w:val="20"/>
              </w:rPr>
            </w:pPr>
            <w:r w:rsidRPr="00BB4117">
              <w:rPr>
                <w:rFonts w:ascii="Arial" w:hAnsi="Arial" w:cs="Arial"/>
                <w:b/>
                <w:i/>
                <w:sz w:val="20"/>
              </w:rPr>
              <w:t>Ecotoxicity</w:t>
            </w:r>
          </w:p>
        </w:tc>
        <w:tc>
          <w:tcPr>
            <w:tcW w:w="0" w:type="auto"/>
          </w:tcPr>
          <w:p w:rsidR="003E30D4" w:rsidRPr="00BB4117" w:rsidRDefault="003E30D4" w:rsidP="00F025E3">
            <w:pPr>
              <w:pStyle w:val="Brdtext"/>
              <w:spacing w:before="60" w:after="60"/>
              <w:rPr>
                <w:rFonts w:ascii="Arial" w:hAnsi="Arial" w:cs="Arial"/>
                <w:sz w:val="20"/>
              </w:rPr>
            </w:pPr>
            <w:r w:rsidRPr="00BB4117">
              <w:rPr>
                <w:rFonts w:ascii="Arial" w:hAnsi="Arial" w:cs="Arial"/>
                <w:sz w:val="20"/>
              </w:rPr>
              <w:t>NA</w:t>
            </w:r>
          </w:p>
        </w:tc>
        <w:tc>
          <w:tcPr>
            <w:tcW w:w="0" w:type="auto"/>
          </w:tcPr>
          <w:p w:rsidR="003E30D4" w:rsidRPr="00BB4117" w:rsidRDefault="002C3963" w:rsidP="00F025E3">
            <w:pPr>
              <w:pStyle w:val="Brdtext"/>
              <w:spacing w:before="60" w:after="60"/>
              <w:rPr>
                <w:rFonts w:ascii="Arial" w:hAnsi="Arial" w:cs="Arial"/>
                <w:sz w:val="20"/>
              </w:rPr>
            </w:pPr>
            <w:r w:rsidRPr="00BB4117">
              <w:rPr>
                <w:rFonts w:ascii="Arial" w:hAnsi="Arial" w:cs="Arial"/>
                <w:sz w:val="20"/>
              </w:rPr>
              <w:t>Reports 1000 times smaller values probably caused by not using interim characterization factors.</w:t>
            </w:r>
          </w:p>
        </w:tc>
        <w:tc>
          <w:tcPr>
            <w:tcW w:w="0" w:type="auto"/>
          </w:tcPr>
          <w:p w:rsidR="003E30D4" w:rsidRPr="00BB4117" w:rsidRDefault="00F16190" w:rsidP="00F025E3">
            <w:pPr>
              <w:pStyle w:val="Brdtext"/>
              <w:spacing w:before="60" w:after="60"/>
              <w:rPr>
                <w:rFonts w:ascii="Arial" w:hAnsi="Arial" w:cs="Arial"/>
                <w:sz w:val="20"/>
              </w:rPr>
            </w:pPr>
            <w:r w:rsidRPr="00BB4117">
              <w:rPr>
                <w:rFonts w:ascii="Arial" w:hAnsi="Arial" w:cs="Arial"/>
                <w:sz w:val="20"/>
              </w:rPr>
              <w:t>NA</w:t>
            </w:r>
          </w:p>
        </w:tc>
      </w:tr>
    </w:tbl>
    <w:p w:rsidR="00480641" w:rsidRPr="00BB4117" w:rsidRDefault="00251A1C" w:rsidP="00480641">
      <w:pPr>
        <w:pStyle w:val="Rubrik3"/>
      </w:pPr>
      <w:bookmarkStart w:id="87" w:name="_Toc428370335"/>
      <w:r w:rsidRPr="00BB4117">
        <w:t xml:space="preserve">5.1.1 </w:t>
      </w:r>
      <w:r w:rsidR="007F2A7D" w:rsidRPr="00BB4117">
        <w:t>Climate impact</w:t>
      </w:r>
      <w:bookmarkEnd w:id="87"/>
    </w:p>
    <w:p w:rsidR="00B75EC2" w:rsidRPr="00BB4117" w:rsidRDefault="00B75EC2" w:rsidP="00B75EC2">
      <w:pPr>
        <w:pStyle w:val="Brdtext"/>
      </w:pPr>
      <w:r w:rsidRPr="00BB4117">
        <w:t xml:space="preserve">Production related </w:t>
      </w:r>
      <w:r w:rsidR="007F2A7D" w:rsidRPr="00BB4117">
        <w:t>climate impact</w:t>
      </w:r>
      <w:r w:rsidRPr="00BB4117">
        <w:t xml:space="preserve"> around 1</w:t>
      </w:r>
      <w:r w:rsidR="00480641" w:rsidRPr="00BB4117">
        <w:t>3</w:t>
      </w:r>
      <w:r w:rsidRPr="00BB4117">
        <w:t xml:space="preserve"> g CO</w:t>
      </w:r>
      <w:r w:rsidRPr="00BB4117">
        <w:rPr>
          <w:vertAlign w:val="subscript"/>
        </w:rPr>
        <w:t>2</w:t>
      </w:r>
      <w:r w:rsidRPr="00BB4117">
        <w:t xml:space="preserve">-eq/km </w:t>
      </w:r>
      <w:r w:rsidR="00880279" w:rsidRPr="00BB4117">
        <w:t xml:space="preserve">have </w:t>
      </w:r>
      <w:r w:rsidRPr="00BB4117">
        <w:t>been reported for a LiMn</w:t>
      </w:r>
      <w:r w:rsidR="00667601" w:rsidRPr="00BB4117">
        <w:rPr>
          <w:vertAlign w:val="subscript"/>
        </w:rPr>
        <w:t>2</w:t>
      </w:r>
      <w:r w:rsidRPr="00BB4117">
        <w:t>O</w:t>
      </w:r>
      <w:r w:rsidR="00667601" w:rsidRPr="00BB4117">
        <w:rPr>
          <w:vertAlign w:val="subscript"/>
        </w:rPr>
        <w:t>4</w:t>
      </w:r>
      <w:r w:rsidRPr="00BB4117">
        <w:t xml:space="preserve"> battery for an electric vehicle</w:t>
      </w:r>
      <w:r w:rsidR="00480641" w:rsidRPr="00BB4117">
        <w:t xml:space="preserve"> by</w:t>
      </w:r>
      <w:r w:rsidRPr="00BB4117">
        <w:t xml:space="preserve"> </w:t>
      </w:r>
      <w:r w:rsidR="00524197" w:rsidRPr="00BB4117">
        <w:fldChar w:fldCharType="begin" w:fldLock="1"/>
      </w:r>
      <w:r w:rsidRPr="00BB4117">
        <w:instrText>ADDIN CSL_CITATION { "citationItems" : [ { "id" : "ITEM-1", "itemData" : { "author" : [ { "dropping-particle" : "", "family" : "Notter", "given" : "Dominic", "non-dropping-particle" : "", "parse-names" : false, "suffix" : "" }, { "dropping-particle" : "", "family" : "Gauch", "given" : "Marcel", "non-dropping-particle" : "", "parse-names" : false, "suffix" : "" }, { "dropping-particle" : "", "family" : "Widmer", "given" : "Rolf", "non-dropping-particle" : "", "parse-names" : false, "suffix" : "" }, { "dropping-particle" : "", "family" : "W\u00e4ger", "given" : "Patrick", "non-dropping-particle" : "", "parse-names" : false, "suffix" : "" }, { "dropping-particle" : "", "family" : "Stamp", "given" : "Anna", "non-dropping-particle" : "", "parse-names" : false, "suffix" : "" }, { "dropping-particle" : "", "family" : "Zah", "given" : "Rainer", "non-dropping-particle" : "", "parse-names" : false, "suffix" : "" }, { "dropping-particle" : "", "family" : "Althaus", "given" : "Hans-Jorg", "non-dropping-particle" : "", "parse-names" : false, "suffix" : "" } ], "container-title" : "Environmental Science &amp;Technology", "id" : "ITEM-1", "issued" : { "date-parts" : [ [ "2010" ] ] }, "title" : "Contribution of Li-Ion Batteries to the Environmental Impact of Electric Vehicles", "type" : "article-journal" }, "uris" : [ "http://www.mendeley.com/documents/?uuid=43b3e366-1532-461e-a9f1-f946b34ca970" ] } ], "mendeley" : { "formattedCitation" : "(Notter et al. 2010)", "plainTextFormattedCitation" : "(Notter et al. 2010)", "previouslyFormattedCitation" : "(Notter et al. 2010)" }, "properties" : { "noteIndex" : 0 }, "schema" : "https://github.com/citation-style-language/schema/raw/master/csl-citation.json" }</w:instrText>
      </w:r>
      <w:r w:rsidR="00524197" w:rsidRPr="00BB4117">
        <w:fldChar w:fldCharType="separate"/>
      </w:r>
      <w:r w:rsidRPr="00BB4117">
        <w:rPr>
          <w:noProof/>
        </w:rPr>
        <w:t>(Notter et al. 2010)</w:t>
      </w:r>
      <w:r w:rsidR="00524197" w:rsidRPr="00BB4117">
        <w:fldChar w:fldCharType="end"/>
      </w:r>
      <w:r w:rsidR="00880279" w:rsidRPr="00BB4117">
        <w:t>,</w:t>
      </w:r>
      <w:r w:rsidR="00480641" w:rsidRPr="00BB4117">
        <w:t xml:space="preserve"> and</w:t>
      </w:r>
      <w:r w:rsidRPr="00BB4117">
        <w:t xml:space="preserve"> </w:t>
      </w:r>
      <w:r w:rsidR="00524197" w:rsidRPr="00BB4117">
        <w:fldChar w:fldCharType="begin" w:fldLock="1"/>
      </w:r>
      <w:r w:rsidRPr="00BB4117">
        <w:instrText>ADDIN CSL_CITATION { "citationItems" : [ { "id" : "ITEM-1", "itemData" : { "abstract" : "Demand for electric vehicles is increasing, and lithium-ion (Li-ion) batteries with increased ranges will be critical to increasing electric vehicle marketability and reducing greenhouse gas emissions. While Li-ion batteries are expected to play a key role in the electric drive transportation industry, there are opportunities for improvements in the batteries\u2018 life-cycles that will reduce possible impacts to the environment and public health in a few specific areas, as their use increases. This study, carried out through a partnership led by EPA, with the U.S. Department of Energy (DOE), the Li-ion battery industry, and academics, was the first life-cycle assessment (LCA) to bring together and use life-cycle inventory data directly provided by Li-ion battery suppliers, manufacturers, and recyclers. Its purpose was to identify the materials or processes within a Li-ion battery\u2018s life cycle (from materials extraction and processing, manufacturing, use, and end-of-life) that most contribute to impacts on public health and the environment. It also sought to evaluate the potential impacts of a nanotechnology innovation (i.e., a carbon nanotube anode) that could improve battery performance. Battery manufacturers and suppliers can use this information to improve the environmental profile of their products, while the technology is still emerging. This study also provides a benchmark for future research and for identifying additional opportunities for reducing environmental and human health impacts throughout the life cycles of these Li-ion battery systems. The LCA study was conducted consistent with the International Standards Organization (ISO) 14040 series, which stipulates four phases of an LCA: goal and scope definition, life-cycle inventory (LCI), life-cycle impact assessment (LCIA), and interpretation. No comparative assertions, as defined in ISO 14040, were made about the superiority or equivalence of one type of battery system versus another in this study.", "author" : [ { "dropping-particle" : "", "family" : "Amarakoon", "given" : "Shanika", "non-dropping-particle" : "", "parse-names" : false, "suffix" : "" }, { "dropping-particle" : "", "family" : "Smith", "given" : "Jay", "non-dropping-particle" : "", "parse-names" : false, "suffix" : "" }, { "dropping-particle" : "", "family" : "Segal", "given" : "Brian", "non-dropping-particle" : "", "parse-names" : false, "suffix" : "" } ], "id" : "ITEM-1", "issued" : { "date-parts" : [ [ "2013" ] ] }, "number-of-pages" : "1 - 119", "title" : "Application of Life- Cycle Assessment to Nanoscale Technology : Lithium-ion Batteries for Electric Vehicles", "type" : "report" }, "uris" : [ "http://www.mendeley.com/documents/?uuid=e1aecc0c-c196-42d8-8ed4-e082da0c18ff" ] } ], "mendeley" : { "formattedCitation" : "(Amarakoon et al. 2013)", "plainTextFormattedCitation" : "(Amarakoon et al. 2013)", "previouslyFormattedCitation" : "(Amarakoon et al. 2013)" }, "properties" : { "noteIndex" : 0 }, "schema" : "https://github.com/citation-style-language/schema/raw/master/csl-citation.json" }</w:instrText>
      </w:r>
      <w:r w:rsidR="00524197" w:rsidRPr="00BB4117">
        <w:fldChar w:fldCharType="separate"/>
      </w:r>
      <w:r w:rsidRPr="00BB4117">
        <w:rPr>
          <w:noProof/>
        </w:rPr>
        <w:t>(Amarakoon et al. 2013)</w:t>
      </w:r>
      <w:r w:rsidR="00524197" w:rsidRPr="00BB4117">
        <w:fldChar w:fldCharType="end"/>
      </w:r>
      <w:r w:rsidRPr="00BB4117">
        <w:t xml:space="preserve"> reports 27 g CO</w:t>
      </w:r>
      <w:r w:rsidRPr="00BB4117">
        <w:rPr>
          <w:vertAlign w:val="subscript"/>
        </w:rPr>
        <w:t>2</w:t>
      </w:r>
      <w:r w:rsidRPr="00BB4117">
        <w:t xml:space="preserve">-eq/km for </w:t>
      </w:r>
      <w:r w:rsidR="00FE39E0" w:rsidRPr="00BB4117">
        <w:t>lithium-ion</w:t>
      </w:r>
      <w:r w:rsidRPr="00BB4117">
        <w:t xml:space="preserve"> EV batteries for the production phase. At the long-term lithium-air scenario level, the production related climate impact is potentially only 3 g CO</w:t>
      </w:r>
      <w:r w:rsidRPr="00BB4117">
        <w:rPr>
          <w:vertAlign w:val="subscript"/>
        </w:rPr>
        <w:t>2</w:t>
      </w:r>
      <w:r w:rsidRPr="00BB4117">
        <w:t xml:space="preserve">-eq/km for the lithium-air cell. These figures indicate that lithium-air cells could </w:t>
      </w:r>
      <w:r w:rsidR="00880279" w:rsidRPr="00BB4117">
        <w:t xml:space="preserve">potentially reduce production related </w:t>
      </w:r>
      <w:r w:rsidR="007F2A7D" w:rsidRPr="00BB4117">
        <w:t>climate impact</w:t>
      </w:r>
      <w:r w:rsidR="00880279" w:rsidRPr="00BB4117">
        <w:t xml:space="preserve"> by a factor </w:t>
      </w:r>
      <w:proofErr w:type="gramStart"/>
      <w:r w:rsidR="00880279" w:rsidRPr="00BB4117">
        <w:t xml:space="preserve">between </w:t>
      </w:r>
      <w:r w:rsidRPr="00BB4117">
        <w:t xml:space="preserve">4-9 </w:t>
      </w:r>
      <w:r w:rsidR="008C3784" w:rsidRPr="00BB4117">
        <w:t>compared with</w:t>
      </w:r>
      <w:r w:rsidRPr="00BB4117">
        <w:t xml:space="preserve"> today</w:t>
      </w:r>
      <w:proofErr w:type="gramEnd"/>
      <w:r w:rsidRPr="00BB4117">
        <w:t xml:space="preserve">’s </w:t>
      </w:r>
      <w:r w:rsidR="00FE39E0" w:rsidRPr="00BB4117">
        <w:t>lithium-ion</w:t>
      </w:r>
      <w:r w:rsidRPr="00BB4117">
        <w:t xml:space="preserve"> cells, in the long-term</w:t>
      </w:r>
      <w:r w:rsidR="000C6CED" w:rsidRPr="00BB4117">
        <w:t>, but we note that the lithium-air technology is still in its infancy</w:t>
      </w:r>
      <w:r w:rsidRPr="00BB4117">
        <w:t>.</w:t>
      </w:r>
    </w:p>
    <w:p w:rsidR="00B75EC2" w:rsidRPr="00BB4117" w:rsidRDefault="007E3037" w:rsidP="007C41D2">
      <w:pPr>
        <w:pStyle w:val="Brdtext"/>
      </w:pPr>
      <w:r w:rsidRPr="00BB4117">
        <w:t>The dominance of the u</w:t>
      </w:r>
      <w:r w:rsidR="00B75EC2" w:rsidRPr="00BB4117">
        <w:t>se phase</w:t>
      </w:r>
      <w:r w:rsidRPr="00BB4117">
        <w:t xml:space="preserve"> </w:t>
      </w:r>
      <w:r w:rsidR="007F2A7D" w:rsidRPr="00BB4117">
        <w:t>climate impact</w:t>
      </w:r>
      <w:r w:rsidR="00B75EC2" w:rsidRPr="00BB4117">
        <w:t xml:space="preserve"> is confirmed </w:t>
      </w:r>
      <w:r w:rsidRPr="00BB4117">
        <w:t xml:space="preserve">by </w:t>
      </w:r>
      <w:r w:rsidR="003B2524" w:rsidRPr="00BB4117">
        <w:t>(</w:t>
      </w:r>
      <w:proofErr w:type="spellStart"/>
      <w:r w:rsidR="003B2524" w:rsidRPr="00BB4117">
        <w:rPr>
          <w:noProof/>
        </w:rPr>
        <w:t>Amarakoon</w:t>
      </w:r>
      <w:proofErr w:type="spellEnd"/>
      <w:r w:rsidR="003B2524" w:rsidRPr="00BB4117">
        <w:rPr>
          <w:noProof/>
        </w:rPr>
        <w:t xml:space="preserve"> et al. 2013; Notter et al. 2010)</w:t>
      </w:r>
      <w:r w:rsidR="00DB5F98" w:rsidRPr="00BB4117">
        <w:rPr>
          <w:noProof/>
        </w:rPr>
        <w:t xml:space="preserve">, </w:t>
      </w:r>
      <w:r w:rsidR="003B2524" w:rsidRPr="00BB4117">
        <w:rPr>
          <w:noProof/>
        </w:rPr>
        <w:t xml:space="preserve"> and </w:t>
      </w:r>
      <w:r w:rsidR="00524197" w:rsidRPr="00BB4117">
        <w:fldChar w:fldCharType="begin" w:fldLock="1"/>
      </w:r>
      <w:r w:rsidR="003B2524" w:rsidRPr="00BB4117">
        <w:instrText>ADDIN CSL_CITATION { "citationItems" : [ { "id" : "ITEM-1", "itemData" : { "ISBN" : "0959-6526", "author" : [ { "dropping-particle" : "", "family" : "Zackrisson", "given" : "Mats", "non-dropping-particle" : "", "parse-names" : false, "suffix" : "" }, { "dropping-particle" : "", "family" : "Avell\u00e1n", "given" : "Lars", "non-dropping-particle" : "", "parse-names" : false, "suffix" : "" }, { "dropping-particle" : "", "family" : "Orlenius", "given" : "Jessica", "non-dropping-particle" : "", "parse-names" : false, "suffix" : "" } ], "container-title" : "Journal of Cleaner Production", "id" : "ITEM-1", "issue" : "15", "issued" : { "date-parts" : [ [ "2010" ] ] }, "note" : "doi: DOI: 10.1016/j.jclepro.2010.06.004", "page" : "1517-1527", "title" : "Life cycle assessment of lithium-ion batteries for plug-in hybrid electric vehicles - Critical issues", "type" : "article-journal", "volume" : "18" }, "uris" : [ "http://www.mendeley.com/documents/?uuid=d0e8e808-ce99-41d8-ada5-44dd3db20625" ] } ], "mendeley" : { "formattedCitation" : "(Zackrisson et al. 2010)", "plainTextFormattedCitation" : "(Zackrisson et al. 2010)", "previouslyFormattedCitation" : "(Zackrisson et al. 2010)" }, "properties" : { "noteIndex" : 0 }, "schema" : "https://github.com/citation-style-language/schema/raw/master/csl-citation.json" }</w:instrText>
      </w:r>
      <w:r w:rsidR="00524197" w:rsidRPr="00BB4117">
        <w:fldChar w:fldCharType="separate"/>
      </w:r>
      <w:r w:rsidR="003B2524" w:rsidRPr="00BB4117">
        <w:rPr>
          <w:noProof/>
        </w:rPr>
        <w:t>(Zackrisson et al. 2010)</w:t>
      </w:r>
      <w:r w:rsidR="00524197" w:rsidRPr="00BB4117">
        <w:fldChar w:fldCharType="end"/>
      </w:r>
      <w:r w:rsidR="003B2524" w:rsidRPr="00BB4117">
        <w:t>,</w:t>
      </w:r>
      <w:r w:rsidR="003B2524" w:rsidRPr="00BB4117">
        <w:rPr>
          <w:noProof/>
        </w:rPr>
        <w:t xml:space="preserve"> </w:t>
      </w:r>
      <w:r w:rsidR="003B2524" w:rsidRPr="00BB4117">
        <w:t>at least when World or West European average electricity is utilized. The use phase is</w:t>
      </w:r>
      <w:r w:rsidR="00B75EC2" w:rsidRPr="00BB4117">
        <w:t xml:space="preserve"> accentuated in early development stages of cells since in the case of lithium-air cells, charge/discharge efficiencies from 66% at present to not more than 80% long term are assumed.</w:t>
      </w:r>
    </w:p>
    <w:p w:rsidR="00B75EC2" w:rsidRPr="00BB4117" w:rsidRDefault="007E3037" w:rsidP="00B75EC2">
      <w:pPr>
        <w:pStyle w:val="Brdtext"/>
      </w:pPr>
      <w:r w:rsidRPr="00BB4117">
        <w:t>T</w:t>
      </w:r>
      <w:r w:rsidR="00B75EC2" w:rsidRPr="00BB4117">
        <w:t xml:space="preserve">he </w:t>
      </w:r>
      <w:proofErr w:type="spellStart"/>
      <w:r w:rsidR="00B75EC2" w:rsidRPr="00BB4117">
        <w:t>LithoRec</w:t>
      </w:r>
      <w:proofErr w:type="spellEnd"/>
      <w:r w:rsidR="00B75EC2" w:rsidRPr="00BB4117">
        <w:t xml:space="preserve"> project </w:t>
      </w:r>
      <w:r w:rsidR="00524197" w:rsidRPr="00BB4117">
        <w:fldChar w:fldCharType="begin" w:fldLock="1"/>
      </w:r>
      <w:r w:rsidR="00B75EC2" w:rsidRPr="00BB4117">
        <w:instrText>ADDIN CSL_CITATION { "citationItems" : [ { "id" : "ITEM-1", "itemData" : { "author" : [ { "dropping-particle" : "", "family" : "Buchert", "given" : "Matthias", "non-dropping-particle" : "", "parse-names" : false, "suffix" : "" } ], "id" : "ITEM-1", "issue" : "0", "issued" : { "date-parts" : [ [ "2011" ] ] }, "number-of-pages" : "30-40", "title" : "\u00d6kobilanz zum \u201eRecycling von Lithium-Ionen-Batterien\u201c (LithoRec)", "type" : "report", "volume" : "49" }, "uris" : [ "http://www.mendeley.com/documents/?uuid=b69ad3f9-fe34-471a-b105-6b8f53374bd0" ] } ], "mendeley" : { "formattedCitation" : "(Buchert 2011)", "plainTextFormattedCitation" : "(Buchert 2011)", "previouslyFormattedCitation" : "(Buchert 2011)" }, "properties" : { "noteIndex" : 0 }, "schema" : "https://github.com/citation-style-language/schema/raw/master/csl-citation.json" }</w:instrText>
      </w:r>
      <w:r w:rsidR="00524197" w:rsidRPr="00BB4117">
        <w:fldChar w:fldCharType="separate"/>
      </w:r>
      <w:r w:rsidR="00B75EC2" w:rsidRPr="00BB4117">
        <w:rPr>
          <w:noProof/>
        </w:rPr>
        <w:t>(Buchert 2011)</w:t>
      </w:r>
      <w:r w:rsidR="00524197" w:rsidRPr="00BB4117">
        <w:fldChar w:fldCharType="end"/>
      </w:r>
      <w:r w:rsidRPr="00BB4117">
        <w:t xml:space="preserve"> calculated</w:t>
      </w:r>
      <w:r w:rsidR="00B75EC2" w:rsidRPr="00BB4117">
        <w:t xml:space="preserve"> net avoided </w:t>
      </w:r>
      <w:r w:rsidR="007F2A7D" w:rsidRPr="00BB4117">
        <w:t>climate impact</w:t>
      </w:r>
      <w:r w:rsidR="00B75EC2" w:rsidRPr="00BB4117">
        <w:t xml:space="preserve"> to 1 g CO</w:t>
      </w:r>
      <w:r w:rsidR="00B75EC2" w:rsidRPr="00BB4117">
        <w:rPr>
          <w:vertAlign w:val="subscript"/>
        </w:rPr>
        <w:t>2</w:t>
      </w:r>
      <w:r w:rsidR="00B75EC2" w:rsidRPr="00BB4117">
        <w:t>-eq/g battery and 1.7 g CO</w:t>
      </w:r>
      <w:r w:rsidR="00B75EC2" w:rsidRPr="00BB4117">
        <w:rPr>
          <w:vertAlign w:val="subscript"/>
        </w:rPr>
        <w:t>2</w:t>
      </w:r>
      <w:r w:rsidR="00B75EC2" w:rsidRPr="00BB4117">
        <w:t>-eq/g battery for the recycling of NMC and LFP cells respectively, to be compared to the avoidance of 2.6 g CO</w:t>
      </w:r>
      <w:r w:rsidR="00B75EC2" w:rsidRPr="00BB4117">
        <w:rPr>
          <w:vertAlign w:val="subscript"/>
        </w:rPr>
        <w:t>2</w:t>
      </w:r>
      <w:r w:rsidR="00B75EC2" w:rsidRPr="00BB4117">
        <w:t xml:space="preserve">-eq/g of lithium-air cell in this study. In contrast, </w:t>
      </w:r>
      <w:r w:rsidR="00524197" w:rsidRPr="00BB4117">
        <w:fldChar w:fldCharType="begin" w:fldLock="1"/>
      </w:r>
      <w:r w:rsidR="00B75EC2" w:rsidRPr="00BB4117">
        <w:instrText>ADDIN CSL_CITATION { "citationItems" : [ { "id" : "ITEM-1", "itemData" : { "abstract" : "Demand for electric vehicles is increasing, and lithium-ion (Li-ion) batteries with increased ranges will be critical to increasing electric vehicle marketability and reducing greenhouse gas emissions. While Li-ion batteries are expected to play a key role in the electric drive transportation industry, there are opportunities for improvements in the batteries\u2018 life-cycles that will reduce possible impacts to the environment and public health in a few specific areas, as their use increases. This study, carried out through a partnership led by EPA, with the U.S. Department of Energy (DOE), the Li-ion battery industry, and academics, was the first life-cycle assessment (LCA) to bring together and use life-cycle inventory data directly provided by Li-ion battery suppliers, manufacturers, and recyclers. Its purpose was to identify the materials or processes within a Li-ion battery\u2018s life cycle (from materials extraction and processing, manufacturing, use, and end-of-life) that most contribute to impacts on public health and the environment. It also sought to evaluate the potential impacts of a nanotechnology innovation (i.e., a carbon nanotube anode) that could improve battery performance. Battery manufacturers and suppliers can use this information to improve the environmental profile of their products, while the technology is still emerging. This study also provides a benchmark for future research and for identifying additional opportunities for reducing environmental and human health impacts throughout the life cycles of these Li-ion battery systems. The LCA study was conducted consistent with the International Standards Organization (ISO) 14040 series, which stipulates four phases of an LCA: goal and scope definition, life-cycle inventory (LCI), life-cycle impact assessment (LCIA), and interpretation. No comparative assertions, as defined in ISO 14040, were made about the superiority or equivalence of one type of battery system versus another in this study.", "author" : [ { "dropping-particle" : "", "family" : "Amarakoon", "given" : "Shanika", "non-dropping-particle" : "", "parse-names" : false, "suffix" : "" }, { "dropping-particle" : "", "family" : "Smith", "given" : "Jay", "non-dropping-particle" : "", "parse-names" : false, "suffix" : "" }, { "dropping-particle" : "", "family" : "Segal", "given" : "Brian", "non-dropping-particle" : "", "parse-names" : false, "suffix" : "" } ], "id" : "ITEM-1", "issued" : { "date-parts" : [ [ "2013" ] ] }, "number-of-pages" : "1 - 119", "title" : "Application of Life- Cycle Assessment to Nanoscale Technology : Lithium-ion Batteries for Electric Vehicles", "type" : "report" }, "uris" : [ "http://www.mendeley.com/documents/?uuid=e1aecc0c-c196-42d8-8ed4-e082da0c18ff" ] } ], "mendeley" : { "formattedCitation" : "(Amarakoon et al. 2013)", "plainTextFormattedCitation" : "(Amarakoon et al. 2013)", "previouslyFormattedCitation" : "(Amarakoon et al. 2013)" }, "properties" : { "noteIndex" : 0 }, "schema" : "https://github.com/citation-style-language/schema/raw/master/csl-citation.json" }</w:instrText>
      </w:r>
      <w:r w:rsidR="00524197" w:rsidRPr="00BB4117">
        <w:fldChar w:fldCharType="separate"/>
      </w:r>
      <w:r w:rsidR="00B75EC2" w:rsidRPr="00BB4117">
        <w:rPr>
          <w:noProof/>
        </w:rPr>
        <w:t>(Amarakoon et al. 2013)</w:t>
      </w:r>
      <w:r w:rsidR="00524197" w:rsidRPr="00BB4117">
        <w:fldChar w:fldCharType="end"/>
      </w:r>
      <w:r w:rsidR="00B75EC2" w:rsidRPr="00BB4117">
        <w:t xml:space="preserve"> found that recycling different EV </w:t>
      </w:r>
      <w:r w:rsidR="00FE39E0" w:rsidRPr="00BB4117">
        <w:t>lithium-ion</w:t>
      </w:r>
      <w:r w:rsidR="00B75EC2" w:rsidRPr="00BB4117">
        <w:t xml:space="preserve"> cell chemistries (LiMn</w:t>
      </w:r>
      <w:r w:rsidR="00B75EC2" w:rsidRPr="00BB4117">
        <w:rPr>
          <w:vertAlign w:val="subscript"/>
        </w:rPr>
        <w:t>2</w:t>
      </w:r>
      <w:r w:rsidR="00B75EC2" w:rsidRPr="00BB4117">
        <w:t>O</w:t>
      </w:r>
      <w:r w:rsidR="00B75EC2" w:rsidRPr="00BB4117">
        <w:rPr>
          <w:vertAlign w:val="subscript"/>
        </w:rPr>
        <w:t xml:space="preserve">4, </w:t>
      </w:r>
      <w:r w:rsidR="00B75EC2" w:rsidRPr="00BB4117">
        <w:t>LiNiCoMnO</w:t>
      </w:r>
      <w:r w:rsidR="00B75EC2" w:rsidRPr="00BB4117">
        <w:rPr>
          <w:vertAlign w:val="subscript"/>
        </w:rPr>
        <w:t xml:space="preserve">2 </w:t>
      </w:r>
      <w:r w:rsidR="00B75EC2" w:rsidRPr="00BB4117">
        <w:t>and LiFePO</w:t>
      </w:r>
      <w:r w:rsidR="00B75EC2" w:rsidRPr="00BB4117">
        <w:rPr>
          <w:vertAlign w:val="subscript"/>
        </w:rPr>
        <w:t>4</w:t>
      </w:r>
      <w:r w:rsidR="00B75EC2" w:rsidRPr="00BB4117">
        <w:t xml:space="preserve">) potentially avoids 20% of production related </w:t>
      </w:r>
      <w:r w:rsidR="007F2A7D" w:rsidRPr="00BB4117">
        <w:t>climate impact</w:t>
      </w:r>
      <w:r w:rsidR="00B75EC2" w:rsidRPr="00BB4117">
        <w:t xml:space="preserve">, i.e. twice as much compared to this study. </w:t>
      </w:r>
      <w:r w:rsidR="007C331A" w:rsidRPr="00BB4117">
        <w:t xml:space="preserve">Being in the middle of two similar studies </w:t>
      </w:r>
      <w:r w:rsidR="00556F51" w:rsidRPr="00BB4117">
        <w:t xml:space="preserve">validates </w:t>
      </w:r>
      <w:r w:rsidR="007C331A" w:rsidRPr="00BB4117">
        <w:t xml:space="preserve">the </w:t>
      </w:r>
      <w:r w:rsidR="00556F51" w:rsidRPr="00BB4117">
        <w:t xml:space="preserve">assumption for the </w:t>
      </w:r>
      <w:r w:rsidR="007C331A" w:rsidRPr="00BB4117">
        <w:t>recycling scenario</w:t>
      </w:r>
      <w:r w:rsidR="00556F51" w:rsidRPr="00BB4117">
        <w:t>.</w:t>
      </w:r>
    </w:p>
    <w:p w:rsidR="00B75EC2" w:rsidRPr="00BB4117" w:rsidRDefault="00251A1C" w:rsidP="00251A1C">
      <w:pPr>
        <w:pStyle w:val="Rubrik3"/>
      </w:pPr>
      <w:bookmarkStart w:id="88" w:name="_Toc428370336"/>
      <w:r w:rsidRPr="00BB4117">
        <w:t>5.1.2 Abiotic depletion</w:t>
      </w:r>
      <w:bookmarkEnd w:id="88"/>
    </w:p>
    <w:p w:rsidR="00251A1C" w:rsidRPr="00BB4117" w:rsidRDefault="00556F51" w:rsidP="00251A1C">
      <w:pPr>
        <w:pStyle w:val="Brdtext"/>
      </w:pPr>
      <w:r w:rsidRPr="00BB4117">
        <w:t>Regarding</w:t>
      </w:r>
      <w:r w:rsidR="005223A0" w:rsidRPr="00BB4117">
        <w:t xml:space="preserve"> abiotic resource depletion</w:t>
      </w:r>
      <w:r w:rsidR="009B3B58" w:rsidRPr="00BB4117">
        <w:t>,</w:t>
      </w:r>
      <w:r w:rsidR="005223A0" w:rsidRPr="00BB4117">
        <w:t xml:space="preserve"> only one o</w:t>
      </w:r>
      <w:r w:rsidR="00251A1C" w:rsidRPr="00BB4117">
        <w:t xml:space="preserve">f the studies offered </w:t>
      </w:r>
      <w:r w:rsidR="005223A0" w:rsidRPr="00BB4117">
        <w:t xml:space="preserve">comparable results. The cause is a recent change in </w:t>
      </w:r>
      <w:r w:rsidR="009B3B58" w:rsidRPr="00BB4117">
        <w:t xml:space="preserve">the </w:t>
      </w:r>
      <w:r w:rsidR="005223A0" w:rsidRPr="00BB4117">
        <w:t>method</w:t>
      </w:r>
      <w:r w:rsidR="009B3B58" w:rsidRPr="00BB4117">
        <w:t xml:space="preserve"> to calculate </w:t>
      </w:r>
      <w:r w:rsidR="00F06C17" w:rsidRPr="00BB4117">
        <w:t xml:space="preserve">abiotic resource </w:t>
      </w:r>
      <w:r w:rsidR="00F06C17" w:rsidRPr="00BB4117">
        <w:lastRenderedPageBreak/>
        <w:t>depletion. I</w:t>
      </w:r>
      <w:r w:rsidR="009B3B58" w:rsidRPr="00BB4117">
        <w:t>n April 2013 Abiotic depletion</w:t>
      </w:r>
      <w:r w:rsidR="00F06C17" w:rsidRPr="00BB4117">
        <w:t xml:space="preserve"> was divided</w:t>
      </w:r>
      <w:r w:rsidR="009B3B58" w:rsidRPr="00BB4117">
        <w:t xml:space="preserve"> in two indicators: Abiotic depletion (elements, ultimate reserves) and Abiotic depletion (fossil fuels).</w:t>
      </w:r>
      <w:r w:rsidR="00251A1C" w:rsidRPr="00BB4117">
        <w:t xml:space="preserve"> Since </w:t>
      </w:r>
      <w:r w:rsidR="00524197" w:rsidRPr="00BB4117">
        <w:fldChar w:fldCharType="begin" w:fldLock="1"/>
      </w:r>
      <w:r w:rsidR="00251A1C" w:rsidRPr="00BB4117">
        <w:instrText>ADDIN CSL_CITATION { "citationItems" : [ { "id" : "ITEM-1", "itemData" : { "author" : [ { "dropping-particle" : "", "family" : "Buchert", "given" : "Matthias", "non-dropping-particle" : "", "parse-names" : false, "suffix" : "" } ], "id" : "ITEM-1", "issue" : "0", "issued" : { "date-parts" : [ [ "2011" ] ] }, "number-of-pages" : "30-40", "title" : "\u00d6kobilanz zum \u201eRecycling von Lithium-Ionen-Batterien\u201c (LithoRec)", "type" : "report", "volume" : "49" }, "uris" : [ "http://www.mendeley.com/documents/?uuid=b69ad3f9-fe34-471a-b105-6b8f53374bd0" ] } ], "mendeley" : { "formattedCitation" : "(Buchert 2011)", "plainTextFormattedCitation" : "(Buchert 2011)", "previouslyFormattedCitation" : "(Buchert 2011)" }, "properties" : { "noteIndex" : 0 }, "schema" : "https://github.com/citation-style-language/schema/raw/master/csl-citation.json" }</w:instrText>
      </w:r>
      <w:r w:rsidR="00524197" w:rsidRPr="00BB4117">
        <w:fldChar w:fldCharType="separate"/>
      </w:r>
      <w:r w:rsidR="00251A1C" w:rsidRPr="00BB4117">
        <w:rPr>
          <w:noProof/>
        </w:rPr>
        <w:t>(Buchert 2011)</w:t>
      </w:r>
      <w:r w:rsidR="00524197" w:rsidRPr="00BB4117">
        <w:fldChar w:fldCharType="end"/>
      </w:r>
      <w:r w:rsidR="00251A1C" w:rsidRPr="00BB4117">
        <w:t xml:space="preserve"> specifically lists the characterization factors used for abiotic depletion and only metals are listed this study was used for comparison. There is relatively good correlation with </w:t>
      </w:r>
      <w:r w:rsidR="00524197" w:rsidRPr="00BB4117">
        <w:fldChar w:fldCharType="begin" w:fldLock="1"/>
      </w:r>
      <w:r w:rsidR="00251A1C" w:rsidRPr="00BB4117">
        <w:instrText>ADDIN CSL_CITATION { "citationItems" : [ { "id" : "ITEM-1", "itemData" : { "author" : [ { "dropping-particle" : "", "family" : "Buchert", "given" : "Matthias", "non-dropping-particle" : "", "parse-names" : false, "suffix" : "" } ], "id" : "ITEM-1", "issue" : "0", "issued" : { "date-parts" : [ [ "2011" ] ] }, "number-of-pages" : "30-40", "title" : "\u00d6kobilanz zum \u201eRecycling von Lithium-Ionen-Batterien\u201c (LithoRec)", "type" : "report", "volume" : "49" }, "uris" : [ "http://www.mendeley.com/documents/?uuid=b69ad3f9-fe34-471a-b105-6b8f53374bd0" ] } ], "mendeley" : { "formattedCitation" : "(Buchert 2011)", "plainTextFormattedCitation" : "(Buchert 2011)", "previouslyFormattedCitation" : "(Buchert 2011)" }, "properties" : { "noteIndex" : 0 }, "schema" : "https://github.com/citation-style-language/schema/raw/master/csl-citation.json" }</w:instrText>
      </w:r>
      <w:r w:rsidR="00524197" w:rsidRPr="00BB4117">
        <w:fldChar w:fldCharType="separate"/>
      </w:r>
      <w:r w:rsidR="00251A1C" w:rsidRPr="00BB4117">
        <w:rPr>
          <w:noProof/>
        </w:rPr>
        <w:t>(Buchert 2011)</w:t>
      </w:r>
      <w:r w:rsidR="00524197" w:rsidRPr="00BB4117">
        <w:fldChar w:fldCharType="end"/>
      </w:r>
      <w:r w:rsidR="00251A1C" w:rsidRPr="00BB4117">
        <w:t xml:space="preserve"> who found that recycling could potentially avoid 2E-4 kg </w:t>
      </w:r>
      <w:proofErr w:type="spellStart"/>
      <w:r w:rsidR="00251A1C" w:rsidRPr="00BB4117">
        <w:t>Sb</w:t>
      </w:r>
      <w:proofErr w:type="spellEnd"/>
      <w:r w:rsidR="00251A1C" w:rsidRPr="00BB4117">
        <w:t xml:space="preserve">/kg NMC battery and 3E-4 kg </w:t>
      </w:r>
      <w:proofErr w:type="spellStart"/>
      <w:r w:rsidR="00251A1C" w:rsidRPr="00BB4117">
        <w:t>Sb</w:t>
      </w:r>
      <w:proofErr w:type="spellEnd"/>
      <w:r w:rsidR="00251A1C" w:rsidRPr="00BB4117">
        <w:t>/kg LFP battery. The corresponding value for the lithium</w:t>
      </w:r>
      <w:r w:rsidR="0067487A" w:rsidRPr="00BB4117">
        <w:t>-</w:t>
      </w:r>
      <w:r w:rsidR="00251A1C" w:rsidRPr="00BB4117">
        <w:t xml:space="preserve">air cell is 0.9E-4 kg </w:t>
      </w:r>
      <w:proofErr w:type="spellStart"/>
      <w:r w:rsidR="00251A1C" w:rsidRPr="00BB4117">
        <w:t>Sb</w:t>
      </w:r>
      <w:proofErr w:type="spellEnd"/>
      <w:r w:rsidR="00251A1C" w:rsidRPr="00BB4117">
        <w:t>/kg lithium-air cell.</w:t>
      </w:r>
    </w:p>
    <w:p w:rsidR="00B75EC2" w:rsidRPr="00BB4117" w:rsidRDefault="007C4CC1" w:rsidP="007C4CC1">
      <w:pPr>
        <w:pStyle w:val="Rubrik3"/>
      </w:pPr>
      <w:bookmarkStart w:id="89" w:name="_Toc428370337"/>
      <w:r w:rsidRPr="00BB4117">
        <w:t>5.1.3</w:t>
      </w:r>
      <w:r w:rsidRPr="00BB4117">
        <w:tab/>
        <w:t>Toxicity</w:t>
      </w:r>
      <w:bookmarkEnd w:id="89"/>
    </w:p>
    <w:p w:rsidR="00B75EC2" w:rsidRPr="00BB4117" w:rsidRDefault="00524197" w:rsidP="00794B57">
      <w:r w:rsidRPr="00BB4117">
        <w:fldChar w:fldCharType="begin" w:fldLock="1"/>
      </w:r>
      <w:r w:rsidR="00416D66" w:rsidRPr="00BB4117">
        <w:instrText>ADDIN CSL_CITATION { "citationItems" : [ { "id" : "ITEM-1", "itemData" : { "abstract" : "Demand for electric vehicles is increasing, and lithium-ion (Li-ion) batteries with increased ranges will be critical to increasing electric vehicle marketability and reducing greenhouse gas emissions. While Li-ion batteries are expected to play a key role in the electric drive transportation industry, there are opportunities for improvements in the batteries\u2018 life-cycles that will reduce possible impacts to the environment and public health in a few specific areas, as their use increases. This study, carried out through a partnership led by EPA, with the U.S. Department of Energy (DOE), the Li-ion battery industry, and academics, was the first life-cycle assessment (LCA) to bring together and use life-cycle inventory data directly provided by Li-ion battery suppliers, manufacturers, and recyclers. Its purpose was to identify the materials or processes within a Li-ion battery\u2018s life cycle (from materials extraction and processing, manufacturing, use, and end-of-life) that most contribute to impacts on public health and the environment. It also sought to evaluate the potential impacts of a nanotechnology innovation (i.e., a carbon nanotube anode) that could improve battery performance. Battery manufacturers and suppliers can use this information to improve the environmental profile of their products, while the technology is still emerging. This study also provides a benchmark for future research and for identifying additional opportunities for reducing environmental and human health impacts throughout the life cycles of these Li-ion battery systems. The LCA study was conducted consistent with the International Standards Organization (ISO) 14040 series, which stipulates four phases of an LCA: goal and scope definition, life-cycle inventory (LCI), life-cycle impact assessment (LCIA), and interpretation. No comparative assertions, as defined in ISO 14040, were made about the superiority or equivalence of one type of battery system versus another in this study.", "author" : [ { "dropping-particle" : "", "family" : "Amarakoon", "given" : "Shanika", "non-dropping-particle" : "", "parse-names" : false, "suffix" : "" }, { "dropping-particle" : "", "family" : "Smith", "given" : "Jay", "non-dropping-particle" : "", "parse-names" : false, "suffix" : "" }, { "dropping-particle" : "", "family" : "Segal", "given" : "Brian", "non-dropping-particle" : "", "parse-names" : false, "suffix" : "" } ], "id" : "ITEM-1", "issued" : { "date-parts" : [ [ "2013" ] ] }, "number-of-pages" : "1 - 119", "title" : "Application of Life- Cycle Assessment to Nanoscale Technology : Lithium-ion Batteries for Electric Vehicles", "type" : "report" }, "uris" : [ "http://www.mendeley.com/documents/?uuid=e1aecc0c-c196-42d8-8ed4-e082da0c18ff" ] } ], "mendeley" : { "formattedCitation" : "(Amarakoon et al. 2013)", "plainTextFormattedCitation" : "(Amarakoon et al. 2013)", "previouslyFormattedCitation" : "(Amarakoon et al. 2013)" }, "properties" : { "noteIndex" : 0 }, "schema" : "https://github.com/citation-style-language/schema/raw/master/csl-citation.json" }</w:instrText>
      </w:r>
      <w:r w:rsidRPr="00BB4117">
        <w:fldChar w:fldCharType="separate"/>
      </w:r>
      <w:r w:rsidR="00416D66" w:rsidRPr="00BB4117">
        <w:rPr>
          <w:noProof/>
        </w:rPr>
        <w:t>(Amarakoon et al. 2013)</w:t>
      </w:r>
      <w:r w:rsidRPr="00BB4117">
        <w:fldChar w:fldCharType="end"/>
      </w:r>
      <w:r w:rsidR="00416D66" w:rsidRPr="00BB4117">
        <w:t xml:space="preserve"> reports 1.7E-3 CTU</w:t>
      </w:r>
      <w:r w:rsidR="009C06D3" w:rsidRPr="00BB4117">
        <w:t>e</w:t>
      </w:r>
      <w:r w:rsidR="00416D66" w:rsidRPr="00BB4117">
        <w:t xml:space="preserve">/vehicle km for the production phase for different EV </w:t>
      </w:r>
      <w:r w:rsidR="00FE39E0" w:rsidRPr="00BB4117">
        <w:t>lithium-ion</w:t>
      </w:r>
      <w:r w:rsidR="00416D66" w:rsidRPr="00BB4117">
        <w:t xml:space="preserve"> cell chemistries (LiMn</w:t>
      </w:r>
      <w:r w:rsidR="00416D66" w:rsidRPr="00BB4117">
        <w:rPr>
          <w:vertAlign w:val="subscript"/>
        </w:rPr>
        <w:t>2</w:t>
      </w:r>
      <w:r w:rsidR="00416D66" w:rsidRPr="00BB4117">
        <w:t>O</w:t>
      </w:r>
      <w:r w:rsidR="00416D66" w:rsidRPr="00BB4117">
        <w:rPr>
          <w:vertAlign w:val="subscript"/>
        </w:rPr>
        <w:t xml:space="preserve">4, </w:t>
      </w:r>
      <w:r w:rsidR="00416D66" w:rsidRPr="00BB4117">
        <w:t>LiNiCoMnO</w:t>
      </w:r>
      <w:r w:rsidR="00416D66" w:rsidRPr="00BB4117">
        <w:rPr>
          <w:vertAlign w:val="subscript"/>
        </w:rPr>
        <w:t xml:space="preserve">2 </w:t>
      </w:r>
      <w:r w:rsidR="00416D66" w:rsidRPr="00BB4117">
        <w:t>and LiFePO</w:t>
      </w:r>
      <w:r w:rsidR="00416D66" w:rsidRPr="00BB4117">
        <w:rPr>
          <w:vertAlign w:val="subscript"/>
        </w:rPr>
        <w:t>4</w:t>
      </w:r>
      <w:r w:rsidR="00416D66" w:rsidRPr="00BB4117">
        <w:t>). For the lithium-air cell</w:t>
      </w:r>
      <w:r w:rsidR="00880279" w:rsidRPr="00BB4117">
        <w:t>,</w:t>
      </w:r>
      <w:r w:rsidR="00416D66" w:rsidRPr="00BB4117">
        <w:t xml:space="preserve"> ecotoxicity values are </w:t>
      </w:r>
      <w:r w:rsidR="00062E17" w:rsidRPr="00BB4117">
        <w:t xml:space="preserve">approximately 100 times higher: </w:t>
      </w:r>
      <w:r w:rsidR="00416D66" w:rsidRPr="00BB4117">
        <w:t>2.</w:t>
      </w:r>
      <w:r w:rsidR="00062E17" w:rsidRPr="00BB4117">
        <w:t>1</w:t>
      </w:r>
      <w:r w:rsidR="00416D66" w:rsidRPr="00BB4117">
        <w:t>E-1 CTU</w:t>
      </w:r>
      <w:r w:rsidR="00416D66" w:rsidRPr="00BB4117">
        <w:rPr>
          <w:vertAlign w:val="subscript"/>
        </w:rPr>
        <w:t>e</w:t>
      </w:r>
      <w:r w:rsidR="00416D66" w:rsidRPr="00BB4117">
        <w:t xml:space="preserve"> per vehicle </w:t>
      </w:r>
      <w:r w:rsidR="009C59EE" w:rsidRPr="00BB4117">
        <w:t>kilometre</w:t>
      </w:r>
      <w:r w:rsidR="00416D66" w:rsidRPr="00BB4117">
        <w:t xml:space="preserve"> for the production phase</w:t>
      </w:r>
      <w:r w:rsidR="00062E17" w:rsidRPr="00BB4117">
        <w:t xml:space="preserve"> at the long-term goal level.</w:t>
      </w:r>
      <w:r w:rsidR="00416D66" w:rsidRPr="00BB4117">
        <w:t xml:space="preserve"> However, these latter values are calculated using both recommended and interim characterization factors in </w:t>
      </w:r>
      <w:proofErr w:type="spellStart"/>
      <w:r w:rsidR="00416D66" w:rsidRPr="00BB4117">
        <w:t>Usetox</w:t>
      </w:r>
      <w:proofErr w:type="spellEnd"/>
      <w:r w:rsidR="00416D66" w:rsidRPr="00BB4117">
        <w:t xml:space="preserve">. With only recommended characterization factors values are at the same level as </w:t>
      </w:r>
      <w:r w:rsidRPr="00BB4117">
        <w:fldChar w:fldCharType="begin" w:fldLock="1"/>
      </w:r>
      <w:r w:rsidR="00416D66" w:rsidRPr="00BB4117">
        <w:instrText>ADDIN CSL_CITATION { "citationItems" : [ { "id" : "ITEM-1", "itemData" : { "abstract" : "Demand for electric vehicles is increasing, and lithium-ion (Li-ion) batteries with increased ranges will be critical to increasing electric vehicle marketability and reducing greenhouse gas emissions. While Li-ion batteries are expected to play a key role in the electric drive transportation industry, there are opportunities for improvements in the batteries\u2018 life-cycles that will reduce possible impacts to the environment and public health in a few specific areas, as their use increases. This study, carried out through a partnership led by EPA, with the U.S. Department of Energy (DOE), the Li-ion battery industry, and academics, was the first life-cycle assessment (LCA) to bring together and use life-cycle inventory data directly provided by Li-ion battery suppliers, manufacturers, and recyclers. Its purpose was to identify the materials or processes within a Li-ion battery\u2018s life cycle (from materials extraction and processing, manufacturing, use, and end-of-life) that most contribute to impacts on public health and the environment. It also sought to evaluate the potential impacts of a nanotechnology innovation (i.e., a carbon nanotube anode) that could improve battery performance. Battery manufacturers and suppliers can use this information to improve the environmental profile of their products, while the technology is still emerging. This study also provides a benchmark for future research and for identifying additional opportunities for reducing environmental and human health impacts throughout the life cycles of these Li-ion battery systems. The LCA study was conducted consistent with the International Standards Organization (ISO) 14040 series, which stipulates four phases of an LCA: goal and scope definition, life-cycle inventory (LCI), life-cycle impact assessment (LCIA), and interpretation. No comparative assertions, as defined in ISO 14040, were made about the superiority or equivalence of one type of battery system versus another in this study.", "author" : [ { "dropping-particle" : "", "family" : "Amarakoon", "given" : "Shanika", "non-dropping-particle" : "", "parse-names" : false, "suffix" : "" }, { "dropping-particle" : "", "family" : "Smith", "given" : "Jay", "non-dropping-particle" : "", "parse-names" : false, "suffix" : "" }, { "dropping-particle" : "", "family" : "Segal", "given" : "Brian", "non-dropping-particle" : "", "parse-names" : false, "suffix" : "" } ], "id" : "ITEM-1", "issued" : { "date-parts" : [ [ "2013" ] ] }, "number-of-pages" : "1 - 119", "title" : "Application of Life- Cycle Assessment to Nanoscale Technology : Lithium-ion Batteries for Electric Vehicles", "type" : "report" }, "uris" : [ "http://www.mendeley.com/documents/?uuid=e1aecc0c-c196-42d8-8ed4-e082da0c18ff" ] } ], "mendeley" : { "formattedCitation" : "(Amarakoon et al. 2013)", "plainTextFormattedCitation" : "(Amarakoon et al. 2013)", "previouslyFormattedCitation" : "(Amarakoon et al. 2013)" }, "properties" : { "noteIndex" : 0 }, "schema" : "https://github.com/citation-style-language/schema/raw/master/csl-citation.json" }</w:instrText>
      </w:r>
      <w:r w:rsidRPr="00BB4117">
        <w:fldChar w:fldCharType="separate"/>
      </w:r>
      <w:r w:rsidR="00416D66" w:rsidRPr="00BB4117">
        <w:rPr>
          <w:noProof/>
        </w:rPr>
        <w:t>(Amarakoon et al. 2013)</w:t>
      </w:r>
      <w:r w:rsidRPr="00BB4117">
        <w:fldChar w:fldCharType="end"/>
      </w:r>
      <w:r w:rsidR="00416D66" w:rsidRPr="00BB4117">
        <w:t>.</w:t>
      </w:r>
    </w:p>
    <w:p w:rsidR="00542A35" w:rsidRPr="00BB4117" w:rsidRDefault="00542A35" w:rsidP="00542A35">
      <w:pPr>
        <w:pStyle w:val="Rubrik3"/>
      </w:pPr>
      <w:bookmarkStart w:id="90" w:name="_Toc428370338"/>
      <w:r w:rsidRPr="00BB4117">
        <w:t>5.1.4 Comparability</w:t>
      </w:r>
      <w:bookmarkEnd w:id="90"/>
    </w:p>
    <w:p w:rsidR="00440D61" w:rsidRPr="00BB4117" w:rsidRDefault="00FB20E2" w:rsidP="00FB20E2">
      <w:pPr>
        <w:pStyle w:val="Brdtext"/>
      </w:pPr>
      <w:r w:rsidRPr="00BB4117">
        <w:t>Overall</w:t>
      </w:r>
      <w:r w:rsidR="009E7FDA" w:rsidRPr="00BB4117">
        <w:t>,</w:t>
      </w:r>
      <w:r w:rsidRPr="00BB4117">
        <w:t xml:space="preserve"> it is </w:t>
      </w:r>
      <w:r w:rsidR="009620B4" w:rsidRPr="00BB4117">
        <w:t>important t</w:t>
      </w:r>
      <w:r w:rsidR="00440D61" w:rsidRPr="00BB4117">
        <w:t xml:space="preserve">o be able to compare LCA results with other LCA studies; LCA is relative in its nature and the units </w:t>
      </w:r>
      <w:r w:rsidR="00880279" w:rsidRPr="00BB4117">
        <w:t>are complex, thus</w:t>
      </w:r>
      <w:r w:rsidR="00440D61" w:rsidRPr="00BB4117">
        <w:t xml:space="preserve"> there is a clear need </w:t>
      </w:r>
      <w:r w:rsidR="00880279" w:rsidRPr="00BB4117">
        <w:t>for well-defined relative comparisons</w:t>
      </w:r>
      <w:r w:rsidR="00440D61" w:rsidRPr="00BB4117">
        <w:t>. To ease comparability of</w:t>
      </w:r>
      <w:r w:rsidR="00632832" w:rsidRPr="00BB4117">
        <w:t xml:space="preserve"> </w:t>
      </w:r>
      <w:r w:rsidR="00440D61" w:rsidRPr="00BB4117">
        <w:t xml:space="preserve">battery related LCA studies in the </w:t>
      </w:r>
      <w:r w:rsidR="00622FE3" w:rsidRPr="00BB4117">
        <w:t>fu</w:t>
      </w:r>
      <w:r w:rsidR="00440D61" w:rsidRPr="00BB4117">
        <w:t>ture, the following is recommended:</w:t>
      </w:r>
    </w:p>
    <w:p w:rsidR="002528C2" w:rsidRPr="00BB4117" w:rsidRDefault="002528C2" w:rsidP="00446F3D">
      <w:pPr>
        <w:pStyle w:val="Brdtext"/>
        <w:numPr>
          <w:ilvl w:val="0"/>
          <w:numId w:val="33"/>
        </w:numPr>
        <w:ind w:left="567"/>
      </w:pPr>
      <w:r w:rsidRPr="00BB4117">
        <w:t>Report all results per vehicle km and per delivered kWh</w:t>
      </w:r>
      <w:r w:rsidR="009970EE" w:rsidRPr="00BB4117">
        <w:t xml:space="preserve">. Per vehicle </w:t>
      </w:r>
      <w:r w:rsidR="009C59EE" w:rsidRPr="00BB4117">
        <w:t>kilometre</w:t>
      </w:r>
      <w:r w:rsidR="009970EE" w:rsidRPr="00BB4117">
        <w:t xml:space="preserve"> gives information </w:t>
      </w:r>
      <w:r w:rsidR="00880279" w:rsidRPr="00BB4117">
        <w:t xml:space="preserve">on </w:t>
      </w:r>
      <w:r w:rsidR="009970EE" w:rsidRPr="00BB4117">
        <w:t xml:space="preserve">the battery/cell in a specific vehicle context. Per delivered kWh facilitates comparisons </w:t>
      </w:r>
      <w:r w:rsidR="00F06C17" w:rsidRPr="00BB4117">
        <w:t xml:space="preserve">of </w:t>
      </w:r>
      <w:r w:rsidR="006629BC" w:rsidRPr="00BB4117">
        <w:t>batteries</w:t>
      </w:r>
      <w:r w:rsidR="009970EE" w:rsidRPr="00BB4117">
        <w:t>/cells of different sizes.</w:t>
      </w:r>
    </w:p>
    <w:p w:rsidR="005D05B7" w:rsidRPr="00BB4117" w:rsidRDefault="005D05B7" w:rsidP="009E7FDA">
      <w:pPr>
        <w:pStyle w:val="Brdtext"/>
        <w:numPr>
          <w:ilvl w:val="0"/>
          <w:numId w:val="33"/>
        </w:numPr>
        <w:ind w:left="567" w:hanging="207"/>
      </w:pPr>
      <w:r w:rsidRPr="00BB4117">
        <w:t>Choose impact categories so that tradeoffs between tailpipe emissions, material resource use and toxicological impacts can be assessed</w:t>
      </w:r>
      <w:r w:rsidR="00542A35" w:rsidRPr="00BB4117">
        <w:t xml:space="preserve"> and follow the recommendations of the</w:t>
      </w:r>
      <w:r w:rsidRPr="00BB4117">
        <w:t xml:space="preserve"> ILCD handbook </w:t>
      </w:r>
      <w:r w:rsidR="00524197" w:rsidRPr="00BB4117">
        <w:fldChar w:fldCharType="begin" w:fldLock="1"/>
      </w:r>
      <w:r w:rsidRPr="00BB4117">
        <w:instrText>ADDIN CSL_CITATION { "citationItems" : [ { "id" : "ITEM-1", "itemData" : { "author" : [ { "dropping-particle" : "", "family" : "Wolf", "given" : "Marc-Andre", "non-dropping-particle" : "", "parse-names" : false, "suffix" : "" }, { "dropping-particle" : "", "family" : "Pant", "given" : "Rana", "non-dropping-particle" : "", "parse-names" : false, "suffix" : "" } ], "id" : "ITEM-1", "issued" : { "date-parts" : [ [ "2012" ] ] }, "title" : "The International Reference Life Cycle Data System", "type" : "report" }, "uris" : [ "http://www.mendeley.com/documents/?uuid=b0643154-82c3-4599-b607-80cd4ae13cf6" ] } ], "mendeley" : { "formattedCitation" : "(Wolf &amp; Pant 2012)", "plainTextFormattedCitation" : "(Wolf &amp; Pant 2012)", "previouslyFormattedCitation" : "(Wolf &amp; Pant 2012)" }, "properties" : { "noteIndex" : 0 }, "schema" : "https://github.com/citation-style-language/schema/raw/master/csl-citation.json" }</w:instrText>
      </w:r>
      <w:r w:rsidR="00524197" w:rsidRPr="00BB4117">
        <w:fldChar w:fldCharType="separate"/>
      </w:r>
      <w:r w:rsidRPr="00BB4117">
        <w:rPr>
          <w:noProof/>
        </w:rPr>
        <w:t>(Wolf &amp; Pant 2012)</w:t>
      </w:r>
      <w:r w:rsidR="00524197" w:rsidRPr="00BB4117">
        <w:fldChar w:fldCharType="end"/>
      </w:r>
      <w:r w:rsidRPr="00BB4117">
        <w:t xml:space="preserve"> </w:t>
      </w:r>
      <w:r w:rsidR="00542A35" w:rsidRPr="00BB4117">
        <w:t>concerning</w:t>
      </w:r>
      <w:r w:rsidRPr="00BB4117">
        <w:t xml:space="preserve"> preferred methods</w:t>
      </w:r>
      <w:r w:rsidR="006629BC" w:rsidRPr="00BB4117">
        <w:t>.</w:t>
      </w:r>
    </w:p>
    <w:p w:rsidR="002D7B6B" w:rsidRPr="00BB4117" w:rsidRDefault="000450A3" w:rsidP="002049D0">
      <w:pPr>
        <w:pStyle w:val="Rubrik2"/>
        <w:numPr>
          <w:ilvl w:val="1"/>
          <w:numId w:val="47"/>
        </w:numPr>
        <w:rPr>
          <w:lang w:val="en-GB"/>
        </w:rPr>
      </w:pPr>
      <w:bookmarkStart w:id="91" w:name="_Toc428370339"/>
      <w:r w:rsidRPr="00BB4117">
        <w:rPr>
          <w:lang w:val="en-GB"/>
        </w:rPr>
        <w:t>T</w:t>
      </w:r>
      <w:r w:rsidR="002D7B6B" w:rsidRPr="00BB4117">
        <w:rPr>
          <w:lang w:val="en-GB"/>
        </w:rPr>
        <w:t>oxicity</w:t>
      </w:r>
      <w:r w:rsidR="00F044A8" w:rsidRPr="00BB4117">
        <w:rPr>
          <w:lang w:val="en-GB"/>
        </w:rPr>
        <w:t xml:space="preserve"> considerations</w:t>
      </w:r>
      <w:bookmarkEnd w:id="91"/>
    </w:p>
    <w:p w:rsidR="006621AB" w:rsidRPr="00BB4117" w:rsidRDefault="002D7B6B" w:rsidP="009453BB">
      <w:pPr>
        <w:pStyle w:val="Brdtext"/>
      </w:pPr>
      <w:r w:rsidRPr="00BB4117">
        <w:t xml:space="preserve">From </w:t>
      </w:r>
      <w:r w:rsidR="006340A2" w:rsidRPr="00BB4117">
        <w:t xml:space="preserve">the </w:t>
      </w:r>
      <w:r w:rsidR="00781B02" w:rsidRPr="00BB4117">
        <w:t>dominance</w:t>
      </w:r>
      <w:r w:rsidR="006340A2" w:rsidRPr="00BB4117">
        <w:t xml:space="preserve"> analysis can be </w:t>
      </w:r>
      <w:r w:rsidRPr="00BB4117">
        <w:t xml:space="preserve">seen that toxicity stems from </w:t>
      </w:r>
      <w:r w:rsidR="00781B02" w:rsidRPr="00BB4117">
        <w:t xml:space="preserve">production of </w:t>
      </w:r>
      <w:r w:rsidR="00AE6CE1" w:rsidRPr="00BB4117">
        <w:t>electricity</w:t>
      </w:r>
      <w:r w:rsidR="006340A2" w:rsidRPr="00BB4117">
        <w:t>,</w:t>
      </w:r>
      <w:r w:rsidR="00AE6CE1" w:rsidRPr="00BB4117">
        <w:t xml:space="preserve"> </w:t>
      </w:r>
      <w:r w:rsidRPr="00BB4117">
        <w:t>copper</w:t>
      </w:r>
      <w:r w:rsidR="006340A2" w:rsidRPr="00BB4117">
        <w:t xml:space="preserve"> and lithium</w:t>
      </w:r>
      <w:r w:rsidRPr="00BB4117">
        <w:t>.</w:t>
      </w:r>
      <w:r w:rsidR="00AE6CE1" w:rsidRPr="00BB4117">
        <w:t xml:space="preserve"> The</w:t>
      </w:r>
      <w:r w:rsidR="00AF2E69" w:rsidRPr="00BB4117">
        <w:t xml:space="preserve">re is consensus that metals are not well </w:t>
      </w:r>
      <w:r w:rsidR="009C59EE" w:rsidRPr="00BB4117">
        <w:t>modelled</w:t>
      </w:r>
      <w:r w:rsidR="00AF2E69" w:rsidRPr="00BB4117">
        <w:t xml:space="preserve"> in LCA </w:t>
      </w:r>
      <w:r w:rsidR="00524197" w:rsidRPr="00BB4117">
        <w:fldChar w:fldCharType="begin" w:fldLock="1"/>
      </w:r>
      <w:r w:rsidR="008827B9" w:rsidRPr="00BB4117">
        <w:instrText>ADDIN CSL_CITATION { "citationItems" : [ { "id" : "ITEM-1", "itemData" : { "DOI" : "10.1007/s11367-011-0320-8", "ISSN" : "09483349", "author" : [ { "dropping-particle" : "", "family" : "Hauschild", "given" : "Michael Z.", "non-dropping-particle" : "", "parse-names" : false, "suffix" : "" }, { "dropping-particle" : "", "family" : "Jolliet", "given" : "Olivier", "non-dropping-particle" : "", "parse-names" : false, "suffix" : "" }, { "dropping-particle" : "", "family" : "Huijbregts", "given" : "Mark a J", "non-dropping-particle" : "", "parse-names" : false, "suffix" : "" } ], "container-title" : "International Journal of Life Cycle Assessment", "id" : "ITEM-1", "issue" : "8", "issued" : { "date-parts" : [ [ "2011" ] ] }, "page" : "697-700", "title" : "A bright future for addressing chemical emissions in life cycle assessment", "type" : "article-journal", "volume" : "16" }, "uris" : [ "http://www.mendeley.com/documents/?uuid=3a7be75a-020f-443f-9252-774eebbf60ce" ] } ], "mendeley" : { "formattedCitation" : "(Hauschild et al. 2011)", "plainTextFormattedCitation" : "(Hauschild et al. 2011)", "previouslyFormattedCitation" : "(Hauschild et al. 2011)" }, "properties" : { "noteIndex" : 0 }, "schema" : "https://github.com/citation-style-language/schema/raw/master/csl-citation.json" }</w:instrText>
      </w:r>
      <w:r w:rsidR="00524197" w:rsidRPr="00BB4117">
        <w:fldChar w:fldCharType="separate"/>
      </w:r>
      <w:r w:rsidR="00AF2E69" w:rsidRPr="00BB4117">
        <w:rPr>
          <w:noProof/>
        </w:rPr>
        <w:t>(Hauschild et al. 2011)</w:t>
      </w:r>
      <w:r w:rsidR="00524197" w:rsidRPr="00BB4117">
        <w:fldChar w:fldCharType="end"/>
      </w:r>
      <w:r w:rsidR="00AF2E69" w:rsidRPr="00BB4117">
        <w:t xml:space="preserve">. </w:t>
      </w:r>
      <w:r w:rsidR="009E7FDA" w:rsidRPr="00BB4117">
        <w:t xml:space="preserve">For example, </w:t>
      </w:r>
      <w:r w:rsidR="009777BB" w:rsidRPr="00BB4117">
        <w:t xml:space="preserve">among </w:t>
      </w:r>
      <w:r w:rsidR="009E7FDA" w:rsidRPr="00BB4117">
        <w:t xml:space="preserve">the recommended </w:t>
      </w:r>
      <w:r w:rsidR="009777BB" w:rsidRPr="00BB4117">
        <w:t xml:space="preserve">characterization factors in the </w:t>
      </w:r>
      <w:r w:rsidR="009E7FDA" w:rsidRPr="00BB4117">
        <w:t xml:space="preserve">USEtox method </w:t>
      </w:r>
      <w:r w:rsidR="009777BB" w:rsidRPr="00BB4117">
        <w:t>(</w:t>
      </w:r>
      <w:r w:rsidR="009E7FDA" w:rsidRPr="00BB4117">
        <w:t xml:space="preserve">used by </w:t>
      </w:r>
      <w:proofErr w:type="spellStart"/>
      <w:r w:rsidR="009E7FDA" w:rsidRPr="00BB4117">
        <w:t>Amarakoon</w:t>
      </w:r>
      <w:proofErr w:type="spellEnd"/>
      <w:r w:rsidR="009777BB" w:rsidRPr="00BB4117">
        <w:t>)</w:t>
      </w:r>
      <w:r w:rsidR="009E7FDA" w:rsidRPr="00BB4117">
        <w:t xml:space="preserve"> </w:t>
      </w:r>
      <w:r w:rsidR="009777BB" w:rsidRPr="00BB4117">
        <w:t>there are</w:t>
      </w:r>
      <w:r w:rsidR="009E7FDA" w:rsidRPr="00BB4117">
        <w:t xml:space="preserve"> no characterization factors for metals. </w:t>
      </w:r>
      <w:r w:rsidR="009777BB" w:rsidRPr="00BB4117">
        <w:t>While t</w:t>
      </w:r>
      <w:r w:rsidR="009E7FDA" w:rsidRPr="00BB4117">
        <w:t>he interim</w:t>
      </w:r>
      <w:r w:rsidR="009777BB" w:rsidRPr="00BB4117">
        <w:t xml:space="preserve"> characterization factors in</w:t>
      </w:r>
      <w:r w:rsidR="009E7FDA" w:rsidRPr="00BB4117">
        <w:t xml:space="preserve"> USEtox </w:t>
      </w:r>
      <w:r w:rsidR="009777BB" w:rsidRPr="00BB4117">
        <w:t xml:space="preserve">do </w:t>
      </w:r>
      <w:r w:rsidR="009E7FDA" w:rsidRPr="00BB4117">
        <w:t xml:space="preserve">include </w:t>
      </w:r>
      <w:r w:rsidR="0042089D" w:rsidRPr="00BB4117">
        <w:t xml:space="preserve">associated </w:t>
      </w:r>
      <w:r w:rsidR="009E7FDA" w:rsidRPr="00BB4117">
        <w:t xml:space="preserve">factors for </w:t>
      </w:r>
      <w:r w:rsidR="00257CEE" w:rsidRPr="00BB4117">
        <w:t xml:space="preserve">some </w:t>
      </w:r>
      <w:r w:rsidR="009E7FDA" w:rsidRPr="00BB4117">
        <w:t xml:space="preserve">metals, </w:t>
      </w:r>
      <w:r w:rsidR="009777BB" w:rsidRPr="00BB4117">
        <w:t xml:space="preserve">there is </w:t>
      </w:r>
      <w:r w:rsidR="000450A3" w:rsidRPr="00BB4117">
        <w:t xml:space="preserve">still </w:t>
      </w:r>
      <w:r w:rsidR="009777BB" w:rsidRPr="00BB4117">
        <w:t>no</w:t>
      </w:r>
      <w:r w:rsidR="009E7FDA" w:rsidRPr="00BB4117">
        <w:t xml:space="preserve"> characterization factor for lithium.</w:t>
      </w:r>
      <w:r w:rsidR="006340A2" w:rsidRPr="00BB4117">
        <w:t xml:space="preserve"> </w:t>
      </w:r>
      <w:r w:rsidR="0042089D" w:rsidRPr="00BB4117">
        <w:t>T</w:t>
      </w:r>
      <w:r w:rsidR="006340A2" w:rsidRPr="00BB4117">
        <w:t>he lithium process scores high in toxicity due to emissions of chromium, nickel, arsenic</w:t>
      </w:r>
      <w:r w:rsidR="006621AB" w:rsidRPr="00BB4117">
        <w:t xml:space="preserve"> and</w:t>
      </w:r>
      <w:r w:rsidR="006340A2" w:rsidRPr="00BB4117">
        <w:t xml:space="preserve"> mercury</w:t>
      </w:r>
      <w:r w:rsidR="006621AB" w:rsidRPr="00BB4117">
        <w:t xml:space="preserve"> associated with the lithium production</w:t>
      </w:r>
      <w:r w:rsidR="006340A2" w:rsidRPr="00BB4117">
        <w:t>.</w:t>
      </w:r>
      <w:r w:rsidR="009E7FDA" w:rsidRPr="00BB4117">
        <w:t xml:space="preserve"> </w:t>
      </w:r>
      <w:r w:rsidR="00664A1A" w:rsidRPr="00BB4117">
        <w:t xml:space="preserve">On the other hand, it is not </w:t>
      </w:r>
      <w:r w:rsidR="002F3148" w:rsidRPr="00BB4117">
        <w:t xml:space="preserve">that </w:t>
      </w:r>
      <w:r w:rsidR="00664A1A" w:rsidRPr="00BB4117">
        <w:t>clear where emissions of lithium</w:t>
      </w:r>
      <w:r w:rsidR="002F3148" w:rsidRPr="00BB4117">
        <w:t xml:space="preserve"> </w:t>
      </w:r>
      <w:r w:rsidR="00664A1A" w:rsidRPr="00BB4117">
        <w:t xml:space="preserve">would happen, thus such emissions are not </w:t>
      </w:r>
      <w:r w:rsidR="009C59EE" w:rsidRPr="00BB4117">
        <w:t>modelled</w:t>
      </w:r>
      <w:r w:rsidR="002F3148" w:rsidRPr="00BB4117">
        <w:t xml:space="preserve"> fully</w:t>
      </w:r>
      <w:r w:rsidR="00664A1A" w:rsidRPr="00BB4117">
        <w:t>.</w:t>
      </w:r>
      <w:r w:rsidR="00491174" w:rsidRPr="00BB4117">
        <w:t xml:space="preserve"> Volatility of some lithium-containing electrolyte may provide a source of lithium contamination, but </w:t>
      </w:r>
      <w:r w:rsidR="00491174" w:rsidRPr="00BB4117">
        <w:lastRenderedPageBreak/>
        <w:t xml:space="preserve">there are no dedicated reports of </w:t>
      </w:r>
      <w:r w:rsidR="006621AB" w:rsidRPr="00BB4117">
        <w:t>l</w:t>
      </w:r>
      <w:r w:rsidR="00491174" w:rsidRPr="00BB4117">
        <w:t>i</w:t>
      </w:r>
      <w:r w:rsidR="006621AB" w:rsidRPr="00BB4117">
        <w:t>thium</w:t>
      </w:r>
      <w:r w:rsidR="00491174" w:rsidRPr="00BB4117">
        <w:t xml:space="preserve"> </w:t>
      </w:r>
      <w:r w:rsidR="006621AB" w:rsidRPr="00BB4117">
        <w:t>emissions</w:t>
      </w:r>
      <w:r w:rsidR="00491174" w:rsidRPr="00BB4117">
        <w:t xml:space="preserve"> during full battery pack operation for </w:t>
      </w:r>
      <w:r w:rsidR="006621AB" w:rsidRPr="00BB4117">
        <w:t>lithium</w:t>
      </w:r>
      <w:r w:rsidR="00491174" w:rsidRPr="00BB4117">
        <w:t>-air systems.</w:t>
      </w:r>
      <w:r w:rsidR="00664A1A" w:rsidRPr="00BB4117">
        <w:t xml:space="preserve"> </w:t>
      </w:r>
    </w:p>
    <w:p w:rsidR="003B1EFF" w:rsidRPr="00BB4117" w:rsidRDefault="009453BB" w:rsidP="009453BB">
      <w:pPr>
        <w:pStyle w:val="Brdtext"/>
      </w:pPr>
      <w:r w:rsidRPr="00BB4117">
        <w:t xml:space="preserve">A recent study </w:t>
      </w:r>
      <w:r w:rsidR="00524197" w:rsidRPr="00BB4117">
        <w:fldChar w:fldCharType="begin" w:fldLock="1"/>
      </w:r>
      <w:r w:rsidRPr="00BB4117">
        <w:instrText>ADDIN CSL_CITATION { "citationItems" : [ { "id" : "ITEM-1", "itemData" : { "DOI" : "10.1021/es400614y", "ISSN" : "1520-5851", "PMID" : "23638841", "abstract" : "Rechargeable lithium-ion (Li-ion) and lithium-polymer (Li-poly) batteries have recently become dominant in consumer electronic products because of advantages associated with energy density and product longevity. However, the small size of these batteries, the high rate of disposal of consumer products in which they are used, and the lack of uniform regulatory policy on their disposal means that lithium batteries may contribute substantially to environmental pollution and adverse human health impacts due to potentially toxic materials. In this research, we used standardized leaching tests, life-cycle impact assessment (LCIA), and hazard assessment models to evaluate hazardous waste classification, resource depletion potential, and toxicity potentials of lithium batteries used in cellphones. Our results demonstrate that according to U.S. federal regulations, defunct Li-ion batteries are classified hazardous due to their lead (Pb) content (average 6.29 mg/L; \u03c3 = 11.1; limit 5). However, according to California regulations, all lithium batteries tested are classified hazardous due to excessive levels of cobalt (average 163,544 mg/kg; \u03c3 = 62,897; limit 8000), copper (average 98,694 mg/kg; \u03c3 = 28,734; limit 2500), and nickel (average 9525 mg/kg; \u03c3 = 11,438; limit 2000). In some of the Li-ion batteries, the leached concentrations of chromium, lead, and thallium exceeded the California regulation limits. The environmental impact associated with resource depletion and human toxicity is mainly associated with cobalt, copper, nickel, thallium, and silver, whereas the ecotoxicity potential is primarily associated with cobalt, copper, nickel, thallium, and silver. However, the relative contribution of aluminum and lithium to human toxicity and ecotoxicity could not be estimated due to insufficient toxicity data in the models. These findings support the need for stronger government policy at the local, national, and international levels to encourage recovery, recycling, and reuse of lithium battery materials.", "author" : [ { "dropping-particle" : "", "family" : "Kang", "given" : "Daniel Hsing Po", "non-dropping-particle" : "", "parse-names" : false, "suffix" : "" }, { "dropping-particle" : "", "family" : "Chen", "given" : "Mengjun", "non-dropping-particle" : "", "parse-names" : false, "suffix" : "" }, { "dropping-particle" : "", "family" : "Ogunseitan", "given" : "Oladele a", "non-dropping-particle" : "", "parse-names" : false, "suffix" : "" } ], "container-title" : "Environmental science &amp; technology", "id" : "ITEM-1", "issue" : "10", "issued" : { "date-parts" : [ [ "2013", "5", "21" ] ] }, "page" : "5495-503", "title" : "Potential environmental and human health impacts of rechargeable lithium batteries in electronic waste.", "type" : "article-journal", "volume" : "47" }, "uris" : [ "http://www.mendeley.com/documents/?uuid=afcdfa05-269f-4e29-a90b-081ab1229a48" ] } ], "mendeley" : { "formattedCitation" : "(Kang et al. 2013)", "plainTextFormattedCitation" : "(Kang et al. 2013)", "previouslyFormattedCitation" : "(Kang et al. 2013)" }, "properties" : { "noteIndex" : 0 }, "schema" : "https://github.com/citation-style-language/schema/raw/master/csl-citation.json" }</w:instrText>
      </w:r>
      <w:r w:rsidR="00524197" w:rsidRPr="00BB4117">
        <w:fldChar w:fldCharType="separate"/>
      </w:r>
      <w:r w:rsidRPr="00BB4117">
        <w:rPr>
          <w:noProof/>
        </w:rPr>
        <w:t>(Kang et al. 2013)</w:t>
      </w:r>
      <w:r w:rsidR="00524197" w:rsidRPr="00BB4117">
        <w:fldChar w:fldCharType="end"/>
      </w:r>
      <w:r w:rsidRPr="00BB4117">
        <w:t xml:space="preserve"> on the potential environmental and human health impacts of </w:t>
      </w:r>
      <w:r w:rsidR="00FE39E0" w:rsidRPr="00BB4117">
        <w:t>lithium-ion</w:t>
      </w:r>
      <w:r w:rsidRPr="00BB4117">
        <w:t xml:space="preserve"> batteries in electronic waste concludes that lithium batteries in uncontrolled landfills would leach out metals above current US regulatory limits. It was highlighted that the impact assessment methods did not take lithium and aluminium into account due to lack of toxicity data in the models</w:t>
      </w:r>
      <w:r w:rsidR="00567C08" w:rsidRPr="00BB4117">
        <w:t xml:space="preserve">, i.e. there is no data on lithium emissions from landfills nor </w:t>
      </w:r>
      <w:r w:rsidR="000450A3" w:rsidRPr="00BB4117">
        <w:t>are</w:t>
      </w:r>
      <w:r w:rsidR="00567C08" w:rsidRPr="00BB4117">
        <w:t xml:space="preserve"> there characterisation factors available to translate such emissions into toxicity impacts. </w:t>
      </w:r>
      <w:r w:rsidRPr="00BB4117">
        <w:t xml:space="preserve"> </w:t>
      </w:r>
    </w:p>
    <w:p w:rsidR="007E6403" w:rsidRPr="00BB4117" w:rsidRDefault="007E6403" w:rsidP="007E6403">
      <w:pPr>
        <w:pStyle w:val="Brdtext"/>
      </w:pPr>
      <w:r w:rsidRPr="00BB4117">
        <w:t xml:space="preserve">The </w:t>
      </w:r>
      <w:r w:rsidR="00C014CD" w:rsidRPr="00BB4117">
        <w:t xml:space="preserve">TEGDME </w:t>
      </w:r>
      <w:r w:rsidRPr="00BB4117">
        <w:t>electrolyte and the</w:t>
      </w:r>
      <w:r w:rsidR="00C014CD" w:rsidRPr="00BB4117">
        <w:t xml:space="preserve"> organic NMP solvent used in the manufacturing of the cathode</w:t>
      </w:r>
      <w:r w:rsidRPr="00BB4117">
        <w:t xml:space="preserve"> </w:t>
      </w:r>
      <w:r w:rsidR="00C014CD" w:rsidRPr="00BB4117">
        <w:t>are both</w:t>
      </w:r>
      <w:r w:rsidRPr="00BB4117">
        <w:t xml:space="preserve"> considered toxic. </w:t>
      </w:r>
      <w:r w:rsidR="000F5B3B" w:rsidRPr="00BB4117">
        <w:t xml:space="preserve">Due to lack of data, potential emissions of these substances were not </w:t>
      </w:r>
      <w:r w:rsidR="009C59EE" w:rsidRPr="00BB4117">
        <w:t>modelled</w:t>
      </w:r>
      <w:r w:rsidR="000F5B3B" w:rsidRPr="00BB4117">
        <w:t xml:space="preserve"> in any phase. Both substances could potentially leak out in the working environment and TEGDME emissions might also occur during the use of the battery cell. Both substances lack characterization factors in USEtox.</w:t>
      </w:r>
    </w:p>
    <w:p w:rsidR="009453BB" w:rsidRPr="00BB4117" w:rsidRDefault="003B1EFF" w:rsidP="009453BB">
      <w:pPr>
        <w:pStyle w:val="Brdtext"/>
      </w:pPr>
      <w:r w:rsidRPr="00BB4117">
        <w:t xml:space="preserve">As pointed out above, tradeoffs between tailpipe emissions, material resource use and toxicological impacts need to be assessed in LCAs of vehicles. In order to facilitate this, the following developments </w:t>
      </w:r>
      <w:r w:rsidR="0063464F" w:rsidRPr="00BB4117">
        <w:t>are recommended</w:t>
      </w:r>
      <w:r w:rsidRPr="00BB4117">
        <w:t>:</w:t>
      </w:r>
      <w:r w:rsidR="009453BB" w:rsidRPr="00BB4117">
        <w:t xml:space="preserve"> </w:t>
      </w:r>
    </w:p>
    <w:p w:rsidR="009453BB" w:rsidRPr="00BB4117" w:rsidRDefault="009453BB" w:rsidP="002D7B6B">
      <w:pPr>
        <w:pStyle w:val="Brdtext"/>
        <w:numPr>
          <w:ilvl w:val="0"/>
          <w:numId w:val="27"/>
        </w:numPr>
      </w:pPr>
      <w:r w:rsidRPr="00BB4117">
        <w:t>D</w:t>
      </w:r>
      <w:r w:rsidR="003B1EFF" w:rsidRPr="00BB4117">
        <w:t>evelop d</w:t>
      </w:r>
      <w:r w:rsidRPr="00BB4117">
        <w:t xml:space="preserve">ata </w:t>
      </w:r>
      <w:r w:rsidR="003B1EFF" w:rsidRPr="00BB4117">
        <w:t>and models for</w:t>
      </w:r>
      <w:r w:rsidRPr="00BB4117">
        <w:t xml:space="preserve"> lithium </w:t>
      </w:r>
      <w:r w:rsidR="003B1EFF" w:rsidRPr="00BB4117">
        <w:t xml:space="preserve">emissions </w:t>
      </w:r>
      <w:r w:rsidRPr="00BB4117">
        <w:t>during the life cycle</w:t>
      </w:r>
      <w:r w:rsidR="003B1EFF" w:rsidRPr="00BB4117">
        <w:t xml:space="preserve"> </w:t>
      </w:r>
      <w:r w:rsidRPr="00BB4117">
        <w:t>of the battery</w:t>
      </w:r>
      <w:r w:rsidR="000712A9" w:rsidRPr="00BB4117">
        <w:t xml:space="preserve"> as well as for other toxic substances used in the battery cell.</w:t>
      </w:r>
    </w:p>
    <w:p w:rsidR="002F3148" w:rsidRPr="00BB4117" w:rsidRDefault="002F3148" w:rsidP="002D7B6B">
      <w:pPr>
        <w:pStyle w:val="Brdtext"/>
        <w:numPr>
          <w:ilvl w:val="0"/>
          <w:numId w:val="27"/>
        </w:numPr>
      </w:pPr>
      <w:r w:rsidRPr="00BB4117">
        <w:t xml:space="preserve">Develop characterization factors for lithium emissions and include them in </w:t>
      </w:r>
      <w:r w:rsidR="00F24506" w:rsidRPr="00BB4117">
        <w:t xml:space="preserve">the </w:t>
      </w:r>
      <w:r w:rsidRPr="00BB4117">
        <w:t>USEtox method</w:t>
      </w:r>
      <w:r w:rsidR="000712A9" w:rsidRPr="00BB4117">
        <w:t xml:space="preserve"> as well as for other toxic substances used in the battery cell.</w:t>
      </w:r>
    </w:p>
    <w:p w:rsidR="00C847F8" w:rsidRPr="00BB4117" w:rsidRDefault="002F3148" w:rsidP="00A013CD">
      <w:pPr>
        <w:pStyle w:val="Brdtext"/>
      </w:pPr>
      <w:r w:rsidRPr="00BB4117">
        <w:t>In view of above, it seems reasonable to be extra cautious when interpreting LCA toxicity scores for lithium batteries.</w:t>
      </w:r>
      <w:r w:rsidR="000712A9" w:rsidRPr="00BB4117">
        <w:t xml:space="preserve"> Until the recommended developments are achieved, known toxic materials should be considered also outside of the LCA.</w:t>
      </w:r>
    </w:p>
    <w:p w:rsidR="0044147D" w:rsidRPr="00BB4117" w:rsidRDefault="00CD775B" w:rsidP="002049D0">
      <w:pPr>
        <w:pStyle w:val="Rubrik2"/>
        <w:numPr>
          <w:ilvl w:val="1"/>
          <w:numId w:val="47"/>
        </w:numPr>
        <w:rPr>
          <w:lang w:val="en-GB"/>
        </w:rPr>
      </w:pPr>
      <w:bookmarkStart w:id="92" w:name="_Toc428370340"/>
      <w:r w:rsidRPr="00BB4117">
        <w:rPr>
          <w:lang w:val="en-GB"/>
        </w:rPr>
        <w:t>Use phase dominance</w:t>
      </w:r>
      <w:bookmarkEnd w:id="92"/>
    </w:p>
    <w:p w:rsidR="009C71A4" w:rsidRPr="00BB4117" w:rsidRDefault="00242AF4" w:rsidP="0044147D">
      <w:pPr>
        <w:pStyle w:val="Brdtext"/>
      </w:pPr>
      <w:r w:rsidRPr="00BB4117">
        <w:t>The</w:t>
      </w:r>
      <w:r w:rsidR="0060209D" w:rsidRPr="00BB4117">
        <w:t xml:space="preserve"> dominance of the use phase is confirmed also in other studies </w:t>
      </w:r>
      <w:r w:rsidR="00524197" w:rsidRPr="00BB4117">
        <w:fldChar w:fldCharType="begin" w:fldLock="1"/>
      </w:r>
      <w:r w:rsidR="0060209D" w:rsidRPr="00BB4117">
        <w:instrText>ADDIN CSL_CITATION { "citationItems" : [ { "id" : "ITEM-1", "itemData" : { "ISBN" : "0959-6526", "author" : [ { "dropping-particle" : "", "family" : "Zackrisson", "given" : "Mats", "non-dropping-particle" : "", "parse-names" : false, "suffix" : "" }, { "dropping-particle" : "", "family" : "Avell\u00e1n", "given" : "Lars", "non-dropping-particle" : "", "parse-names" : false, "suffix" : "" }, { "dropping-particle" : "", "family" : "Orlenius", "given" : "Jessica", "non-dropping-particle" : "", "parse-names" : false, "suffix" : "" } ], "container-title" : "Journal of Cleaner Production", "id" : "ITEM-1", "issue" : "15", "issued" : { "date-parts" : [ [ "2010" ] ] }, "note" : "doi: DOI: 10.1016/j.jclepro.2010.06.004", "page" : "1517-1527", "title" : "Life cycle assessment of lithium-ion batteries for plug-in hybrid electric vehicles - Critical issues", "type" : "article-journal", "volume" : "18" }, "uris" : [ "http://www.mendeley.com/documents/?uuid=d0e8e808-ce99-41d8-ada5-44dd3db20625" ] } ], "mendeley" : { "formattedCitation" : "(Zackrisson et al. 2010)", "plainTextFormattedCitation" : "(Zackrisson et al. 2010)", "previouslyFormattedCitation" : "(Zackrisson et al. 2010)" }, "properties" : { "noteIndex" : 0 }, "schema" : "https://github.com/citation-style-language/schema/raw/master/csl-citation.json" }</w:instrText>
      </w:r>
      <w:r w:rsidR="00524197" w:rsidRPr="00BB4117">
        <w:fldChar w:fldCharType="separate"/>
      </w:r>
      <w:r w:rsidR="0060209D" w:rsidRPr="00BB4117">
        <w:rPr>
          <w:noProof/>
        </w:rPr>
        <w:t>(Zackrisson et al. 2010)</w:t>
      </w:r>
      <w:r w:rsidR="00524197" w:rsidRPr="00BB4117">
        <w:fldChar w:fldCharType="end"/>
      </w:r>
      <w:r w:rsidR="0060209D" w:rsidRPr="00BB4117">
        <w:t xml:space="preserve"> and </w:t>
      </w:r>
      <w:r w:rsidR="00524197" w:rsidRPr="00BB4117">
        <w:fldChar w:fldCharType="begin" w:fldLock="1"/>
      </w:r>
      <w:r w:rsidR="0060209D" w:rsidRPr="00BB4117">
        <w:instrText>ADDIN CSL_CITATION { "citationItems" : [ { "id" : "ITEM-1", "itemData" : { "author" : [ { "dropping-particle" : "", "family" : "Notter", "given" : "Dominic", "non-dropping-particle" : "", "parse-names" : false, "suffix" : "" }, { "dropping-particle" : "", "family" : "Gauch", "given" : "Marcel", "non-dropping-particle" : "", "parse-names" : false, "suffix" : "" }, { "dropping-particle" : "", "family" : "Widmer", "given" : "Rolf", "non-dropping-particle" : "", "parse-names" : false, "suffix" : "" }, { "dropping-particle" : "", "family" : "W\u00e4ger", "given" : "Patrick", "non-dropping-particle" : "", "parse-names" : false, "suffix" : "" }, { "dropping-particle" : "", "family" : "Stamp", "given" : "Anna", "non-dropping-particle" : "", "parse-names" : false, "suffix" : "" }, { "dropping-particle" : "", "family" : "Zah", "given" : "Rainer", "non-dropping-particle" : "", "parse-names" : false, "suffix" : "" }, { "dropping-particle" : "", "family" : "Althaus", "given" : "Hans-Jorg", "non-dropping-particle" : "", "parse-names" : false, "suffix" : "" } ], "container-title" : "Environmental Science &amp;Technology", "id" : "ITEM-1", "issued" : { "date-parts" : [ [ "2010" ] ] }, "title" : "Contribution of Li-Ion Batteries to the Environmental Impact of Electric Vehicles", "type" : "article-journal" }, "uris" : [ "http://www.mendeley.com/documents/?uuid=43b3e366-1532-461e-a9f1-f946b34ca970" ] } ], "mendeley" : { "formattedCitation" : "(Notter et al. 2010)", "plainTextFormattedCitation" : "(Notter et al. 2010)", "previouslyFormattedCitation" : "(Notter et al. 2010)" }, "properties" : { "noteIndex" : 0 }, "schema" : "https://github.com/citation-style-language/schema/raw/master/csl-citation.json" }</w:instrText>
      </w:r>
      <w:r w:rsidR="00524197" w:rsidRPr="00BB4117">
        <w:fldChar w:fldCharType="separate"/>
      </w:r>
      <w:r w:rsidR="0060209D" w:rsidRPr="00BB4117">
        <w:rPr>
          <w:noProof/>
        </w:rPr>
        <w:t>(Notter et al. 2010)</w:t>
      </w:r>
      <w:r w:rsidR="00524197" w:rsidRPr="00BB4117">
        <w:fldChar w:fldCharType="end"/>
      </w:r>
      <w:r w:rsidR="0060209D" w:rsidRPr="00BB4117">
        <w:t xml:space="preserve">. </w:t>
      </w:r>
      <w:r w:rsidR="00CD775B" w:rsidRPr="00BB4117">
        <w:t xml:space="preserve">The </w:t>
      </w:r>
      <w:r w:rsidR="0060209D" w:rsidRPr="00BB4117">
        <w:t xml:space="preserve">use phase </w:t>
      </w:r>
      <w:r w:rsidR="00CD775B" w:rsidRPr="00BB4117">
        <w:t>dominance ha</w:t>
      </w:r>
      <w:r w:rsidR="00BB4714" w:rsidRPr="00BB4117">
        <w:t>s</w:t>
      </w:r>
      <w:r w:rsidR="00CD775B" w:rsidRPr="00BB4117">
        <w:t xml:space="preserve"> many implications. If only 66-80% of the input energy</w:t>
      </w:r>
      <w:r w:rsidR="0089637C" w:rsidRPr="00BB4117">
        <w:t xml:space="preserve"> is usable for propulsion,</w:t>
      </w:r>
      <w:r w:rsidR="00CD775B" w:rsidRPr="00BB4117">
        <w:t xml:space="preserve"> it means that 34-20% of the energy becomes heat that may need considerable amounts of additional energy for its transportation out of the battery. For all battery designs</w:t>
      </w:r>
      <w:r w:rsidR="002365ED" w:rsidRPr="00BB4117">
        <w:t>,</w:t>
      </w:r>
      <w:r w:rsidR="00CD775B" w:rsidRPr="00BB4117">
        <w:t xml:space="preserve"> it is therefore</w:t>
      </w:r>
      <w:r w:rsidR="0060209D" w:rsidRPr="00BB4117">
        <w:t xml:space="preserve"> very</w:t>
      </w:r>
      <w:r w:rsidR="00CD775B" w:rsidRPr="00BB4117">
        <w:t xml:space="preserve"> important </w:t>
      </w:r>
      <w:r w:rsidR="009C71A4" w:rsidRPr="00BB4117">
        <w:t>to minimize power losses (voltage drop and resistance increase) in the battery</w:t>
      </w:r>
      <w:r w:rsidR="002365ED" w:rsidRPr="00BB4117">
        <w:t xml:space="preserve"> during operation</w:t>
      </w:r>
      <w:r w:rsidR="00CD775B" w:rsidRPr="00BB4117">
        <w:t>.</w:t>
      </w:r>
      <w:r w:rsidR="009C71A4" w:rsidRPr="00BB4117">
        <w:t xml:space="preserve"> </w:t>
      </w:r>
    </w:p>
    <w:p w:rsidR="00BB09B1" w:rsidRPr="00BB4117" w:rsidRDefault="0060209D" w:rsidP="0044147D">
      <w:pPr>
        <w:pStyle w:val="Brdtext"/>
      </w:pPr>
      <w:r w:rsidRPr="00BB4117">
        <w:t xml:space="preserve">As shown in the sensitivity calculations above, with carbon-lean Swedish electricity </w:t>
      </w:r>
      <w:r w:rsidRPr="00BB4117">
        <w:rPr>
          <w:rFonts w:ascii="TimesNewRomanPSMT" w:hAnsi="TimesNewRomanPSMT"/>
          <w:szCs w:val="24"/>
        </w:rPr>
        <w:t xml:space="preserve">the use phase </w:t>
      </w:r>
      <w:r w:rsidR="005D0010" w:rsidRPr="00BB4117">
        <w:rPr>
          <w:rFonts w:ascii="TimesNewRomanPSMT" w:hAnsi="TimesNewRomanPSMT"/>
          <w:szCs w:val="24"/>
        </w:rPr>
        <w:t>climate impact is</w:t>
      </w:r>
      <w:r w:rsidRPr="00BB4117">
        <w:rPr>
          <w:rFonts w:ascii="TimesNewRomanPSMT" w:hAnsi="TimesNewRomanPSMT"/>
          <w:szCs w:val="24"/>
        </w:rPr>
        <w:t xml:space="preserve"> no longer dominant in any scenario, from the “battery perspective” used in this study</w:t>
      </w:r>
      <w:r w:rsidR="00F82FA4" w:rsidRPr="00BB4117">
        <w:rPr>
          <w:rFonts w:ascii="TimesNewRomanPSMT" w:hAnsi="TimesNewRomanPSMT"/>
          <w:szCs w:val="24"/>
        </w:rPr>
        <w:t>.</w:t>
      </w:r>
      <w:r w:rsidRPr="00BB4117">
        <w:rPr>
          <w:rFonts w:ascii="TimesNewRomanPSMT" w:hAnsi="TimesNewRomanPSMT"/>
          <w:szCs w:val="24"/>
        </w:rPr>
        <w:t xml:space="preserve"> </w:t>
      </w:r>
      <w:r w:rsidR="00A43694" w:rsidRPr="00BB4117">
        <w:rPr>
          <w:rFonts w:ascii="TimesNewRomanPSMT" w:hAnsi="TimesNewRomanPSMT"/>
          <w:szCs w:val="24"/>
        </w:rPr>
        <w:t xml:space="preserve">If the </w:t>
      </w:r>
      <w:r w:rsidRPr="00BB4117">
        <w:rPr>
          <w:rFonts w:ascii="TimesNewRomanPSMT" w:hAnsi="TimesNewRomanPSMT"/>
          <w:szCs w:val="24"/>
        </w:rPr>
        <w:t>associated “propulsion” emission</w:t>
      </w:r>
      <w:r w:rsidR="00A43694" w:rsidRPr="00BB4117">
        <w:rPr>
          <w:rFonts w:ascii="TimesNewRomanPSMT" w:hAnsi="TimesNewRomanPSMT"/>
          <w:szCs w:val="24"/>
        </w:rPr>
        <w:t xml:space="preserve">s were to be </w:t>
      </w:r>
      <w:r w:rsidR="002365ED" w:rsidRPr="00BB4117">
        <w:rPr>
          <w:rFonts w:ascii="TimesNewRomanPSMT" w:hAnsi="TimesNewRomanPSMT"/>
          <w:szCs w:val="24"/>
        </w:rPr>
        <w:t>factored into the ca</w:t>
      </w:r>
      <w:r w:rsidR="006621AB" w:rsidRPr="00BB4117">
        <w:rPr>
          <w:rFonts w:ascii="TimesNewRomanPSMT" w:hAnsi="TimesNewRomanPSMT"/>
          <w:szCs w:val="24"/>
        </w:rPr>
        <w:t>lc</w:t>
      </w:r>
      <w:r w:rsidR="002365ED" w:rsidRPr="00BB4117">
        <w:rPr>
          <w:rFonts w:ascii="TimesNewRomanPSMT" w:hAnsi="TimesNewRomanPSMT"/>
          <w:szCs w:val="24"/>
        </w:rPr>
        <w:t>u</w:t>
      </w:r>
      <w:r w:rsidR="006621AB" w:rsidRPr="00BB4117">
        <w:rPr>
          <w:rFonts w:ascii="TimesNewRomanPSMT" w:hAnsi="TimesNewRomanPSMT"/>
          <w:szCs w:val="24"/>
        </w:rPr>
        <w:t>l</w:t>
      </w:r>
      <w:r w:rsidR="002365ED" w:rsidRPr="00BB4117">
        <w:rPr>
          <w:rFonts w:ascii="TimesNewRomanPSMT" w:hAnsi="TimesNewRomanPSMT"/>
          <w:szCs w:val="24"/>
        </w:rPr>
        <w:t>ations</w:t>
      </w:r>
      <w:r w:rsidR="00A43694" w:rsidRPr="00BB4117">
        <w:rPr>
          <w:rFonts w:ascii="TimesNewRomanPSMT" w:hAnsi="TimesNewRomanPSMT"/>
          <w:szCs w:val="24"/>
        </w:rPr>
        <w:t>, the use phase would dominate even with carbon-lean electricity.</w:t>
      </w:r>
    </w:p>
    <w:p w:rsidR="00BB09B1" w:rsidRPr="00BB4117" w:rsidRDefault="00BB09B1" w:rsidP="002049D0">
      <w:pPr>
        <w:pStyle w:val="Rubrik2"/>
        <w:numPr>
          <w:ilvl w:val="1"/>
          <w:numId w:val="47"/>
        </w:numPr>
        <w:rPr>
          <w:lang w:val="en-GB"/>
        </w:rPr>
      </w:pPr>
      <w:bookmarkStart w:id="93" w:name="_Toc428370341"/>
      <w:r w:rsidRPr="00BB4117">
        <w:rPr>
          <w:lang w:val="en-GB"/>
        </w:rPr>
        <w:t>Potential of lithium-air cell</w:t>
      </w:r>
      <w:bookmarkEnd w:id="93"/>
    </w:p>
    <w:p w:rsidR="00F8136B" w:rsidRPr="00BB4117" w:rsidRDefault="00A43694" w:rsidP="0044147D">
      <w:pPr>
        <w:pStyle w:val="Brdtext"/>
      </w:pPr>
      <w:r w:rsidRPr="00BB4117">
        <w:t xml:space="preserve">At the long-term goal level, production related </w:t>
      </w:r>
      <w:r w:rsidR="005D0010" w:rsidRPr="00BB4117">
        <w:t>climate impact is</w:t>
      </w:r>
      <w:r w:rsidRPr="00BB4117">
        <w:t xml:space="preserve"> only 3 </w:t>
      </w:r>
      <w:r w:rsidRPr="00BB4117">
        <w:rPr>
          <w:rFonts w:ascii="TimesNewRomanPSMT" w:hAnsi="TimesNewRomanPSMT"/>
          <w:szCs w:val="24"/>
        </w:rPr>
        <w:t>g CO</w:t>
      </w:r>
      <w:r w:rsidRPr="00BB4117">
        <w:rPr>
          <w:rFonts w:ascii="TimesNewRomanPSMT" w:hAnsi="TimesNewRomanPSMT"/>
          <w:szCs w:val="24"/>
          <w:vertAlign w:val="subscript"/>
        </w:rPr>
        <w:t>2</w:t>
      </w:r>
      <w:r w:rsidRPr="00BB4117">
        <w:rPr>
          <w:rFonts w:ascii="TimesNewRomanPSMT" w:hAnsi="TimesNewRomanPSMT"/>
          <w:szCs w:val="24"/>
        </w:rPr>
        <w:t>-eq/km</w:t>
      </w:r>
      <w:r w:rsidR="00115149" w:rsidRPr="00BB4117">
        <w:rPr>
          <w:rFonts w:ascii="TimesNewRomanPSMT" w:hAnsi="TimesNewRomanPSMT"/>
          <w:szCs w:val="24"/>
        </w:rPr>
        <w:t xml:space="preserve"> which is</w:t>
      </w:r>
      <w:r w:rsidR="00F8136B" w:rsidRPr="00BB4117">
        <w:t xml:space="preserve"> </w:t>
      </w:r>
      <w:r w:rsidR="00033A73" w:rsidRPr="00BB4117">
        <w:t xml:space="preserve">a factor of </w:t>
      </w:r>
      <w:r w:rsidR="00F8136B" w:rsidRPr="00BB4117">
        <w:t xml:space="preserve">4-9 </w:t>
      </w:r>
      <w:r w:rsidR="00033A73" w:rsidRPr="00BB4117">
        <w:t xml:space="preserve">lower </w:t>
      </w:r>
      <w:r w:rsidR="00115149" w:rsidRPr="00BB4117">
        <w:t>than today’s best battery technology</w:t>
      </w:r>
      <w:r w:rsidR="00F8136B" w:rsidRPr="00BB4117">
        <w:t xml:space="preserve">. The </w:t>
      </w:r>
      <w:r w:rsidR="00033A73" w:rsidRPr="00BB4117">
        <w:t>potential gains in performance are</w:t>
      </w:r>
      <w:r w:rsidR="00F8136B" w:rsidRPr="00BB4117">
        <w:t xml:space="preserve"> so large that a battery with lithium-air cell </w:t>
      </w:r>
      <w:r w:rsidR="00F8136B" w:rsidRPr="00BB4117">
        <w:lastRenderedPageBreak/>
        <w:t>functioning at the long-term goal level would most probably be very competitive</w:t>
      </w:r>
      <w:r w:rsidR="00033A73" w:rsidRPr="00BB4117">
        <w:t>,</w:t>
      </w:r>
      <w:r w:rsidR="00F8136B" w:rsidRPr="00BB4117">
        <w:t xml:space="preserve"> even if controlled oxygen supply is needed for its proper functioning.</w:t>
      </w:r>
      <w:r w:rsidR="00033A73" w:rsidRPr="00BB4117">
        <w:t xml:space="preserve"> </w:t>
      </w:r>
      <w:r w:rsidR="00531939" w:rsidRPr="00BB4117">
        <w:t>R</w:t>
      </w:r>
      <w:r w:rsidR="00033A73" w:rsidRPr="00BB4117">
        <w:t>eaders are referred to several topical reviews</w:t>
      </w:r>
      <w:r w:rsidR="00531939" w:rsidRPr="00BB4117">
        <w:t xml:space="preserve"> </w:t>
      </w:r>
      <w:r w:rsidR="00524197" w:rsidRPr="00BB4117">
        <w:fldChar w:fldCharType="begin" w:fldLock="1"/>
      </w:r>
      <w:r w:rsidR="00531939" w:rsidRPr="00BB4117">
        <w:instrText>ADDIN CSL_CITATION { "citationItems" : [ { "id" : "ITEM-1", "itemData" : { "author" : [ { "dropping-particle" : "", "family" : "Bhatt", "given" : "M. D.", "non-dropping-particle" : "", "parse-names" : false, "suffix" : "" }, { "dropping-particle" : "", "family" : "Geaney", "given" : "H.", "non-dropping-particle" : "", "parse-names" : false, "suffix" : "" }, { "dropping-particle" : "", "family" : "Nolan", "given" : "M.", "non-dropping-particle" : "", "parse-names" : false, "suffix" : "" }, { "dropping-particle" : "", "family" : "O'Dwyer", "given" : "C.", "non-dropping-particle" : "", "parse-names" : false, "suffix" : "" } ], "container-title" : "Physical Chemistry Chemical Physics", "id" : "ITEM-1", "issue" : "16", "issued" : { "date-parts" : [ [ "2014" ] ] }, "page" : "12093-12130", "title" : "Key Scientific Challenges in Current Rechargeable Non-aqueous Li-O2 Batteries: Experiment and Theory", "type" : "article-journal" }, "uris" : [ "http://www.mendeley.com/documents/?uuid=072dfdb8-cfd5-4bb2-88fb-98ae486fedd3" ] }, { "id" : "ITEM-2", "itemData" : { "author" : [ { "dropping-particle" : "", "family" : "Luntz", "given" : "Alan C.", "non-dropping-particle" : "", "parse-names" : false, "suffix" : "" }, { "dropping-particle" : "", "family" : "McCloskey", "given" : "Brian D.", "non-dropping-particle" : "", "parse-names" : false, "suffix" : "" } ], "container-title" : "Chemical Reviews", "id" : "ITEM-2", "issue" : "23", "issued" : { "date-parts" : [ [ "2014" ] ] }, "page" : "11721-11750", "title" : "Nonaqueous Li\u2013Air Batteries: A Status Report", "type" : "article-journal", "volume" : "114" }, "uris" : [ "http://www.mendeley.com/documents/?uuid=1b75135e-5d66-4a60-bb5d-20934506a6e5" ] } ], "mendeley" : { "formattedCitation" : "(Bhatt et al. 2014; Luntz &amp; McCloskey 2014)", "plainTextFormattedCitation" : "(Bhatt et al. 2014; Luntz &amp; McCloskey 2014)", "previouslyFormattedCitation" : "(Bhatt et al. 2014; Luntz &amp; McCloskey 2014)" }, "properties" : { "noteIndex" : 0 }, "schema" : "https://github.com/citation-style-language/schema/raw/master/csl-citation.json" }</w:instrText>
      </w:r>
      <w:r w:rsidR="00524197" w:rsidRPr="00BB4117">
        <w:fldChar w:fldCharType="separate"/>
      </w:r>
      <w:r w:rsidR="00531939" w:rsidRPr="00BB4117">
        <w:rPr>
          <w:noProof/>
        </w:rPr>
        <w:t>(Bhatt et al. 2014; Luntz &amp; McCloskey 2014)</w:t>
      </w:r>
      <w:r w:rsidR="00524197" w:rsidRPr="00BB4117">
        <w:fldChar w:fldCharType="end"/>
      </w:r>
      <w:r w:rsidR="00531939" w:rsidRPr="00BB4117">
        <w:t xml:space="preserve"> </w:t>
      </w:r>
      <w:r w:rsidR="001263B8" w:rsidRPr="00BB4117">
        <w:t xml:space="preserve"> </w:t>
      </w:r>
      <w:r w:rsidR="00033A73" w:rsidRPr="00BB4117">
        <w:t>that also outline the current technical obstacles and associated research and development underway to mitigate limited performance.</w:t>
      </w:r>
      <w:r w:rsidR="00670E50" w:rsidRPr="00BB4117">
        <w:t xml:space="preserve"> The </w:t>
      </w:r>
      <w:r w:rsidR="00670E50" w:rsidRPr="00BB4117">
        <w:rPr>
          <w:i/>
        </w:rPr>
        <w:t xml:space="preserve">actual </w:t>
      </w:r>
      <w:r w:rsidR="00670E50" w:rsidRPr="00BB4117">
        <w:t xml:space="preserve">environmental footprint of a distant industrial scale manufacturing of lithium-air batteries will probably be </w:t>
      </w:r>
      <w:r w:rsidR="00670E50" w:rsidRPr="00BB4117">
        <w:rPr>
          <w:i/>
        </w:rPr>
        <w:t>higher</w:t>
      </w:r>
      <w:r w:rsidR="00670E50" w:rsidRPr="00BB4117">
        <w:t xml:space="preserve"> due to intentional exclusions, like cell electronics and oxygen supply, or unintentional exclusions because of lack of knowledge and </w:t>
      </w:r>
      <w:r w:rsidR="00670E50" w:rsidRPr="00BB4117">
        <w:rPr>
          <w:i/>
        </w:rPr>
        <w:t>lower</w:t>
      </w:r>
      <w:r w:rsidR="00670E50" w:rsidRPr="00BB4117">
        <w:t xml:space="preserve"> due to improved, up-scaled and/or different manufacturing processes. In conclusion, the currently predicted environmental impact could be higher or lower or roughly equal to that of a fully functional commercial lithium-air battery in the future.</w:t>
      </w:r>
    </w:p>
    <w:p w:rsidR="008724F5" w:rsidRPr="00BB4117" w:rsidRDefault="008724F5" w:rsidP="002049D0">
      <w:pPr>
        <w:pStyle w:val="Rubrik2"/>
        <w:numPr>
          <w:ilvl w:val="1"/>
          <w:numId w:val="47"/>
        </w:numPr>
        <w:rPr>
          <w:lang w:val="en-GB"/>
        </w:rPr>
      </w:pPr>
      <w:bookmarkStart w:id="94" w:name="_Toc428370342"/>
      <w:r w:rsidRPr="00BB4117">
        <w:rPr>
          <w:lang w:val="en-GB"/>
        </w:rPr>
        <w:t>Recycling</w:t>
      </w:r>
      <w:bookmarkEnd w:id="94"/>
    </w:p>
    <w:p w:rsidR="009259C3" w:rsidRPr="00BB4117" w:rsidRDefault="008724F5" w:rsidP="009259C3">
      <w:pPr>
        <w:pStyle w:val="Brdtext"/>
      </w:pPr>
      <w:r w:rsidRPr="00BB4117">
        <w:t>This study show</w:t>
      </w:r>
      <w:r w:rsidR="0088507B" w:rsidRPr="00BB4117">
        <w:t>s</w:t>
      </w:r>
      <w:r w:rsidRPr="00BB4117">
        <w:t xml:space="preserve"> that b</w:t>
      </w:r>
      <w:r w:rsidR="00BB4714" w:rsidRPr="00BB4117">
        <w:t>y recycling</w:t>
      </w:r>
      <w:r w:rsidR="008B703A" w:rsidRPr="00BB4117">
        <w:t xml:space="preserve"> the battery cell</w:t>
      </w:r>
      <w:r w:rsidR="00BB4714" w:rsidRPr="00BB4117">
        <w:t>, 10-30% of production related environmental impact could be avoided.</w:t>
      </w:r>
      <w:r w:rsidRPr="00BB4117">
        <w:t xml:space="preserve"> However, it is important to point out that at present there is no </w:t>
      </w:r>
      <w:r w:rsidR="00670842" w:rsidRPr="00BB4117">
        <w:t xml:space="preserve">dedicated </w:t>
      </w:r>
      <w:r w:rsidRPr="00BB4117">
        <w:t xml:space="preserve">recycling </w:t>
      </w:r>
      <w:r w:rsidR="00670842" w:rsidRPr="00BB4117">
        <w:t>activity for</w:t>
      </w:r>
      <w:r w:rsidRPr="00BB4117">
        <w:t xml:space="preserve"> lithium traction batteries and that the economic </w:t>
      </w:r>
      <w:r w:rsidR="00670842" w:rsidRPr="00BB4117">
        <w:t>return for recycling is quite poor</w:t>
      </w:r>
      <w:r w:rsidR="003030B3" w:rsidRPr="00BB4117">
        <w:t xml:space="preserve"> </w:t>
      </w:r>
      <w:r w:rsidR="00524197" w:rsidRPr="00BB4117">
        <w:fldChar w:fldCharType="begin" w:fldLock="1"/>
      </w:r>
      <w:r w:rsidR="00BB6E41" w:rsidRPr="00BB4117">
        <w:instrText>ADDIN CSL_CITATION { "citationItems" : [ { "id" : "ITEM-1", "itemData" : { "DOI" : "10.1016/j.jenvman.2014.01.021", "ISSN" : "1095-8630", "PMID" : "24531384", "abstract" : "While disposal bans of lithium-ion batteries are gaining in popularity, the infrastructure required to recycle these batteries has not yet fully emerged and the economic motivation for this type of recycling system has not yet been quantified comprehensively. This study combines economic modeling and fundamental material characterization methods to quantify economic trade-offs for lithium ion batteries at their end-of-life. Results show that as chemistries transition from lithium-cobalt based cathodes to less costly chemistries, battery recovery value decreases along with the initial value of the raw materials used. For example, manganese-spinel and iron phosphate cathode batteries have potential material values 73% and 79% less than cobalt cathode batteries, respectively. A majority of the potentially recoverable value resides in the base metals contained in the cathode; this increases disassembly cost and time as this is the last portion of the battery taken apart. A great deal of compositional variability exists, even within the same cathode chemistry, due to differences between manufacturers with coefficient of variation up to 37% for some base metals. Cathode changes over time will result in a heavily co-mingled waste stream, further complicating waste management and recycling processes. These results aim to inform disposal, collection, and take-back policies being proposed currently that affect waste management infrastructure as well as guide future deployment of novel recycling techniques.", "author" : [ { "dropping-particle" : "", "family" : "Wang", "given" : "Xue", "non-dropping-particle" : "", "parse-names" : false, "suffix" : "" }, { "dropping-particle" : "", "family" : "Gaustad", "given" : "Gabrielle", "non-dropping-particle" : "", "parse-names" : false, "suffix" : "" }, { "dropping-particle" : "", "family" : "Babbitt", "given" : "Callie W", "non-dropping-particle" : "", "parse-names" : false, "suffix" : "" }, { "dropping-particle" : "", "family" : "Bailey", "given" : "Chelsea", "non-dropping-particle" : "", "parse-names" : false, "suffix" : "" }, { "dropping-particle" : "", "family" : "Ganter", "given" : "Matthew J", "non-dropping-particle" : "", "parse-names" : false, "suffix" : "" }, { "dropping-particle" : "", "family" : "Landi", "given" : "Brian J", "non-dropping-particle" : "", "parse-names" : false, "suffix" : "" } ], "container-title" : "Journal of environmental management", "id" : "ITEM-1", "issued" : { "date-parts" : [ [ "2014", "3", "15" ] ] }, "page" : "126-34", "publisher" : "Elsevier Ltd", "title" : "Economic and environmental characterization of an evolving Li-ion battery waste stream.", "type" : "article-journal", "volume" : "135" }, "uris" : [ "http://www.mendeley.com/documents/?uuid=48bdbc1e-c2d2-4bd9-87f1-4ac1daada0e5" ] } ], "mendeley" : { "formattedCitation" : "(Wang, Gaustad, Callie W Babbitt, et al. 2014)", "manualFormatting" : "(Wang et al. 2014)", "plainTextFormattedCitation" : "(Wang, Gaustad, Callie W Babbitt, et al. 2014)", "previouslyFormattedCitation" : "(Wang, Gaustad, Callie W Babbitt, et al. 2014)" }, "properties" : { "noteIndex" : 0 }, "schema" : "https://github.com/citation-style-language/schema/raw/master/csl-citation.json" }</w:instrText>
      </w:r>
      <w:r w:rsidR="00524197" w:rsidRPr="00BB4117">
        <w:fldChar w:fldCharType="separate"/>
      </w:r>
      <w:r w:rsidR="003030B3" w:rsidRPr="00BB4117">
        <w:rPr>
          <w:noProof/>
        </w:rPr>
        <w:t>(Wang et al. 2014)</w:t>
      </w:r>
      <w:r w:rsidR="00524197" w:rsidRPr="00BB4117">
        <w:fldChar w:fldCharType="end"/>
      </w:r>
      <w:r w:rsidRPr="00BB4117">
        <w:t>. Thus</w:t>
      </w:r>
      <w:r w:rsidR="00670842" w:rsidRPr="00BB4117">
        <w:t>,</w:t>
      </w:r>
      <w:r w:rsidRPr="00BB4117">
        <w:t xml:space="preserve"> recycling of lithium batteries will </w:t>
      </w:r>
      <w:r w:rsidR="003030B3" w:rsidRPr="00BB4117">
        <w:t xml:space="preserve">probably </w:t>
      </w:r>
      <w:r w:rsidRPr="00BB4117">
        <w:t xml:space="preserve">not happen </w:t>
      </w:r>
      <w:r w:rsidR="003030B3" w:rsidRPr="00BB4117">
        <w:t xml:space="preserve">unless it is legally enforced </w:t>
      </w:r>
      <w:r w:rsidR="00670842" w:rsidRPr="00BB4117">
        <w:t>worldwide, as it currently is</w:t>
      </w:r>
      <w:r w:rsidR="003030B3" w:rsidRPr="00BB4117">
        <w:t xml:space="preserve"> in Europe</w:t>
      </w:r>
      <w:r w:rsidR="00372429" w:rsidRPr="00BB4117">
        <w:t xml:space="preserve"> </w:t>
      </w:r>
      <w:r w:rsidR="00524197" w:rsidRPr="00BB4117">
        <w:fldChar w:fldCharType="begin" w:fldLock="1"/>
      </w:r>
      <w:r w:rsidR="00BB6E41" w:rsidRPr="00BB4117">
        <w:instrText>ADDIN CSL_CITATION { "citationItems" : [ { "id" : "ITEM-1", "itemData" : { "ISBN" : "9789279122552", "abstract" : "The European Parliament and of the Council of European Union, 2000. Directive 2000/53/Ec of the European Parliament and of the Council of 18 September2000 on End-of-life Vehicles, Brussels: Official Journal of the European Communities.", "author" : [ { "dropping-particle" : "", "family" : "EC", "given" : "", "non-dropping-particle" : "", "parse-names" : false, "suffix" : "" } ], "container-title" : "Official Journal of the European Communities", "id" : "ITEM-1", "issue" : "September 2006", "issued" : { "date-parts" : [ [ "2006" ] ] }, "page" : "1-15", "title" : "DIRECTIVE 2006/66/EC OF THE EUROPEAN PARLIAMENT AND OF THE COUNCIL of 6 September 2006 on batteries and accumulators and waste batteries and accumulators and repealing Directive 91/157/EEC", "type" : "legislation", "volume" : "L 269" }, "uris" : [ "http://www.mendeley.com/documents/?uuid=0419c6e4-898a-40c5-9506-cab2e4713fc6" ] } ], "mendeley" : { "formattedCitation" : "(EC 2006)", "plainTextFormattedCitation" : "(EC 2006)", "previouslyFormattedCitation" : "(EC 2006)" }, "properties" : { "noteIndex" : 0 }, "schema" : "https://github.com/citation-style-language/schema/raw/master/csl-citation.json" }</w:instrText>
      </w:r>
      <w:r w:rsidR="00524197" w:rsidRPr="00BB4117">
        <w:fldChar w:fldCharType="separate"/>
      </w:r>
      <w:r w:rsidR="00372429" w:rsidRPr="00BB4117">
        <w:rPr>
          <w:noProof/>
        </w:rPr>
        <w:t>(EC 2006)</w:t>
      </w:r>
      <w:r w:rsidR="00524197" w:rsidRPr="00BB4117">
        <w:fldChar w:fldCharType="end"/>
      </w:r>
      <w:r w:rsidR="003030B3" w:rsidRPr="00BB4117">
        <w:t>.</w:t>
      </w:r>
      <w:r w:rsidR="00BB4714" w:rsidRPr="00BB4117">
        <w:t xml:space="preserve"> </w:t>
      </w:r>
      <w:r w:rsidR="003030B3" w:rsidRPr="00BB4117">
        <w:t>In this respect, LCA</w:t>
      </w:r>
      <w:r w:rsidR="00670842" w:rsidRPr="00BB4117">
        <w:t xml:space="preserve"> may be important in guiding</w:t>
      </w:r>
      <w:r w:rsidR="003030B3" w:rsidRPr="00BB4117">
        <w:t xml:space="preserve"> </w:t>
      </w:r>
      <w:r w:rsidR="00670842" w:rsidRPr="00BB4117">
        <w:t>policy and providing a starting basis for quantitative assessment for possible</w:t>
      </w:r>
      <w:r w:rsidR="003030B3" w:rsidRPr="00BB4117">
        <w:t xml:space="preserve"> lithium battery recycling</w:t>
      </w:r>
      <w:r w:rsidR="00670842" w:rsidRPr="00BB4117">
        <w:t>.</w:t>
      </w:r>
      <w:r w:rsidR="009259C3" w:rsidRPr="00BB4117">
        <w:t xml:space="preserve"> </w:t>
      </w:r>
      <w:r w:rsidR="00670842" w:rsidRPr="00BB4117">
        <w:t>This</w:t>
      </w:r>
      <w:r w:rsidR="007A6718" w:rsidRPr="00BB4117">
        <w:t xml:space="preserve"> emphasizes the need to develop LCA toxicity impact methods </w:t>
      </w:r>
      <w:r w:rsidR="009259C3" w:rsidRPr="00BB4117">
        <w:t xml:space="preserve">in order </w:t>
      </w:r>
      <w:r w:rsidR="007A6718" w:rsidRPr="00BB4117">
        <w:t xml:space="preserve">to properly </w:t>
      </w:r>
      <w:r w:rsidR="003B64F2" w:rsidRPr="00BB4117">
        <w:t>assess</w:t>
      </w:r>
      <w:r w:rsidR="007A6718" w:rsidRPr="00BB4117">
        <w:t xml:space="preserve"> lithium.</w:t>
      </w:r>
      <w:r w:rsidR="008B7615" w:rsidRPr="00BB4117">
        <w:t xml:space="preserve"> R</w:t>
      </w:r>
      <w:r w:rsidR="009259C3" w:rsidRPr="00BB4117">
        <w:t xml:space="preserve">esource supply considerations will also be a motivation for recycling of scarce materials used in traction batteries. </w:t>
      </w:r>
      <w:r w:rsidR="003B64F2" w:rsidRPr="00BB4117">
        <w:t xml:space="preserve">In view of </w:t>
      </w:r>
      <w:r w:rsidR="008B703A" w:rsidRPr="00BB4117">
        <w:t xml:space="preserve">the </w:t>
      </w:r>
      <w:r w:rsidR="003B64F2" w:rsidRPr="00BB4117">
        <w:t xml:space="preserve">above, it is recommended that future battery cell development projects already at the design stage </w:t>
      </w:r>
      <w:r w:rsidR="00670842" w:rsidRPr="00BB4117">
        <w:t xml:space="preserve">should </w:t>
      </w:r>
      <w:r w:rsidR="003B64F2" w:rsidRPr="00BB4117">
        <w:t>consider how the battery and cell should be recycled.</w:t>
      </w:r>
    </w:p>
    <w:p w:rsidR="00401538" w:rsidRPr="00BB4117" w:rsidRDefault="003B1683" w:rsidP="002049D0">
      <w:pPr>
        <w:pStyle w:val="Rubrik2"/>
        <w:numPr>
          <w:ilvl w:val="1"/>
          <w:numId w:val="47"/>
        </w:numPr>
        <w:rPr>
          <w:lang w:val="en-GB"/>
        </w:rPr>
      </w:pPr>
      <w:bookmarkStart w:id="95" w:name="_Toc428370343"/>
      <w:r w:rsidRPr="00BB4117">
        <w:rPr>
          <w:lang w:val="en-GB"/>
        </w:rPr>
        <w:t>Conclusions</w:t>
      </w:r>
      <w:bookmarkEnd w:id="95"/>
    </w:p>
    <w:p w:rsidR="009763A0" w:rsidRPr="00BB4117" w:rsidRDefault="00B21630" w:rsidP="00B21630">
      <w:pPr>
        <w:pStyle w:val="Brdtext"/>
      </w:pPr>
      <w:r w:rsidRPr="00BB4117">
        <w:t xml:space="preserve">At the present level of lithium-air cell performance, production related impacts dominate all environmental impacts categories. However, as performance of the lithium-air cell develops (and less cells are needed), battery related </w:t>
      </w:r>
      <w:r w:rsidR="0019069C" w:rsidRPr="00BB4117">
        <w:t>power</w:t>
      </w:r>
      <w:r w:rsidRPr="00BB4117">
        <w:t xml:space="preserve"> losses during operation become the major source of environmental impacts. This has two major implications. </w:t>
      </w:r>
      <w:r w:rsidR="00F501E9" w:rsidRPr="00BB4117">
        <w:t>T</w:t>
      </w:r>
      <w:r w:rsidRPr="00BB4117">
        <w:t xml:space="preserve">he battery internal </w:t>
      </w:r>
      <w:r w:rsidR="0019069C" w:rsidRPr="00BB4117">
        <w:t>power</w:t>
      </w:r>
      <w:r w:rsidRPr="00BB4117">
        <w:t xml:space="preserve"> losses become heat that may need considerable amounts of additional energy for its transportation out of the battery. It is therefore</w:t>
      </w:r>
      <w:r w:rsidR="00FD2E54" w:rsidRPr="00BB4117">
        <w:t xml:space="preserve"> very</w:t>
      </w:r>
      <w:r w:rsidRPr="00BB4117">
        <w:t xml:space="preserve"> important to minimize </w:t>
      </w:r>
      <w:r w:rsidR="0019069C" w:rsidRPr="00BB4117">
        <w:t>power</w:t>
      </w:r>
      <w:r w:rsidRPr="00BB4117">
        <w:t xml:space="preserve"> losses in the battery. </w:t>
      </w:r>
      <w:r w:rsidR="00F501E9" w:rsidRPr="00BB4117">
        <w:t>Secondly, t</w:t>
      </w:r>
      <w:r w:rsidRPr="00BB4117">
        <w:t xml:space="preserve">he dominance of the use phase (at the </w:t>
      </w:r>
      <w:r w:rsidR="00BE176D" w:rsidRPr="00BB4117">
        <w:t>STABLE</w:t>
      </w:r>
      <w:r w:rsidRPr="00BB4117">
        <w:t xml:space="preserve"> long-term goal level) infers that the production of cells does not carry that large environmental impact. </w:t>
      </w:r>
      <w:r w:rsidR="00BB6E41" w:rsidRPr="00BB4117">
        <w:t>T</w:t>
      </w:r>
      <w:r w:rsidRPr="00BB4117">
        <w:t xml:space="preserve">he study indicates that lithium-air cells, in the long-term, could have 4-9 times less climate impact than today’s </w:t>
      </w:r>
      <w:r w:rsidR="00FE39E0" w:rsidRPr="00BB4117">
        <w:t>lithium-ion</w:t>
      </w:r>
      <w:r w:rsidRPr="00BB4117">
        <w:t xml:space="preserve"> cells. </w:t>
      </w:r>
    </w:p>
    <w:p w:rsidR="009517BC" w:rsidRPr="00BB4117" w:rsidRDefault="009763A0" w:rsidP="00972995">
      <w:pPr>
        <w:pStyle w:val="Brdtext"/>
      </w:pPr>
      <w:r w:rsidRPr="00BB4117">
        <w:t>B</w:t>
      </w:r>
      <w:r w:rsidR="00B21630" w:rsidRPr="00BB4117">
        <w:t>y recycling, about 10-30% of production related environmental impact could</w:t>
      </w:r>
      <w:r w:rsidR="002E0632" w:rsidRPr="00BB4117">
        <w:t xml:space="preserve"> potentially</w:t>
      </w:r>
      <w:r w:rsidR="00B21630" w:rsidRPr="00BB4117">
        <w:t xml:space="preserve"> be avoided.</w:t>
      </w:r>
      <w:r w:rsidRPr="00BB4117">
        <w:t xml:space="preserve"> However, today no recycling</w:t>
      </w:r>
      <w:r w:rsidR="00632A34" w:rsidRPr="00BB4117">
        <w:t xml:space="preserve"> of lithium based traction batteries is on-going and the economic incentive to invest in it is weak. </w:t>
      </w:r>
      <w:r w:rsidR="00BB6E41" w:rsidRPr="00BB4117">
        <w:t>I</w:t>
      </w:r>
      <w:r w:rsidR="00632A34" w:rsidRPr="00BB4117">
        <w:t>t is</w:t>
      </w:r>
      <w:r w:rsidR="00BB6E41" w:rsidRPr="00BB4117">
        <w:t xml:space="preserve"> therefore</w:t>
      </w:r>
      <w:r w:rsidR="00632A34" w:rsidRPr="00BB4117">
        <w:t xml:space="preserve"> recommended that future battery cell development projects already at the design stage consider how the battery and cell should be recycled. </w:t>
      </w:r>
      <w:r w:rsidR="004A3577" w:rsidRPr="00BB4117">
        <w:t>LCA could provide additional arguments for lithium battery recycling. This emphasizes the need to develop LCA toxicity impact methods in order to properly assess lithium.</w:t>
      </w:r>
      <w:r w:rsidR="00972995" w:rsidRPr="00BB4117">
        <w:t xml:space="preserve"> </w:t>
      </w:r>
    </w:p>
    <w:p w:rsidR="00FA42C5" w:rsidRPr="00BB4117" w:rsidRDefault="009517BC">
      <w:pPr>
        <w:pStyle w:val="Rubrik1"/>
        <w:rPr>
          <w:lang w:val="en-GB"/>
        </w:rPr>
      </w:pPr>
      <w:bookmarkStart w:id="96" w:name="_Toc428370344"/>
      <w:r w:rsidRPr="00BB4117">
        <w:rPr>
          <w:lang w:val="en-GB"/>
        </w:rPr>
        <w:lastRenderedPageBreak/>
        <w:t>Acknowledgements</w:t>
      </w:r>
      <w:bookmarkEnd w:id="96"/>
    </w:p>
    <w:p w:rsidR="007315C9" w:rsidRPr="00BB4117" w:rsidRDefault="003153AF" w:rsidP="004A41D3">
      <w:r w:rsidRPr="00BB4117">
        <w:t xml:space="preserve">This research has received funding from the </w:t>
      </w:r>
      <w:r w:rsidR="00A1144D" w:rsidRPr="00BB4117">
        <w:t xml:space="preserve">European Union’s </w:t>
      </w:r>
      <w:r w:rsidRPr="00BB4117">
        <w:t>Seventh Framework Programme FP7</w:t>
      </w:r>
      <w:r w:rsidR="004A41D3" w:rsidRPr="00BB4117">
        <w:t xml:space="preserve">- </w:t>
      </w:r>
      <w:r w:rsidR="004A41D3" w:rsidRPr="00BB4117">
        <w:rPr>
          <w:bCs/>
        </w:rPr>
        <w:t>GC.NMP.2012-1: Innovative automotive electrochemical storage applications based on nanotechnology,</w:t>
      </w:r>
      <w:r w:rsidRPr="00BB4117">
        <w:t xml:space="preserve"> (Project STABLE) under grant agreement no. 314508.</w:t>
      </w:r>
      <w:bookmarkStart w:id="97" w:name="_GoBack"/>
      <w:bookmarkEnd w:id="97"/>
      <w:r w:rsidR="00CB148F" w:rsidRPr="00BB4117">
        <w:t xml:space="preserve"> For further infor</w:t>
      </w:r>
      <w:r w:rsidR="00FD7835">
        <w:t>mation, see www.fp7-stable.com/</w:t>
      </w:r>
      <w:r w:rsidR="00CB148F" w:rsidRPr="00BB4117">
        <w:t>.</w:t>
      </w:r>
      <w:r w:rsidR="007315C9" w:rsidRPr="00BB4117">
        <w:br w:type="page"/>
      </w:r>
      <w:bookmarkStart w:id="98" w:name="_Toc428370345"/>
      <w:r w:rsidR="007315C9" w:rsidRPr="00BB4117">
        <w:rPr>
          <w:rStyle w:val="Rubrik1Char"/>
          <w:lang w:val="en-GB"/>
        </w:rPr>
        <w:lastRenderedPageBreak/>
        <w:t>References</w:t>
      </w:r>
      <w:bookmarkEnd w:id="98"/>
    </w:p>
    <w:p w:rsidR="007D67AB" w:rsidRPr="007D67AB" w:rsidRDefault="00524197" w:rsidP="007D67AB">
      <w:pPr>
        <w:widowControl w:val="0"/>
        <w:spacing w:before="100" w:after="100"/>
        <w:ind w:left="480" w:hanging="480"/>
        <w:rPr>
          <w:noProof/>
          <w:szCs w:val="24"/>
        </w:rPr>
      </w:pPr>
      <w:r w:rsidRPr="00BB4117">
        <w:fldChar w:fldCharType="begin" w:fldLock="1"/>
      </w:r>
      <w:r w:rsidR="00956CBA" w:rsidRPr="00BB4117">
        <w:instrText xml:space="preserve">ADDIN Mendeley Bibliography CSL_BIBLIOGRAPHY </w:instrText>
      </w:r>
      <w:r w:rsidRPr="00BB4117">
        <w:fldChar w:fldCharType="separate"/>
      </w:r>
      <w:r w:rsidR="007D67AB" w:rsidRPr="007D67AB">
        <w:rPr>
          <w:noProof/>
          <w:szCs w:val="24"/>
        </w:rPr>
        <w:t xml:space="preserve">Amarakoon, S., Smith, J. &amp; Segal, B., 2013. </w:t>
      </w:r>
      <w:r w:rsidR="007D67AB" w:rsidRPr="007D67AB">
        <w:rPr>
          <w:i/>
          <w:iCs/>
          <w:noProof/>
          <w:szCs w:val="24"/>
        </w:rPr>
        <w:t>Application of Life- Cycle Assessment to Nanoscale Technology : Lithium-ion Batteries for Electric Vehicles</w:t>
      </w:r>
      <w:r w:rsidR="007D67AB" w:rsidRPr="007D67AB">
        <w:rPr>
          <w:noProof/>
          <w:szCs w:val="24"/>
        </w:rPr>
        <w:t>, Available at: www.epa.gov/dfe.</w:t>
      </w:r>
    </w:p>
    <w:p w:rsidR="007D67AB" w:rsidRPr="007D67AB" w:rsidRDefault="007D67AB" w:rsidP="007D67AB">
      <w:pPr>
        <w:widowControl w:val="0"/>
        <w:spacing w:before="100" w:after="100"/>
        <w:ind w:left="480" w:hanging="480"/>
        <w:rPr>
          <w:noProof/>
          <w:szCs w:val="24"/>
        </w:rPr>
      </w:pPr>
      <w:r w:rsidRPr="00094C5D">
        <w:rPr>
          <w:noProof/>
          <w:szCs w:val="24"/>
          <w:lang w:val="sv-SE"/>
        </w:rPr>
        <w:t xml:space="preserve">Andrea Del Duce, Patricia Egede, Gerlind Öhlschläger, T.D., 2013. </w:t>
      </w:r>
      <w:r w:rsidRPr="007D67AB">
        <w:rPr>
          <w:i/>
          <w:iCs/>
          <w:noProof/>
          <w:szCs w:val="24"/>
        </w:rPr>
        <w:t>Guidelines for the LCA of electric vehicles</w:t>
      </w:r>
      <w:r w:rsidRPr="007D67AB">
        <w:rPr>
          <w:noProof/>
          <w:szCs w:val="24"/>
        </w:rPr>
        <w:t>,</w:t>
      </w:r>
    </w:p>
    <w:p w:rsidR="007D67AB" w:rsidRPr="007D67AB" w:rsidRDefault="007D67AB" w:rsidP="007D67AB">
      <w:pPr>
        <w:widowControl w:val="0"/>
        <w:spacing w:before="100" w:after="100"/>
        <w:ind w:left="480" w:hanging="480"/>
        <w:rPr>
          <w:noProof/>
          <w:szCs w:val="24"/>
        </w:rPr>
      </w:pPr>
      <w:r w:rsidRPr="007D67AB">
        <w:rPr>
          <w:noProof/>
          <w:szCs w:val="24"/>
        </w:rPr>
        <w:t xml:space="preserve">Arnberger, A., Pomberger, R. &amp; Curtis, A., 2013. Recycling of lithium-ion batteries taken from electric traction drive. In </w:t>
      </w:r>
      <w:r w:rsidRPr="007D67AB">
        <w:rPr>
          <w:i/>
          <w:iCs/>
          <w:noProof/>
          <w:szCs w:val="24"/>
        </w:rPr>
        <w:t>Wastes: Solutions, Treatments and Opportunities. 2nd International Conference</w:t>
      </w:r>
      <w:r w:rsidRPr="007D67AB">
        <w:rPr>
          <w:noProof/>
          <w:szCs w:val="24"/>
        </w:rPr>
        <w:t>. pp. 727–732.</w:t>
      </w:r>
    </w:p>
    <w:p w:rsidR="007D67AB" w:rsidRPr="007D67AB" w:rsidRDefault="007D67AB" w:rsidP="007D67AB">
      <w:pPr>
        <w:widowControl w:val="0"/>
        <w:spacing w:before="100" w:after="100"/>
        <w:ind w:left="480" w:hanging="480"/>
        <w:rPr>
          <w:noProof/>
          <w:szCs w:val="24"/>
        </w:rPr>
      </w:pPr>
      <w:r w:rsidRPr="007D67AB">
        <w:rPr>
          <w:noProof/>
          <w:szCs w:val="24"/>
        </w:rPr>
        <w:t xml:space="preserve">Badwal, Sukhvinder P. S., Sarbjit S. Giddey, Christopher Munnings, A.I.B. and A.F.H., 2014. Emerging electrochemical energy conversion and storage technologies. </w:t>
      </w:r>
      <w:r w:rsidRPr="007D67AB">
        <w:rPr>
          <w:i/>
          <w:iCs/>
          <w:noProof/>
          <w:szCs w:val="24"/>
        </w:rPr>
        <w:t>Frontiers in Chemistry</w:t>
      </w:r>
      <w:r w:rsidRPr="007D67AB">
        <w:rPr>
          <w:noProof/>
          <w:szCs w:val="24"/>
        </w:rPr>
        <w:t>.</w:t>
      </w:r>
    </w:p>
    <w:p w:rsidR="007D67AB" w:rsidRPr="007D67AB" w:rsidRDefault="007D67AB" w:rsidP="007D67AB">
      <w:pPr>
        <w:widowControl w:val="0"/>
        <w:spacing w:before="100" w:after="100"/>
        <w:ind w:left="480" w:hanging="480"/>
        <w:rPr>
          <w:noProof/>
          <w:szCs w:val="24"/>
        </w:rPr>
      </w:pPr>
      <w:r w:rsidRPr="00094C5D">
        <w:rPr>
          <w:noProof/>
          <w:szCs w:val="24"/>
          <w:lang w:val="sv-SE"/>
        </w:rPr>
        <w:t xml:space="preserve">Bhatt, M.D. et al., 2014. </w:t>
      </w:r>
      <w:r w:rsidRPr="007D67AB">
        <w:rPr>
          <w:noProof/>
          <w:szCs w:val="24"/>
        </w:rPr>
        <w:t xml:space="preserve">Key Scientific Challenges in Current Rechargeable Non-aqueous Li-O2 Batteries: Experiment and Theory. </w:t>
      </w:r>
      <w:r w:rsidRPr="007D67AB">
        <w:rPr>
          <w:i/>
          <w:iCs/>
          <w:noProof/>
          <w:szCs w:val="24"/>
        </w:rPr>
        <w:t>Physical Chemistry Chemical Physics</w:t>
      </w:r>
      <w:r w:rsidRPr="007D67AB">
        <w:rPr>
          <w:noProof/>
          <w:szCs w:val="24"/>
        </w:rPr>
        <w:t>, (16), pp.12093–12130.</w:t>
      </w:r>
    </w:p>
    <w:p w:rsidR="007D67AB" w:rsidRPr="007D67AB" w:rsidRDefault="007D67AB" w:rsidP="007D67AB">
      <w:pPr>
        <w:widowControl w:val="0"/>
        <w:spacing w:before="100" w:after="100"/>
        <w:ind w:left="480" w:hanging="480"/>
        <w:rPr>
          <w:noProof/>
          <w:szCs w:val="24"/>
        </w:rPr>
      </w:pPr>
      <w:r w:rsidRPr="007D67AB">
        <w:rPr>
          <w:noProof/>
          <w:szCs w:val="24"/>
        </w:rPr>
        <w:t xml:space="preserve">Buchert, M., 2011. </w:t>
      </w:r>
      <w:r w:rsidRPr="007D67AB">
        <w:rPr>
          <w:i/>
          <w:iCs/>
          <w:noProof/>
          <w:szCs w:val="24"/>
        </w:rPr>
        <w:t>Ökobilanz zum „Recycling von Lithium-Ionen-Batterien“ (LithoRec)</w:t>
      </w:r>
      <w:r w:rsidRPr="007D67AB">
        <w:rPr>
          <w:noProof/>
          <w:szCs w:val="24"/>
        </w:rPr>
        <w:t>,</w:t>
      </w:r>
    </w:p>
    <w:p w:rsidR="007D67AB" w:rsidRPr="007D67AB" w:rsidRDefault="007D67AB" w:rsidP="007D67AB">
      <w:pPr>
        <w:widowControl w:val="0"/>
        <w:spacing w:before="100" w:after="100"/>
        <w:ind w:left="480" w:hanging="480"/>
        <w:rPr>
          <w:noProof/>
          <w:szCs w:val="24"/>
        </w:rPr>
      </w:pPr>
      <w:r w:rsidRPr="00094C5D">
        <w:rPr>
          <w:noProof/>
          <w:szCs w:val="24"/>
          <w:lang w:val="sv-SE"/>
        </w:rPr>
        <w:t xml:space="preserve">Dunn, J.B. et al., 2012. </w:t>
      </w:r>
      <w:r w:rsidRPr="007D67AB">
        <w:rPr>
          <w:noProof/>
          <w:szCs w:val="24"/>
        </w:rPr>
        <w:t xml:space="preserve">Impact of recycling on cradle-to-gate energy consumption and greenhouse gas emissions of automotive lithium-ion batteries. </w:t>
      </w:r>
      <w:r w:rsidRPr="007D67AB">
        <w:rPr>
          <w:i/>
          <w:iCs/>
          <w:noProof/>
          <w:szCs w:val="24"/>
        </w:rPr>
        <w:t>Environmental science &amp; technology</w:t>
      </w:r>
      <w:r w:rsidRPr="007D67AB">
        <w:rPr>
          <w:noProof/>
          <w:szCs w:val="24"/>
        </w:rPr>
        <w:t>, 46(22), pp.12704–10. Available at: http://www.ncbi.nlm.nih.gov/pubmed/23075406.</w:t>
      </w:r>
    </w:p>
    <w:p w:rsidR="007D67AB" w:rsidRPr="007D67AB" w:rsidRDefault="007D67AB" w:rsidP="007D67AB">
      <w:pPr>
        <w:widowControl w:val="0"/>
        <w:spacing w:before="100" w:after="100"/>
        <w:ind w:left="480" w:hanging="480"/>
        <w:rPr>
          <w:noProof/>
          <w:szCs w:val="24"/>
        </w:rPr>
      </w:pPr>
      <w:r w:rsidRPr="00094C5D">
        <w:rPr>
          <w:noProof/>
          <w:szCs w:val="24"/>
          <w:lang w:val="sv-SE"/>
        </w:rPr>
        <w:t xml:space="preserve">Dunn, J.B. et al., 2014. </w:t>
      </w:r>
      <w:r w:rsidRPr="007D67AB">
        <w:rPr>
          <w:noProof/>
          <w:szCs w:val="24"/>
        </w:rPr>
        <w:t xml:space="preserve">The significance of Li-ion batteries in electric vehicle life-cycle energy and emissions and recycling’s role in its reduction. </w:t>
      </w:r>
      <w:r w:rsidRPr="007D67AB">
        <w:rPr>
          <w:i/>
          <w:iCs/>
          <w:noProof/>
          <w:szCs w:val="24"/>
        </w:rPr>
        <w:t>Energy Environ. Sci.</w:t>
      </w:r>
      <w:r w:rsidRPr="007D67AB">
        <w:rPr>
          <w:noProof/>
          <w:szCs w:val="24"/>
        </w:rPr>
        <w:t>, 00, pp.1–11. Available at: http://xlink.rsc.org/?DOI=C4EE03029J [Accessed November 17, 2014].</w:t>
      </w:r>
    </w:p>
    <w:p w:rsidR="007D67AB" w:rsidRPr="007D67AB" w:rsidRDefault="007D67AB" w:rsidP="007D67AB">
      <w:pPr>
        <w:widowControl w:val="0"/>
        <w:spacing w:before="100" w:after="100"/>
        <w:ind w:left="480" w:hanging="480"/>
        <w:rPr>
          <w:noProof/>
          <w:szCs w:val="24"/>
        </w:rPr>
      </w:pPr>
      <w:r w:rsidRPr="007D67AB">
        <w:rPr>
          <w:noProof/>
          <w:szCs w:val="24"/>
        </w:rPr>
        <w:t xml:space="preserve">EC, 2006. </w:t>
      </w:r>
      <w:r w:rsidRPr="007D67AB">
        <w:rPr>
          <w:i/>
          <w:iCs/>
          <w:noProof/>
          <w:szCs w:val="24"/>
        </w:rPr>
        <w:t>DIRECTIVE 2006/66/EC OF THE EUROPEAN PARLIAMENT AND OF THE COUNCIL of 6 September 2006 on batteries and accumulators and waste batteries and accumulators and repealing Directive 91/157/EEC</w:t>
      </w:r>
      <w:r w:rsidRPr="007D67AB">
        <w:rPr>
          <w:noProof/>
          <w:szCs w:val="24"/>
        </w:rPr>
        <w:t>,</w:t>
      </w:r>
    </w:p>
    <w:p w:rsidR="007D67AB" w:rsidRPr="007D67AB" w:rsidRDefault="007D67AB" w:rsidP="007D67AB">
      <w:pPr>
        <w:widowControl w:val="0"/>
        <w:spacing w:before="100" w:after="100"/>
        <w:ind w:left="480" w:hanging="480"/>
        <w:rPr>
          <w:noProof/>
          <w:szCs w:val="24"/>
        </w:rPr>
      </w:pPr>
      <w:r w:rsidRPr="007D67AB">
        <w:rPr>
          <w:noProof/>
          <w:szCs w:val="24"/>
        </w:rPr>
        <w:t xml:space="preserve">EC, 2009. </w:t>
      </w:r>
      <w:r w:rsidRPr="007D67AB">
        <w:rPr>
          <w:i/>
          <w:iCs/>
          <w:noProof/>
          <w:szCs w:val="24"/>
        </w:rPr>
        <w:t>Regulation (EC) No 443/2009 to define the modalities for reaching the 2020 target to reduce CO2 emissions from new passenger cars</w:t>
      </w:r>
      <w:r w:rsidRPr="007D67AB">
        <w:rPr>
          <w:noProof/>
          <w:szCs w:val="24"/>
        </w:rPr>
        <w:t>,</w:t>
      </w:r>
    </w:p>
    <w:p w:rsidR="007D67AB" w:rsidRPr="007D67AB" w:rsidRDefault="007D67AB" w:rsidP="007D67AB">
      <w:pPr>
        <w:widowControl w:val="0"/>
        <w:spacing w:before="100" w:after="100"/>
        <w:ind w:left="480" w:hanging="480"/>
        <w:rPr>
          <w:noProof/>
          <w:szCs w:val="24"/>
        </w:rPr>
      </w:pPr>
      <w:r w:rsidRPr="007D67AB">
        <w:rPr>
          <w:noProof/>
          <w:szCs w:val="24"/>
        </w:rPr>
        <w:t>Ecoinvent, 2007. Electricity, low voltage, production UCTE, at grid/UCTE S.</w:t>
      </w:r>
    </w:p>
    <w:p w:rsidR="007D67AB" w:rsidRPr="007D67AB" w:rsidRDefault="007D67AB" w:rsidP="007D67AB">
      <w:pPr>
        <w:widowControl w:val="0"/>
        <w:spacing w:before="100" w:after="100"/>
        <w:ind w:left="480" w:hanging="480"/>
        <w:rPr>
          <w:noProof/>
          <w:szCs w:val="24"/>
        </w:rPr>
      </w:pPr>
      <w:r w:rsidRPr="007D67AB">
        <w:rPr>
          <w:noProof/>
          <w:szCs w:val="24"/>
        </w:rPr>
        <w:t xml:space="preserve">EEA, 2016. Are we moving in the right direction? Indicators on transport and environmental integration in the EU: TERM 2000 / Occupancy rates. </w:t>
      </w:r>
      <w:r w:rsidRPr="007D67AB">
        <w:rPr>
          <w:i/>
          <w:iCs/>
          <w:noProof/>
          <w:szCs w:val="24"/>
        </w:rPr>
        <w:t>European Environment Agency</w:t>
      </w:r>
      <w:r w:rsidRPr="007D67AB">
        <w:rPr>
          <w:noProof/>
          <w:szCs w:val="24"/>
        </w:rPr>
        <w:t>. Available at: http://www.eea.europa.eu/publications/ENVISSUENo12/page029.html [Accessed April 20, 2016].</w:t>
      </w:r>
    </w:p>
    <w:p w:rsidR="007D67AB" w:rsidRPr="007D67AB" w:rsidRDefault="007D67AB" w:rsidP="007D67AB">
      <w:pPr>
        <w:widowControl w:val="0"/>
        <w:spacing w:before="100" w:after="100"/>
        <w:ind w:left="480" w:hanging="480"/>
        <w:rPr>
          <w:noProof/>
          <w:szCs w:val="24"/>
        </w:rPr>
      </w:pPr>
      <w:r w:rsidRPr="007D67AB">
        <w:rPr>
          <w:noProof/>
          <w:szCs w:val="24"/>
        </w:rPr>
        <w:t xml:space="preserve">Gallagher, K.G. et al., 2014. Quantifying the promise of lithium–air batteries for electric vehicles. </w:t>
      </w:r>
      <w:r w:rsidRPr="007D67AB">
        <w:rPr>
          <w:i/>
          <w:iCs/>
          <w:noProof/>
          <w:szCs w:val="24"/>
        </w:rPr>
        <w:t>Energy &amp; Environmental Science</w:t>
      </w:r>
      <w:r w:rsidRPr="007D67AB">
        <w:rPr>
          <w:noProof/>
          <w:szCs w:val="24"/>
        </w:rPr>
        <w:t>, 7, p.1555. Available at: http://xlink.rsc.org/?DOI=c3ee43870h.</w:t>
      </w:r>
    </w:p>
    <w:p w:rsidR="007D67AB" w:rsidRPr="007D67AB" w:rsidRDefault="007D67AB" w:rsidP="007D67AB">
      <w:pPr>
        <w:widowControl w:val="0"/>
        <w:spacing w:before="100" w:after="100"/>
        <w:ind w:left="480" w:hanging="480"/>
        <w:rPr>
          <w:noProof/>
          <w:szCs w:val="24"/>
        </w:rPr>
      </w:pPr>
      <w:r w:rsidRPr="00094C5D">
        <w:rPr>
          <w:noProof/>
          <w:szCs w:val="24"/>
          <w:lang w:val="sv-SE"/>
        </w:rPr>
        <w:t xml:space="preserve">Ganter, M.J. et al., 2014. </w:t>
      </w:r>
      <w:r w:rsidRPr="007D67AB">
        <w:rPr>
          <w:noProof/>
          <w:szCs w:val="24"/>
        </w:rPr>
        <w:t xml:space="preserve">Cathode refunctionalization as a lithium ion battery recycling alternative. </w:t>
      </w:r>
      <w:r w:rsidRPr="007D67AB">
        <w:rPr>
          <w:i/>
          <w:iCs/>
          <w:noProof/>
          <w:szCs w:val="24"/>
        </w:rPr>
        <w:t>Journal of Power Sources</w:t>
      </w:r>
      <w:r w:rsidRPr="007D67AB">
        <w:rPr>
          <w:noProof/>
          <w:szCs w:val="24"/>
        </w:rPr>
        <w:t>, 256, pp.274–280. Available at: http://dx.doi.org/10.1016/j.jpowsour.2014.01.078.</w:t>
      </w:r>
    </w:p>
    <w:p w:rsidR="007D67AB" w:rsidRPr="007D67AB" w:rsidRDefault="007D67AB" w:rsidP="007D67AB">
      <w:pPr>
        <w:widowControl w:val="0"/>
        <w:spacing w:before="100" w:after="100"/>
        <w:ind w:left="480" w:hanging="480"/>
        <w:rPr>
          <w:noProof/>
          <w:szCs w:val="24"/>
        </w:rPr>
      </w:pPr>
      <w:r w:rsidRPr="00094C5D">
        <w:rPr>
          <w:noProof/>
          <w:szCs w:val="24"/>
          <w:lang w:val="sv-SE"/>
        </w:rPr>
        <w:t xml:space="preserve">Georgi-Maschler, T. et al., 2012. </w:t>
      </w:r>
      <w:r w:rsidRPr="007D67AB">
        <w:rPr>
          <w:noProof/>
          <w:szCs w:val="24"/>
        </w:rPr>
        <w:t xml:space="preserve">Development of a recycling process for Li-ion </w:t>
      </w:r>
      <w:r w:rsidRPr="007D67AB">
        <w:rPr>
          <w:noProof/>
          <w:szCs w:val="24"/>
        </w:rPr>
        <w:lastRenderedPageBreak/>
        <w:t xml:space="preserve">batteries. </w:t>
      </w:r>
      <w:r w:rsidRPr="007D67AB">
        <w:rPr>
          <w:i/>
          <w:iCs/>
          <w:noProof/>
          <w:szCs w:val="24"/>
        </w:rPr>
        <w:t>Journal of Power Sources</w:t>
      </w:r>
      <w:r w:rsidRPr="007D67AB">
        <w:rPr>
          <w:noProof/>
          <w:szCs w:val="24"/>
        </w:rPr>
        <w:t>, 207, pp.173–182. Available at: http://linkinghub.elsevier.com/retrieve/pii/S0378775312002984 [Accessed October 24, 2014].</w:t>
      </w:r>
    </w:p>
    <w:p w:rsidR="007D67AB" w:rsidRPr="00094C5D" w:rsidRDefault="007D67AB" w:rsidP="007D67AB">
      <w:pPr>
        <w:widowControl w:val="0"/>
        <w:spacing w:before="100" w:after="100"/>
        <w:ind w:left="480" w:hanging="480"/>
        <w:rPr>
          <w:noProof/>
          <w:szCs w:val="24"/>
          <w:lang w:val="sv-SE"/>
        </w:rPr>
      </w:pPr>
      <w:r w:rsidRPr="00094C5D">
        <w:rPr>
          <w:noProof/>
          <w:szCs w:val="24"/>
          <w:lang w:val="sv-SE"/>
        </w:rPr>
        <w:t xml:space="preserve">Hall, B., 2014. </w:t>
      </w:r>
      <w:r w:rsidRPr="00094C5D">
        <w:rPr>
          <w:i/>
          <w:iCs/>
          <w:noProof/>
          <w:szCs w:val="24"/>
          <w:lang w:val="sv-SE"/>
        </w:rPr>
        <w:t>Förstudie kring återvinningsmetoder för litiumjonbatterier och celler för fordonsapplikationer</w:t>
      </w:r>
      <w:r w:rsidRPr="00094C5D">
        <w:rPr>
          <w:noProof/>
          <w:szCs w:val="24"/>
          <w:lang w:val="sv-SE"/>
        </w:rPr>
        <w:t>,</w:t>
      </w:r>
    </w:p>
    <w:p w:rsidR="007D67AB" w:rsidRPr="007D67AB" w:rsidRDefault="007D67AB" w:rsidP="007D67AB">
      <w:pPr>
        <w:widowControl w:val="0"/>
        <w:spacing w:before="100" w:after="100"/>
        <w:ind w:left="480" w:hanging="480"/>
        <w:rPr>
          <w:noProof/>
          <w:szCs w:val="24"/>
        </w:rPr>
      </w:pPr>
      <w:r w:rsidRPr="007D67AB">
        <w:rPr>
          <w:noProof/>
          <w:szCs w:val="24"/>
        </w:rPr>
        <w:t xml:space="preserve">Hauschild, M.Z., Jolliet, O. &amp; Huijbregts, M. a J., 2011. A bright future for addressing chemical emissions in life cycle assessment. </w:t>
      </w:r>
      <w:r w:rsidRPr="007D67AB">
        <w:rPr>
          <w:i/>
          <w:iCs/>
          <w:noProof/>
          <w:szCs w:val="24"/>
        </w:rPr>
        <w:t>International Journal of Life Cycle Assessment</w:t>
      </w:r>
      <w:r w:rsidRPr="007D67AB">
        <w:rPr>
          <w:noProof/>
          <w:szCs w:val="24"/>
        </w:rPr>
        <w:t>, 16(8), pp.697–700.</w:t>
      </w:r>
    </w:p>
    <w:p w:rsidR="007D67AB" w:rsidRPr="007D67AB" w:rsidRDefault="007D67AB" w:rsidP="007D67AB">
      <w:pPr>
        <w:widowControl w:val="0"/>
        <w:spacing w:before="100" w:after="100"/>
        <w:ind w:left="480" w:hanging="480"/>
        <w:rPr>
          <w:noProof/>
          <w:szCs w:val="24"/>
        </w:rPr>
      </w:pPr>
      <w:r w:rsidRPr="007D67AB">
        <w:rPr>
          <w:noProof/>
          <w:szCs w:val="24"/>
        </w:rPr>
        <w:t xml:space="preserve">IPCC, 2007. </w:t>
      </w:r>
      <w:r w:rsidRPr="007D67AB">
        <w:rPr>
          <w:i/>
          <w:iCs/>
          <w:noProof/>
          <w:szCs w:val="24"/>
        </w:rPr>
        <w:t>Climate Change 2007: Mitigation. Summary for Policymakers. Contribution of Working Group III to the Fourth Assessment Report of the Intergovernmental Panel on Climate Change</w:t>
      </w:r>
      <w:r w:rsidRPr="007D67AB">
        <w:rPr>
          <w:noProof/>
          <w:szCs w:val="24"/>
        </w:rPr>
        <w:t>, Cambridge.</w:t>
      </w:r>
    </w:p>
    <w:p w:rsidR="007D67AB" w:rsidRPr="00094C5D" w:rsidRDefault="007D67AB" w:rsidP="007D67AB">
      <w:pPr>
        <w:widowControl w:val="0"/>
        <w:spacing w:before="100" w:after="100"/>
        <w:ind w:left="480" w:hanging="480"/>
        <w:rPr>
          <w:noProof/>
          <w:szCs w:val="24"/>
          <w:lang w:val="sv-SE"/>
        </w:rPr>
      </w:pPr>
      <w:r w:rsidRPr="00094C5D">
        <w:rPr>
          <w:noProof/>
          <w:szCs w:val="24"/>
          <w:lang w:val="sv-SE"/>
        </w:rPr>
        <w:t xml:space="preserve">Jönsson, C. et al., 2014. </w:t>
      </w:r>
      <w:r w:rsidRPr="00094C5D">
        <w:rPr>
          <w:i/>
          <w:iCs/>
          <w:noProof/>
          <w:szCs w:val="24"/>
          <w:lang w:val="sv-SE"/>
        </w:rPr>
        <w:t>Strategiska materialval. Frågeställningar ur ett livscykelperspektiv.</w:t>
      </w:r>
      <w:r w:rsidRPr="00094C5D">
        <w:rPr>
          <w:noProof/>
          <w:szCs w:val="24"/>
          <w:lang w:val="sv-SE"/>
        </w:rPr>
        <w:t>,</w:t>
      </w:r>
    </w:p>
    <w:p w:rsidR="007D67AB" w:rsidRPr="007D67AB" w:rsidRDefault="007D67AB" w:rsidP="007D67AB">
      <w:pPr>
        <w:widowControl w:val="0"/>
        <w:spacing w:before="100" w:after="100"/>
        <w:ind w:left="480" w:hanging="480"/>
        <w:rPr>
          <w:noProof/>
          <w:szCs w:val="24"/>
        </w:rPr>
      </w:pPr>
      <w:r w:rsidRPr="00094C5D">
        <w:rPr>
          <w:noProof/>
          <w:szCs w:val="24"/>
          <w:lang w:val="sv-SE"/>
        </w:rPr>
        <w:t xml:space="preserve">Kang, D.H.P., Chen, M. &amp; Ogunseitan, O. a, 2013. </w:t>
      </w:r>
      <w:r w:rsidRPr="007D67AB">
        <w:rPr>
          <w:noProof/>
          <w:szCs w:val="24"/>
        </w:rPr>
        <w:t xml:space="preserve">Potential environmental and human health impacts of rechargeable lithium batteries in electronic waste. </w:t>
      </w:r>
      <w:r w:rsidRPr="007D67AB">
        <w:rPr>
          <w:i/>
          <w:iCs/>
          <w:noProof/>
          <w:szCs w:val="24"/>
        </w:rPr>
        <w:t>Environmental science &amp; technology</w:t>
      </w:r>
      <w:r w:rsidRPr="007D67AB">
        <w:rPr>
          <w:noProof/>
          <w:szCs w:val="24"/>
        </w:rPr>
        <w:t>, 47(10), pp.5495–503. Available at: http://www.ncbi.nlm.nih.gov/pubmed/23638841.</w:t>
      </w:r>
    </w:p>
    <w:p w:rsidR="007D67AB" w:rsidRPr="007D67AB" w:rsidRDefault="007D67AB" w:rsidP="007D67AB">
      <w:pPr>
        <w:widowControl w:val="0"/>
        <w:spacing w:before="100" w:after="100"/>
        <w:ind w:left="480" w:hanging="480"/>
        <w:rPr>
          <w:noProof/>
          <w:szCs w:val="24"/>
        </w:rPr>
      </w:pPr>
      <w:r w:rsidRPr="007D67AB">
        <w:rPr>
          <w:noProof/>
          <w:szCs w:val="24"/>
        </w:rPr>
        <w:t xml:space="preserve">Kurdve, M., 2014. </w:t>
      </w:r>
      <w:r w:rsidRPr="007D67AB">
        <w:rPr>
          <w:i/>
          <w:iCs/>
          <w:noProof/>
          <w:szCs w:val="24"/>
        </w:rPr>
        <w:t>Development of collaborative green lean production systems</w:t>
      </w:r>
      <w:r w:rsidRPr="007D67AB">
        <w:rPr>
          <w:noProof/>
          <w:szCs w:val="24"/>
        </w:rPr>
        <w:t>. Mälardalen University.</w:t>
      </w:r>
    </w:p>
    <w:p w:rsidR="007D67AB" w:rsidRPr="007D67AB" w:rsidRDefault="007D67AB" w:rsidP="007D67AB">
      <w:pPr>
        <w:widowControl w:val="0"/>
        <w:spacing w:before="100" w:after="100"/>
        <w:ind w:left="480" w:hanging="480"/>
        <w:rPr>
          <w:noProof/>
          <w:szCs w:val="24"/>
        </w:rPr>
      </w:pPr>
      <w:r w:rsidRPr="007D67AB">
        <w:rPr>
          <w:noProof/>
          <w:szCs w:val="24"/>
        </w:rPr>
        <w:t xml:space="preserve">Kushnir, D. &amp; Sandén, B. a., 2008. Energy Requirements of Carbon Nanoparticle Production. </w:t>
      </w:r>
      <w:r w:rsidRPr="007D67AB">
        <w:rPr>
          <w:i/>
          <w:iCs/>
          <w:noProof/>
          <w:szCs w:val="24"/>
        </w:rPr>
        <w:t>Journal of Industrial Ecology</w:t>
      </w:r>
      <w:r w:rsidRPr="007D67AB">
        <w:rPr>
          <w:noProof/>
          <w:szCs w:val="24"/>
        </w:rPr>
        <w:t>, 12(3), pp.360–375. Available at: http://doi.wiley.com/10.1111/j.1530-9290.2008.00057.x [Accessed November 3, 2014].</w:t>
      </w:r>
    </w:p>
    <w:p w:rsidR="007D67AB" w:rsidRPr="007D67AB" w:rsidRDefault="007D67AB" w:rsidP="007D67AB">
      <w:pPr>
        <w:widowControl w:val="0"/>
        <w:spacing w:before="100" w:after="100"/>
        <w:ind w:left="480" w:hanging="480"/>
        <w:rPr>
          <w:noProof/>
          <w:szCs w:val="24"/>
        </w:rPr>
      </w:pPr>
      <w:r w:rsidRPr="00094C5D">
        <w:rPr>
          <w:noProof/>
          <w:szCs w:val="24"/>
          <w:lang w:val="sv-SE"/>
        </w:rPr>
        <w:t xml:space="preserve">Kushnir, D. &amp; Sandén, B. a., 2012. </w:t>
      </w:r>
      <w:r w:rsidRPr="007D67AB">
        <w:rPr>
          <w:noProof/>
          <w:szCs w:val="24"/>
        </w:rPr>
        <w:t xml:space="preserve">The time dimension and lithium resource constraints for electric vehicles. </w:t>
      </w:r>
      <w:r w:rsidRPr="007D67AB">
        <w:rPr>
          <w:i/>
          <w:iCs/>
          <w:noProof/>
          <w:szCs w:val="24"/>
        </w:rPr>
        <w:t>Resources Policy</w:t>
      </w:r>
      <w:r w:rsidRPr="007D67AB">
        <w:rPr>
          <w:noProof/>
          <w:szCs w:val="24"/>
        </w:rPr>
        <w:t>, 37(1), pp.93–103. Available at: http://linkinghub.elsevier.com/retrieve/pii/S0301420711000754 [Accessed September 26, 2014].</w:t>
      </w:r>
    </w:p>
    <w:p w:rsidR="007D67AB" w:rsidRPr="007D67AB" w:rsidRDefault="007D67AB" w:rsidP="007D67AB">
      <w:pPr>
        <w:widowControl w:val="0"/>
        <w:spacing w:before="100" w:after="100"/>
        <w:ind w:left="480" w:hanging="480"/>
        <w:rPr>
          <w:noProof/>
          <w:szCs w:val="24"/>
        </w:rPr>
      </w:pPr>
      <w:r w:rsidRPr="007D67AB">
        <w:rPr>
          <w:noProof/>
          <w:szCs w:val="24"/>
        </w:rPr>
        <w:t xml:space="preserve">Luntz, A.C. &amp; McCloskey, B.D., 2014. Nonaqueous Li–Air Batteries: A Status Report. </w:t>
      </w:r>
      <w:r w:rsidRPr="007D67AB">
        <w:rPr>
          <w:i/>
          <w:iCs/>
          <w:noProof/>
          <w:szCs w:val="24"/>
        </w:rPr>
        <w:t>Chemical Reviews</w:t>
      </w:r>
      <w:r w:rsidRPr="007D67AB">
        <w:rPr>
          <w:noProof/>
          <w:szCs w:val="24"/>
        </w:rPr>
        <w:t>, 114(23), pp.11721–11750.</w:t>
      </w:r>
    </w:p>
    <w:p w:rsidR="007D67AB" w:rsidRPr="007D67AB" w:rsidRDefault="007D67AB" w:rsidP="007D67AB">
      <w:pPr>
        <w:widowControl w:val="0"/>
        <w:spacing w:before="100" w:after="100"/>
        <w:ind w:left="480" w:hanging="480"/>
        <w:rPr>
          <w:noProof/>
          <w:szCs w:val="24"/>
        </w:rPr>
      </w:pPr>
      <w:r w:rsidRPr="007D67AB">
        <w:rPr>
          <w:noProof/>
          <w:szCs w:val="24"/>
        </w:rPr>
        <w:t xml:space="preserve">Matheys, J., Autenboer, W. Van &amp; Mierlo, J. Van, 2005. </w:t>
      </w:r>
      <w:r w:rsidRPr="007D67AB">
        <w:rPr>
          <w:i/>
          <w:iCs/>
          <w:noProof/>
          <w:szCs w:val="24"/>
        </w:rPr>
        <w:t>SUBAT: SUSTAINABLE BATTERIES. Work package 5: Overall Assessment. Final Public Report</w:t>
      </w:r>
      <w:r w:rsidRPr="007D67AB">
        <w:rPr>
          <w:noProof/>
          <w:szCs w:val="24"/>
        </w:rPr>
        <w:t>, Vrije Universiteit Brussels - ETEC.</w:t>
      </w:r>
    </w:p>
    <w:p w:rsidR="007D67AB" w:rsidRPr="00094C5D" w:rsidRDefault="007D67AB" w:rsidP="007D67AB">
      <w:pPr>
        <w:widowControl w:val="0"/>
        <w:spacing w:before="100" w:after="100"/>
        <w:ind w:left="480" w:hanging="480"/>
        <w:rPr>
          <w:noProof/>
          <w:szCs w:val="24"/>
          <w:lang w:val="sv-SE"/>
        </w:rPr>
      </w:pPr>
      <w:r w:rsidRPr="007D67AB">
        <w:rPr>
          <w:noProof/>
          <w:szCs w:val="24"/>
        </w:rPr>
        <w:t xml:space="preserve">Notter, D. et al., 2010. Contribution of Li-Ion Batteries to the Environmental Impact of Electric Vehicles. </w:t>
      </w:r>
      <w:r w:rsidRPr="00094C5D">
        <w:rPr>
          <w:i/>
          <w:iCs/>
          <w:noProof/>
          <w:szCs w:val="24"/>
          <w:lang w:val="sv-SE"/>
        </w:rPr>
        <w:t>Environmental Science &amp;Technology</w:t>
      </w:r>
      <w:r w:rsidRPr="00094C5D">
        <w:rPr>
          <w:noProof/>
          <w:szCs w:val="24"/>
          <w:lang w:val="sv-SE"/>
        </w:rPr>
        <w:t>.</w:t>
      </w:r>
    </w:p>
    <w:p w:rsidR="007D67AB" w:rsidRPr="00094C5D" w:rsidRDefault="007D67AB" w:rsidP="007D67AB">
      <w:pPr>
        <w:widowControl w:val="0"/>
        <w:spacing w:before="100" w:after="100"/>
        <w:ind w:left="480" w:hanging="480"/>
        <w:rPr>
          <w:noProof/>
          <w:szCs w:val="24"/>
          <w:lang w:val="sv-SE"/>
        </w:rPr>
      </w:pPr>
      <w:r w:rsidRPr="00094C5D">
        <w:rPr>
          <w:noProof/>
          <w:szCs w:val="24"/>
          <w:lang w:val="sv-SE"/>
        </w:rPr>
        <w:t xml:space="preserve">Posner, S., 2009. </w:t>
      </w:r>
      <w:r w:rsidRPr="00094C5D">
        <w:rPr>
          <w:i/>
          <w:iCs/>
          <w:noProof/>
          <w:szCs w:val="24"/>
          <w:lang w:val="sv-SE"/>
        </w:rPr>
        <w:t>Riskanalys av kemikalier vid tillverkning av litiumjonbatterier</w:t>
      </w:r>
      <w:r w:rsidRPr="00094C5D">
        <w:rPr>
          <w:noProof/>
          <w:szCs w:val="24"/>
          <w:lang w:val="sv-SE"/>
        </w:rPr>
        <w:t>, Mölndal: Swerea IVF.</w:t>
      </w:r>
    </w:p>
    <w:p w:rsidR="007D67AB" w:rsidRPr="007D67AB" w:rsidRDefault="007D67AB" w:rsidP="007D67AB">
      <w:pPr>
        <w:widowControl w:val="0"/>
        <w:spacing w:before="100" w:after="100"/>
        <w:ind w:left="480" w:hanging="480"/>
        <w:rPr>
          <w:noProof/>
          <w:szCs w:val="24"/>
        </w:rPr>
      </w:pPr>
      <w:r w:rsidRPr="007D67AB">
        <w:rPr>
          <w:noProof/>
          <w:szCs w:val="24"/>
        </w:rPr>
        <w:t xml:space="preserve">Rebitzer, G. et al., 2004. Life cycle assessment: Part 1: Framework, goal and scope definition, inventory analysis, and applications. </w:t>
      </w:r>
      <w:r w:rsidRPr="007D67AB">
        <w:rPr>
          <w:i/>
          <w:iCs/>
          <w:noProof/>
          <w:szCs w:val="24"/>
        </w:rPr>
        <w:t>Environment International</w:t>
      </w:r>
      <w:r w:rsidRPr="007D67AB">
        <w:rPr>
          <w:noProof/>
          <w:szCs w:val="24"/>
        </w:rPr>
        <w:t>, 30(5), pp.701–720. Available at: http://www.sciencedirect.com/science/article/B6V7X-4C4W8Y2-1/2/2f6b7df89f92f13eec398d14aea533be.</w:t>
      </w:r>
    </w:p>
    <w:p w:rsidR="007D67AB" w:rsidRPr="007D67AB" w:rsidRDefault="007D67AB" w:rsidP="007D67AB">
      <w:pPr>
        <w:widowControl w:val="0"/>
        <w:spacing w:before="100" w:after="100"/>
        <w:ind w:left="480" w:hanging="480"/>
        <w:rPr>
          <w:noProof/>
          <w:szCs w:val="24"/>
        </w:rPr>
      </w:pPr>
      <w:r w:rsidRPr="007D67AB">
        <w:rPr>
          <w:noProof/>
          <w:szCs w:val="24"/>
        </w:rPr>
        <w:t xml:space="preserve">Ruiz, M. et al., 2014. Documentation of changes implemented in ecoinvent version 3.1. </w:t>
      </w:r>
      <w:r w:rsidRPr="007D67AB">
        <w:rPr>
          <w:i/>
          <w:iCs/>
          <w:noProof/>
          <w:szCs w:val="24"/>
        </w:rPr>
        <w:t>Ecoinvent</w:t>
      </w:r>
      <w:r w:rsidRPr="007D67AB">
        <w:rPr>
          <w:noProof/>
          <w:szCs w:val="24"/>
        </w:rPr>
        <w:t>, 1.</w:t>
      </w:r>
    </w:p>
    <w:p w:rsidR="007D67AB" w:rsidRPr="007D67AB" w:rsidRDefault="007D67AB" w:rsidP="007D67AB">
      <w:pPr>
        <w:widowControl w:val="0"/>
        <w:spacing w:before="100" w:after="100"/>
        <w:ind w:left="480" w:hanging="480"/>
        <w:rPr>
          <w:noProof/>
          <w:szCs w:val="24"/>
        </w:rPr>
      </w:pPr>
      <w:r w:rsidRPr="007D67AB">
        <w:rPr>
          <w:noProof/>
          <w:szCs w:val="24"/>
        </w:rPr>
        <w:lastRenderedPageBreak/>
        <w:t xml:space="preserve">Speirs, J. et al., 2014. The future of lithium availability for electric vehicle batteries. </w:t>
      </w:r>
      <w:r w:rsidRPr="007D67AB">
        <w:rPr>
          <w:i/>
          <w:iCs/>
          <w:noProof/>
          <w:szCs w:val="24"/>
        </w:rPr>
        <w:t>Renewable and Sustainable Energy Reviews</w:t>
      </w:r>
      <w:r w:rsidRPr="007D67AB">
        <w:rPr>
          <w:noProof/>
          <w:szCs w:val="24"/>
        </w:rPr>
        <w:t>, 35, pp.183–193. Available at: http://linkinghub.elsevier.com/retrieve/pii/S1364032114002457 [Accessed December 1, 2014].</w:t>
      </w:r>
    </w:p>
    <w:p w:rsidR="007D67AB" w:rsidRPr="007D67AB" w:rsidRDefault="007D67AB" w:rsidP="007D67AB">
      <w:pPr>
        <w:widowControl w:val="0"/>
        <w:spacing w:before="100" w:after="100"/>
        <w:ind w:left="480" w:hanging="480"/>
        <w:rPr>
          <w:noProof/>
          <w:szCs w:val="24"/>
        </w:rPr>
      </w:pPr>
      <w:r w:rsidRPr="00094C5D">
        <w:rPr>
          <w:noProof/>
          <w:szCs w:val="24"/>
          <w:lang w:val="sv-SE"/>
        </w:rPr>
        <w:t xml:space="preserve">Wang, X., Gaustad, G., Babbitt, C.W., et al., 2014. </w:t>
      </w:r>
      <w:r w:rsidRPr="007D67AB">
        <w:rPr>
          <w:noProof/>
          <w:szCs w:val="24"/>
        </w:rPr>
        <w:t xml:space="preserve">Economic and environmental characterization of an evolving Li-ion battery waste stream. </w:t>
      </w:r>
      <w:r w:rsidRPr="007D67AB">
        <w:rPr>
          <w:i/>
          <w:iCs/>
          <w:noProof/>
          <w:szCs w:val="24"/>
        </w:rPr>
        <w:t>Journal of environmental management</w:t>
      </w:r>
      <w:r w:rsidRPr="007D67AB">
        <w:rPr>
          <w:noProof/>
          <w:szCs w:val="24"/>
        </w:rPr>
        <w:t>, 135, pp.126–34. Available at: http://www.ncbi.nlm.nih.gov/pubmed/24531384 [Accessed September 30, 2014].</w:t>
      </w:r>
    </w:p>
    <w:p w:rsidR="007D67AB" w:rsidRPr="007D67AB" w:rsidRDefault="007D67AB" w:rsidP="007D67AB">
      <w:pPr>
        <w:widowControl w:val="0"/>
        <w:spacing w:before="100" w:after="100"/>
        <w:ind w:left="480" w:hanging="480"/>
        <w:rPr>
          <w:noProof/>
          <w:szCs w:val="24"/>
        </w:rPr>
      </w:pPr>
      <w:r w:rsidRPr="00094C5D">
        <w:rPr>
          <w:noProof/>
          <w:szCs w:val="24"/>
          <w:lang w:val="sv-SE"/>
        </w:rPr>
        <w:t xml:space="preserve">Wang, X., Gaustad, G., Babbitt, C.W., et al., 2014. </w:t>
      </w:r>
      <w:r w:rsidRPr="007D67AB">
        <w:rPr>
          <w:noProof/>
          <w:szCs w:val="24"/>
        </w:rPr>
        <w:t xml:space="preserve">Economies of scale for future lithium-ion battery recycling infrastructure. </w:t>
      </w:r>
      <w:r w:rsidRPr="007D67AB">
        <w:rPr>
          <w:i/>
          <w:iCs/>
          <w:noProof/>
          <w:szCs w:val="24"/>
        </w:rPr>
        <w:t>Resources, Conservation and Recycling</w:t>
      </w:r>
      <w:r w:rsidRPr="007D67AB">
        <w:rPr>
          <w:noProof/>
          <w:szCs w:val="24"/>
        </w:rPr>
        <w:t>, 83, pp.53–62. Available at: http://www.sciencedirect.com/science/article/pii/S0921344913002541 [Accessed August 5, 2014].</w:t>
      </w:r>
    </w:p>
    <w:p w:rsidR="007D67AB" w:rsidRPr="007D67AB" w:rsidRDefault="007D67AB" w:rsidP="007D67AB">
      <w:pPr>
        <w:widowControl w:val="0"/>
        <w:spacing w:before="100" w:after="100"/>
        <w:ind w:left="480" w:hanging="480"/>
        <w:rPr>
          <w:noProof/>
          <w:szCs w:val="24"/>
        </w:rPr>
      </w:pPr>
      <w:r w:rsidRPr="007D67AB">
        <w:rPr>
          <w:noProof/>
          <w:szCs w:val="24"/>
        </w:rPr>
        <w:t xml:space="preserve">Vogt, H. &amp; Balej, J., 2000. Chlorine Oxides and Chlorine Oxygen Acids. </w:t>
      </w:r>
      <w:r w:rsidRPr="007D67AB">
        <w:rPr>
          <w:i/>
          <w:iCs/>
          <w:noProof/>
          <w:szCs w:val="24"/>
        </w:rPr>
        <w:t>ULLMANN´S Encyclopedia of Industrial Energy</w:t>
      </w:r>
      <w:r w:rsidRPr="007D67AB">
        <w:rPr>
          <w:noProof/>
          <w:szCs w:val="24"/>
        </w:rPr>
        <w:t>. Available at: http://onlinelibrary.wiley.com/doi/10.1002/14356007.a06_483/full#a06_483-sec1-0008.</w:t>
      </w:r>
    </w:p>
    <w:p w:rsidR="007D67AB" w:rsidRPr="007D67AB" w:rsidRDefault="007D67AB" w:rsidP="007D67AB">
      <w:pPr>
        <w:widowControl w:val="0"/>
        <w:spacing w:before="100" w:after="100"/>
        <w:ind w:left="480" w:hanging="480"/>
        <w:rPr>
          <w:noProof/>
          <w:szCs w:val="24"/>
        </w:rPr>
      </w:pPr>
      <w:r w:rsidRPr="007D67AB">
        <w:rPr>
          <w:noProof/>
          <w:szCs w:val="24"/>
        </w:rPr>
        <w:t xml:space="preserve">Wolf, M.-A. &amp; Pant, R., 2012. </w:t>
      </w:r>
      <w:r w:rsidRPr="007D67AB">
        <w:rPr>
          <w:i/>
          <w:iCs/>
          <w:noProof/>
          <w:szCs w:val="24"/>
        </w:rPr>
        <w:t>The International Reference Life Cycle Data System</w:t>
      </w:r>
      <w:r w:rsidRPr="007D67AB">
        <w:rPr>
          <w:noProof/>
          <w:szCs w:val="24"/>
        </w:rPr>
        <w:t>, Available at: http://lct.jrc.ec.europa.eu/pdf-directory/JRC Reference Report ILCD Handbook - Towards more sustainable production and consumption for a resource-efficient Europe.pdf.</w:t>
      </w:r>
    </w:p>
    <w:p w:rsidR="007D67AB" w:rsidRPr="00094C5D" w:rsidRDefault="007D67AB" w:rsidP="007D67AB">
      <w:pPr>
        <w:widowControl w:val="0"/>
        <w:spacing w:before="100" w:after="100"/>
        <w:ind w:left="480" w:hanging="480"/>
        <w:rPr>
          <w:noProof/>
          <w:szCs w:val="24"/>
          <w:lang w:val="sv-SE"/>
        </w:rPr>
      </w:pPr>
      <w:r w:rsidRPr="00094C5D">
        <w:rPr>
          <w:noProof/>
          <w:szCs w:val="24"/>
          <w:lang w:val="sv-SE"/>
        </w:rPr>
        <w:t xml:space="preserve">Zackrisson, M. et al., 2014. </w:t>
      </w:r>
      <w:r w:rsidRPr="00094C5D">
        <w:rPr>
          <w:i/>
          <w:iCs/>
          <w:noProof/>
          <w:szCs w:val="24"/>
          <w:lang w:val="sv-SE"/>
        </w:rPr>
        <w:t>Mall för miljöutredning - ett verktyg för att identifiera företagets miljöpåverkan</w:t>
      </w:r>
      <w:r w:rsidRPr="00094C5D">
        <w:rPr>
          <w:noProof/>
          <w:szCs w:val="24"/>
          <w:lang w:val="sv-SE"/>
        </w:rPr>
        <w:t>, Mölndal: Swerea IVF.</w:t>
      </w:r>
    </w:p>
    <w:p w:rsidR="007D67AB" w:rsidRPr="007D67AB" w:rsidRDefault="007D67AB" w:rsidP="007D67AB">
      <w:pPr>
        <w:widowControl w:val="0"/>
        <w:spacing w:before="100" w:after="100"/>
        <w:ind w:left="480" w:hanging="480"/>
        <w:rPr>
          <w:noProof/>
        </w:rPr>
      </w:pPr>
      <w:r w:rsidRPr="007D67AB">
        <w:rPr>
          <w:noProof/>
          <w:szCs w:val="24"/>
        </w:rPr>
        <w:t xml:space="preserve">Zackrisson, M., Avellán, L. &amp; Orlenius, J., 2010. Life cycle assessment of lithium-ion batteries for plug-in hybrid electric vehicles - Critical issues. </w:t>
      </w:r>
      <w:r w:rsidRPr="007D67AB">
        <w:rPr>
          <w:i/>
          <w:iCs/>
          <w:noProof/>
          <w:szCs w:val="24"/>
        </w:rPr>
        <w:t>Journal of Cleaner Production</w:t>
      </w:r>
      <w:r w:rsidRPr="007D67AB">
        <w:rPr>
          <w:noProof/>
          <w:szCs w:val="24"/>
        </w:rPr>
        <w:t>, 18(15), pp.1517–1527. Available at: http://www.sciencedirect.com/science/article/B6VFX-50B5PJ2-1/2/294cf8e2d66a0696536eddba5a51c55b.</w:t>
      </w:r>
    </w:p>
    <w:p w:rsidR="00C2739A" w:rsidRPr="00BB4117" w:rsidRDefault="00524197" w:rsidP="007D67AB">
      <w:pPr>
        <w:widowControl w:val="0"/>
        <w:spacing w:before="100" w:after="100"/>
        <w:ind w:left="480" w:hanging="480"/>
      </w:pPr>
      <w:r w:rsidRPr="00BB4117">
        <w:fldChar w:fldCharType="end"/>
      </w:r>
      <w:r w:rsidR="004453A9" w:rsidRPr="00BB4117">
        <w:t xml:space="preserve"> </w:t>
      </w:r>
    </w:p>
    <w:sectPr w:rsidR="00C2739A" w:rsidRPr="00BB4117" w:rsidSect="000E4ACE">
      <w:headerReference w:type="default" r:id="rId18"/>
      <w:footerReference w:type="default" r:id="rId19"/>
      <w:footerReference w:type="first" r:id="rId20"/>
      <w:pgSz w:w="11907" w:h="16840" w:code="9"/>
      <w:pgMar w:top="1871" w:right="1985" w:bottom="1418" w:left="1985" w:header="851" w:footer="510" w:gutter="0"/>
      <w:paperSrc w:first="1" w:other="1"/>
      <w:cols w:space="720"/>
      <w:docGrid w:linePitch="326"/>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E3EF7A7" w15:done="0"/>
  <w15:commentEx w15:paraId="7F33C1FF" w15:done="0"/>
  <w15:commentEx w15:paraId="50AFB282" w15:done="0"/>
  <w15:commentEx w15:paraId="7F601457" w15:done="0"/>
  <w15:commentEx w15:paraId="23F95C1F" w15:done="0"/>
  <w15:commentEx w15:paraId="304FD752" w15:done="0"/>
  <w15:commentEx w15:paraId="02043843" w15:done="0"/>
  <w15:commentEx w15:paraId="76EF2326" w15:done="0"/>
  <w15:commentEx w15:paraId="4F246D94" w15:done="0"/>
  <w15:commentEx w15:paraId="438CB296" w15:done="0"/>
  <w15:commentEx w15:paraId="10D09BDC" w15:done="0"/>
  <w15:commentEx w15:paraId="07AC0CF2" w15:done="0"/>
  <w15:commentEx w15:paraId="6E795B54" w15:done="0"/>
  <w15:commentEx w15:paraId="38B0EBB8" w15:paraIdParent="6E795B54" w15:done="0"/>
  <w15:commentEx w15:paraId="2B8B2D21" w15:done="0"/>
  <w15:commentEx w15:paraId="41DC2E86" w15:done="0"/>
  <w15:commentEx w15:paraId="40B1A74B" w15:done="0"/>
  <w15:commentEx w15:paraId="39CE9E82" w15:done="0"/>
  <w15:commentEx w15:paraId="65C0D1F2" w15:done="0"/>
  <w15:commentEx w15:paraId="7A6BB2CC" w15:done="0"/>
  <w15:commentEx w15:paraId="10B7320D" w15:done="0"/>
  <w15:commentEx w15:paraId="5F07CC9A" w15:done="0"/>
  <w15:commentEx w15:paraId="2AF59825" w15:paraIdParent="5F07CC9A" w15:done="0"/>
  <w15:commentEx w15:paraId="49410C68" w15:done="0"/>
  <w15:commentEx w15:paraId="04316BA0" w15:done="0"/>
  <w15:commentEx w15:paraId="76FA9CB5"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457E" w:rsidRDefault="00A4457E">
      <w:r>
        <w:separator/>
      </w:r>
    </w:p>
  </w:endnote>
  <w:endnote w:type="continuationSeparator" w:id="0">
    <w:p w:rsidR="00A4457E" w:rsidRDefault="00A4457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TimesNewRomanPS">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imesNewRomanPSMT">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57E" w:rsidRDefault="00A4457E">
    <w:pPr>
      <w:pStyle w:val="Sidfot"/>
      <w:jc w:val="center"/>
    </w:pPr>
    <w:fldSimple w:instr=" PAGE   \* MERGEFORMAT ">
      <w:r>
        <w:rPr>
          <w:noProof/>
        </w:rPr>
        <w:t>1</w:t>
      </w:r>
    </w:fldSimple>
  </w:p>
  <w:p w:rsidR="00A4457E" w:rsidRDefault="00A4457E" w:rsidP="000E4ACE">
    <w:pPr>
      <w:pStyle w:val="Sidfot"/>
      <w:jc w:val="center"/>
      <w:rPr>
        <w:sz w:val="2"/>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57E" w:rsidRDefault="00A4457E">
    <w:pPr>
      <w:ind w:left="-1134"/>
    </w:pPr>
    <w:r>
      <w:tab/>
    </w:r>
  </w:p>
  <w:tbl>
    <w:tblPr>
      <w:tblW w:w="0" w:type="auto"/>
      <w:tblInd w:w="-843" w:type="dxa"/>
      <w:tblLayout w:type="fixed"/>
      <w:tblCellMar>
        <w:left w:w="0" w:type="dxa"/>
        <w:right w:w="0" w:type="dxa"/>
      </w:tblCellMar>
      <w:tblLook w:val="0000"/>
    </w:tblPr>
    <w:tblGrid>
      <w:gridCol w:w="9851"/>
    </w:tblGrid>
    <w:tr w:rsidR="00A4457E" w:rsidRPr="00094C5D">
      <w:tc>
        <w:tcPr>
          <w:tcW w:w="9851" w:type="dxa"/>
        </w:tcPr>
        <w:p w:rsidR="00A4457E" w:rsidRDefault="00A4457E">
          <w:pPr>
            <w:widowControl w:val="0"/>
            <w:tabs>
              <w:tab w:val="right" w:pos="9640"/>
            </w:tabs>
            <w:spacing w:before="380"/>
            <w:ind w:right="-851"/>
            <w:rPr>
              <w:lang w:val="sv-SE"/>
            </w:rPr>
          </w:pPr>
          <w:r>
            <w:fldChar w:fldCharType="begin"/>
          </w:r>
          <w:r>
            <w:rPr>
              <w:lang w:val="sv-SE"/>
            </w:rPr>
            <w:instrText xml:space="preserve"> FILENAME \* MERGEFORMAT\p \* HEBREW1 </w:instrText>
          </w:r>
          <w:r>
            <w:fldChar w:fldCharType="separate"/>
          </w:r>
          <w:r>
            <w:rPr>
              <w:b/>
              <w:bCs/>
              <w:noProof/>
              <w:lang w:val="sv-SE"/>
            </w:rPr>
            <w:t>Fel! Talet kan inte representeras i angivet format.</w:t>
          </w:r>
          <w:r>
            <w:fldChar w:fldCharType="end"/>
          </w:r>
          <w:proofErr w:type="spellStart"/>
          <w:r>
            <w:rPr>
              <w:caps/>
              <w:lang w:val="sv-SE"/>
            </w:rPr>
            <w:t>-</w:t>
          </w:r>
          <w:r>
            <w:fldChar w:fldCharType="begin"/>
          </w:r>
          <w:r>
            <w:rPr>
              <w:lang w:val="sv-SE"/>
            </w:rPr>
            <w:instrText xml:space="preserve"> REF Utgåva  \* HEBREW1 </w:instrText>
          </w:r>
          <w:r>
            <w:fldChar w:fldCharType="separate"/>
          </w:r>
          <w:r>
            <w:rPr>
              <w:b/>
              <w:bCs/>
              <w:lang w:val="sv-SE"/>
            </w:rPr>
            <w:t>Fel</w:t>
          </w:r>
          <w:proofErr w:type="spellEnd"/>
          <w:r>
            <w:rPr>
              <w:b/>
              <w:bCs/>
              <w:lang w:val="sv-SE"/>
            </w:rPr>
            <w:t xml:space="preserve">! Hittar inte </w:t>
          </w:r>
          <w:proofErr w:type="spellStart"/>
          <w:r>
            <w:rPr>
              <w:b/>
              <w:bCs/>
              <w:lang w:val="sv-SE"/>
            </w:rPr>
            <w:t>referenskälla.</w:t>
          </w:r>
          <w:r>
            <w:fldChar w:fldCharType="end"/>
          </w:r>
          <w:r>
            <w:rPr>
              <w:caps/>
              <w:lang w:val="sv-SE"/>
            </w:rPr>
            <w:t>/</w:t>
          </w:r>
          <w:r>
            <w:fldChar w:fldCharType="begin"/>
          </w:r>
          <w:r>
            <w:rPr>
              <w:lang w:val="sv-SE"/>
            </w:rPr>
            <w:instrText xml:space="preserve"> REF Signatur \* HEBREW1 </w:instrText>
          </w:r>
          <w:r>
            <w:fldChar w:fldCharType="separate"/>
          </w:r>
          <w:r>
            <w:rPr>
              <w:b/>
              <w:bCs/>
              <w:lang w:val="sv-SE"/>
            </w:rPr>
            <w:t>Fel</w:t>
          </w:r>
          <w:proofErr w:type="spellEnd"/>
          <w:r>
            <w:rPr>
              <w:b/>
              <w:bCs/>
              <w:lang w:val="sv-SE"/>
            </w:rPr>
            <w:t>! Hittar inte referenskälla.</w:t>
          </w:r>
          <w:r>
            <w:fldChar w:fldCharType="end"/>
          </w:r>
          <w:r>
            <w:rPr>
              <w:caps/>
              <w:lang w:val="sv-SE"/>
            </w:rPr>
            <w:t xml:space="preserve"> </w:t>
          </w:r>
          <w:r>
            <w:rPr>
              <w:caps/>
              <w:lang w:val="sv-SE"/>
            </w:rPr>
            <w:tab/>
          </w:r>
          <w:r>
            <w:fldChar w:fldCharType="begin"/>
          </w:r>
          <w:r>
            <w:rPr>
              <w:lang w:val="sv-SE"/>
            </w:rPr>
            <w:instrText xml:space="preserve"> REF Författare \* HEBREW1 </w:instrText>
          </w:r>
          <w:r>
            <w:fldChar w:fldCharType="separate"/>
          </w:r>
          <w:r>
            <w:rPr>
              <w:b/>
              <w:bCs/>
              <w:lang w:val="sv-SE"/>
            </w:rPr>
            <w:t>Fel! Hittar inte referenskälla.</w:t>
          </w:r>
          <w:r>
            <w:fldChar w:fldCharType="end"/>
          </w:r>
          <w:r>
            <w:rPr>
              <w:lang w:val="sv-SE"/>
            </w:rPr>
            <w:t xml:space="preserve">, </w:t>
          </w:r>
          <w:r>
            <w:fldChar w:fldCharType="begin"/>
          </w:r>
          <w:r>
            <w:rPr>
              <w:lang w:val="sv-SE"/>
            </w:rPr>
            <w:instrText xml:space="preserve"> REF Datum \* HEBREW1 </w:instrText>
          </w:r>
          <w:r>
            <w:fldChar w:fldCharType="separate"/>
          </w:r>
          <w:r>
            <w:rPr>
              <w:b/>
              <w:bCs/>
              <w:lang w:val="sv-SE"/>
            </w:rPr>
            <w:t>Fel! Hittar inte referenskälla.</w:t>
          </w:r>
          <w:r>
            <w:fldChar w:fldCharType="end"/>
          </w:r>
          <w:r>
            <w:rPr>
              <w:caps/>
              <w:lang w:val="sv-SE"/>
            </w:rPr>
            <w:tab/>
            <w:t xml:space="preserve">, </w:t>
          </w:r>
        </w:p>
      </w:tc>
    </w:tr>
  </w:tbl>
  <w:p w:rsidR="00A4457E" w:rsidRDefault="00A4457E">
    <w:pPr>
      <w:widowControl w:val="0"/>
      <w:tabs>
        <w:tab w:val="right" w:pos="8789"/>
      </w:tabs>
      <w:ind w:left="-851" w:right="-851"/>
      <w:rPr>
        <w:sz w:val="2"/>
        <w:lang w:val="sv-SE"/>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457E" w:rsidRDefault="00A4457E">
      <w:r>
        <w:separator/>
      </w:r>
    </w:p>
  </w:footnote>
  <w:footnote w:type="continuationSeparator" w:id="0">
    <w:p w:rsidR="00A4457E" w:rsidRDefault="00A4457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57E" w:rsidRPr="00A4457E" w:rsidRDefault="00A4457E">
    <w:pPr>
      <w:pStyle w:val="Sidhuvud"/>
      <w:rPr>
        <w:lang w:val="sv-SE"/>
      </w:rPr>
    </w:pPr>
    <w:r>
      <w:rPr>
        <w:lang w:val="sv-SE"/>
      </w:rPr>
      <w:t xml:space="preserve">8595 </w:t>
    </w:r>
    <w:proofErr w:type="spellStart"/>
    <w:r>
      <w:rPr>
        <w:lang w:val="sv-SE"/>
      </w:rPr>
      <w:t>words</w:t>
    </w:r>
    <w:proofErr w:type="spellEnd"/>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F78B7"/>
    <w:multiLevelType w:val="hybridMultilevel"/>
    <w:tmpl w:val="9BCEBBAA"/>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
    <w:nsid w:val="08361EA2"/>
    <w:multiLevelType w:val="hybridMultilevel"/>
    <w:tmpl w:val="B490A0C0"/>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nsid w:val="08ED16D7"/>
    <w:multiLevelType w:val="hybridMultilevel"/>
    <w:tmpl w:val="342A7E00"/>
    <w:lvl w:ilvl="0" w:tplc="5FE40B20">
      <w:start w:val="1"/>
      <w:numFmt w:val="bullet"/>
      <w:pStyle w:val="Strecklistatabell"/>
      <w:lvlText w:val="–"/>
      <w:lvlJc w:val="left"/>
      <w:pPr>
        <w:tabs>
          <w:tab w:val="num" w:pos="360"/>
        </w:tabs>
        <w:ind w:left="284" w:hanging="284"/>
      </w:pPr>
      <w:rPr>
        <w:rFonts w:ascii="Times New Roman" w:hAnsi="Times New Roman" w:cs="Times New Roman" w:hint="default"/>
        <w:b w:val="0"/>
        <w:i w:val="0"/>
        <w:sz w:val="24"/>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3">
    <w:nsid w:val="0BCF3A48"/>
    <w:multiLevelType w:val="hybridMultilevel"/>
    <w:tmpl w:val="9E92CA40"/>
    <w:lvl w:ilvl="0" w:tplc="43FA46BE">
      <w:start w:val="1"/>
      <w:numFmt w:val="bullet"/>
      <w:lvlText w:val="•"/>
      <w:lvlJc w:val="left"/>
      <w:pPr>
        <w:tabs>
          <w:tab w:val="num" w:pos="720"/>
        </w:tabs>
        <w:ind w:left="720" w:hanging="360"/>
      </w:pPr>
      <w:rPr>
        <w:rFonts w:ascii="Times New Roman" w:hAnsi="Times New Roman" w:hint="default"/>
      </w:rPr>
    </w:lvl>
    <w:lvl w:ilvl="1" w:tplc="39BA06A0" w:tentative="1">
      <w:start w:val="1"/>
      <w:numFmt w:val="bullet"/>
      <w:lvlText w:val="•"/>
      <w:lvlJc w:val="left"/>
      <w:pPr>
        <w:tabs>
          <w:tab w:val="num" w:pos="1440"/>
        </w:tabs>
        <w:ind w:left="1440" w:hanging="360"/>
      </w:pPr>
      <w:rPr>
        <w:rFonts w:ascii="Times New Roman" w:hAnsi="Times New Roman" w:hint="default"/>
      </w:rPr>
    </w:lvl>
    <w:lvl w:ilvl="2" w:tplc="72F6BF50" w:tentative="1">
      <w:start w:val="1"/>
      <w:numFmt w:val="bullet"/>
      <w:lvlText w:val="•"/>
      <w:lvlJc w:val="left"/>
      <w:pPr>
        <w:tabs>
          <w:tab w:val="num" w:pos="2160"/>
        </w:tabs>
        <w:ind w:left="2160" w:hanging="360"/>
      </w:pPr>
      <w:rPr>
        <w:rFonts w:ascii="Times New Roman" w:hAnsi="Times New Roman" w:hint="default"/>
      </w:rPr>
    </w:lvl>
    <w:lvl w:ilvl="3" w:tplc="E032688E" w:tentative="1">
      <w:start w:val="1"/>
      <w:numFmt w:val="bullet"/>
      <w:lvlText w:val="•"/>
      <w:lvlJc w:val="left"/>
      <w:pPr>
        <w:tabs>
          <w:tab w:val="num" w:pos="2880"/>
        </w:tabs>
        <w:ind w:left="2880" w:hanging="360"/>
      </w:pPr>
      <w:rPr>
        <w:rFonts w:ascii="Times New Roman" w:hAnsi="Times New Roman" w:hint="default"/>
      </w:rPr>
    </w:lvl>
    <w:lvl w:ilvl="4" w:tplc="A0988B04" w:tentative="1">
      <w:start w:val="1"/>
      <w:numFmt w:val="bullet"/>
      <w:lvlText w:val="•"/>
      <w:lvlJc w:val="left"/>
      <w:pPr>
        <w:tabs>
          <w:tab w:val="num" w:pos="3600"/>
        </w:tabs>
        <w:ind w:left="3600" w:hanging="360"/>
      </w:pPr>
      <w:rPr>
        <w:rFonts w:ascii="Times New Roman" w:hAnsi="Times New Roman" w:hint="default"/>
      </w:rPr>
    </w:lvl>
    <w:lvl w:ilvl="5" w:tplc="987A1FE0" w:tentative="1">
      <w:start w:val="1"/>
      <w:numFmt w:val="bullet"/>
      <w:lvlText w:val="•"/>
      <w:lvlJc w:val="left"/>
      <w:pPr>
        <w:tabs>
          <w:tab w:val="num" w:pos="4320"/>
        </w:tabs>
        <w:ind w:left="4320" w:hanging="360"/>
      </w:pPr>
      <w:rPr>
        <w:rFonts w:ascii="Times New Roman" w:hAnsi="Times New Roman" w:hint="default"/>
      </w:rPr>
    </w:lvl>
    <w:lvl w:ilvl="6" w:tplc="609E1538" w:tentative="1">
      <w:start w:val="1"/>
      <w:numFmt w:val="bullet"/>
      <w:lvlText w:val="•"/>
      <w:lvlJc w:val="left"/>
      <w:pPr>
        <w:tabs>
          <w:tab w:val="num" w:pos="5040"/>
        </w:tabs>
        <w:ind w:left="5040" w:hanging="360"/>
      </w:pPr>
      <w:rPr>
        <w:rFonts w:ascii="Times New Roman" w:hAnsi="Times New Roman" w:hint="default"/>
      </w:rPr>
    </w:lvl>
    <w:lvl w:ilvl="7" w:tplc="8456420E" w:tentative="1">
      <w:start w:val="1"/>
      <w:numFmt w:val="bullet"/>
      <w:lvlText w:val="•"/>
      <w:lvlJc w:val="left"/>
      <w:pPr>
        <w:tabs>
          <w:tab w:val="num" w:pos="5760"/>
        </w:tabs>
        <w:ind w:left="5760" w:hanging="360"/>
      </w:pPr>
      <w:rPr>
        <w:rFonts w:ascii="Times New Roman" w:hAnsi="Times New Roman" w:hint="default"/>
      </w:rPr>
    </w:lvl>
    <w:lvl w:ilvl="8" w:tplc="7A58E574" w:tentative="1">
      <w:start w:val="1"/>
      <w:numFmt w:val="bullet"/>
      <w:lvlText w:val="•"/>
      <w:lvlJc w:val="left"/>
      <w:pPr>
        <w:tabs>
          <w:tab w:val="num" w:pos="6480"/>
        </w:tabs>
        <w:ind w:left="6480" w:hanging="360"/>
      </w:pPr>
      <w:rPr>
        <w:rFonts w:ascii="Times New Roman" w:hAnsi="Times New Roman" w:hint="default"/>
      </w:rPr>
    </w:lvl>
  </w:abstractNum>
  <w:abstractNum w:abstractNumId="4">
    <w:nsid w:val="0F6E254D"/>
    <w:multiLevelType w:val="multilevel"/>
    <w:tmpl w:val="6ADE37EC"/>
    <w:lvl w:ilvl="0">
      <w:start w:val="6"/>
      <w:numFmt w:val="decimal"/>
      <w:lvlText w:val="%1"/>
      <w:lvlJc w:val="left"/>
      <w:pPr>
        <w:ind w:left="375" w:hanging="375"/>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12CD6E1E"/>
    <w:multiLevelType w:val="hybridMultilevel"/>
    <w:tmpl w:val="6FA0ACB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nsid w:val="14AB230B"/>
    <w:multiLevelType w:val="hybridMultilevel"/>
    <w:tmpl w:val="4776E63C"/>
    <w:lvl w:ilvl="0" w:tplc="6EAC5458">
      <w:start w:val="2"/>
      <w:numFmt w:val="decimal"/>
      <w:lvlText w:val="%1.2"/>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7">
    <w:nsid w:val="17A71CB1"/>
    <w:multiLevelType w:val="hybridMultilevel"/>
    <w:tmpl w:val="E4649704"/>
    <w:lvl w:ilvl="0" w:tplc="BC14E5D8">
      <w:start w:val="1"/>
      <w:numFmt w:val="bullet"/>
      <w:pStyle w:val="Punktlista"/>
      <w:lvlText w:val=""/>
      <w:lvlJc w:val="left"/>
      <w:pPr>
        <w:tabs>
          <w:tab w:val="num" w:pos="567"/>
        </w:tabs>
        <w:ind w:left="567" w:hanging="567"/>
      </w:pPr>
      <w:rPr>
        <w:rFonts w:ascii="Symbol" w:hAnsi="Symbol" w:hint="default"/>
        <w:sz w:val="24"/>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8">
    <w:nsid w:val="17E13AB0"/>
    <w:multiLevelType w:val="hybridMultilevel"/>
    <w:tmpl w:val="0136ADFA"/>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9">
    <w:nsid w:val="1DE34345"/>
    <w:multiLevelType w:val="hybridMultilevel"/>
    <w:tmpl w:val="E9A60C4C"/>
    <w:lvl w:ilvl="0" w:tplc="33E08CC8">
      <w:start w:val="2"/>
      <w:numFmt w:val="decimal"/>
      <w:lvlText w:val="%1.2"/>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0">
    <w:nsid w:val="1DFF06C1"/>
    <w:multiLevelType w:val="hybridMultilevel"/>
    <w:tmpl w:val="7E78377E"/>
    <w:lvl w:ilvl="0" w:tplc="041D000F">
      <w:start w:val="1"/>
      <w:numFmt w:val="decimal"/>
      <w:lvlText w:val="%1."/>
      <w:lvlJc w:val="left"/>
      <w:pPr>
        <w:ind w:left="360" w:hanging="360"/>
      </w:p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11">
    <w:nsid w:val="21E755E4"/>
    <w:multiLevelType w:val="hybridMultilevel"/>
    <w:tmpl w:val="C4DE3442"/>
    <w:lvl w:ilvl="0" w:tplc="041D0001">
      <w:start w:val="1"/>
      <w:numFmt w:val="bullet"/>
      <w:lvlText w:val=""/>
      <w:lvlJc w:val="left"/>
      <w:pPr>
        <w:ind w:left="927" w:hanging="360"/>
      </w:pPr>
      <w:rPr>
        <w:rFonts w:ascii="Symbol" w:hAnsi="Symbol" w:hint="default"/>
      </w:rPr>
    </w:lvl>
    <w:lvl w:ilvl="1" w:tplc="041D0003" w:tentative="1">
      <w:start w:val="1"/>
      <w:numFmt w:val="bullet"/>
      <w:lvlText w:val="o"/>
      <w:lvlJc w:val="left"/>
      <w:pPr>
        <w:ind w:left="1647" w:hanging="360"/>
      </w:pPr>
      <w:rPr>
        <w:rFonts w:ascii="Courier New" w:hAnsi="Courier New" w:cs="Courier New" w:hint="default"/>
      </w:rPr>
    </w:lvl>
    <w:lvl w:ilvl="2" w:tplc="041D0005" w:tentative="1">
      <w:start w:val="1"/>
      <w:numFmt w:val="bullet"/>
      <w:lvlText w:val=""/>
      <w:lvlJc w:val="left"/>
      <w:pPr>
        <w:ind w:left="2367" w:hanging="360"/>
      </w:pPr>
      <w:rPr>
        <w:rFonts w:ascii="Wingdings" w:hAnsi="Wingdings" w:hint="default"/>
      </w:rPr>
    </w:lvl>
    <w:lvl w:ilvl="3" w:tplc="041D0001" w:tentative="1">
      <w:start w:val="1"/>
      <w:numFmt w:val="bullet"/>
      <w:lvlText w:val=""/>
      <w:lvlJc w:val="left"/>
      <w:pPr>
        <w:ind w:left="3087" w:hanging="360"/>
      </w:pPr>
      <w:rPr>
        <w:rFonts w:ascii="Symbol" w:hAnsi="Symbol" w:hint="default"/>
      </w:rPr>
    </w:lvl>
    <w:lvl w:ilvl="4" w:tplc="041D0003" w:tentative="1">
      <w:start w:val="1"/>
      <w:numFmt w:val="bullet"/>
      <w:lvlText w:val="o"/>
      <w:lvlJc w:val="left"/>
      <w:pPr>
        <w:ind w:left="3807" w:hanging="360"/>
      </w:pPr>
      <w:rPr>
        <w:rFonts w:ascii="Courier New" w:hAnsi="Courier New" w:cs="Courier New" w:hint="default"/>
      </w:rPr>
    </w:lvl>
    <w:lvl w:ilvl="5" w:tplc="041D0005" w:tentative="1">
      <w:start w:val="1"/>
      <w:numFmt w:val="bullet"/>
      <w:lvlText w:val=""/>
      <w:lvlJc w:val="left"/>
      <w:pPr>
        <w:ind w:left="4527" w:hanging="360"/>
      </w:pPr>
      <w:rPr>
        <w:rFonts w:ascii="Wingdings" w:hAnsi="Wingdings" w:hint="default"/>
      </w:rPr>
    </w:lvl>
    <w:lvl w:ilvl="6" w:tplc="041D0001" w:tentative="1">
      <w:start w:val="1"/>
      <w:numFmt w:val="bullet"/>
      <w:lvlText w:val=""/>
      <w:lvlJc w:val="left"/>
      <w:pPr>
        <w:ind w:left="5247" w:hanging="360"/>
      </w:pPr>
      <w:rPr>
        <w:rFonts w:ascii="Symbol" w:hAnsi="Symbol" w:hint="default"/>
      </w:rPr>
    </w:lvl>
    <w:lvl w:ilvl="7" w:tplc="041D0003" w:tentative="1">
      <w:start w:val="1"/>
      <w:numFmt w:val="bullet"/>
      <w:lvlText w:val="o"/>
      <w:lvlJc w:val="left"/>
      <w:pPr>
        <w:ind w:left="5967" w:hanging="360"/>
      </w:pPr>
      <w:rPr>
        <w:rFonts w:ascii="Courier New" w:hAnsi="Courier New" w:cs="Courier New" w:hint="default"/>
      </w:rPr>
    </w:lvl>
    <w:lvl w:ilvl="8" w:tplc="041D0005" w:tentative="1">
      <w:start w:val="1"/>
      <w:numFmt w:val="bullet"/>
      <w:lvlText w:val=""/>
      <w:lvlJc w:val="left"/>
      <w:pPr>
        <w:ind w:left="6687" w:hanging="360"/>
      </w:pPr>
      <w:rPr>
        <w:rFonts w:ascii="Wingdings" w:hAnsi="Wingdings" w:hint="default"/>
      </w:rPr>
    </w:lvl>
  </w:abstractNum>
  <w:abstractNum w:abstractNumId="12">
    <w:nsid w:val="23704182"/>
    <w:multiLevelType w:val="hybridMultilevel"/>
    <w:tmpl w:val="CA76A5D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nsid w:val="242A252D"/>
    <w:multiLevelType w:val="hybridMultilevel"/>
    <w:tmpl w:val="CD98BA6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nsid w:val="254C7CFF"/>
    <w:multiLevelType w:val="hybridMultilevel"/>
    <w:tmpl w:val="4C90B184"/>
    <w:lvl w:ilvl="0" w:tplc="3D845D94">
      <w:start w:val="1"/>
      <w:numFmt w:val="decimal"/>
      <w:lvlText w:val="%1.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5">
    <w:nsid w:val="25765356"/>
    <w:multiLevelType w:val="hybridMultilevel"/>
    <w:tmpl w:val="7E1EAB7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nsid w:val="2A7C0552"/>
    <w:multiLevelType w:val="hybridMultilevel"/>
    <w:tmpl w:val="95161AA6"/>
    <w:lvl w:ilvl="0" w:tplc="041D0001">
      <w:start w:val="1"/>
      <w:numFmt w:val="bullet"/>
      <w:lvlText w:val=""/>
      <w:lvlJc w:val="left"/>
      <w:pPr>
        <w:ind w:left="360" w:hanging="360"/>
      </w:pPr>
      <w:rPr>
        <w:rFonts w:ascii="Symbol" w:hAnsi="Symbol" w:hint="default"/>
      </w:rPr>
    </w:lvl>
    <w:lvl w:ilvl="1" w:tplc="041D0003">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7">
    <w:nsid w:val="2EA768AA"/>
    <w:multiLevelType w:val="hybridMultilevel"/>
    <w:tmpl w:val="0E32E48A"/>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8">
    <w:nsid w:val="2F3959D1"/>
    <w:multiLevelType w:val="hybridMultilevel"/>
    <w:tmpl w:val="C29ECF0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9">
    <w:nsid w:val="30072D55"/>
    <w:multiLevelType w:val="hybridMultilevel"/>
    <w:tmpl w:val="B3F8C54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0">
    <w:nsid w:val="302C32A1"/>
    <w:multiLevelType w:val="hybridMultilevel"/>
    <w:tmpl w:val="1940F9D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1">
    <w:nsid w:val="36F74DDA"/>
    <w:multiLevelType w:val="hybridMultilevel"/>
    <w:tmpl w:val="E556C32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2">
    <w:nsid w:val="39C56A8E"/>
    <w:multiLevelType w:val="hybridMultilevel"/>
    <w:tmpl w:val="4DFC40C2"/>
    <w:lvl w:ilvl="0" w:tplc="041D0001">
      <w:start w:val="1"/>
      <w:numFmt w:val="bullet"/>
      <w:lvlText w:val=""/>
      <w:lvlJc w:val="left"/>
      <w:pPr>
        <w:ind w:left="774" w:hanging="360"/>
      </w:pPr>
      <w:rPr>
        <w:rFonts w:ascii="Symbol" w:hAnsi="Symbol" w:hint="default"/>
      </w:rPr>
    </w:lvl>
    <w:lvl w:ilvl="1" w:tplc="041D0003">
      <w:start w:val="1"/>
      <w:numFmt w:val="bullet"/>
      <w:lvlText w:val="o"/>
      <w:lvlJc w:val="left"/>
      <w:pPr>
        <w:ind w:left="1494" w:hanging="360"/>
      </w:pPr>
      <w:rPr>
        <w:rFonts w:ascii="Courier New" w:hAnsi="Courier New" w:cs="Courier New" w:hint="default"/>
      </w:rPr>
    </w:lvl>
    <w:lvl w:ilvl="2" w:tplc="041D0005" w:tentative="1">
      <w:start w:val="1"/>
      <w:numFmt w:val="bullet"/>
      <w:lvlText w:val=""/>
      <w:lvlJc w:val="left"/>
      <w:pPr>
        <w:ind w:left="2214" w:hanging="360"/>
      </w:pPr>
      <w:rPr>
        <w:rFonts w:ascii="Wingdings" w:hAnsi="Wingdings" w:hint="default"/>
      </w:rPr>
    </w:lvl>
    <w:lvl w:ilvl="3" w:tplc="041D0001" w:tentative="1">
      <w:start w:val="1"/>
      <w:numFmt w:val="bullet"/>
      <w:lvlText w:val=""/>
      <w:lvlJc w:val="left"/>
      <w:pPr>
        <w:ind w:left="2934" w:hanging="360"/>
      </w:pPr>
      <w:rPr>
        <w:rFonts w:ascii="Symbol" w:hAnsi="Symbol" w:hint="default"/>
      </w:rPr>
    </w:lvl>
    <w:lvl w:ilvl="4" w:tplc="041D0003" w:tentative="1">
      <w:start w:val="1"/>
      <w:numFmt w:val="bullet"/>
      <w:lvlText w:val="o"/>
      <w:lvlJc w:val="left"/>
      <w:pPr>
        <w:ind w:left="3654" w:hanging="360"/>
      </w:pPr>
      <w:rPr>
        <w:rFonts w:ascii="Courier New" w:hAnsi="Courier New" w:cs="Courier New" w:hint="default"/>
      </w:rPr>
    </w:lvl>
    <w:lvl w:ilvl="5" w:tplc="041D0005" w:tentative="1">
      <w:start w:val="1"/>
      <w:numFmt w:val="bullet"/>
      <w:lvlText w:val=""/>
      <w:lvlJc w:val="left"/>
      <w:pPr>
        <w:ind w:left="4374" w:hanging="360"/>
      </w:pPr>
      <w:rPr>
        <w:rFonts w:ascii="Wingdings" w:hAnsi="Wingdings" w:hint="default"/>
      </w:rPr>
    </w:lvl>
    <w:lvl w:ilvl="6" w:tplc="041D0001" w:tentative="1">
      <w:start w:val="1"/>
      <w:numFmt w:val="bullet"/>
      <w:lvlText w:val=""/>
      <w:lvlJc w:val="left"/>
      <w:pPr>
        <w:ind w:left="5094" w:hanging="360"/>
      </w:pPr>
      <w:rPr>
        <w:rFonts w:ascii="Symbol" w:hAnsi="Symbol" w:hint="default"/>
      </w:rPr>
    </w:lvl>
    <w:lvl w:ilvl="7" w:tplc="041D0003" w:tentative="1">
      <w:start w:val="1"/>
      <w:numFmt w:val="bullet"/>
      <w:lvlText w:val="o"/>
      <w:lvlJc w:val="left"/>
      <w:pPr>
        <w:ind w:left="5814" w:hanging="360"/>
      </w:pPr>
      <w:rPr>
        <w:rFonts w:ascii="Courier New" w:hAnsi="Courier New" w:cs="Courier New" w:hint="default"/>
      </w:rPr>
    </w:lvl>
    <w:lvl w:ilvl="8" w:tplc="041D0005" w:tentative="1">
      <w:start w:val="1"/>
      <w:numFmt w:val="bullet"/>
      <w:lvlText w:val=""/>
      <w:lvlJc w:val="left"/>
      <w:pPr>
        <w:ind w:left="6534" w:hanging="360"/>
      </w:pPr>
      <w:rPr>
        <w:rFonts w:ascii="Wingdings" w:hAnsi="Wingdings" w:hint="default"/>
      </w:rPr>
    </w:lvl>
  </w:abstractNum>
  <w:abstractNum w:abstractNumId="23">
    <w:nsid w:val="3FE61F9F"/>
    <w:multiLevelType w:val="hybridMultilevel"/>
    <w:tmpl w:val="8048BCAC"/>
    <w:lvl w:ilvl="0" w:tplc="041D000F">
      <w:start w:val="1"/>
      <w:numFmt w:val="decimal"/>
      <w:lvlText w:val="%1."/>
      <w:lvlJc w:val="left"/>
      <w:pPr>
        <w:ind w:left="360" w:hanging="360"/>
      </w:pPr>
      <w:rPr>
        <w:rFonts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4">
    <w:nsid w:val="454E0A68"/>
    <w:multiLevelType w:val="hybridMultilevel"/>
    <w:tmpl w:val="CBECA37C"/>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5">
    <w:nsid w:val="462070EC"/>
    <w:multiLevelType w:val="hybridMultilevel"/>
    <w:tmpl w:val="D21E590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6">
    <w:nsid w:val="49091C28"/>
    <w:multiLevelType w:val="hybridMultilevel"/>
    <w:tmpl w:val="A02C2E7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7">
    <w:nsid w:val="4AB95D96"/>
    <w:multiLevelType w:val="hybridMultilevel"/>
    <w:tmpl w:val="123A847A"/>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8">
    <w:nsid w:val="4AE16E25"/>
    <w:multiLevelType w:val="hybridMultilevel"/>
    <w:tmpl w:val="BB7E4AF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9">
    <w:nsid w:val="4C326291"/>
    <w:multiLevelType w:val="hybridMultilevel"/>
    <w:tmpl w:val="E912F65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0">
    <w:nsid w:val="4E7407E1"/>
    <w:multiLevelType w:val="hybridMultilevel"/>
    <w:tmpl w:val="C6949FC6"/>
    <w:lvl w:ilvl="0" w:tplc="A9768AEA">
      <w:start w:val="1"/>
      <w:numFmt w:val="decimal"/>
      <w:pStyle w:val="Nummerlistatabell"/>
      <w:lvlText w:val="%1"/>
      <w:lvlJc w:val="left"/>
      <w:pPr>
        <w:tabs>
          <w:tab w:val="num" w:pos="360"/>
        </w:tabs>
        <w:ind w:left="284" w:hanging="284"/>
      </w:pPr>
      <w:rPr>
        <w:rFonts w:hint="default"/>
      </w:r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31">
    <w:nsid w:val="4F106010"/>
    <w:multiLevelType w:val="hybridMultilevel"/>
    <w:tmpl w:val="DA14BAFA"/>
    <w:lvl w:ilvl="0" w:tplc="1838637A">
      <w:start w:val="1"/>
      <w:numFmt w:val="bullet"/>
      <w:pStyle w:val="Strecklista"/>
      <w:lvlText w:val="–"/>
      <w:lvlJc w:val="left"/>
      <w:pPr>
        <w:tabs>
          <w:tab w:val="num" w:pos="567"/>
        </w:tabs>
        <w:ind w:left="567" w:hanging="567"/>
      </w:pPr>
      <w:rPr>
        <w:rFonts w:ascii="Times New Roman" w:hAnsi="Times New Roman" w:cs="Times New Roman" w:hint="default"/>
        <w:b w:val="0"/>
        <w:i w:val="0"/>
        <w:sz w:val="24"/>
      </w:rPr>
    </w:lvl>
    <w:lvl w:ilvl="1" w:tplc="041D0003">
      <w:start w:val="1"/>
      <w:numFmt w:val="decimal"/>
      <w:lvlText w:val="%2."/>
      <w:lvlJc w:val="left"/>
      <w:pPr>
        <w:tabs>
          <w:tab w:val="num" w:pos="1440"/>
        </w:tabs>
        <w:ind w:left="1440" w:hanging="360"/>
      </w:p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32">
    <w:nsid w:val="52930AAA"/>
    <w:multiLevelType w:val="hybridMultilevel"/>
    <w:tmpl w:val="837A3D9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3">
    <w:nsid w:val="5C1F4B7E"/>
    <w:multiLevelType w:val="hybridMultilevel"/>
    <w:tmpl w:val="BF34B90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4">
    <w:nsid w:val="5C266622"/>
    <w:multiLevelType w:val="hybridMultilevel"/>
    <w:tmpl w:val="E1A86A5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5">
    <w:nsid w:val="5C6975D8"/>
    <w:multiLevelType w:val="hybridMultilevel"/>
    <w:tmpl w:val="6988EB7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6">
    <w:nsid w:val="5C9E6098"/>
    <w:multiLevelType w:val="multilevel"/>
    <w:tmpl w:val="1A1E4B0E"/>
    <w:lvl w:ilvl="0">
      <w:start w:val="1"/>
      <w:numFmt w:val="decimal"/>
      <w:pStyle w:val="Rubrik1"/>
      <w:lvlText w:val="%1."/>
      <w:lvlJc w:val="left"/>
      <w:pPr>
        <w:ind w:left="360" w:hanging="360"/>
      </w:pPr>
      <w:rPr>
        <w:rFonts w:hint="default"/>
      </w:rPr>
    </w:lvl>
    <w:lvl w:ilvl="1">
      <w:numFmt w:val="decimal"/>
      <w:lvlText w:val=""/>
      <w:lvlJc w:val="left"/>
      <w:pPr>
        <w:tabs>
          <w:tab w:val="num" w:pos="0"/>
        </w:tabs>
        <w:ind w:left="0" w:firstLine="0"/>
      </w:pPr>
      <w:rPr>
        <w:rFonts w:hint="default"/>
        <w:lang w:val="en-GB"/>
      </w:rPr>
    </w:lvl>
    <w:lvl w:ilvl="2">
      <w:start w:val="1"/>
      <w:numFmt w:val="decimal"/>
      <w:pStyle w:val="Rubrik3"/>
      <w:lvlText w:val=""/>
      <w:lvlJc w:val="left"/>
      <w:pPr>
        <w:tabs>
          <w:tab w:val="num" w:pos="0"/>
        </w:tabs>
        <w:ind w:left="0" w:firstLine="0"/>
      </w:pPr>
      <w:rPr>
        <w:rFonts w:hint="default"/>
      </w:rPr>
    </w:lvl>
    <w:lvl w:ilvl="3">
      <w:numFmt w:val="decimal"/>
      <w:pStyle w:val="Rubrik4"/>
      <w:lvlText w:val=""/>
      <w:lvlJc w:val="left"/>
      <w:pPr>
        <w:tabs>
          <w:tab w:val="num" w:pos="0"/>
        </w:tabs>
        <w:ind w:left="0" w:firstLine="0"/>
      </w:pPr>
      <w:rPr>
        <w:rFonts w:hint="default"/>
      </w:rPr>
    </w:lvl>
    <w:lvl w:ilvl="4">
      <w:numFmt w:val="decimal"/>
      <w:pStyle w:val="Rubrik5"/>
      <w:lvlText w:val=""/>
      <w:lvlJc w:val="left"/>
      <w:pPr>
        <w:tabs>
          <w:tab w:val="num" w:pos="0"/>
        </w:tabs>
        <w:ind w:left="0" w:firstLine="0"/>
      </w:pPr>
      <w:rPr>
        <w:rFonts w:hint="default"/>
      </w:rPr>
    </w:lvl>
    <w:lvl w:ilvl="5">
      <w:start w:val="1"/>
      <w:numFmt w:val="decimal"/>
      <w:pStyle w:val="Rubrik6"/>
      <w:lvlText w:val="%1.%2.%3.%4.%5.%6"/>
      <w:lvlJc w:val="left"/>
      <w:pPr>
        <w:tabs>
          <w:tab w:val="num" w:pos="1152"/>
        </w:tabs>
        <w:ind w:left="1152" w:hanging="1152"/>
      </w:pPr>
      <w:rPr>
        <w:rFonts w:hint="default"/>
      </w:rPr>
    </w:lvl>
    <w:lvl w:ilvl="6">
      <w:start w:val="1"/>
      <w:numFmt w:val="decimal"/>
      <w:pStyle w:val="Rubrik7"/>
      <w:lvlText w:val="%1.%2.%3.%4.%5.%6.%7"/>
      <w:lvlJc w:val="left"/>
      <w:pPr>
        <w:tabs>
          <w:tab w:val="num" w:pos="1296"/>
        </w:tabs>
        <w:ind w:left="1296" w:hanging="1296"/>
      </w:pPr>
      <w:rPr>
        <w:rFonts w:hint="default"/>
      </w:rPr>
    </w:lvl>
    <w:lvl w:ilvl="7">
      <w:start w:val="1"/>
      <w:numFmt w:val="decimal"/>
      <w:pStyle w:val="Rubrik8"/>
      <w:lvlText w:val="%1.%2.%3.%4.%5.%6.%7.%8"/>
      <w:lvlJc w:val="left"/>
      <w:pPr>
        <w:tabs>
          <w:tab w:val="num" w:pos="1440"/>
        </w:tabs>
        <w:ind w:left="1440" w:hanging="1440"/>
      </w:pPr>
      <w:rPr>
        <w:rFonts w:hint="default"/>
      </w:rPr>
    </w:lvl>
    <w:lvl w:ilvl="8">
      <w:start w:val="1"/>
      <w:numFmt w:val="decimal"/>
      <w:pStyle w:val="Rubrik9"/>
      <w:lvlText w:val="%1.%2.%3.%4.%5.%6.%7.%8.%9"/>
      <w:lvlJc w:val="left"/>
      <w:pPr>
        <w:tabs>
          <w:tab w:val="num" w:pos="1584"/>
        </w:tabs>
        <w:ind w:left="1584" w:hanging="1584"/>
      </w:pPr>
      <w:rPr>
        <w:rFonts w:hint="default"/>
      </w:rPr>
    </w:lvl>
  </w:abstractNum>
  <w:abstractNum w:abstractNumId="37">
    <w:nsid w:val="60277B3C"/>
    <w:multiLevelType w:val="hybridMultilevel"/>
    <w:tmpl w:val="600AF834"/>
    <w:lvl w:ilvl="0" w:tplc="A09AA2FC">
      <w:start w:val="1"/>
      <w:numFmt w:val="bullet"/>
      <w:lvlText w:val=""/>
      <w:lvlJc w:val="left"/>
      <w:pPr>
        <w:ind w:left="720" w:hanging="360"/>
      </w:pPr>
      <w:rPr>
        <w:rFonts w:ascii="Symbol" w:hAnsi="Symbol" w:hint="default"/>
        <w:lang w:val="en-GB"/>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8">
    <w:nsid w:val="64210DFA"/>
    <w:multiLevelType w:val="hybridMultilevel"/>
    <w:tmpl w:val="AEAA39C2"/>
    <w:lvl w:ilvl="0" w:tplc="295024D8">
      <w:start w:val="1"/>
      <w:numFmt w:val="decimal"/>
      <w:pStyle w:val="Rubrik2"/>
      <w:lvlText w:val="%1.1"/>
      <w:lvlJc w:val="left"/>
      <w:pPr>
        <w:ind w:left="720" w:hanging="360"/>
      </w:pPr>
      <w:rPr>
        <w:b w:val="0"/>
        <w:bCs w:val="0"/>
        <w:i w:val="0"/>
        <w:iCs w:val="0"/>
        <w:caps w:val="0"/>
        <w:smallCaps w:val="0"/>
        <w:strike w:val="0"/>
        <w:dstrike w:val="0"/>
        <w:noProof w:val="0"/>
        <w:vanish w:val="0"/>
        <w:spacing w:val="0"/>
        <w:kern w:val="0"/>
        <w:position w:val="0"/>
        <w:u w:val="none"/>
        <w:vertAlign w:val="baseline"/>
        <w:em w:val="none"/>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9">
    <w:nsid w:val="6A8C3C92"/>
    <w:multiLevelType w:val="singleLevel"/>
    <w:tmpl w:val="A7F270BC"/>
    <w:lvl w:ilvl="0">
      <w:start w:val="1"/>
      <w:numFmt w:val="decimal"/>
      <w:pStyle w:val="Nummerlista"/>
      <w:lvlText w:val="%1"/>
      <w:lvlJc w:val="left"/>
      <w:pPr>
        <w:tabs>
          <w:tab w:val="num" w:pos="567"/>
        </w:tabs>
        <w:ind w:left="567" w:hanging="567"/>
      </w:pPr>
      <w:rPr>
        <w:rFonts w:hint="default"/>
      </w:rPr>
    </w:lvl>
  </w:abstractNum>
  <w:abstractNum w:abstractNumId="40">
    <w:nsid w:val="70D84EDC"/>
    <w:multiLevelType w:val="hybridMultilevel"/>
    <w:tmpl w:val="E0049280"/>
    <w:lvl w:ilvl="0" w:tplc="5C348D78">
      <w:start w:val="1"/>
      <w:numFmt w:val="bullet"/>
      <w:pStyle w:val="Punktlistatabell"/>
      <w:lvlText w:val=""/>
      <w:lvlJc w:val="left"/>
      <w:pPr>
        <w:tabs>
          <w:tab w:val="num" w:pos="360"/>
        </w:tabs>
        <w:ind w:left="284" w:hanging="284"/>
      </w:pPr>
      <w:rPr>
        <w:rFonts w:ascii="Symbol" w:hAnsi="Symbol" w:hint="default"/>
        <w:color w:val="auto"/>
        <w:sz w:val="24"/>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41">
    <w:nsid w:val="71D41DCB"/>
    <w:multiLevelType w:val="multilevel"/>
    <w:tmpl w:val="344A83FC"/>
    <w:lvl w:ilvl="0">
      <w:start w:val="4"/>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2">
    <w:nsid w:val="74262FB7"/>
    <w:multiLevelType w:val="multilevel"/>
    <w:tmpl w:val="925686F0"/>
    <w:lvl w:ilvl="0">
      <w:start w:val="3"/>
      <w:numFmt w:val="decimal"/>
      <w:lvlText w:val="%1"/>
      <w:lvlJc w:val="left"/>
      <w:pPr>
        <w:ind w:left="375" w:hanging="375"/>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3">
    <w:nsid w:val="74FE0FBB"/>
    <w:multiLevelType w:val="hybridMultilevel"/>
    <w:tmpl w:val="67F2254A"/>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44">
    <w:nsid w:val="758407DB"/>
    <w:multiLevelType w:val="hybridMultilevel"/>
    <w:tmpl w:val="0D0E1BE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5">
    <w:nsid w:val="77D90ACB"/>
    <w:multiLevelType w:val="hybridMultilevel"/>
    <w:tmpl w:val="A426C00C"/>
    <w:lvl w:ilvl="0" w:tplc="C7CEB9D2">
      <w:start w:val="1"/>
      <w:numFmt w:val="decimal"/>
      <w:lvlText w:val="%1.2"/>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6">
    <w:nsid w:val="78466CD6"/>
    <w:multiLevelType w:val="hybridMultilevel"/>
    <w:tmpl w:val="26D2B36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7">
    <w:nsid w:val="7F7632F1"/>
    <w:multiLevelType w:val="multilevel"/>
    <w:tmpl w:val="1C54259C"/>
    <w:lvl w:ilvl="0">
      <w:start w:val="5"/>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39"/>
  </w:num>
  <w:num w:numId="2">
    <w:abstractNumId w:val="7"/>
  </w:num>
  <w:num w:numId="3">
    <w:abstractNumId w:val="40"/>
  </w:num>
  <w:num w:numId="4">
    <w:abstractNumId w:val="31"/>
  </w:num>
  <w:num w:numId="5">
    <w:abstractNumId w:val="2"/>
  </w:num>
  <w:num w:numId="6">
    <w:abstractNumId w:val="30"/>
  </w:num>
  <w:num w:numId="7">
    <w:abstractNumId w:val="36"/>
  </w:num>
  <w:num w:numId="8">
    <w:abstractNumId w:val="43"/>
  </w:num>
  <w:num w:numId="9">
    <w:abstractNumId w:val="17"/>
  </w:num>
  <w:num w:numId="10">
    <w:abstractNumId w:val="25"/>
  </w:num>
  <w:num w:numId="11">
    <w:abstractNumId w:val="5"/>
  </w:num>
  <w:num w:numId="12">
    <w:abstractNumId w:val="27"/>
  </w:num>
  <w:num w:numId="13">
    <w:abstractNumId w:val="12"/>
  </w:num>
  <w:num w:numId="14">
    <w:abstractNumId w:val="46"/>
  </w:num>
  <w:num w:numId="15">
    <w:abstractNumId w:val="0"/>
  </w:num>
  <w:num w:numId="16">
    <w:abstractNumId w:val="3"/>
  </w:num>
  <w:num w:numId="17">
    <w:abstractNumId w:val="44"/>
  </w:num>
  <w:num w:numId="18">
    <w:abstractNumId w:val="22"/>
  </w:num>
  <w:num w:numId="19">
    <w:abstractNumId w:val="13"/>
  </w:num>
  <w:num w:numId="20">
    <w:abstractNumId w:val="33"/>
  </w:num>
  <w:num w:numId="21">
    <w:abstractNumId w:val="32"/>
  </w:num>
  <w:num w:numId="22">
    <w:abstractNumId w:val="28"/>
  </w:num>
  <w:num w:numId="23">
    <w:abstractNumId w:val="18"/>
  </w:num>
  <w:num w:numId="24">
    <w:abstractNumId w:val="11"/>
  </w:num>
  <w:num w:numId="25">
    <w:abstractNumId w:val="8"/>
  </w:num>
  <w:num w:numId="26">
    <w:abstractNumId w:val="23"/>
  </w:num>
  <w:num w:numId="27">
    <w:abstractNumId w:val="10"/>
  </w:num>
  <w:num w:numId="28">
    <w:abstractNumId w:val="26"/>
  </w:num>
  <w:num w:numId="29">
    <w:abstractNumId w:val="15"/>
  </w:num>
  <w:num w:numId="30">
    <w:abstractNumId w:val="35"/>
  </w:num>
  <w:num w:numId="31">
    <w:abstractNumId w:val="34"/>
  </w:num>
  <w:num w:numId="32">
    <w:abstractNumId w:val="21"/>
  </w:num>
  <w:num w:numId="33">
    <w:abstractNumId w:val="37"/>
  </w:num>
  <w:num w:numId="34">
    <w:abstractNumId w:val="16"/>
  </w:num>
  <w:num w:numId="35">
    <w:abstractNumId w:val="20"/>
  </w:num>
  <w:num w:numId="36">
    <w:abstractNumId w:val="1"/>
  </w:num>
  <w:num w:numId="37">
    <w:abstractNumId w:val="29"/>
  </w:num>
  <w:num w:numId="38">
    <w:abstractNumId w:val="19"/>
  </w:num>
  <w:num w:numId="39">
    <w:abstractNumId w:val="14"/>
  </w:num>
  <w:num w:numId="40">
    <w:abstractNumId w:val="38"/>
  </w:num>
  <w:num w:numId="41">
    <w:abstractNumId w:val="45"/>
  </w:num>
  <w:num w:numId="42">
    <w:abstractNumId w:val="6"/>
  </w:num>
  <w:num w:numId="43">
    <w:abstractNumId w:val="9"/>
  </w:num>
  <w:num w:numId="44">
    <w:abstractNumId w:val="38"/>
    <w:lvlOverride w:ilvl="0">
      <w:startOverride w:val="2"/>
    </w:lvlOverride>
  </w:num>
  <w:num w:numId="45">
    <w:abstractNumId w:val="42"/>
  </w:num>
  <w:num w:numId="46">
    <w:abstractNumId w:val="41"/>
  </w:num>
  <w:num w:numId="47">
    <w:abstractNumId w:val="47"/>
  </w:num>
  <w:num w:numId="48">
    <w:abstractNumId w:val="4"/>
  </w:num>
  <w:num w:numId="49">
    <w:abstractNumId w:val="24"/>
  </w:num>
  <w:numIdMacAtCleanup w:val="14"/>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olm O'Dwyer">
    <w15:presenceInfo w15:providerId="Windows Live" w15:userId="eaa0632bf17abef7"/>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2"/>
  <w:proofState w:spelling="clean" w:grammar="clean"/>
  <w:attachedTemplate r:id="rId1"/>
  <w:defaultTabStop w:val="567"/>
  <w:hyphenationZone w:val="425"/>
  <w:evenAndOddHeaders/>
  <w:drawingGridHorizontalSpacing w:val="120"/>
  <w:drawingGridVerticalSpacing w:val="120"/>
  <w:displayHorizontalDrawingGridEvery w:val="2"/>
  <w:displayVerticalDrawingGridEvery w:val="0"/>
  <w:noPunctuationKerning/>
  <w:characterSpacingControl w:val="doNotCompress"/>
  <w:hdrShapeDefaults>
    <o:shapedefaults v:ext="edit" spidmax="26625"/>
  </w:hdrShapeDefaults>
  <w:footnotePr>
    <w:footnote w:id="-1"/>
    <w:footnote w:id="0"/>
  </w:footnotePr>
  <w:endnotePr>
    <w:endnote w:id="-1"/>
    <w:endnote w:id="0"/>
  </w:endnotePr>
  <w:compat>
    <w:spaceForUL/>
    <w:balanceSingleByteDoubleByteWidth/>
    <w:doNotLeaveBackslashAlone/>
    <w:ulTrailSpace/>
    <w:doNotExpandShiftReturn/>
  </w:compat>
  <w:docVars>
    <w:docVar w:name="EN.InstantFormat" w:val="&lt;ENInstantFormat&gt;&lt;Enabled&gt;1&lt;/Enabled&gt;&lt;ScanUnformatted&gt;1&lt;/ScanUnformatted&gt;&lt;ScanChanges&gt;1&lt;/ScanChanges&gt;&lt;Suspended&gt;1&lt;/Suspended&gt;&lt;/ENInstantFormat&gt;"/>
    <w:docVar w:name="EN.Libraries" w:val="&lt;ENLibraries&gt;&lt;Libraries&gt;&lt;item&gt;Sample_Library2 Copy.enl&lt;/item&gt;&lt;/Libraries&gt;&lt;/ENLibraries&gt;"/>
  </w:docVars>
  <w:rsids>
    <w:rsidRoot w:val="00066040"/>
    <w:rsid w:val="0000021D"/>
    <w:rsid w:val="00000E0F"/>
    <w:rsid w:val="00001BB3"/>
    <w:rsid w:val="00001D4A"/>
    <w:rsid w:val="0000418D"/>
    <w:rsid w:val="00006EE4"/>
    <w:rsid w:val="00007104"/>
    <w:rsid w:val="00010599"/>
    <w:rsid w:val="0001083A"/>
    <w:rsid w:val="00010FCD"/>
    <w:rsid w:val="00011A97"/>
    <w:rsid w:val="000125CC"/>
    <w:rsid w:val="000126F2"/>
    <w:rsid w:val="00012AB0"/>
    <w:rsid w:val="00012AC9"/>
    <w:rsid w:val="000142F1"/>
    <w:rsid w:val="00015A3F"/>
    <w:rsid w:val="000229A2"/>
    <w:rsid w:val="0002371C"/>
    <w:rsid w:val="000240FA"/>
    <w:rsid w:val="0002573F"/>
    <w:rsid w:val="0003018A"/>
    <w:rsid w:val="0003071D"/>
    <w:rsid w:val="0003183D"/>
    <w:rsid w:val="00032CE3"/>
    <w:rsid w:val="00033A73"/>
    <w:rsid w:val="00033AF8"/>
    <w:rsid w:val="000344BD"/>
    <w:rsid w:val="000348F1"/>
    <w:rsid w:val="000350B7"/>
    <w:rsid w:val="0003583F"/>
    <w:rsid w:val="0003603F"/>
    <w:rsid w:val="0003637B"/>
    <w:rsid w:val="00036F8C"/>
    <w:rsid w:val="00040CCF"/>
    <w:rsid w:val="00041424"/>
    <w:rsid w:val="00041D6C"/>
    <w:rsid w:val="00043BA8"/>
    <w:rsid w:val="00044F9F"/>
    <w:rsid w:val="000450A3"/>
    <w:rsid w:val="0004513D"/>
    <w:rsid w:val="0004593F"/>
    <w:rsid w:val="00045B7E"/>
    <w:rsid w:val="00047805"/>
    <w:rsid w:val="00047861"/>
    <w:rsid w:val="00050158"/>
    <w:rsid w:val="0005021D"/>
    <w:rsid w:val="00050682"/>
    <w:rsid w:val="0005084A"/>
    <w:rsid w:val="0005419F"/>
    <w:rsid w:val="00054F4E"/>
    <w:rsid w:val="00055012"/>
    <w:rsid w:val="00055C46"/>
    <w:rsid w:val="0005690A"/>
    <w:rsid w:val="000578F9"/>
    <w:rsid w:val="00057B5C"/>
    <w:rsid w:val="000612C9"/>
    <w:rsid w:val="00062E17"/>
    <w:rsid w:val="00065F85"/>
    <w:rsid w:val="00066040"/>
    <w:rsid w:val="00066287"/>
    <w:rsid w:val="00066ACF"/>
    <w:rsid w:val="00066BB1"/>
    <w:rsid w:val="00070788"/>
    <w:rsid w:val="000712A9"/>
    <w:rsid w:val="00074360"/>
    <w:rsid w:val="00075342"/>
    <w:rsid w:val="00077304"/>
    <w:rsid w:val="00077DB4"/>
    <w:rsid w:val="00080F2E"/>
    <w:rsid w:val="00081A96"/>
    <w:rsid w:val="00082290"/>
    <w:rsid w:val="00082332"/>
    <w:rsid w:val="000827E1"/>
    <w:rsid w:val="000833AB"/>
    <w:rsid w:val="00083D07"/>
    <w:rsid w:val="000840B1"/>
    <w:rsid w:val="0008514E"/>
    <w:rsid w:val="0008582A"/>
    <w:rsid w:val="000860CB"/>
    <w:rsid w:val="00086E0F"/>
    <w:rsid w:val="00090047"/>
    <w:rsid w:val="00090F7B"/>
    <w:rsid w:val="00092704"/>
    <w:rsid w:val="00093539"/>
    <w:rsid w:val="00093DB3"/>
    <w:rsid w:val="00094614"/>
    <w:rsid w:val="00094C5D"/>
    <w:rsid w:val="00094F82"/>
    <w:rsid w:val="00095289"/>
    <w:rsid w:val="00095562"/>
    <w:rsid w:val="000956F3"/>
    <w:rsid w:val="00095833"/>
    <w:rsid w:val="0009607B"/>
    <w:rsid w:val="00096272"/>
    <w:rsid w:val="00097865"/>
    <w:rsid w:val="000A09FF"/>
    <w:rsid w:val="000A1713"/>
    <w:rsid w:val="000A1E7E"/>
    <w:rsid w:val="000A2458"/>
    <w:rsid w:val="000A3E7B"/>
    <w:rsid w:val="000A4265"/>
    <w:rsid w:val="000A5E3A"/>
    <w:rsid w:val="000A7564"/>
    <w:rsid w:val="000B1458"/>
    <w:rsid w:val="000B14A6"/>
    <w:rsid w:val="000B2C0E"/>
    <w:rsid w:val="000B2D0D"/>
    <w:rsid w:val="000B492B"/>
    <w:rsid w:val="000B4D43"/>
    <w:rsid w:val="000B78E7"/>
    <w:rsid w:val="000C0249"/>
    <w:rsid w:val="000C02A5"/>
    <w:rsid w:val="000C0DD9"/>
    <w:rsid w:val="000C2C50"/>
    <w:rsid w:val="000C5504"/>
    <w:rsid w:val="000C6174"/>
    <w:rsid w:val="000C6CED"/>
    <w:rsid w:val="000C6F7A"/>
    <w:rsid w:val="000C7494"/>
    <w:rsid w:val="000C7E9C"/>
    <w:rsid w:val="000C7F93"/>
    <w:rsid w:val="000D14CE"/>
    <w:rsid w:val="000D1E5E"/>
    <w:rsid w:val="000D3E28"/>
    <w:rsid w:val="000D4CEB"/>
    <w:rsid w:val="000D5BDE"/>
    <w:rsid w:val="000D6898"/>
    <w:rsid w:val="000D7DEC"/>
    <w:rsid w:val="000E09A5"/>
    <w:rsid w:val="000E1101"/>
    <w:rsid w:val="000E1BDE"/>
    <w:rsid w:val="000E22F7"/>
    <w:rsid w:val="000E316B"/>
    <w:rsid w:val="000E3CB7"/>
    <w:rsid w:val="000E4ACE"/>
    <w:rsid w:val="000E521F"/>
    <w:rsid w:val="000E5618"/>
    <w:rsid w:val="000E6231"/>
    <w:rsid w:val="000E7C5E"/>
    <w:rsid w:val="000F0D07"/>
    <w:rsid w:val="000F3B81"/>
    <w:rsid w:val="000F5B3B"/>
    <w:rsid w:val="000F5C1D"/>
    <w:rsid w:val="00101A6B"/>
    <w:rsid w:val="001022A3"/>
    <w:rsid w:val="001029B7"/>
    <w:rsid w:val="00103CA9"/>
    <w:rsid w:val="00104E48"/>
    <w:rsid w:val="00106FAF"/>
    <w:rsid w:val="0010779E"/>
    <w:rsid w:val="00110161"/>
    <w:rsid w:val="00110399"/>
    <w:rsid w:val="00110914"/>
    <w:rsid w:val="001128C9"/>
    <w:rsid w:val="00113583"/>
    <w:rsid w:val="00113BEB"/>
    <w:rsid w:val="00113DA7"/>
    <w:rsid w:val="0011425A"/>
    <w:rsid w:val="00114572"/>
    <w:rsid w:val="0011481C"/>
    <w:rsid w:val="00115149"/>
    <w:rsid w:val="0011550B"/>
    <w:rsid w:val="00116E62"/>
    <w:rsid w:val="00117CBA"/>
    <w:rsid w:val="00120F8B"/>
    <w:rsid w:val="001221B6"/>
    <w:rsid w:val="001232C1"/>
    <w:rsid w:val="00123541"/>
    <w:rsid w:val="0012409C"/>
    <w:rsid w:val="00124D52"/>
    <w:rsid w:val="00125104"/>
    <w:rsid w:val="001263B8"/>
    <w:rsid w:val="00127ED2"/>
    <w:rsid w:val="0013068D"/>
    <w:rsid w:val="00131046"/>
    <w:rsid w:val="00131DDF"/>
    <w:rsid w:val="001355D3"/>
    <w:rsid w:val="0013565B"/>
    <w:rsid w:val="00136880"/>
    <w:rsid w:val="001410DF"/>
    <w:rsid w:val="00141E81"/>
    <w:rsid w:val="00142A49"/>
    <w:rsid w:val="00144319"/>
    <w:rsid w:val="00144342"/>
    <w:rsid w:val="001443EF"/>
    <w:rsid w:val="001444AD"/>
    <w:rsid w:val="00144CFC"/>
    <w:rsid w:val="00144ECC"/>
    <w:rsid w:val="0014613D"/>
    <w:rsid w:val="0014688B"/>
    <w:rsid w:val="00146A56"/>
    <w:rsid w:val="00147429"/>
    <w:rsid w:val="00147D51"/>
    <w:rsid w:val="00154796"/>
    <w:rsid w:val="001553DC"/>
    <w:rsid w:val="00161526"/>
    <w:rsid w:val="0016219F"/>
    <w:rsid w:val="001623E0"/>
    <w:rsid w:val="00163FE7"/>
    <w:rsid w:val="001655FA"/>
    <w:rsid w:val="0016589C"/>
    <w:rsid w:val="00166ACD"/>
    <w:rsid w:val="00166CAA"/>
    <w:rsid w:val="0016726E"/>
    <w:rsid w:val="00177996"/>
    <w:rsid w:val="00180AE3"/>
    <w:rsid w:val="00181E71"/>
    <w:rsid w:val="00183A23"/>
    <w:rsid w:val="00183C04"/>
    <w:rsid w:val="0018432B"/>
    <w:rsid w:val="00184C6C"/>
    <w:rsid w:val="00184FD2"/>
    <w:rsid w:val="00187AE4"/>
    <w:rsid w:val="00187D8D"/>
    <w:rsid w:val="00187FDA"/>
    <w:rsid w:val="0019069C"/>
    <w:rsid w:val="0019143A"/>
    <w:rsid w:val="001929FD"/>
    <w:rsid w:val="00193005"/>
    <w:rsid w:val="0019447B"/>
    <w:rsid w:val="0019487F"/>
    <w:rsid w:val="00196D4E"/>
    <w:rsid w:val="001A08EE"/>
    <w:rsid w:val="001A319D"/>
    <w:rsid w:val="001A3318"/>
    <w:rsid w:val="001A3505"/>
    <w:rsid w:val="001A413B"/>
    <w:rsid w:val="001A476B"/>
    <w:rsid w:val="001A52AB"/>
    <w:rsid w:val="001A540B"/>
    <w:rsid w:val="001A64E7"/>
    <w:rsid w:val="001A6A71"/>
    <w:rsid w:val="001A7B09"/>
    <w:rsid w:val="001B24C0"/>
    <w:rsid w:val="001B390C"/>
    <w:rsid w:val="001B4045"/>
    <w:rsid w:val="001B72D9"/>
    <w:rsid w:val="001B74E0"/>
    <w:rsid w:val="001C1289"/>
    <w:rsid w:val="001C30C2"/>
    <w:rsid w:val="001C4200"/>
    <w:rsid w:val="001C59C0"/>
    <w:rsid w:val="001C7818"/>
    <w:rsid w:val="001C78BA"/>
    <w:rsid w:val="001D12A0"/>
    <w:rsid w:val="001D2D0A"/>
    <w:rsid w:val="001D30FC"/>
    <w:rsid w:val="001D319F"/>
    <w:rsid w:val="001E186E"/>
    <w:rsid w:val="001E6A1A"/>
    <w:rsid w:val="001E7714"/>
    <w:rsid w:val="001F347F"/>
    <w:rsid w:val="001F517F"/>
    <w:rsid w:val="001F5498"/>
    <w:rsid w:val="001F5B62"/>
    <w:rsid w:val="001F60AD"/>
    <w:rsid w:val="001F60B2"/>
    <w:rsid w:val="001F7B9F"/>
    <w:rsid w:val="00200B91"/>
    <w:rsid w:val="0020353D"/>
    <w:rsid w:val="00203E6A"/>
    <w:rsid w:val="00204753"/>
    <w:rsid w:val="002049D0"/>
    <w:rsid w:val="0021033F"/>
    <w:rsid w:val="00210FC3"/>
    <w:rsid w:val="00211FC8"/>
    <w:rsid w:val="00215B2E"/>
    <w:rsid w:val="00216962"/>
    <w:rsid w:val="002175A9"/>
    <w:rsid w:val="00220238"/>
    <w:rsid w:val="00220AEB"/>
    <w:rsid w:val="00221762"/>
    <w:rsid w:val="00221C45"/>
    <w:rsid w:val="00224005"/>
    <w:rsid w:val="00226F84"/>
    <w:rsid w:val="0023330C"/>
    <w:rsid w:val="00235156"/>
    <w:rsid w:val="002365ED"/>
    <w:rsid w:val="00241B56"/>
    <w:rsid w:val="00242294"/>
    <w:rsid w:val="00242AF4"/>
    <w:rsid w:val="002444C5"/>
    <w:rsid w:val="00244A4F"/>
    <w:rsid w:val="00245AB8"/>
    <w:rsid w:val="00247F9B"/>
    <w:rsid w:val="0025014E"/>
    <w:rsid w:val="0025022B"/>
    <w:rsid w:val="00251661"/>
    <w:rsid w:val="00251A1C"/>
    <w:rsid w:val="00251D9D"/>
    <w:rsid w:val="0025246F"/>
    <w:rsid w:val="002528C2"/>
    <w:rsid w:val="002540E6"/>
    <w:rsid w:val="002549EC"/>
    <w:rsid w:val="00255590"/>
    <w:rsid w:val="0025749E"/>
    <w:rsid w:val="00257CEE"/>
    <w:rsid w:val="002601A5"/>
    <w:rsid w:val="00260571"/>
    <w:rsid w:val="00261B5F"/>
    <w:rsid w:val="00262238"/>
    <w:rsid w:val="00263F5C"/>
    <w:rsid w:val="00264AE7"/>
    <w:rsid w:val="00265194"/>
    <w:rsid w:val="002657B6"/>
    <w:rsid w:val="002678BA"/>
    <w:rsid w:val="00270444"/>
    <w:rsid w:val="002706B3"/>
    <w:rsid w:val="00270876"/>
    <w:rsid w:val="00270886"/>
    <w:rsid w:val="00270C9C"/>
    <w:rsid w:val="00271A3F"/>
    <w:rsid w:val="00272621"/>
    <w:rsid w:val="00272AA8"/>
    <w:rsid w:val="00274711"/>
    <w:rsid w:val="0027526C"/>
    <w:rsid w:val="002772F2"/>
    <w:rsid w:val="002815C1"/>
    <w:rsid w:val="00281D9C"/>
    <w:rsid w:val="00281EEB"/>
    <w:rsid w:val="002832D4"/>
    <w:rsid w:val="00284222"/>
    <w:rsid w:val="00291634"/>
    <w:rsid w:val="00294937"/>
    <w:rsid w:val="00295759"/>
    <w:rsid w:val="00295B74"/>
    <w:rsid w:val="00297710"/>
    <w:rsid w:val="00297FDB"/>
    <w:rsid w:val="002A24DE"/>
    <w:rsid w:val="002A26D3"/>
    <w:rsid w:val="002A31FA"/>
    <w:rsid w:val="002A35DE"/>
    <w:rsid w:val="002A39AC"/>
    <w:rsid w:val="002A4FC5"/>
    <w:rsid w:val="002A562A"/>
    <w:rsid w:val="002A713B"/>
    <w:rsid w:val="002A7DE6"/>
    <w:rsid w:val="002B061B"/>
    <w:rsid w:val="002B09C5"/>
    <w:rsid w:val="002B176A"/>
    <w:rsid w:val="002B1866"/>
    <w:rsid w:val="002B3283"/>
    <w:rsid w:val="002B70E8"/>
    <w:rsid w:val="002B77CA"/>
    <w:rsid w:val="002C027F"/>
    <w:rsid w:val="002C0E69"/>
    <w:rsid w:val="002C0EFB"/>
    <w:rsid w:val="002C0FA1"/>
    <w:rsid w:val="002C1752"/>
    <w:rsid w:val="002C28DF"/>
    <w:rsid w:val="002C32C1"/>
    <w:rsid w:val="002C3963"/>
    <w:rsid w:val="002C4376"/>
    <w:rsid w:val="002C5620"/>
    <w:rsid w:val="002C5AE9"/>
    <w:rsid w:val="002C680C"/>
    <w:rsid w:val="002C6857"/>
    <w:rsid w:val="002C7639"/>
    <w:rsid w:val="002D1F04"/>
    <w:rsid w:val="002D42D5"/>
    <w:rsid w:val="002D45E5"/>
    <w:rsid w:val="002D460C"/>
    <w:rsid w:val="002D4ABE"/>
    <w:rsid w:val="002D5603"/>
    <w:rsid w:val="002D58C4"/>
    <w:rsid w:val="002D62FE"/>
    <w:rsid w:val="002D7B6B"/>
    <w:rsid w:val="002E0632"/>
    <w:rsid w:val="002E086A"/>
    <w:rsid w:val="002E0FB4"/>
    <w:rsid w:val="002E2F37"/>
    <w:rsid w:val="002E41D0"/>
    <w:rsid w:val="002E514C"/>
    <w:rsid w:val="002E56CB"/>
    <w:rsid w:val="002E6EBE"/>
    <w:rsid w:val="002E7527"/>
    <w:rsid w:val="002F1A53"/>
    <w:rsid w:val="002F250D"/>
    <w:rsid w:val="002F27E5"/>
    <w:rsid w:val="002F2FF7"/>
    <w:rsid w:val="002F3148"/>
    <w:rsid w:val="002F3779"/>
    <w:rsid w:val="002F613B"/>
    <w:rsid w:val="002F6433"/>
    <w:rsid w:val="002F6D01"/>
    <w:rsid w:val="00300A36"/>
    <w:rsid w:val="00300A43"/>
    <w:rsid w:val="0030250E"/>
    <w:rsid w:val="003028E7"/>
    <w:rsid w:val="00303033"/>
    <w:rsid w:val="003030B3"/>
    <w:rsid w:val="0030361D"/>
    <w:rsid w:val="0030390A"/>
    <w:rsid w:val="00303B38"/>
    <w:rsid w:val="00304775"/>
    <w:rsid w:val="00304B18"/>
    <w:rsid w:val="00305AC2"/>
    <w:rsid w:val="00311D28"/>
    <w:rsid w:val="0031237A"/>
    <w:rsid w:val="003136C7"/>
    <w:rsid w:val="003142AB"/>
    <w:rsid w:val="0031538B"/>
    <w:rsid w:val="003153AF"/>
    <w:rsid w:val="003158F3"/>
    <w:rsid w:val="003160C5"/>
    <w:rsid w:val="00316A09"/>
    <w:rsid w:val="00317CDD"/>
    <w:rsid w:val="00320BDF"/>
    <w:rsid w:val="003219E0"/>
    <w:rsid w:val="0032357B"/>
    <w:rsid w:val="00325AB8"/>
    <w:rsid w:val="00327B2E"/>
    <w:rsid w:val="0033086E"/>
    <w:rsid w:val="00331E38"/>
    <w:rsid w:val="003324BB"/>
    <w:rsid w:val="003327E6"/>
    <w:rsid w:val="00332948"/>
    <w:rsid w:val="003333D4"/>
    <w:rsid w:val="00335D5E"/>
    <w:rsid w:val="0033746A"/>
    <w:rsid w:val="00337BBA"/>
    <w:rsid w:val="00337D4C"/>
    <w:rsid w:val="00340A73"/>
    <w:rsid w:val="0034238B"/>
    <w:rsid w:val="003454ED"/>
    <w:rsid w:val="00346753"/>
    <w:rsid w:val="00346C03"/>
    <w:rsid w:val="00346F0D"/>
    <w:rsid w:val="003477F5"/>
    <w:rsid w:val="00347F82"/>
    <w:rsid w:val="00352830"/>
    <w:rsid w:val="00353685"/>
    <w:rsid w:val="00353A31"/>
    <w:rsid w:val="00355DFA"/>
    <w:rsid w:val="00356900"/>
    <w:rsid w:val="00356E00"/>
    <w:rsid w:val="00357B6F"/>
    <w:rsid w:val="00357FC3"/>
    <w:rsid w:val="003606D1"/>
    <w:rsid w:val="00360790"/>
    <w:rsid w:val="00360895"/>
    <w:rsid w:val="003637B1"/>
    <w:rsid w:val="00363D7F"/>
    <w:rsid w:val="003641F0"/>
    <w:rsid w:val="00364D7B"/>
    <w:rsid w:val="0036612A"/>
    <w:rsid w:val="00371130"/>
    <w:rsid w:val="00372429"/>
    <w:rsid w:val="00372C2A"/>
    <w:rsid w:val="0037533C"/>
    <w:rsid w:val="003755CC"/>
    <w:rsid w:val="003811E1"/>
    <w:rsid w:val="0038151A"/>
    <w:rsid w:val="003826DD"/>
    <w:rsid w:val="0038695E"/>
    <w:rsid w:val="0038790B"/>
    <w:rsid w:val="00390AFE"/>
    <w:rsid w:val="003939C5"/>
    <w:rsid w:val="00393B83"/>
    <w:rsid w:val="0039635B"/>
    <w:rsid w:val="00397256"/>
    <w:rsid w:val="00397266"/>
    <w:rsid w:val="00397612"/>
    <w:rsid w:val="003A1E7C"/>
    <w:rsid w:val="003A21A5"/>
    <w:rsid w:val="003A4AD6"/>
    <w:rsid w:val="003A54B5"/>
    <w:rsid w:val="003A6927"/>
    <w:rsid w:val="003B0D8F"/>
    <w:rsid w:val="003B1125"/>
    <w:rsid w:val="003B1683"/>
    <w:rsid w:val="003B1EFF"/>
    <w:rsid w:val="003B20EE"/>
    <w:rsid w:val="003B2524"/>
    <w:rsid w:val="003B3518"/>
    <w:rsid w:val="003B4184"/>
    <w:rsid w:val="003B61BA"/>
    <w:rsid w:val="003B64F2"/>
    <w:rsid w:val="003B6CF5"/>
    <w:rsid w:val="003B6E99"/>
    <w:rsid w:val="003C16EA"/>
    <w:rsid w:val="003C4278"/>
    <w:rsid w:val="003C6F8B"/>
    <w:rsid w:val="003D33B1"/>
    <w:rsid w:val="003D43AD"/>
    <w:rsid w:val="003D48A0"/>
    <w:rsid w:val="003D5018"/>
    <w:rsid w:val="003D6C65"/>
    <w:rsid w:val="003D78C7"/>
    <w:rsid w:val="003E01A1"/>
    <w:rsid w:val="003E0AFB"/>
    <w:rsid w:val="003E121B"/>
    <w:rsid w:val="003E30D4"/>
    <w:rsid w:val="003E40AC"/>
    <w:rsid w:val="003E45AF"/>
    <w:rsid w:val="003E5C2A"/>
    <w:rsid w:val="003E6F2B"/>
    <w:rsid w:val="003E714F"/>
    <w:rsid w:val="003E7863"/>
    <w:rsid w:val="003E7B29"/>
    <w:rsid w:val="003F20E1"/>
    <w:rsid w:val="003F279F"/>
    <w:rsid w:val="003F4101"/>
    <w:rsid w:val="003F78FF"/>
    <w:rsid w:val="003F7A4E"/>
    <w:rsid w:val="00401538"/>
    <w:rsid w:val="00401985"/>
    <w:rsid w:val="00401B15"/>
    <w:rsid w:val="00401FB9"/>
    <w:rsid w:val="004077ED"/>
    <w:rsid w:val="0040781F"/>
    <w:rsid w:val="00410EAB"/>
    <w:rsid w:val="00411D07"/>
    <w:rsid w:val="00412ADC"/>
    <w:rsid w:val="004136BF"/>
    <w:rsid w:val="0041489E"/>
    <w:rsid w:val="004149FA"/>
    <w:rsid w:val="004160D7"/>
    <w:rsid w:val="00416D66"/>
    <w:rsid w:val="004178DE"/>
    <w:rsid w:val="0042089D"/>
    <w:rsid w:val="004212D2"/>
    <w:rsid w:val="00422BE7"/>
    <w:rsid w:val="0042301D"/>
    <w:rsid w:val="0042535B"/>
    <w:rsid w:val="00425D31"/>
    <w:rsid w:val="0042639D"/>
    <w:rsid w:val="004265D8"/>
    <w:rsid w:val="00426CCE"/>
    <w:rsid w:val="0042785B"/>
    <w:rsid w:val="00427E45"/>
    <w:rsid w:val="00430C8D"/>
    <w:rsid w:val="004313DB"/>
    <w:rsid w:val="004326A1"/>
    <w:rsid w:val="00433B5F"/>
    <w:rsid w:val="004358EF"/>
    <w:rsid w:val="00435FD9"/>
    <w:rsid w:val="0043682F"/>
    <w:rsid w:val="00437951"/>
    <w:rsid w:val="00440D61"/>
    <w:rsid w:val="0044147D"/>
    <w:rsid w:val="00441BC6"/>
    <w:rsid w:val="004429C2"/>
    <w:rsid w:val="00442CF9"/>
    <w:rsid w:val="0044483F"/>
    <w:rsid w:val="004453A9"/>
    <w:rsid w:val="00446F3D"/>
    <w:rsid w:val="00447CE4"/>
    <w:rsid w:val="00451FF8"/>
    <w:rsid w:val="00454BAD"/>
    <w:rsid w:val="00454FB4"/>
    <w:rsid w:val="004578EF"/>
    <w:rsid w:val="0046208A"/>
    <w:rsid w:val="00462FF3"/>
    <w:rsid w:val="004630C8"/>
    <w:rsid w:val="004635F5"/>
    <w:rsid w:val="004658D2"/>
    <w:rsid w:val="00466085"/>
    <w:rsid w:val="00466C98"/>
    <w:rsid w:val="0047051E"/>
    <w:rsid w:val="00470648"/>
    <w:rsid w:val="00470EC7"/>
    <w:rsid w:val="0047143D"/>
    <w:rsid w:val="00471AE1"/>
    <w:rsid w:val="00472444"/>
    <w:rsid w:val="004731A0"/>
    <w:rsid w:val="00475CFF"/>
    <w:rsid w:val="00477A1F"/>
    <w:rsid w:val="00480641"/>
    <w:rsid w:val="0048216F"/>
    <w:rsid w:val="004848EA"/>
    <w:rsid w:val="00491174"/>
    <w:rsid w:val="00491354"/>
    <w:rsid w:val="0049189A"/>
    <w:rsid w:val="0049507C"/>
    <w:rsid w:val="0049584E"/>
    <w:rsid w:val="0049739F"/>
    <w:rsid w:val="004978B1"/>
    <w:rsid w:val="004A097D"/>
    <w:rsid w:val="004A1697"/>
    <w:rsid w:val="004A2340"/>
    <w:rsid w:val="004A3577"/>
    <w:rsid w:val="004A41D3"/>
    <w:rsid w:val="004A5153"/>
    <w:rsid w:val="004A6446"/>
    <w:rsid w:val="004B0077"/>
    <w:rsid w:val="004B1518"/>
    <w:rsid w:val="004B2CFB"/>
    <w:rsid w:val="004B33BC"/>
    <w:rsid w:val="004B3496"/>
    <w:rsid w:val="004B3596"/>
    <w:rsid w:val="004B4393"/>
    <w:rsid w:val="004B4747"/>
    <w:rsid w:val="004B5029"/>
    <w:rsid w:val="004B51AF"/>
    <w:rsid w:val="004B5FA6"/>
    <w:rsid w:val="004B733F"/>
    <w:rsid w:val="004B7A10"/>
    <w:rsid w:val="004C035F"/>
    <w:rsid w:val="004C0546"/>
    <w:rsid w:val="004C0EE1"/>
    <w:rsid w:val="004C1A17"/>
    <w:rsid w:val="004C20FF"/>
    <w:rsid w:val="004C4E5C"/>
    <w:rsid w:val="004C50AE"/>
    <w:rsid w:val="004C5258"/>
    <w:rsid w:val="004C671B"/>
    <w:rsid w:val="004C6752"/>
    <w:rsid w:val="004C68EC"/>
    <w:rsid w:val="004C6C5C"/>
    <w:rsid w:val="004C6D8B"/>
    <w:rsid w:val="004D0B70"/>
    <w:rsid w:val="004D0E8D"/>
    <w:rsid w:val="004D269E"/>
    <w:rsid w:val="004D3762"/>
    <w:rsid w:val="004D3A2A"/>
    <w:rsid w:val="004D43B3"/>
    <w:rsid w:val="004D5E16"/>
    <w:rsid w:val="004D6AD8"/>
    <w:rsid w:val="004D6D8D"/>
    <w:rsid w:val="004D7F5F"/>
    <w:rsid w:val="004E05EF"/>
    <w:rsid w:val="004E117B"/>
    <w:rsid w:val="004E17BF"/>
    <w:rsid w:val="004E1836"/>
    <w:rsid w:val="004E2207"/>
    <w:rsid w:val="004E263C"/>
    <w:rsid w:val="004E2ADD"/>
    <w:rsid w:val="004E3B69"/>
    <w:rsid w:val="004E3E36"/>
    <w:rsid w:val="004E4A39"/>
    <w:rsid w:val="004E4BAE"/>
    <w:rsid w:val="004E5569"/>
    <w:rsid w:val="004F02AD"/>
    <w:rsid w:val="004F0947"/>
    <w:rsid w:val="004F195D"/>
    <w:rsid w:val="004F1B00"/>
    <w:rsid w:val="004F2729"/>
    <w:rsid w:val="004F2D3B"/>
    <w:rsid w:val="004F4FF2"/>
    <w:rsid w:val="004F6526"/>
    <w:rsid w:val="0050068B"/>
    <w:rsid w:val="00500748"/>
    <w:rsid w:val="00501C16"/>
    <w:rsid w:val="00504FD8"/>
    <w:rsid w:val="005060DF"/>
    <w:rsid w:val="00507713"/>
    <w:rsid w:val="0051090B"/>
    <w:rsid w:val="00510E9C"/>
    <w:rsid w:val="00512387"/>
    <w:rsid w:val="00512707"/>
    <w:rsid w:val="00513FC3"/>
    <w:rsid w:val="005148EC"/>
    <w:rsid w:val="00514E19"/>
    <w:rsid w:val="00515CCA"/>
    <w:rsid w:val="0052059F"/>
    <w:rsid w:val="00520702"/>
    <w:rsid w:val="00521E5E"/>
    <w:rsid w:val="005222DE"/>
    <w:rsid w:val="005223A0"/>
    <w:rsid w:val="00524197"/>
    <w:rsid w:val="005252A1"/>
    <w:rsid w:val="0052616F"/>
    <w:rsid w:val="0052724A"/>
    <w:rsid w:val="0053039F"/>
    <w:rsid w:val="00531939"/>
    <w:rsid w:val="00531F4D"/>
    <w:rsid w:val="00531F54"/>
    <w:rsid w:val="005344C2"/>
    <w:rsid w:val="0053521B"/>
    <w:rsid w:val="00537A6D"/>
    <w:rsid w:val="00537E82"/>
    <w:rsid w:val="0054254E"/>
    <w:rsid w:val="00542A35"/>
    <w:rsid w:val="005430F2"/>
    <w:rsid w:val="00543925"/>
    <w:rsid w:val="005448D9"/>
    <w:rsid w:val="00544C74"/>
    <w:rsid w:val="0054584F"/>
    <w:rsid w:val="0054591A"/>
    <w:rsid w:val="00545B62"/>
    <w:rsid w:val="00547EA8"/>
    <w:rsid w:val="005509F2"/>
    <w:rsid w:val="00550ADB"/>
    <w:rsid w:val="005522D8"/>
    <w:rsid w:val="00553CEE"/>
    <w:rsid w:val="005555DC"/>
    <w:rsid w:val="00556F51"/>
    <w:rsid w:val="00557422"/>
    <w:rsid w:val="0055758D"/>
    <w:rsid w:val="00557D04"/>
    <w:rsid w:val="00560C42"/>
    <w:rsid w:val="00561461"/>
    <w:rsid w:val="00561A42"/>
    <w:rsid w:val="0056352B"/>
    <w:rsid w:val="005638B3"/>
    <w:rsid w:val="00563D38"/>
    <w:rsid w:val="0056532E"/>
    <w:rsid w:val="00567C08"/>
    <w:rsid w:val="0057125D"/>
    <w:rsid w:val="00571BD1"/>
    <w:rsid w:val="00571F83"/>
    <w:rsid w:val="005731CE"/>
    <w:rsid w:val="005744F1"/>
    <w:rsid w:val="005746AF"/>
    <w:rsid w:val="00574FB2"/>
    <w:rsid w:val="00575C6A"/>
    <w:rsid w:val="00580FAC"/>
    <w:rsid w:val="00582B74"/>
    <w:rsid w:val="00582EEF"/>
    <w:rsid w:val="00585D6A"/>
    <w:rsid w:val="0058768A"/>
    <w:rsid w:val="00591A93"/>
    <w:rsid w:val="00592BAF"/>
    <w:rsid w:val="0059463E"/>
    <w:rsid w:val="00594D4D"/>
    <w:rsid w:val="00595E05"/>
    <w:rsid w:val="00597111"/>
    <w:rsid w:val="005A0D1C"/>
    <w:rsid w:val="005A0F0D"/>
    <w:rsid w:val="005A1A35"/>
    <w:rsid w:val="005A52C6"/>
    <w:rsid w:val="005A643E"/>
    <w:rsid w:val="005A6DEF"/>
    <w:rsid w:val="005B0B89"/>
    <w:rsid w:val="005B2192"/>
    <w:rsid w:val="005B3A1C"/>
    <w:rsid w:val="005B4FD4"/>
    <w:rsid w:val="005B6014"/>
    <w:rsid w:val="005B641B"/>
    <w:rsid w:val="005B6698"/>
    <w:rsid w:val="005B6A28"/>
    <w:rsid w:val="005B6DC2"/>
    <w:rsid w:val="005B6DE8"/>
    <w:rsid w:val="005B79FA"/>
    <w:rsid w:val="005C03D9"/>
    <w:rsid w:val="005C0580"/>
    <w:rsid w:val="005C29D2"/>
    <w:rsid w:val="005C2C68"/>
    <w:rsid w:val="005C3110"/>
    <w:rsid w:val="005C413C"/>
    <w:rsid w:val="005C49B0"/>
    <w:rsid w:val="005C4E3B"/>
    <w:rsid w:val="005C56B7"/>
    <w:rsid w:val="005C653F"/>
    <w:rsid w:val="005C69D2"/>
    <w:rsid w:val="005D0010"/>
    <w:rsid w:val="005D05B7"/>
    <w:rsid w:val="005D096A"/>
    <w:rsid w:val="005D0DEF"/>
    <w:rsid w:val="005D487A"/>
    <w:rsid w:val="005D5F86"/>
    <w:rsid w:val="005E02EA"/>
    <w:rsid w:val="005E1A61"/>
    <w:rsid w:val="005E1FB6"/>
    <w:rsid w:val="005E2513"/>
    <w:rsid w:val="005E6868"/>
    <w:rsid w:val="005E7D3C"/>
    <w:rsid w:val="005F00BA"/>
    <w:rsid w:val="005F34EF"/>
    <w:rsid w:val="005F4696"/>
    <w:rsid w:val="005F543A"/>
    <w:rsid w:val="005F6355"/>
    <w:rsid w:val="005F7232"/>
    <w:rsid w:val="005F78C8"/>
    <w:rsid w:val="005F7CE3"/>
    <w:rsid w:val="00600411"/>
    <w:rsid w:val="006004AA"/>
    <w:rsid w:val="006007AB"/>
    <w:rsid w:val="00601027"/>
    <w:rsid w:val="006014A0"/>
    <w:rsid w:val="0060209D"/>
    <w:rsid w:val="00602210"/>
    <w:rsid w:val="006022A9"/>
    <w:rsid w:val="0060412B"/>
    <w:rsid w:val="00604E98"/>
    <w:rsid w:val="006058FC"/>
    <w:rsid w:val="00606185"/>
    <w:rsid w:val="0060659E"/>
    <w:rsid w:val="00606F6E"/>
    <w:rsid w:val="0060701A"/>
    <w:rsid w:val="00610C4C"/>
    <w:rsid w:val="00610EF3"/>
    <w:rsid w:val="00611DCF"/>
    <w:rsid w:val="0061275F"/>
    <w:rsid w:val="00615041"/>
    <w:rsid w:val="0061592C"/>
    <w:rsid w:val="00616FC6"/>
    <w:rsid w:val="006201B7"/>
    <w:rsid w:val="006219C9"/>
    <w:rsid w:val="006221B6"/>
    <w:rsid w:val="00622FE3"/>
    <w:rsid w:val="006232CD"/>
    <w:rsid w:val="0062348E"/>
    <w:rsid w:val="006234A7"/>
    <w:rsid w:val="00625B6F"/>
    <w:rsid w:val="0062745B"/>
    <w:rsid w:val="006301F3"/>
    <w:rsid w:val="0063043C"/>
    <w:rsid w:val="00630FCD"/>
    <w:rsid w:val="0063112E"/>
    <w:rsid w:val="00631166"/>
    <w:rsid w:val="006326D3"/>
    <w:rsid w:val="00632832"/>
    <w:rsid w:val="00632A34"/>
    <w:rsid w:val="00633A16"/>
    <w:rsid w:val="00633B4E"/>
    <w:rsid w:val="00633ED4"/>
    <w:rsid w:val="006340A2"/>
    <w:rsid w:val="00634290"/>
    <w:rsid w:val="0063464F"/>
    <w:rsid w:val="006349BC"/>
    <w:rsid w:val="00636F40"/>
    <w:rsid w:val="00637B35"/>
    <w:rsid w:val="00642159"/>
    <w:rsid w:val="0064286A"/>
    <w:rsid w:val="00644BC5"/>
    <w:rsid w:val="00644F5B"/>
    <w:rsid w:val="00645123"/>
    <w:rsid w:val="0064515F"/>
    <w:rsid w:val="00646144"/>
    <w:rsid w:val="006462CF"/>
    <w:rsid w:val="0064630A"/>
    <w:rsid w:val="006467EF"/>
    <w:rsid w:val="0064792B"/>
    <w:rsid w:val="00647F7B"/>
    <w:rsid w:val="00650A2F"/>
    <w:rsid w:val="00652B12"/>
    <w:rsid w:val="00652E52"/>
    <w:rsid w:val="006542C9"/>
    <w:rsid w:val="006558AB"/>
    <w:rsid w:val="006559E4"/>
    <w:rsid w:val="00657568"/>
    <w:rsid w:val="006576BF"/>
    <w:rsid w:val="00657BD2"/>
    <w:rsid w:val="00660913"/>
    <w:rsid w:val="00661BB8"/>
    <w:rsid w:val="006621AB"/>
    <w:rsid w:val="006629BC"/>
    <w:rsid w:val="00664A1A"/>
    <w:rsid w:val="00664B47"/>
    <w:rsid w:val="0066502B"/>
    <w:rsid w:val="00666F59"/>
    <w:rsid w:val="00667601"/>
    <w:rsid w:val="00670842"/>
    <w:rsid w:val="006708F7"/>
    <w:rsid w:val="00670E50"/>
    <w:rsid w:val="00672B1E"/>
    <w:rsid w:val="00672C08"/>
    <w:rsid w:val="0067487A"/>
    <w:rsid w:val="00676340"/>
    <w:rsid w:val="0068046D"/>
    <w:rsid w:val="00681C06"/>
    <w:rsid w:val="00682A56"/>
    <w:rsid w:val="00683D3B"/>
    <w:rsid w:val="0068520A"/>
    <w:rsid w:val="006853F1"/>
    <w:rsid w:val="00685620"/>
    <w:rsid w:val="00686F0F"/>
    <w:rsid w:val="0068791B"/>
    <w:rsid w:val="00687F36"/>
    <w:rsid w:val="00691CD1"/>
    <w:rsid w:val="0069761A"/>
    <w:rsid w:val="006A0400"/>
    <w:rsid w:val="006A0875"/>
    <w:rsid w:val="006A0C21"/>
    <w:rsid w:val="006A137C"/>
    <w:rsid w:val="006A15A0"/>
    <w:rsid w:val="006A3E8A"/>
    <w:rsid w:val="006A427B"/>
    <w:rsid w:val="006A46A4"/>
    <w:rsid w:val="006A5E8A"/>
    <w:rsid w:val="006A62F1"/>
    <w:rsid w:val="006A7990"/>
    <w:rsid w:val="006B2698"/>
    <w:rsid w:val="006B2AAB"/>
    <w:rsid w:val="006B4FD6"/>
    <w:rsid w:val="006B58D8"/>
    <w:rsid w:val="006B6109"/>
    <w:rsid w:val="006B6C1B"/>
    <w:rsid w:val="006B6CD1"/>
    <w:rsid w:val="006C019C"/>
    <w:rsid w:val="006C2AA9"/>
    <w:rsid w:val="006C2C90"/>
    <w:rsid w:val="006C4C50"/>
    <w:rsid w:val="006C59D9"/>
    <w:rsid w:val="006C6869"/>
    <w:rsid w:val="006C6CF0"/>
    <w:rsid w:val="006C7ACA"/>
    <w:rsid w:val="006C7D69"/>
    <w:rsid w:val="006D02E6"/>
    <w:rsid w:val="006D1AA2"/>
    <w:rsid w:val="006D2F54"/>
    <w:rsid w:val="006D37B4"/>
    <w:rsid w:val="006D42B6"/>
    <w:rsid w:val="006D511D"/>
    <w:rsid w:val="006D5DE4"/>
    <w:rsid w:val="006D7952"/>
    <w:rsid w:val="006E0DE2"/>
    <w:rsid w:val="006E2C35"/>
    <w:rsid w:val="006E3D81"/>
    <w:rsid w:val="006E4886"/>
    <w:rsid w:val="006E4B6D"/>
    <w:rsid w:val="006E51C9"/>
    <w:rsid w:val="006E70DA"/>
    <w:rsid w:val="006F0343"/>
    <w:rsid w:val="006F1C88"/>
    <w:rsid w:val="006F25B8"/>
    <w:rsid w:val="006F309E"/>
    <w:rsid w:val="006F3C0A"/>
    <w:rsid w:val="006F3D8C"/>
    <w:rsid w:val="006F4210"/>
    <w:rsid w:val="006F4C3B"/>
    <w:rsid w:val="006F6A99"/>
    <w:rsid w:val="006F6B9F"/>
    <w:rsid w:val="006F725F"/>
    <w:rsid w:val="006F7CDB"/>
    <w:rsid w:val="00700C02"/>
    <w:rsid w:val="00700F62"/>
    <w:rsid w:val="00701D98"/>
    <w:rsid w:val="0070234E"/>
    <w:rsid w:val="00702BD8"/>
    <w:rsid w:val="00705C5D"/>
    <w:rsid w:val="00710481"/>
    <w:rsid w:val="00710EB0"/>
    <w:rsid w:val="0071125E"/>
    <w:rsid w:val="0071376A"/>
    <w:rsid w:val="007146F6"/>
    <w:rsid w:val="00717B83"/>
    <w:rsid w:val="0072080B"/>
    <w:rsid w:val="00721201"/>
    <w:rsid w:val="00723684"/>
    <w:rsid w:val="007239E6"/>
    <w:rsid w:val="00725765"/>
    <w:rsid w:val="00725F4D"/>
    <w:rsid w:val="00726606"/>
    <w:rsid w:val="0072672C"/>
    <w:rsid w:val="0072674D"/>
    <w:rsid w:val="00727D9D"/>
    <w:rsid w:val="00727FA1"/>
    <w:rsid w:val="007315C9"/>
    <w:rsid w:val="00733D1B"/>
    <w:rsid w:val="00734435"/>
    <w:rsid w:val="00737142"/>
    <w:rsid w:val="00737D46"/>
    <w:rsid w:val="00740A81"/>
    <w:rsid w:val="007410C1"/>
    <w:rsid w:val="0074196F"/>
    <w:rsid w:val="00741DB4"/>
    <w:rsid w:val="00743940"/>
    <w:rsid w:val="00744B57"/>
    <w:rsid w:val="00745EAB"/>
    <w:rsid w:val="007509DA"/>
    <w:rsid w:val="00750CBB"/>
    <w:rsid w:val="007511B9"/>
    <w:rsid w:val="00751A73"/>
    <w:rsid w:val="0075326E"/>
    <w:rsid w:val="00754D29"/>
    <w:rsid w:val="00754F4A"/>
    <w:rsid w:val="00755F99"/>
    <w:rsid w:val="0075700E"/>
    <w:rsid w:val="00757CBE"/>
    <w:rsid w:val="00757EA7"/>
    <w:rsid w:val="0076068E"/>
    <w:rsid w:val="00761121"/>
    <w:rsid w:val="0076163F"/>
    <w:rsid w:val="00762339"/>
    <w:rsid w:val="00766305"/>
    <w:rsid w:val="007710FF"/>
    <w:rsid w:val="0077240B"/>
    <w:rsid w:val="007738FF"/>
    <w:rsid w:val="00774FA8"/>
    <w:rsid w:val="0077519F"/>
    <w:rsid w:val="007754C0"/>
    <w:rsid w:val="007762D9"/>
    <w:rsid w:val="007764BC"/>
    <w:rsid w:val="00777426"/>
    <w:rsid w:val="00777872"/>
    <w:rsid w:val="00780348"/>
    <w:rsid w:val="007811E7"/>
    <w:rsid w:val="007813B0"/>
    <w:rsid w:val="00781B02"/>
    <w:rsid w:val="00781BBA"/>
    <w:rsid w:val="007827A9"/>
    <w:rsid w:val="00782890"/>
    <w:rsid w:val="00782916"/>
    <w:rsid w:val="00784908"/>
    <w:rsid w:val="0078583F"/>
    <w:rsid w:val="0078737D"/>
    <w:rsid w:val="0078789D"/>
    <w:rsid w:val="00790AE4"/>
    <w:rsid w:val="00791BF9"/>
    <w:rsid w:val="00791EA8"/>
    <w:rsid w:val="00794B57"/>
    <w:rsid w:val="00795BE3"/>
    <w:rsid w:val="007962F4"/>
    <w:rsid w:val="007A0912"/>
    <w:rsid w:val="007A3732"/>
    <w:rsid w:val="007A3932"/>
    <w:rsid w:val="007A4E98"/>
    <w:rsid w:val="007A6095"/>
    <w:rsid w:val="007A6718"/>
    <w:rsid w:val="007A744E"/>
    <w:rsid w:val="007A7B95"/>
    <w:rsid w:val="007A7CF3"/>
    <w:rsid w:val="007B0947"/>
    <w:rsid w:val="007B0B9C"/>
    <w:rsid w:val="007B0C58"/>
    <w:rsid w:val="007B1A6A"/>
    <w:rsid w:val="007B1DBF"/>
    <w:rsid w:val="007B1EB4"/>
    <w:rsid w:val="007B2A19"/>
    <w:rsid w:val="007B3858"/>
    <w:rsid w:val="007B3C1B"/>
    <w:rsid w:val="007B5667"/>
    <w:rsid w:val="007B663D"/>
    <w:rsid w:val="007C0747"/>
    <w:rsid w:val="007C0AD2"/>
    <w:rsid w:val="007C0C24"/>
    <w:rsid w:val="007C331A"/>
    <w:rsid w:val="007C41D2"/>
    <w:rsid w:val="007C4CC1"/>
    <w:rsid w:val="007C4F3A"/>
    <w:rsid w:val="007D0581"/>
    <w:rsid w:val="007D101F"/>
    <w:rsid w:val="007D166B"/>
    <w:rsid w:val="007D1A03"/>
    <w:rsid w:val="007D2242"/>
    <w:rsid w:val="007D369F"/>
    <w:rsid w:val="007D36D9"/>
    <w:rsid w:val="007D5736"/>
    <w:rsid w:val="007D5D82"/>
    <w:rsid w:val="007D67AB"/>
    <w:rsid w:val="007D708F"/>
    <w:rsid w:val="007D75B5"/>
    <w:rsid w:val="007E160B"/>
    <w:rsid w:val="007E290B"/>
    <w:rsid w:val="007E3037"/>
    <w:rsid w:val="007E382A"/>
    <w:rsid w:val="007E4014"/>
    <w:rsid w:val="007E4061"/>
    <w:rsid w:val="007E511A"/>
    <w:rsid w:val="007E6403"/>
    <w:rsid w:val="007E6D62"/>
    <w:rsid w:val="007E7E7D"/>
    <w:rsid w:val="007F286C"/>
    <w:rsid w:val="007F2A7D"/>
    <w:rsid w:val="007F3599"/>
    <w:rsid w:val="007F3972"/>
    <w:rsid w:val="007F59C8"/>
    <w:rsid w:val="00801404"/>
    <w:rsid w:val="00801443"/>
    <w:rsid w:val="008032C0"/>
    <w:rsid w:val="00804709"/>
    <w:rsid w:val="00804716"/>
    <w:rsid w:val="0080668E"/>
    <w:rsid w:val="008067EC"/>
    <w:rsid w:val="00807099"/>
    <w:rsid w:val="00807802"/>
    <w:rsid w:val="008105A8"/>
    <w:rsid w:val="00810605"/>
    <w:rsid w:val="0081183D"/>
    <w:rsid w:val="0081312C"/>
    <w:rsid w:val="008134E3"/>
    <w:rsid w:val="00816F2A"/>
    <w:rsid w:val="0082140F"/>
    <w:rsid w:val="00822DA3"/>
    <w:rsid w:val="00822E81"/>
    <w:rsid w:val="008235C2"/>
    <w:rsid w:val="00824118"/>
    <w:rsid w:val="0082417A"/>
    <w:rsid w:val="00825885"/>
    <w:rsid w:val="008258E8"/>
    <w:rsid w:val="0082663A"/>
    <w:rsid w:val="00826BD7"/>
    <w:rsid w:val="00830BBC"/>
    <w:rsid w:val="008334F5"/>
    <w:rsid w:val="00834926"/>
    <w:rsid w:val="008351D7"/>
    <w:rsid w:val="00835557"/>
    <w:rsid w:val="00835E89"/>
    <w:rsid w:val="008370BA"/>
    <w:rsid w:val="008370C0"/>
    <w:rsid w:val="00840615"/>
    <w:rsid w:val="00842CA7"/>
    <w:rsid w:val="00842FC7"/>
    <w:rsid w:val="0084425F"/>
    <w:rsid w:val="008446CA"/>
    <w:rsid w:val="00845925"/>
    <w:rsid w:val="00847A9B"/>
    <w:rsid w:val="0085023F"/>
    <w:rsid w:val="00854444"/>
    <w:rsid w:val="00854812"/>
    <w:rsid w:val="00855B1A"/>
    <w:rsid w:val="00862520"/>
    <w:rsid w:val="00862C14"/>
    <w:rsid w:val="00862ED6"/>
    <w:rsid w:val="0086317F"/>
    <w:rsid w:val="0086389A"/>
    <w:rsid w:val="00864245"/>
    <w:rsid w:val="008651BB"/>
    <w:rsid w:val="00866274"/>
    <w:rsid w:val="00867959"/>
    <w:rsid w:val="00870804"/>
    <w:rsid w:val="00870F6C"/>
    <w:rsid w:val="0087180C"/>
    <w:rsid w:val="00871A0F"/>
    <w:rsid w:val="00871EC2"/>
    <w:rsid w:val="008724F5"/>
    <w:rsid w:val="0087526A"/>
    <w:rsid w:val="00877BA1"/>
    <w:rsid w:val="0088026B"/>
    <w:rsid w:val="00880279"/>
    <w:rsid w:val="00880BD6"/>
    <w:rsid w:val="008811EF"/>
    <w:rsid w:val="00881A15"/>
    <w:rsid w:val="008827B9"/>
    <w:rsid w:val="00882DFC"/>
    <w:rsid w:val="00883193"/>
    <w:rsid w:val="00883959"/>
    <w:rsid w:val="00883AAD"/>
    <w:rsid w:val="00883C59"/>
    <w:rsid w:val="0088435C"/>
    <w:rsid w:val="00884761"/>
    <w:rsid w:val="00884CF7"/>
    <w:rsid w:val="0088507B"/>
    <w:rsid w:val="008859A2"/>
    <w:rsid w:val="00885C8A"/>
    <w:rsid w:val="00890245"/>
    <w:rsid w:val="00890743"/>
    <w:rsid w:val="00890AF3"/>
    <w:rsid w:val="00890D46"/>
    <w:rsid w:val="00891134"/>
    <w:rsid w:val="00895D26"/>
    <w:rsid w:val="0089637C"/>
    <w:rsid w:val="008A0F31"/>
    <w:rsid w:val="008A425D"/>
    <w:rsid w:val="008A577C"/>
    <w:rsid w:val="008A6328"/>
    <w:rsid w:val="008A6E41"/>
    <w:rsid w:val="008B20FE"/>
    <w:rsid w:val="008B3D73"/>
    <w:rsid w:val="008B4472"/>
    <w:rsid w:val="008B4A4D"/>
    <w:rsid w:val="008B703A"/>
    <w:rsid w:val="008B727E"/>
    <w:rsid w:val="008B7615"/>
    <w:rsid w:val="008C0385"/>
    <w:rsid w:val="008C0677"/>
    <w:rsid w:val="008C0B53"/>
    <w:rsid w:val="008C0DDA"/>
    <w:rsid w:val="008C1133"/>
    <w:rsid w:val="008C1188"/>
    <w:rsid w:val="008C1DE2"/>
    <w:rsid w:val="008C217D"/>
    <w:rsid w:val="008C285F"/>
    <w:rsid w:val="008C3784"/>
    <w:rsid w:val="008C3B71"/>
    <w:rsid w:val="008C433A"/>
    <w:rsid w:val="008C5044"/>
    <w:rsid w:val="008C6CB1"/>
    <w:rsid w:val="008C7130"/>
    <w:rsid w:val="008D07AB"/>
    <w:rsid w:val="008D1135"/>
    <w:rsid w:val="008D3DB9"/>
    <w:rsid w:val="008D440F"/>
    <w:rsid w:val="008D62CE"/>
    <w:rsid w:val="008E11EE"/>
    <w:rsid w:val="008E16B7"/>
    <w:rsid w:val="008E1835"/>
    <w:rsid w:val="008E22BB"/>
    <w:rsid w:val="008E35B1"/>
    <w:rsid w:val="008E3878"/>
    <w:rsid w:val="008E44B5"/>
    <w:rsid w:val="008E630A"/>
    <w:rsid w:val="008E691C"/>
    <w:rsid w:val="008E7CB5"/>
    <w:rsid w:val="008F16B1"/>
    <w:rsid w:val="008F56EF"/>
    <w:rsid w:val="008F58CF"/>
    <w:rsid w:val="008F611B"/>
    <w:rsid w:val="00900DE8"/>
    <w:rsid w:val="00902571"/>
    <w:rsid w:val="00905310"/>
    <w:rsid w:val="009059EA"/>
    <w:rsid w:val="00905D2B"/>
    <w:rsid w:val="00905FCA"/>
    <w:rsid w:val="0090779B"/>
    <w:rsid w:val="00912247"/>
    <w:rsid w:val="009145ED"/>
    <w:rsid w:val="00914A73"/>
    <w:rsid w:val="00916A6F"/>
    <w:rsid w:val="00917B81"/>
    <w:rsid w:val="00920410"/>
    <w:rsid w:val="00920C4C"/>
    <w:rsid w:val="00921D15"/>
    <w:rsid w:val="0092301C"/>
    <w:rsid w:val="00923DCF"/>
    <w:rsid w:val="00923F96"/>
    <w:rsid w:val="0092590B"/>
    <w:rsid w:val="009259C3"/>
    <w:rsid w:val="00925A9E"/>
    <w:rsid w:val="00926382"/>
    <w:rsid w:val="00926A5D"/>
    <w:rsid w:val="0092799E"/>
    <w:rsid w:val="00927E01"/>
    <w:rsid w:val="0093161D"/>
    <w:rsid w:val="00931837"/>
    <w:rsid w:val="00932BAD"/>
    <w:rsid w:val="0093436E"/>
    <w:rsid w:val="00934379"/>
    <w:rsid w:val="00934DC8"/>
    <w:rsid w:val="00935AB3"/>
    <w:rsid w:val="00936ABC"/>
    <w:rsid w:val="00936C43"/>
    <w:rsid w:val="00936D4E"/>
    <w:rsid w:val="00937C20"/>
    <w:rsid w:val="00941196"/>
    <w:rsid w:val="00941E49"/>
    <w:rsid w:val="009422EE"/>
    <w:rsid w:val="00942AB0"/>
    <w:rsid w:val="009432EE"/>
    <w:rsid w:val="009453BB"/>
    <w:rsid w:val="0094551A"/>
    <w:rsid w:val="009455F5"/>
    <w:rsid w:val="00946006"/>
    <w:rsid w:val="00947F0C"/>
    <w:rsid w:val="00950015"/>
    <w:rsid w:val="00950D82"/>
    <w:rsid w:val="009517BC"/>
    <w:rsid w:val="009537C4"/>
    <w:rsid w:val="009538E0"/>
    <w:rsid w:val="00953A87"/>
    <w:rsid w:val="00954326"/>
    <w:rsid w:val="0095454D"/>
    <w:rsid w:val="00955E4C"/>
    <w:rsid w:val="00955FEA"/>
    <w:rsid w:val="00956CBA"/>
    <w:rsid w:val="009577FF"/>
    <w:rsid w:val="00961728"/>
    <w:rsid w:val="009620B4"/>
    <w:rsid w:val="00962C78"/>
    <w:rsid w:val="00963FE6"/>
    <w:rsid w:val="00964C8C"/>
    <w:rsid w:val="009653AA"/>
    <w:rsid w:val="00965A9D"/>
    <w:rsid w:val="00966D93"/>
    <w:rsid w:val="00970BF9"/>
    <w:rsid w:val="00971189"/>
    <w:rsid w:val="009726AB"/>
    <w:rsid w:val="00972995"/>
    <w:rsid w:val="00972B41"/>
    <w:rsid w:val="00973482"/>
    <w:rsid w:val="00973B05"/>
    <w:rsid w:val="00973FF7"/>
    <w:rsid w:val="00974352"/>
    <w:rsid w:val="009763A0"/>
    <w:rsid w:val="009777BB"/>
    <w:rsid w:val="0097793A"/>
    <w:rsid w:val="00980598"/>
    <w:rsid w:val="00980E8C"/>
    <w:rsid w:val="009813AE"/>
    <w:rsid w:val="00981BEF"/>
    <w:rsid w:val="00982245"/>
    <w:rsid w:val="00983A7A"/>
    <w:rsid w:val="009854B8"/>
    <w:rsid w:val="0098592B"/>
    <w:rsid w:val="0098745C"/>
    <w:rsid w:val="0099307C"/>
    <w:rsid w:val="009935DB"/>
    <w:rsid w:val="00995618"/>
    <w:rsid w:val="009970EE"/>
    <w:rsid w:val="0099767E"/>
    <w:rsid w:val="009A1219"/>
    <w:rsid w:val="009A297E"/>
    <w:rsid w:val="009A2BB6"/>
    <w:rsid w:val="009B3B58"/>
    <w:rsid w:val="009B4250"/>
    <w:rsid w:val="009B58C8"/>
    <w:rsid w:val="009B6C51"/>
    <w:rsid w:val="009B6C7B"/>
    <w:rsid w:val="009C0244"/>
    <w:rsid w:val="009C06D3"/>
    <w:rsid w:val="009C0DD0"/>
    <w:rsid w:val="009C14CA"/>
    <w:rsid w:val="009C2172"/>
    <w:rsid w:val="009C21B2"/>
    <w:rsid w:val="009C270A"/>
    <w:rsid w:val="009C2D55"/>
    <w:rsid w:val="009C3129"/>
    <w:rsid w:val="009C3A0C"/>
    <w:rsid w:val="009C592C"/>
    <w:rsid w:val="009C59EE"/>
    <w:rsid w:val="009C5ECE"/>
    <w:rsid w:val="009C714C"/>
    <w:rsid w:val="009C71A4"/>
    <w:rsid w:val="009D0402"/>
    <w:rsid w:val="009D267C"/>
    <w:rsid w:val="009D3297"/>
    <w:rsid w:val="009D3340"/>
    <w:rsid w:val="009D37C2"/>
    <w:rsid w:val="009D3FBA"/>
    <w:rsid w:val="009D455E"/>
    <w:rsid w:val="009D7BD3"/>
    <w:rsid w:val="009E0673"/>
    <w:rsid w:val="009E109A"/>
    <w:rsid w:val="009E1C1A"/>
    <w:rsid w:val="009E2243"/>
    <w:rsid w:val="009E27E1"/>
    <w:rsid w:val="009E37C7"/>
    <w:rsid w:val="009E474F"/>
    <w:rsid w:val="009E561D"/>
    <w:rsid w:val="009E6886"/>
    <w:rsid w:val="009E6EF3"/>
    <w:rsid w:val="009E74B6"/>
    <w:rsid w:val="009E7FDA"/>
    <w:rsid w:val="009F1545"/>
    <w:rsid w:val="009F1DB4"/>
    <w:rsid w:val="009F1F99"/>
    <w:rsid w:val="009F2290"/>
    <w:rsid w:val="009F2881"/>
    <w:rsid w:val="009F3EDA"/>
    <w:rsid w:val="009F441B"/>
    <w:rsid w:val="009F46ED"/>
    <w:rsid w:val="009F6CC3"/>
    <w:rsid w:val="009F6D19"/>
    <w:rsid w:val="009F7B6C"/>
    <w:rsid w:val="00A013CD"/>
    <w:rsid w:val="00A018FD"/>
    <w:rsid w:val="00A0370D"/>
    <w:rsid w:val="00A056A5"/>
    <w:rsid w:val="00A05926"/>
    <w:rsid w:val="00A07725"/>
    <w:rsid w:val="00A104A7"/>
    <w:rsid w:val="00A108BD"/>
    <w:rsid w:val="00A1144D"/>
    <w:rsid w:val="00A118EE"/>
    <w:rsid w:val="00A12BDD"/>
    <w:rsid w:val="00A12F23"/>
    <w:rsid w:val="00A13B5C"/>
    <w:rsid w:val="00A16CAE"/>
    <w:rsid w:val="00A21191"/>
    <w:rsid w:val="00A220BA"/>
    <w:rsid w:val="00A22A4F"/>
    <w:rsid w:val="00A25869"/>
    <w:rsid w:val="00A27551"/>
    <w:rsid w:val="00A27F07"/>
    <w:rsid w:val="00A30F60"/>
    <w:rsid w:val="00A317C6"/>
    <w:rsid w:val="00A33F50"/>
    <w:rsid w:val="00A346A1"/>
    <w:rsid w:val="00A35C07"/>
    <w:rsid w:val="00A36A42"/>
    <w:rsid w:val="00A40635"/>
    <w:rsid w:val="00A40DAD"/>
    <w:rsid w:val="00A41C66"/>
    <w:rsid w:val="00A41D2D"/>
    <w:rsid w:val="00A42B99"/>
    <w:rsid w:val="00A43694"/>
    <w:rsid w:val="00A43FFF"/>
    <w:rsid w:val="00A4457E"/>
    <w:rsid w:val="00A457E9"/>
    <w:rsid w:val="00A45B4F"/>
    <w:rsid w:val="00A45C09"/>
    <w:rsid w:val="00A45CAB"/>
    <w:rsid w:val="00A47EEC"/>
    <w:rsid w:val="00A5375E"/>
    <w:rsid w:val="00A53E30"/>
    <w:rsid w:val="00A56EA5"/>
    <w:rsid w:val="00A601C7"/>
    <w:rsid w:val="00A639B9"/>
    <w:rsid w:val="00A63EA9"/>
    <w:rsid w:val="00A65760"/>
    <w:rsid w:val="00A65838"/>
    <w:rsid w:val="00A70777"/>
    <w:rsid w:val="00A707EC"/>
    <w:rsid w:val="00A70C49"/>
    <w:rsid w:val="00A70C4D"/>
    <w:rsid w:val="00A725CC"/>
    <w:rsid w:val="00A72628"/>
    <w:rsid w:val="00A732F7"/>
    <w:rsid w:val="00A7432C"/>
    <w:rsid w:val="00A75689"/>
    <w:rsid w:val="00A75BE7"/>
    <w:rsid w:val="00A76851"/>
    <w:rsid w:val="00A768BE"/>
    <w:rsid w:val="00A76ABF"/>
    <w:rsid w:val="00A77C06"/>
    <w:rsid w:val="00A80E0F"/>
    <w:rsid w:val="00A81E22"/>
    <w:rsid w:val="00A82870"/>
    <w:rsid w:val="00A82F82"/>
    <w:rsid w:val="00A83E40"/>
    <w:rsid w:val="00A85B54"/>
    <w:rsid w:val="00A867CB"/>
    <w:rsid w:val="00A873CD"/>
    <w:rsid w:val="00A9348F"/>
    <w:rsid w:val="00A95429"/>
    <w:rsid w:val="00A95928"/>
    <w:rsid w:val="00A96390"/>
    <w:rsid w:val="00A971A2"/>
    <w:rsid w:val="00AA09E5"/>
    <w:rsid w:val="00AA0BE9"/>
    <w:rsid w:val="00AA2358"/>
    <w:rsid w:val="00AA253F"/>
    <w:rsid w:val="00AA363C"/>
    <w:rsid w:val="00AA3E73"/>
    <w:rsid w:val="00AA41D6"/>
    <w:rsid w:val="00AA5A07"/>
    <w:rsid w:val="00AA5DBA"/>
    <w:rsid w:val="00AA72CD"/>
    <w:rsid w:val="00AA7999"/>
    <w:rsid w:val="00AB0BF7"/>
    <w:rsid w:val="00AB0D02"/>
    <w:rsid w:val="00AB1423"/>
    <w:rsid w:val="00AB5507"/>
    <w:rsid w:val="00AB7132"/>
    <w:rsid w:val="00AB7EF7"/>
    <w:rsid w:val="00AC16B3"/>
    <w:rsid w:val="00AC2687"/>
    <w:rsid w:val="00AC353F"/>
    <w:rsid w:val="00AC3A95"/>
    <w:rsid w:val="00AC46D1"/>
    <w:rsid w:val="00AC4DBB"/>
    <w:rsid w:val="00AC76A2"/>
    <w:rsid w:val="00AD02F5"/>
    <w:rsid w:val="00AD0E72"/>
    <w:rsid w:val="00AD5282"/>
    <w:rsid w:val="00AD6BC1"/>
    <w:rsid w:val="00AD7E44"/>
    <w:rsid w:val="00AE0592"/>
    <w:rsid w:val="00AE1428"/>
    <w:rsid w:val="00AE2425"/>
    <w:rsid w:val="00AE37D5"/>
    <w:rsid w:val="00AE3BD0"/>
    <w:rsid w:val="00AE6CE1"/>
    <w:rsid w:val="00AF05D6"/>
    <w:rsid w:val="00AF10DD"/>
    <w:rsid w:val="00AF2CD4"/>
    <w:rsid w:val="00AF2E69"/>
    <w:rsid w:val="00AF443C"/>
    <w:rsid w:val="00AF4587"/>
    <w:rsid w:val="00AF467B"/>
    <w:rsid w:val="00AF641E"/>
    <w:rsid w:val="00B002AE"/>
    <w:rsid w:val="00B0119F"/>
    <w:rsid w:val="00B017C5"/>
    <w:rsid w:val="00B04564"/>
    <w:rsid w:val="00B04A8F"/>
    <w:rsid w:val="00B04C0A"/>
    <w:rsid w:val="00B05024"/>
    <w:rsid w:val="00B066BF"/>
    <w:rsid w:val="00B07EA6"/>
    <w:rsid w:val="00B128AA"/>
    <w:rsid w:val="00B133FB"/>
    <w:rsid w:val="00B13B2C"/>
    <w:rsid w:val="00B13FFF"/>
    <w:rsid w:val="00B15725"/>
    <w:rsid w:val="00B15E09"/>
    <w:rsid w:val="00B2039F"/>
    <w:rsid w:val="00B21443"/>
    <w:rsid w:val="00B21630"/>
    <w:rsid w:val="00B230C8"/>
    <w:rsid w:val="00B232DE"/>
    <w:rsid w:val="00B24995"/>
    <w:rsid w:val="00B25C52"/>
    <w:rsid w:val="00B265DF"/>
    <w:rsid w:val="00B279ED"/>
    <w:rsid w:val="00B30AD9"/>
    <w:rsid w:val="00B30B20"/>
    <w:rsid w:val="00B37F8D"/>
    <w:rsid w:val="00B40605"/>
    <w:rsid w:val="00B46A1A"/>
    <w:rsid w:val="00B50741"/>
    <w:rsid w:val="00B50B81"/>
    <w:rsid w:val="00B51078"/>
    <w:rsid w:val="00B52B6E"/>
    <w:rsid w:val="00B52CAA"/>
    <w:rsid w:val="00B5578F"/>
    <w:rsid w:val="00B55B19"/>
    <w:rsid w:val="00B55F36"/>
    <w:rsid w:val="00B564DC"/>
    <w:rsid w:val="00B5719D"/>
    <w:rsid w:val="00B57666"/>
    <w:rsid w:val="00B57AD0"/>
    <w:rsid w:val="00B603EB"/>
    <w:rsid w:val="00B60EE8"/>
    <w:rsid w:val="00B6169C"/>
    <w:rsid w:val="00B61B7C"/>
    <w:rsid w:val="00B63337"/>
    <w:rsid w:val="00B64370"/>
    <w:rsid w:val="00B65D00"/>
    <w:rsid w:val="00B66980"/>
    <w:rsid w:val="00B67C33"/>
    <w:rsid w:val="00B700F4"/>
    <w:rsid w:val="00B70575"/>
    <w:rsid w:val="00B71EA9"/>
    <w:rsid w:val="00B7328F"/>
    <w:rsid w:val="00B7407A"/>
    <w:rsid w:val="00B75EC2"/>
    <w:rsid w:val="00B76912"/>
    <w:rsid w:val="00B77060"/>
    <w:rsid w:val="00B82B63"/>
    <w:rsid w:val="00B83530"/>
    <w:rsid w:val="00B8364D"/>
    <w:rsid w:val="00B83711"/>
    <w:rsid w:val="00B850FE"/>
    <w:rsid w:val="00B85427"/>
    <w:rsid w:val="00B86333"/>
    <w:rsid w:val="00B923E9"/>
    <w:rsid w:val="00B9362A"/>
    <w:rsid w:val="00B9474F"/>
    <w:rsid w:val="00BA2607"/>
    <w:rsid w:val="00BA2B8A"/>
    <w:rsid w:val="00BA4503"/>
    <w:rsid w:val="00BA4863"/>
    <w:rsid w:val="00BA4CD8"/>
    <w:rsid w:val="00BA4E62"/>
    <w:rsid w:val="00BA5AD3"/>
    <w:rsid w:val="00BA5B48"/>
    <w:rsid w:val="00BA5DB3"/>
    <w:rsid w:val="00BA6834"/>
    <w:rsid w:val="00BA7891"/>
    <w:rsid w:val="00BB09B1"/>
    <w:rsid w:val="00BB0DA7"/>
    <w:rsid w:val="00BB21A1"/>
    <w:rsid w:val="00BB29F2"/>
    <w:rsid w:val="00BB3894"/>
    <w:rsid w:val="00BB4117"/>
    <w:rsid w:val="00BB4714"/>
    <w:rsid w:val="00BB4BCC"/>
    <w:rsid w:val="00BB546D"/>
    <w:rsid w:val="00BB6E41"/>
    <w:rsid w:val="00BC214E"/>
    <w:rsid w:val="00BC45BB"/>
    <w:rsid w:val="00BC497C"/>
    <w:rsid w:val="00BC4E9D"/>
    <w:rsid w:val="00BC60FC"/>
    <w:rsid w:val="00BC72A2"/>
    <w:rsid w:val="00BC7CC6"/>
    <w:rsid w:val="00BC7CEA"/>
    <w:rsid w:val="00BD3244"/>
    <w:rsid w:val="00BD32F4"/>
    <w:rsid w:val="00BD46B8"/>
    <w:rsid w:val="00BD7169"/>
    <w:rsid w:val="00BD769B"/>
    <w:rsid w:val="00BD7A39"/>
    <w:rsid w:val="00BE03C5"/>
    <w:rsid w:val="00BE0787"/>
    <w:rsid w:val="00BE08CA"/>
    <w:rsid w:val="00BE124E"/>
    <w:rsid w:val="00BE176D"/>
    <w:rsid w:val="00BE255E"/>
    <w:rsid w:val="00BE3448"/>
    <w:rsid w:val="00BE3E6B"/>
    <w:rsid w:val="00BE589F"/>
    <w:rsid w:val="00BE58EE"/>
    <w:rsid w:val="00BF1DD8"/>
    <w:rsid w:val="00BF21DD"/>
    <w:rsid w:val="00BF26FF"/>
    <w:rsid w:val="00BF2C90"/>
    <w:rsid w:val="00BF3BF7"/>
    <w:rsid w:val="00BF3C3A"/>
    <w:rsid w:val="00BF5F7B"/>
    <w:rsid w:val="00BF6487"/>
    <w:rsid w:val="00C00558"/>
    <w:rsid w:val="00C00B85"/>
    <w:rsid w:val="00C014CD"/>
    <w:rsid w:val="00C01E46"/>
    <w:rsid w:val="00C02167"/>
    <w:rsid w:val="00C027F6"/>
    <w:rsid w:val="00C02880"/>
    <w:rsid w:val="00C02C3F"/>
    <w:rsid w:val="00C05274"/>
    <w:rsid w:val="00C05955"/>
    <w:rsid w:val="00C05E37"/>
    <w:rsid w:val="00C07205"/>
    <w:rsid w:val="00C10917"/>
    <w:rsid w:val="00C1346B"/>
    <w:rsid w:val="00C15FC1"/>
    <w:rsid w:val="00C16660"/>
    <w:rsid w:val="00C17AC4"/>
    <w:rsid w:val="00C2266A"/>
    <w:rsid w:val="00C23380"/>
    <w:rsid w:val="00C24506"/>
    <w:rsid w:val="00C259BE"/>
    <w:rsid w:val="00C26100"/>
    <w:rsid w:val="00C265FC"/>
    <w:rsid w:val="00C2739A"/>
    <w:rsid w:val="00C27838"/>
    <w:rsid w:val="00C30216"/>
    <w:rsid w:val="00C30550"/>
    <w:rsid w:val="00C305A6"/>
    <w:rsid w:val="00C31CD0"/>
    <w:rsid w:val="00C40414"/>
    <w:rsid w:val="00C404D7"/>
    <w:rsid w:val="00C42055"/>
    <w:rsid w:val="00C4234B"/>
    <w:rsid w:val="00C42C2B"/>
    <w:rsid w:val="00C44E95"/>
    <w:rsid w:val="00C4505E"/>
    <w:rsid w:val="00C46471"/>
    <w:rsid w:val="00C4753D"/>
    <w:rsid w:val="00C53767"/>
    <w:rsid w:val="00C608FF"/>
    <w:rsid w:val="00C61B8B"/>
    <w:rsid w:val="00C63003"/>
    <w:rsid w:val="00C63681"/>
    <w:rsid w:val="00C64646"/>
    <w:rsid w:val="00C663A8"/>
    <w:rsid w:val="00C7001F"/>
    <w:rsid w:val="00C72BF0"/>
    <w:rsid w:val="00C74206"/>
    <w:rsid w:val="00C74CE4"/>
    <w:rsid w:val="00C74EAB"/>
    <w:rsid w:val="00C80466"/>
    <w:rsid w:val="00C81755"/>
    <w:rsid w:val="00C847F8"/>
    <w:rsid w:val="00C84F59"/>
    <w:rsid w:val="00C85CCF"/>
    <w:rsid w:val="00C86A58"/>
    <w:rsid w:val="00C876BD"/>
    <w:rsid w:val="00C87DD1"/>
    <w:rsid w:val="00C90C87"/>
    <w:rsid w:val="00C91769"/>
    <w:rsid w:val="00C92189"/>
    <w:rsid w:val="00C93840"/>
    <w:rsid w:val="00C943BA"/>
    <w:rsid w:val="00C94C57"/>
    <w:rsid w:val="00C95F43"/>
    <w:rsid w:val="00CA1670"/>
    <w:rsid w:val="00CA2105"/>
    <w:rsid w:val="00CA34C8"/>
    <w:rsid w:val="00CA3BE1"/>
    <w:rsid w:val="00CA4F2B"/>
    <w:rsid w:val="00CA686C"/>
    <w:rsid w:val="00CB0CE8"/>
    <w:rsid w:val="00CB1421"/>
    <w:rsid w:val="00CB148F"/>
    <w:rsid w:val="00CB1932"/>
    <w:rsid w:val="00CB24E4"/>
    <w:rsid w:val="00CB335A"/>
    <w:rsid w:val="00CB4BBE"/>
    <w:rsid w:val="00CB519C"/>
    <w:rsid w:val="00CB5FEF"/>
    <w:rsid w:val="00CB6478"/>
    <w:rsid w:val="00CB77F8"/>
    <w:rsid w:val="00CC11BD"/>
    <w:rsid w:val="00CC1D7C"/>
    <w:rsid w:val="00CC31BE"/>
    <w:rsid w:val="00CC3519"/>
    <w:rsid w:val="00CC4D77"/>
    <w:rsid w:val="00CC59EC"/>
    <w:rsid w:val="00CC7CEF"/>
    <w:rsid w:val="00CD139B"/>
    <w:rsid w:val="00CD39AD"/>
    <w:rsid w:val="00CD3C14"/>
    <w:rsid w:val="00CD3D23"/>
    <w:rsid w:val="00CD4056"/>
    <w:rsid w:val="00CD5EDD"/>
    <w:rsid w:val="00CD775B"/>
    <w:rsid w:val="00CE02F0"/>
    <w:rsid w:val="00CE0653"/>
    <w:rsid w:val="00CE1FA2"/>
    <w:rsid w:val="00CE255E"/>
    <w:rsid w:val="00CE4043"/>
    <w:rsid w:val="00CE6045"/>
    <w:rsid w:val="00CE654F"/>
    <w:rsid w:val="00CE6D01"/>
    <w:rsid w:val="00CF4137"/>
    <w:rsid w:val="00CF5E22"/>
    <w:rsid w:val="00CF5F10"/>
    <w:rsid w:val="00CF7228"/>
    <w:rsid w:val="00CF7E24"/>
    <w:rsid w:val="00D0007A"/>
    <w:rsid w:val="00D002B2"/>
    <w:rsid w:val="00D004E3"/>
    <w:rsid w:val="00D0114E"/>
    <w:rsid w:val="00D01B0D"/>
    <w:rsid w:val="00D02EBD"/>
    <w:rsid w:val="00D034B1"/>
    <w:rsid w:val="00D0396C"/>
    <w:rsid w:val="00D04BFA"/>
    <w:rsid w:val="00D04C05"/>
    <w:rsid w:val="00D06562"/>
    <w:rsid w:val="00D06CB5"/>
    <w:rsid w:val="00D1017C"/>
    <w:rsid w:val="00D10376"/>
    <w:rsid w:val="00D1053C"/>
    <w:rsid w:val="00D10BD8"/>
    <w:rsid w:val="00D10E55"/>
    <w:rsid w:val="00D123EC"/>
    <w:rsid w:val="00D12A3D"/>
    <w:rsid w:val="00D14633"/>
    <w:rsid w:val="00D147D8"/>
    <w:rsid w:val="00D14CC7"/>
    <w:rsid w:val="00D15FD1"/>
    <w:rsid w:val="00D16090"/>
    <w:rsid w:val="00D165B9"/>
    <w:rsid w:val="00D20985"/>
    <w:rsid w:val="00D2128D"/>
    <w:rsid w:val="00D2178B"/>
    <w:rsid w:val="00D22490"/>
    <w:rsid w:val="00D22B4D"/>
    <w:rsid w:val="00D2342B"/>
    <w:rsid w:val="00D25299"/>
    <w:rsid w:val="00D25942"/>
    <w:rsid w:val="00D27BA1"/>
    <w:rsid w:val="00D3184D"/>
    <w:rsid w:val="00D321E7"/>
    <w:rsid w:val="00D33C5E"/>
    <w:rsid w:val="00D33D66"/>
    <w:rsid w:val="00D36422"/>
    <w:rsid w:val="00D3675D"/>
    <w:rsid w:val="00D36C4C"/>
    <w:rsid w:val="00D37DC8"/>
    <w:rsid w:val="00D41141"/>
    <w:rsid w:val="00D41877"/>
    <w:rsid w:val="00D422F6"/>
    <w:rsid w:val="00D42564"/>
    <w:rsid w:val="00D430F3"/>
    <w:rsid w:val="00D43D6E"/>
    <w:rsid w:val="00D44135"/>
    <w:rsid w:val="00D457BD"/>
    <w:rsid w:val="00D466CF"/>
    <w:rsid w:val="00D467B6"/>
    <w:rsid w:val="00D50B30"/>
    <w:rsid w:val="00D510FA"/>
    <w:rsid w:val="00D5163C"/>
    <w:rsid w:val="00D531E7"/>
    <w:rsid w:val="00D54D8E"/>
    <w:rsid w:val="00D55105"/>
    <w:rsid w:val="00D556AE"/>
    <w:rsid w:val="00D56832"/>
    <w:rsid w:val="00D572DC"/>
    <w:rsid w:val="00D61158"/>
    <w:rsid w:val="00D70B0A"/>
    <w:rsid w:val="00D715AE"/>
    <w:rsid w:val="00D74089"/>
    <w:rsid w:val="00D77EDD"/>
    <w:rsid w:val="00D807BD"/>
    <w:rsid w:val="00D82048"/>
    <w:rsid w:val="00D822D5"/>
    <w:rsid w:val="00D83A76"/>
    <w:rsid w:val="00D83AA4"/>
    <w:rsid w:val="00D83F0E"/>
    <w:rsid w:val="00D850A0"/>
    <w:rsid w:val="00D86116"/>
    <w:rsid w:val="00D862C4"/>
    <w:rsid w:val="00D86A7E"/>
    <w:rsid w:val="00D87C1C"/>
    <w:rsid w:val="00D90B05"/>
    <w:rsid w:val="00D937F9"/>
    <w:rsid w:val="00D94EB7"/>
    <w:rsid w:val="00D94F19"/>
    <w:rsid w:val="00D95D1E"/>
    <w:rsid w:val="00D96118"/>
    <w:rsid w:val="00D96298"/>
    <w:rsid w:val="00D96656"/>
    <w:rsid w:val="00D976E2"/>
    <w:rsid w:val="00D97D3F"/>
    <w:rsid w:val="00DA0716"/>
    <w:rsid w:val="00DA077A"/>
    <w:rsid w:val="00DA1DFB"/>
    <w:rsid w:val="00DA2280"/>
    <w:rsid w:val="00DA4136"/>
    <w:rsid w:val="00DA4944"/>
    <w:rsid w:val="00DA5452"/>
    <w:rsid w:val="00DA569A"/>
    <w:rsid w:val="00DA5C50"/>
    <w:rsid w:val="00DA7293"/>
    <w:rsid w:val="00DA7343"/>
    <w:rsid w:val="00DB00D1"/>
    <w:rsid w:val="00DB03BD"/>
    <w:rsid w:val="00DB086B"/>
    <w:rsid w:val="00DB1384"/>
    <w:rsid w:val="00DB13D3"/>
    <w:rsid w:val="00DB3148"/>
    <w:rsid w:val="00DB3C1C"/>
    <w:rsid w:val="00DB4C23"/>
    <w:rsid w:val="00DB55C2"/>
    <w:rsid w:val="00DB5F98"/>
    <w:rsid w:val="00DB74E3"/>
    <w:rsid w:val="00DB795E"/>
    <w:rsid w:val="00DC0D23"/>
    <w:rsid w:val="00DC1417"/>
    <w:rsid w:val="00DC1FFD"/>
    <w:rsid w:val="00DC2DC2"/>
    <w:rsid w:val="00DC3227"/>
    <w:rsid w:val="00DC3FB8"/>
    <w:rsid w:val="00DC4536"/>
    <w:rsid w:val="00DC469D"/>
    <w:rsid w:val="00DC4C0E"/>
    <w:rsid w:val="00DC7389"/>
    <w:rsid w:val="00DD0B80"/>
    <w:rsid w:val="00DD0BFD"/>
    <w:rsid w:val="00DD0D29"/>
    <w:rsid w:val="00DD115C"/>
    <w:rsid w:val="00DD2776"/>
    <w:rsid w:val="00DD2E1C"/>
    <w:rsid w:val="00DD2F57"/>
    <w:rsid w:val="00DD3AD4"/>
    <w:rsid w:val="00DD3B07"/>
    <w:rsid w:val="00DD4F26"/>
    <w:rsid w:val="00DD75DA"/>
    <w:rsid w:val="00DE0959"/>
    <w:rsid w:val="00DE42ED"/>
    <w:rsid w:val="00DE64A2"/>
    <w:rsid w:val="00DF02DA"/>
    <w:rsid w:val="00DF062A"/>
    <w:rsid w:val="00DF1802"/>
    <w:rsid w:val="00DF28C2"/>
    <w:rsid w:val="00DF46F1"/>
    <w:rsid w:val="00DF5384"/>
    <w:rsid w:val="00E018B0"/>
    <w:rsid w:val="00E0329F"/>
    <w:rsid w:val="00E03BB8"/>
    <w:rsid w:val="00E047F7"/>
    <w:rsid w:val="00E05C3C"/>
    <w:rsid w:val="00E05F1A"/>
    <w:rsid w:val="00E06229"/>
    <w:rsid w:val="00E06BDF"/>
    <w:rsid w:val="00E0796E"/>
    <w:rsid w:val="00E14C29"/>
    <w:rsid w:val="00E15C19"/>
    <w:rsid w:val="00E1625A"/>
    <w:rsid w:val="00E1664F"/>
    <w:rsid w:val="00E177E2"/>
    <w:rsid w:val="00E22B61"/>
    <w:rsid w:val="00E23441"/>
    <w:rsid w:val="00E23CCC"/>
    <w:rsid w:val="00E24475"/>
    <w:rsid w:val="00E248B9"/>
    <w:rsid w:val="00E25C09"/>
    <w:rsid w:val="00E27546"/>
    <w:rsid w:val="00E304F9"/>
    <w:rsid w:val="00E3192D"/>
    <w:rsid w:val="00E32CE2"/>
    <w:rsid w:val="00E34BA1"/>
    <w:rsid w:val="00E35AEF"/>
    <w:rsid w:val="00E36369"/>
    <w:rsid w:val="00E36ADB"/>
    <w:rsid w:val="00E42729"/>
    <w:rsid w:val="00E43C62"/>
    <w:rsid w:val="00E446C5"/>
    <w:rsid w:val="00E44DE3"/>
    <w:rsid w:val="00E455C9"/>
    <w:rsid w:val="00E459FA"/>
    <w:rsid w:val="00E47342"/>
    <w:rsid w:val="00E5000D"/>
    <w:rsid w:val="00E508A2"/>
    <w:rsid w:val="00E52A57"/>
    <w:rsid w:val="00E52C17"/>
    <w:rsid w:val="00E53305"/>
    <w:rsid w:val="00E55286"/>
    <w:rsid w:val="00E5540C"/>
    <w:rsid w:val="00E559BD"/>
    <w:rsid w:val="00E571B6"/>
    <w:rsid w:val="00E57682"/>
    <w:rsid w:val="00E57A72"/>
    <w:rsid w:val="00E604D9"/>
    <w:rsid w:val="00E628CA"/>
    <w:rsid w:val="00E63D3B"/>
    <w:rsid w:val="00E667F1"/>
    <w:rsid w:val="00E66BD0"/>
    <w:rsid w:val="00E7121B"/>
    <w:rsid w:val="00E76A09"/>
    <w:rsid w:val="00E80291"/>
    <w:rsid w:val="00E83677"/>
    <w:rsid w:val="00E8566D"/>
    <w:rsid w:val="00E87BD0"/>
    <w:rsid w:val="00E87F67"/>
    <w:rsid w:val="00E92780"/>
    <w:rsid w:val="00E947CC"/>
    <w:rsid w:val="00E95F36"/>
    <w:rsid w:val="00E96915"/>
    <w:rsid w:val="00EA1697"/>
    <w:rsid w:val="00EA26AC"/>
    <w:rsid w:val="00EA28C4"/>
    <w:rsid w:val="00EA58D2"/>
    <w:rsid w:val="00EA5B79"/>
    <w:rsid w:val="00EA63D7"/>
    <w:rsid w:val="00EA6E4F"/>
    <w:rsid w:val="00EA73DF"/>
    <w:rsid w:val="00EB0A05"/>
    <w:rsid w:val="00EB1276"/>
    <w:rsid w:val="00EB1B8C"/>
    <w:rsid w:val="00EB3D12"/>
    <w:rsid w:val="00EB4644"/>
    <w:rsid w:val="00EB51E6"/>
    <w:rsid w:val="00EB5312"/>
    <w:rsid w:val="00EB70F5"/>
    <w:rsid w:val="00EB7292"/>
    <w:rsid w:val="00EB7921"/>
    <w:rsid w:val="00EC1348"/>
    <w:rsid w:val="00EC157A"/>
    <w:rsid w:val="00EC230E"/>
    <w:rsid w:val="00EC2B74"/>
    <w:rsid w:val="00EC2E61"/>
    <w:rsid w:val="00EC3066"/>
    <w:rsid w:val="00EC59EB"/>
    <w:rsid w:val="00EC6207"/>
    <w:rsid w:val="00EC644A"/>
    <w:rsid w:val="00EC750F"/>
    <w:rsid w:val="00EC767C"/>
    <w:rsid w:val="00EC7DEA"/>
    <w:rsid w:val="00ED1F18"/>
    <w:rsid w:val="00ED2F2C"/>
    <w:rsid w:val="00ED325F"/>
    <w:rsid w:val="00ED409F"/>
    <w:rsid w:val="00ED452F"/>
    <w:rsid w:val="00ED517C"/>
    <w:rsid w:val="00ED7B9F"/>
    <w:rsid w:val="00EE0EC9"/>
    <w:rsid w:val="00EE2305"/>
    <w:rsid w:val="00EE31BD"/>
    <w:rsid w:val="00EE38A4"/>
    <w:rsid w:val="00EE6141"/>
    <w:rsid w:val="00EE684E"/>
    <w:rsid w:val="00EE73D2"/>
    <w:rsid w:val="00EF2214"/>
    <w:rsid w:val="00EF2A84"/>
    <w:rsid w:val="00EF3076"/>
    <w:rsid w:val="00EF323B"/>
    <w:rsid w:val="00EF38AD"/>
    <w:rsid w:val="00EF4028"/>
    <w:rsid w:val="00EF6243"/>
    <w:rsid w:val="00EF6525"/>
    <w:rsid w:val="00F00E66"/>
    <w:rsid w:val="00F025E3"/>
    <w:rsid w:val="00F0271A"/>
    <w:rsid w:val="00F02F1F"/>
    <w:rsid w:val="00F03C89"/>
    <w:rsid w:val="00F044A8"/>
    <w:rsid w:val="00F05945"/>
    <w:rsid w:val="00F06C17"/>
    <w:rsid w:val="00F110C5"/>
    <w:rsid w:val="00F14A86"/>
    <w:rsid w:val="00F14F0F"/>
    <w:rsid w:val="00F16190"/>
    <w:rsid w:val="00F16B17"/>
    <w:rsid w:val="00F201BC"/>
    <w:rsid w:val="00F222D6"/>
    <w:rsid w:val="00F22898"/>
    <w:rsid w:val="00F22E46"/>
    <w:rsid w:val="00F24506"/>
    <w:rsid w:val="00F249E6"/>
    <w:rsid w:val="00F25099"/>
    <w:rsid w:val="00F25187"/>
    <w:rsid w:val="00F269FD"/>
    <w:rsid w:val="00F27425"/>
    <w:rsid w:val="00F3210F"/>
    <w:rsid w:val="00F3325E"/>
    <w:rsid w:val="00F33801"/>
    <w:rsid w:val="00F33ABB"/>
    <w:rsid w:val="00F34B24"/>
    <w:rsid w:val="00F44541"/>
    <w:rsid w:val="00F449A5"/>
    <w:rsid w:val="00F4562C"/>
    <w:rsid w:val="00F46D6B"/>
    <w:rsid w:val="00F501E9"/>
    <w:rsid w:val="00F50492"/>
    <w:rsid w:val="00F5076C"/>
    <w:rsid w:val="00F528DB"/>
    <w:rsid w:val="00F54539"/>
    <w:rsid w:val="00F54DB3"/>
    <w:rsid w:val="00F57542"/>
    <w:rsid w:val="00F57BA7"/>
    <w:rsid w:val="00F57C5E"/>
    <w:rsid w:val="00F63A3A"/>
    <w:rsid w:val="00F64812"/>
    <w:rsid w:val="00F65D63"/>
    <w:rsid w:val="00F661E3"/>
    <w:rsid w:val="00F6704D"/>
    <w:rsid w:val="00F6739D"/>
    <w:rsid w:val="00F67FD7"/>
    <w:rsid w:val="00F70CBE"/>
    <w:rsid w:val="00F71835"/>
    <w:rsid w:val="00F71DE7"/>
    <w:rsid w:val="00F72605"/>
    <w:rsid w:val="00F72861"/>
    <w:rsid w:val="00F74615"/>
    <w:rsid w:val="00F7465A"/>
    <w:rsid w:val="00F754F5"/>
    <w:rsid w:val="00F76F1F"/>
    <w:rsid w:val="00F770F6"/>
    <w:rsid w:val="00F8116B"/>
    <w:rsid w:val="00F81213"/>
    <w:rsid w:val="00F8136B"/>
    <w:rsid w:val="00F8170A"/>
    <w:rsid w:val="00F81B72"/>
    <w:rsid w:val="00F82FA4"/>
    <w:rsid w:val="00F834B0"/>
    <w:rsid w:val="00F848EC"/>
    <w:rsid w:val="00F85CE8"/>
    <w:rsid w:val="00F864AF"/>
    <w:rsid w:val="00F87134"/>
    <w:rsid w:val="00F9182D"/>
    <w:rsid w:val="00FA0FED"/>
    <w:rsid w:val="00FA1A90"/>
    <w:rsid w:val="00FA28A3"/>
    <w:rsid w:val="00FA32CB"/>
    <w:rsid w:val="00FA38D2"/>
    <w:rsid w:val="00FA4156"/>
    <w:rsid w:val="00FA42C5"/>
    <w:rsid w:val="00FA55C0"/>
    <w:rsid w:val="00FA5DDD"/>
    <w:rsid w:val="00FA76B8"/>
    <w:rsid w:val="00FB0153"/>
    <w:rsid w:val="00FB055B"/>
    <w:rsid w:val="00FB057C"/>
    <w:rsid w:val="00FB081D"/>
    <w:rsid w:val="00FB0CDE"/>
    <w:rsid w:val="00FB15EB"/>
    <w:rsid w:val="00FB178C"/>
    <w:rsid w:val="00FB20E2"/>
    <w:rsid w:val="00FB21F9"/>
    <w:rsid w:val="00FB4B71"/>
    <w:rsid w:val="00FB4F27"/>
    <w:rsid w:val="00FB5871"/>
    <w:rsid w:val="00FB60EB"/>
    <w:rsid w:val="00FB6DD5"/>
    <w:rsid w:val="00FC0ED4"/>
    <w:rsid w:val="00FC10FF"/>
    <w:rsid w:val="00FC13B6"/>
    <w:rsid w:val="00FC1511"/>
    <w:rsid w:val="00FC16D9"/>
    <w:rsid w:val="00FC50F0"/>
    <w:rsid w:val="00FC6AF5"/>
    <w:rsid w:val="00FC6E7D"/>
    <w:rsid w:val="00FD1744"/>
    <w:rsid w:val="00FD2E54"/>
    <w:rsid w:val="00FD3261"/>
    <w:rsid w:val="00FD60D9"/>
    <w:rsid w:val="00FD6872"/>
    <w:rsid w:val="00FD6ABD"/>
    <w:rsid w:val="00FD7835"/>
    <w:rsid w:val="00FE0085"/>
    <w:rsid w:val="00FE109D"/>
    <w:rsid w:val="00FE2ACC"/>
    <w:rsid w:val="00FE2EC2"/>
    <w:rsid w:val="00FE39E0"/>
    <w:rsid w:val="00FE5660"/>
    <w:rsid w:val="00FE586E"/>
    <w:rsid w:val="00FE5CD0"/>
    <w:rsid w:val="00FE693B"/>
    <w:rsid w:val="00FE7DF3"/>
    <w:rsid w:val="00FF2518"/>
    <w:rsid w:val="00FF25C9"/>
    <w:rsid w:val="00FF33F6"/>
    <w:rsid w:val="00FF40D3"/>
    <w:rsid w:val="00FF4AC3"/>
    <w:rsid w:val="00FF596B"/>
    <w:rsid w:val="00FF5B60"/>
    <w:rsid w:val="00FF72ED"/>
  </w:rsids>
  <m:mathPr>
    <m:mathFont m:val="Cambria Math"/>
    <m:brkBin m:val="before"/>
    <m:brkBinSub m:val="--"/>
    <m:smallFrac m:val="off"/>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v-SE" w:eastAsia="sv-S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680C"/>
    <w:pPr>
      <w:overflowPunct w:val="0"/>
      <w:autoSpaceDE w:val="0"/>
      <w:autoSpaceDN w:val="0"/>
      <w:adjustRightInd w:val="0"/>
      <w:spacing w:before="120" w:after="120"/>
      <w:textAlignment w:val="baseline"/>
    </w:pPr>
    <w:rPr>
      <w:sz w:val="24"/>
      <w:lang w:val="en-GB"/>
    </w:rPr>
  </w:style>
  <w:style w:type="paragraph" w:styleId="Rubrik1">
    <w:name w:val="heading 1"/>
    <w:basedOn w:val="Brdtext"/>
    <w:next w:val="Brdtext"/>
    <w:link w:val="Rubrik1Char"/>
    <w:qFormat/>
    <w:rsid w:val="002D62FE"/>
    <w:pPr>
      <w:keepNext/>
      <w:keepLines/>
      <w:numPr>
        <w:numId w:val="7"/>
      </w:numPr>
      <w:spacing w:before="240"/>
      <w:outlineLvl w:val="0"/>
    </w:pPr>
    <w:rPr>
      <w:b/>
      <w:kern w:val="28"/>
      <w:sz w:val="36"/>
      <w:lang w:val="en-US"/>
    </w:rPr>
  </w:style>
  <w:style w:type="paragraph" w:styleId="Rubrik2">
    <w:name w:val="heading 2"/>
    <w:basedOn w:val="Brdtext"/>
    <w:next w:val="Brdtext"/>
    <w:qFormat/>
    <w:rsid w:val="007A4E98"/>
    <w:pPr>
      <w:keepNext/>
      <w:keepLines/>
      <w:numPr>
        <w:numId w:val="40"/>
      </w:numPr>
      <w:spacing w:before="240"/>
      <w:outlineLvl w:val="1"/>
    </w:pPr>
    <w:rPr>
      <w:b/>
      <w:sz w:val="30"/>
      <w:lang w:val="en-US"/>
    </w:rPr>
  </w:style>
  <w:style w:type="paragraph" w:styleId="Rubrik3">
    <w:name w:val="heading 3"/>
    <w:basedOn w:val="Brdtext"/>
    <w:next w:val="Brdtext"/>
    <w:autoRedefine/>
    <w:qFormat/>
    <w:rsid w:val="00480641"/>
    <w:pPr>
      <w:keepNext/>
      <w:keepLines/>
      <w:numPr>
        <w:ilvl w:val="2"/>
        <w:numId w:val="7"/>
      </w:numPr>
      <w:spacing w:before="240"/>
      <w:outlineLvl w:val="2"/>
    </w:pPr>
    <w:rPr>
      <w:b/>
    </w:rPr>
  </w:style>
  <w:style w:type="paragraph" w:styleId="Rubrik4">
    <w:name w:val="heading 4"/>
    <w:basedOn w:val="Brdtext"/>
    <w:next w:val="Brdtext"/>
    <w:qFormat/>
    <w:rsid w:val="00297710"/>
    <w:pPr>
      <w:keepNext/>
      <w:keepLines/>
      <w:numPr>
        <w:ilvl w:val="3"/>
        <w:numId w:val="7"/>
      </w:numPr>
      <w:spacing w:before="240"/>
      <w:outlineLvl w:val="3"/>
    </w:pPr>
    <w:rPr>
      <w:b/>
      <w:i/>
    </w:rPr>
  </w:style>
  <w:style w:type="paragraph" w:styleId="Rubrik5">
    <w:name w:val="heading 5"/>
    <w:basedOn w:val="Brdtext"/>
    <w:next w:val="Brdtext"/>
    <w:qFormat/>
    <w:rsid w:val="00297710"/>
    <w:pPr>
      <w:keepNext/>
      <w:keepLines/>
      <w:numPr>
        <w:ilvl w:val="4"/>
        <w:numId w:val="7"/>
      </w:numPr>
      <w:spacing w:before="240"/>
      <w:outlineLvl w:val="4"/>
    </w:pPr>
    <w:rPr>
      <w:i/>
    </w:rPr>
  </w:style>
  <w:style w:type="paragraph" w:styleId="Rubrik6">
    <w:name w:val="heading 6"/>
    <w:basedOn w:val="Normal"/>
    <w:next w:val="Normal"/>
    <w:qFormat/>
    <w:rsid w:val="00297710"/>
    <w:pPr>
      <w:numPr>
        <w:ilvl w:val="5"/>
        <w:numId w:val="7"/>
      </w:numPr>
      <w:spacing w:before="240" w:after="60"/>
      <w:outlineLvl w:val="5"/>
    </w:pPr>
    <w:rPr>
      <w:rFonts w:ascii="Wingdings" w:hAnsi="Wingdings"/>
      <w:bCs/>
      <w:szCs w:val="22"/>
      <w:lang w:val="sv-SE"/>
    </w:rPr>
  </w:style>
  <w:style w:type="paragraph" w:styleId="Rubrik7">
    <w:name w:val="heading 7"/>
    <w:basedOn w:val="Normal"/>
    <w:next w:val="Normal"/>
    <w:qFormat/>
    <w:rsid w:val="00297710"/>
    <w:pPr>
      <w:numPr>
        <w:ilvl w:val="6"/>
        <w:numId w:val="7"/>
      </w:numPr>
      <w:spacing w:before="240" w:after="60"/>
      <w:outlineLvl w:val="6"/>
    </w:pPr>
    <w:rPr>
      <w:rFonts w:ascii="Wingdings" w:hAnsi="Wingdings"/>
      <w:szCs w:val="24"/>
      <w:lang w:val="sv-SE"/>
    </w:rPr>
  </w:style>
  <w:style w:type="paragraph" w:styleId="Rubrik8">
    <w:name w:val="heading 8"/>
    <w:basedOn w:val="Normal"/>
    <w:next w:val="Normal"/>
    <w:qFormat/>
    <w:rsid w:val="00297710"/>
    <w:pPr>
      <w:numPr>
        <w:ilvl w:val="7"/>
        <w:numId w:val="7"/>
      </w:numPr>
      <w:spacing w:before="240" w:after="60"/>
      <w:outlineLvl w:val="7"/>
    </w:pPr>
    <w:rPr>
      <w:rFonts w:ascii="Wingdings" w:hAnsi="Wingdings"/>
      <w:iCs/>
      <w:szCs w:val="24"/>
      <w:lang w:val="sv-SE"/>
    </w:rPr>
  </w:style>
  <w:style w:type="paragraph" w:styleId="Rubrik9">
    <w:name w:val="heading 9"/>
    <w:basedOn w:val="Normal"/>
    <w:next w:val="Normal"/>
    <w:qFormat/>
    <w:rsid w:val="00297710"/>
    <w:pPr>
      <w:numPr>
        <w:ilvl w:val="8"/>
        <w:numId w:val="7"/>
      </w:numPr>
      <w:spacing w:before="240" w:after="60"/>
      <w:outlineLvl w:val="8"/>
    </w:pPr>
    <w:rPr>
      <w:rFonts w:ascii="Wingdings" w:hAnsi="Wingdings" w:cs="Arial"/>
      <w:szCs w:val="22"/>
      <w:lang w:val="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
    <w:name w:val="Body Text"/>
    <w:basedOn w:val="Normal"/>
    <w:semiHidden/>
    <w:rsid w:val="00297710"/>
  </w:style>
  <w:style w:type="paragraph" w:customStyle="1" w:styleId="Sammanfattning">
    <w:name w:val="Sammanfattning"/>
    <w:basedOn w:val="Brdtext"/>
    <w:next w:val="Brdtext"/>
    <w:rsid w:val="00297710"/>
    <w:pPr>
      <w:spacing w:before="0"/>
    </w:pPr>
    <w:rPr>
      <w:b/>
      <w:sz w:val="36"/>
    </w:rPr>
  </w:style>
  <w:style w:type="paragraph" w:styleId="Sidhuvud">
    <w:name w:val="header"/>
    <w:basedOn w:val="Normal"/>
    <w:semiHidden/>
    <w:rsid w:val="00297710"/>
    <w:pPr>
      <w:tabs>
        <w:tab w:val="center" w:pos="4536"/>
        <w:tab w:val="right" w:pos="9072"/>
      </w:tabs>
    </w:pPr>
  </w:style>
  <w:style w:type="character" w:styleId="Hyperlnk">
    <w:name w:val="Hyperlink"/>
    <w:basedOn w:val="Standardstycketeckensnitt"/>
    <w:uiPriority w:val="99"/>
    <w:rsid w:val="00297710"/>
    <w:rPr>
      <w:color w:val="0000FF"/>
      <w:u w:val="single"/>
    </w:rPr>
  </w:style>
  <w:style w:type="paragraph" w:styleId="Innehll1">
    <w:name w:val="toc 1"/>
    <w:basedOn w:val="Rubrik1"/>
    <w:next w:val="Brdtext"/>
    <w:uiPriority w:val="39"/>
    <w:qFormat/>
    <w:rsid w:val="00297710"/>
    <w:pPr>
      <w:keepNext w:val="0"/>
      <w:keepLines w:val="0"/>
      <w:numPr>
        <w:numId w:val="0"/>
      </w:numPr>
      <w:spacing w:before="120"/>
      <w:outlineLvl w:val="9"/>
    </w:pPr>
    <w:rPr>
      <w:bCs/>
      <w:caps/>
      <w:kern w:val="0"/>
      <w:sz w:val="24"/>
      <w:szCs w:val="24"/>
    </w:rPr>
  </w:style>
  <w:style w:type="paragraph" w:styleId="Innehll2">
    <w:name w:val="toc 2"/>
    <w:basedOn w:val="Rubrik2"/>
    <w:next w:val="Brdtext"/>
    <w:uiPriority w:val="39"/>
    <w:qFormat/>
    <w:rsid w:val="00297710"/>
    <w:pPr>
      <w:keepNext w:val="0"/>
      <w:keepLines w:val="0"/>
      <w:numPr>
        <w:numId w:val="0"/>
      </w:numPr>
      <w:spacing w:before="0" w:after="0"/>
      <w:ind w:left="240"/>
      <w:outlineLvl w:val="9"/>
    </w:pPr>
    <w:rPr>
      <w:b w:val="0"/>
      <w:smallCaps/>
      <w:sz w:val="24"/>
      <w:szCs w:val="24"/>
    </w:rPr>
  </w:style>
  <w:style w:type="paragraph" w:styleId="Innehll3">
    <w:name w:val="toc 3"/>
    <w:basedOn w:val="Rubrik3"/>
    <w:next w:val="Brdtext"/>
    <w:uiPriority w:val="39"/>
    <w:qFormat/>
    <w:rsid w:val="00297710"/>
    <w:pPr>
      <w:keepNext w:val="0"/>
      <w:keepLines w:val="0"/>
      <w:numPr>
        <w:ilvl w:val="0"/>
        <w:numId w:val="0"/>
      </w:numPr>
      <w:spacing w:before="0" w:after="0"/>
      <w:ind w:left="480"/>
      <w:outlineLvl w:val="9"/>
    </w:pPr>
    <w:rPr>
      <w:b w:val="0"/>
      <w:i/>
      <w:iCs/>
      <w:szCs w:val="24"/>
    </w:rPr>
  </w:style>
  <w:style w:type="paragraph" w:customStyle="1" w:styleId="Titel">
    <w:name w:val="Titel"/>
    <w:basedOn w:val="Normal"/>
    <w:rsid w:val="00297710"/>
    <w:pPr>
      <w:spacing w:after="240"/>
    </w:pPr>
    <w:rPr>
      <w:b/>
      <w:kern w:val="28"/>
      <w:sz w:val="36"/>
    </w:rPr>
  </w:style>
  <w:style w:type="paragraph" w:styleId="Punktlista">
    <w:name w:val="List Bullet"/>
    <w:basedOn w:val="Brdtext"/>
    <w:semiHidden/>
    <w:rsid w:val="00297710"/>
    <w:pPr>
      <w:numPr>
        <w:numId w:val="2"/>
      </w:numPr>
      <w:tabs>
        <w:tab w:val="clear" w:pos="567"/>
      </w:tabs>
      <w:spacing w:before="0"/>
    </w:pPr>
  </w:style>
  <w:style w:type="paragraph" w:styleId="Fotnotstext">
    <w:name w:val="footnote text"/>
    <w:basedOn w:val="Brdtext"/>
    <w:link w:val="FotnotstextChar"/>
    <w:uiPriority w:val="99"/>
    <w:semiHidden/>
    <w:rsid w:val="00297710"/>
    <w:pPr>
      <w:tabs>
        <w:tab w:val="left" w:pos="284"/>
      </w:tabs>
      <w:spacing w:before="0" w:after="60"/>
      <w:ind w:left="284" w:hanging="284"/>
    </w:pPr>
    <w:rPr>
      <w:sz w:val="20"/>
    </w:rPr>
  </w:style>
  <w:style w:type="paragraph" w:customStyle="1" w:styleId="Nummerlista">
    <w:name w:val="Nummerlista"/>
    <w:basedOn w:val="Brdtext"/>
    <w:rsid w:val="00297710"/>
    <w:pPr>
      <w:numPr>
        <w:numId w:val="1"/>
      </w:numPr>
      <w:tabs>
        <w:tab w:val="clear" w:pos="567"/>
      </w:tabs>
      <w:spacing w:before="0"/>
    </w:pPr>
  </w:style>
  <w:style w:type="paragraph" w:customStyle="1" w:styleId="Tabelltext">
    <w:name w:val="Tabelltext"/>
    <w:basedOn w:val="Brdtext"/>
    <w:rsid w:val="00297710"/>
    <w:pPr>
      <w:keepNext/>
      <w:keepLines/>
      <w:spacing w:before="60" w:after="60"/>
    </w:pPr>
  </w:style>
  <w:style w:type="paragraph" w:styleId="Beskrivning">
    <w:name w:val="caption"/>
    <w:basedOn w:val="Brdtext"/>
    <w:next w:val="Brdtext"/>
    <w:qFormat/>
    <w:rsid w:val="00297710"/>
    <w:pPr>
      <w:keepNext/>
      <w:keepLines/>
      <w:ind w:left="1134" w:hanging="1134"/>
    </w:pPr>
    <w:rPr>
      <w:i/>
    </w:rPr>
  </w:style>
  <w:style w:type="character" w:styleId="Fotnotsreferens">
    <w:name w:val="footnote reference"/>
    <w:basedOn w:val="Standardstycketeckensnitt"/>
    <w:uiPriority w:val="99"/>
    <w:semiHidden/>
    <w:rsid w:val="00297710"/>
    <w:rPr>
      <w:vertAlign w:val="superscript"/>
    </w:rPr>
  </w:style>
  <w:style w:type="paragraph" w:customStyle="1" w:styleId="Brdtextunderrubrik">
    <w:name w:val="Brödtext under rubrik"/>
    <w:basedOn w:val="Rubrik"/>
    <w:rsid w:val="00297710"/>
    <w:pPr>
      <w:tabs>
        <w:tab w:val="left" w:pos="397"/>
        <w:tab w:val="left" w:pos="1434"/>
        <w:tab w:val="left" w:pos="2268"/>
        <w:tab w:val="left" w:pos="3515"/>
        <w:tab w:val="left" w:pos="4535"/>
      </w:tabs>
      <w:spacing w:before="0" w:after="0"/>
      <w:jc w:val="left"/>
      <w:outlineLvl w:val="9"/>
    </w:pPr>
    <w:rPr>
      <w:rFonts w:ascii="TimesNewRomanPS" w:hAnsi="TimesNewRomanPS"/>
      <w:b w:val="0"/>
      <w:bCs w:val="0"/>
      <w:kern w:val="0"/>
      <w:sz w:val="24"/>
      <w:szCs w:val="20"/>
      <w:lang w:val="sv-SE"/>
    </w:rPr>
  </w:style>
  <w:style w:type="paragraph" w:customStyle="1" w:styleId="Strecklista">
    <w:name w:val="Strecklista"/>
    <w:basedOn w:val="Brdtext"/>
    <w:rsid w:val="00297710"/>
    <w:pPr>
      <w:numPr>
        <w:numId w:val="4"/>
      </w:numPr>
      <w:tabs>
        <w:tab w:val="clear" w:pos="567"/>
      </w:tabs>
      <w:spacing w:before="0"/>
    </w:pPr>
  </w:style>
  <w:style w:type="paragraph" w:customStyle="1" w:styleId="Nummerlistatabell">
    <w:name w:val="Nummerlista tabell"/>
    <w:basedOn w:val="Brdtext"/>
    <w:rsid w:val="00297710"/>
    <w:pPr>
      <w:numPr>
        <w:numId w:val="6"/>
      </w:numPr>
      <w:tabs>
        <w:tab w:val="clear" w:pos="360"/>
      </w:tabs>
      <w:spacing w:before="0"/>
    </w:pPr>
  </w:style>
  <w:style w:type="paragraph" w:customStyle="1" w:styleId="Punktlistatabell">
    <w:name w:val="Punktlista tabell"/>
    <w:basedOn w:val="Brdtext"/>
    <w:rsid w:val="00297710"/>
    <w:pPr>
      <w:numPr>
        <w:numId w:val="3"/>
      </w:numPr>
      <w:tabs>
        <w:tab w:val="clear" w:pos="360"/>
      </w:tabs>
      <w:spacing w:before="0"/>
    </w:pPr>
  </w:style>
  <w:style w:type="paragraph" w:customStyle="1" w:styleId="Strecklistatabell">
    <w:name w:val="Strecklista tabell"/>
    <w:basedOn w:val="Brdtext"/>
    <w:rsid w:val="00297710"/>
    <w:pPr>
      <w:numPr>
        <w:numId w:val="5"/>
      </w:numPr>
      <w:tabs>
        <w:tab w:val="clear" w:pos="360"/>
      </w:tabs>
      <w:spacing w:before="0"/>
    </w:pPr>
  </w:style>
  <w:style w:type="paragraph" w:styleId="Rubrik">
    <w:name w:val="Title"/>
    <w:basedOn w:val="Normal"/>
    <w:qFormat/>
    <w:rsid w:val="00297710"/>
    <w:pPr>
      <w:spacing w:before="240" w:after="60"/>
      <w:jc w:val="center"/>
      <w:outlineLvl w:val="0"/>
    </w:pPr>
    <w:rPr>
      <w:rFonts w:ascii="Arial" w:hAnsi="Arial"/>
      <w:b/>
      <w:bCs/>
      <w:kern w:val="28"/>
      <w:sz w:val="32"/>
      <w:szCs w:val="32"/>
    </w:rPr>
  </w:style>
  <w:style w:type="paragraph" w:styleId="Dokumentversikt">
    <w:name w:val="Document Map"/>
    <w:basedOn w:val="Normal"/>
    <w:semiHidden/>
    <w:rsid w:val="00297710"/>
    <w:pPr>
      <w:shd w:val="clear" w:color="auto" w:fill="000080"/>
    </w:pPr>
    <w:rPr>
      <w:rFonts w:ascii="Tahoma" w:hAnsi="Tahoma" w:cs="Tahoma"/>
    </w:rPr>
  </w:style>
  <w:style w:type="paragraph" w:customStyle="1" w:styleId="Body">
    <w:name w:val="Body"/>
    <w:rsid w:val="00297710"/>
    <w:pPr>
      <w:spacing w:after="120"/>
      <w:ind w:left="2552"/>
    </w:pPr>
    <w:rPr>
      <w:rFonts w:ascii="Arial" w:hAnsi="Arial"/>
      <w:sz w:val="22"/>
      <w:lang w:val="en-US"/>
    </w:rPr>
  </w:style>
  <w:style w:type="paragraph" w:customStyle="1" w:styleId="psr4">
    <w:name w:val="psr4"/>
    <w:basedOn w:val="Normal"/>
    <w:rsid w:val="00297710"/>
    <w:pPr>
      <w:overflowPunct/>
      <w:autoSpaceDE/>
      <w:autoSpaceDN/>
      <w:adjustRightInd/>
      <w:jc w:val="center"/>
      <w:textAlignment w:val="auto"/>
    </w:pPr>
    <w:rPr>
      <w:szCs w:val="24"/>
      <w:lang w:val="en-US" w:eastAsia="en-US"/>
    </w:rPr>
  </w:style>
  <w:style w:type="paragraph" w:styleId="Innehll4">
    <w:name w:val="toc 4"/>
    <w:basedOn w:val="Normal"/>
    <w:next w:val="Normal"/>
    <w:autoRedefine/>
    <w:semiHidden/>
    <w:rsid w:val="00297710"/>
    <w:pPr>
      <w:ind w:left="720"/>
    </w:pPr>
    <w:rPr>
      <w:szCs w:val="21"/>
    </w:rPr>
  </w:style>
  <w:style w:type="paragraph" w:styleId="Innehll5">
    <w:name w:val="toc 5"/>
    <w:basedOn w:val="Normal"/>
    <w:next w:val="Normal"/>
    <w:autoRedefine/>
    <w:semiHidden/>
    <w:rsid w:val="00297710"/>
    <w:pPr>
      <w:ind w:left="960"/>
    </w:pPr>
    <w:rPr>
      <w:szCs w:val="21"/>
    </w:rPr>
  </w:style>
  <w:style w:type="paragraph" w:styleId="Innehll6">
    <w:name w:val="toc 6"/>
    <w:basedOn w:val="Normal"/>
    <w:next w:val="Normal"/>
    <w:autoRedefine/>
    <w:semiHidden/>
    <w:rsid w:val="00297710"/>
    <w:pPr>
      <w:ind w:left="1200"/>
    </w:pPr>
    <w:rPr>
      <w:szCs w:val="21"/>
    </w:rPr>
  </w:style>
  <w:style w:type="paragraph" w:styleId="Innehll7">
    <w:name w:val="toc 7"/>
    <w:basedOn w:val="Normal"/>
    <w:next w:val="Normal"/>
    <w:autoRedefine/>
    <w:semiHidden/>
    <w:rsid w:val="00297710"/>
    <w:pPr>
      <w:ind w:left="1440"/>
    </w:pPr>
    <w:rPr>
      <w:szCs w:val="21"/>
    </w:rPr>
  </w:style>
  <w:style w:type="paragraph" w:styleId="Innehll8">
    <w:name w:val="toc 8"/>
    <w:basedOn w:val="Normal"/>
    <w:next w:val="Normal"/>
    <w:autoRedefine/>
    <w:semiHidden/>
    <w:rsid w:val="00297710"/>
    <w:pPr>
      <w:ind w:left="1680"/>
    </w:pPr>
    <w:rPr>
      <w:szCs w:val="21"/>
    </w:rPr>
  </w:style>
  <w:style w:type="paragraph" w:styleId="Innehll9">
    <w:name w:val="toc 9"/>
    <w:basedOn w:val="Normal"/>
    <w:next w:val="Normal"/>
    <w:autoRedefine/>
    <w:semiHidden/>
    <w:rsid w:val="00297710"/>
    <w:pPr>
      <w:ind w:left="1920"/>
    </w:pPr>
    <w:rPr>
      <w:szCs w:val="21"/>
    </w:rPr>
  </w:style>
  <w:style w:type="character" w:styleId="AnvndHyperlnk">
    <w:name w:val="FollowedHyperlink"/>
    <w:basedOn w:val="Standardstycketeckensnitt"/>
    <w:semiHidden/>
    <w:rsid w:val="00297710"/>
    <w:rPr>
      <w:color w:val="800080"/>
      <w:u w:val="single"/>
    </w:rPr>
  </w:style>
  <w:style w:type="paragraph" w:styleId="Normalwebb">
    <w:name w:val="Normal (Web)"/>
    <w:basedOn w:val="Normal"/>
    <w:uiPriority w:val="99"/>
    <w:unhideWhenUsed/>
    <w:rsid w:val="00961728"/>
    <w:pPr>
      <w:overflowPunct/>
      <w:autoSpaceDE/>
      <w:autoSpaceDN/>
      <w:adjustRightInd/>
      <w:spacing w:before="100" w:beforeAutospacing="1" w:after="100" w:afterAutospacing="1"/>
      <w:textAlignment w:val="auto"/>
    </w:pPr>
    <w:rPr>
      <w:szCs w:val="24"/>
      <w:lang w:val="sv-SE"/>
    </w:rPr>
  </w:style>
  <w:style w:type="paragraph" w:styleId="Liststycke">
    <w:name w:val="List Paragraph"/>
    <w:basedOn w:val="Normal"/>
    <w:uiPriority w:val="34"/>
    <w:qFormat/>
    <w:rsid w:val="00950D82"/>
    <w:pPr>
      <w:overflowPunct/>
      <w:autoSpaceDE/>
      <w:autoSpaceDN/>
      <w:adjustRightInd/>
      <w:ind w:left="720"/>
      <w:contextualSpacing/>
      <w:textAlignment w:val="auto"/>
    </w:pPr>
    <w:rPr>
      <w:szCs w:val="24"/>
      <w:lang w:val="sv-SE"/>
    </w:rPr>
  </w:style>
  <w:style w:type="table" w:styleId="Tabellrutnt">
    <w:name w:val="Table Grid"/>
    <w:basedOn w:val="Normaltabell"/>
    <w:uiPriority w:val="59"/>
    <w:rsid w:val="007E6D6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tnotstextChar">
    <w:name w:val="Fotnotstext Char"/>
    <w:basedOn w:val="Standardstycketeckensnitt"/>
    <w:link w:val="Fotnotstext"/>
    <w:uiPriority w:val="99"/>
    <w:semiHidden/>
    <w:rsid w:val="007B663D"/>
    <w:rPr>
      <w:lang w:val="en-GB"/>
    </w:rPr>
  </w:style>
  <w:style w:type="paragraph" w:styleId="Figurfrteckning">
    <w:name w:val="table of figures"/>
    <w:basedOn w:val="Normal"/>
    <w:next w:val="Normal"/>
    <w:uiPriority w:val="99"/>
    <w:unhideWhenUsed/>
    <w:rsid w:val="002E41D0"/>
  </w:style>
  <w:style w:type="character" w:styleId="Kommentarsreferens">
    <w:name w:val="annotation reference"/>
    <w:basedOn w:val="Standardstycketeckensnitt"/>
    <w:uiPriority w:val="99"/>
    <w:semiHidden/>
    <w:unhideWhenUsed/>
    <w:rsid w:val="00B05024"/>
    <w:rPr>
      <w:sz w:val="16"/>
      <w:szCs w:val="16"/>
    </w:rPr>
  </w:style>
  <w:style w:type="paragraph" w:styleId="Kommentarer">
    <w:name w:val="annotation text"/>
    <w:basedOn w:val="Normal"/>
    <w:link w:val="KommentarerChar"/>
    <w:uiPriority w:val="99"/>
    <w:semiHidden/>
    <w:unhideWhenUsed/>
    <w:rsid w:val="00B05024"/>
    <w:rPr>
      <w:sz w:val="20"/>
    </w:rPr>
  </w:style>
  <w:style w:type="character" w:customStyle="1" w:styleId="KommentarerChar">
    <w:name w:val="Kommentarer Char"/>
    <w:basedOn w:val="Standardstycketeckensnitt"/>
    <w:link w:val="Kommentarer"/>
    <w:uiPriority w:val="99"/>
    <w:semiHidden/>
    <w:rsid w:val="00B05024"/>
    <w:rPr>
      <w:lang w:val="en-GB"/>
    </w:rPr>
  </w:style>
  <w:style w:type="paragraph" w:styleId="Kommentarsmne">
    <w:name w:val="annotation subject"/>
    <w:basedOn w:val="Kommentarer"/>
    <w:next w:val="Kommentarer"/>
    <w:link w:val="KommentarsmneChar"/>
    <w:uiPriority w:val="99"/>
    <w:semiHidden/>
    <w:unhideWhenUsed/>
    <w:rsid w:val="00B05024"/>
    <w:rPr>
      <w:b/>
      <w:bCs/>
    </w:rPr>
  </w:style>
  <w:style w:type="character" w:customStyle="1" w:styleId="KommentarsmneChar">
    <w:name w:val="Kommentarsämne Char"/>
    <w:basedOn w:val="KommentarerChar"/>
    <w:link w:val="Kommentarsmne"/>
    <w:uiPriority w:val="99"/>
    <w:semiHidden/>
    <w:rsid w:val="00B05024"/>
    <w:rPr>
      <w:b/>
      <w:bCs/>
      <w:lang w:val="en-GB"/>
    </w:rPr>
  </w:style>
  <w:style w:type="paragraph" w:styleId="Ballongtext">
    <w:name w:val="Balloon Text"/>
    <w:basedOn w:val="Normal"/>
    <w:link w:val="BallongtextChar"/>
    <w:uiPriority w:val="99"/>
    <w:semiHidden/>
    <w:unhideWhenUsed/>
    <w:rsid w:val="00B05024"/>
    <w:rPr>
      <w:rFonts w:ascii="Tahoma" w:hAnsi="Tahoma" w:cs="Tahoma"/>
      <w:sz w:val="16"/>
      <w:szCs w:val="16"/>
    </w:rPr>
  </w:style>
  <w:style w:type="character" w:customStyle="1" w:styleId="BallongtextChar">
    <w:name w:val="Ballongtext Char"/>
    <w:basedOn w:val="Standardstycketeckensnitt"/>
    <w:link w:val="Ballongtext"/>
    <w:uiPriority w:val="99"/>
    <w:semiHidden/>
    <w:rsid w:val="00B05024"/>
    <w:rPr>
      <w:rFonts w:ascii="Tahoma" w:hAnsi="Tahoma" w:cs="Tahoma"/>
      <w:sz w:val="16"/>
      <w:szCs w:val="16"/>
      <w:lang w:val="en-GB"/>
    </w:rPr>
  </w:style>
  <w:style w:type="character" w:customStyle="1" w:styleId="Rubrik1Char">
    <w:name w:val="Rubrik 1 Char"/>
    <w:basedOn w:val="Standardstycketeckensnitt"/>
    <w:link w:val="Rubrik1"/>
    <w:rsid w:val="002D62FE"/>
    <w:rPr>
      <w:b/>
      <w:kern w:val="28"/>
      <w:sz w:val="36"/>
      <w:lang w:val="en-US"/>
    </w:rPr>
  </w:style>
  <w:style w:type="paragraph" w:styleId="Sidfot">
    <w:name w:val="footer"/>
    <w:basedOn w:val="Normal"/>
    <w:link w:val="SidfotChar"/>
    <w:uiPriority w:val="99"/>
    <w:unhideWhenUsed/>
    <w:rsid w:val="000E4ACE"/>
    <w:pPr>
      <w:tabs>
        <w:tab w:val="center" w:pos="4320"/>
        <w:tab w:val="right" w:pos="8640"/>
      </w:tabs>
      <w:overflowPunct/>
      <w:autoSpaceDE/>
      <w:autoSpaceDN/>
      <w:adjustRightInd/>
      <w:spacing w:before="0" w:after="200" w:line="276" w:lineRule="auto"/>
      <w:textAlignment w:val="auto"/>
    </w:pPr>
    <w:rPr>
      <w:rFonts w:asciiTheme="minorHAnsi" w:eastAsiaTheme="minorEastAsia" w:hAnsiTheme="minorHAnsi" w:cstheme="minorBidi"/>
      <w:sz w:val="22"/>
      <w:szCs w:val="22"/>
      <w:lang w:val="sv-SE" w:eastAsia="en-US"/>
    </w:rPr>
  </w:style>
  <w:style w:type="character" w:customStyle="1" w:styleId="SidfotChar">
    <w:name w:val="Sidfot Char"/>
    <w:basedOn w:val="Standardstycketeckensnitt"/>
    <w:link w:val="Sidfot"/>
    <w:uiPriority w:val="99"/>
    <w:rsid w:val="000E4ACE"/>
    <w:rPr>
      <w:rFonts w:asciiTheme="minorHAnsi" w:eastAsiaTheme="minorEastAsia" w:hAnsiTheme="minorHAnsi" w:cstheme="minorBidi"/>
      <w:sz w:val="22"/>
      <w:szCs w:val="22"/>
      <w:lang w:eastAsia="en-US"/>
    </w:rPr>
  </w:style>
  <w:style w:type="paragraph" w:styleId="Innehllsfrteckningsrubrik">
    <w:name w:val="TOC Heading"/>
    <w:basedOn w:val="Rubrik1"/>
    <w:next w:val="Normal"/>
    <w:uiPriority w:val="39"/>
    <w:semiHidden/>
    <w:unhideWhenUsed/>
    <w:qFormat/>
    <w:rsid w:val="00E55286"/>
    <w:pPr>
      <w:numPr>
        <w:numId w:val="0"/>
      </w:numPr>
      <w:overflowPunct/>
      <w:autoSpaceDE/>
      <w:autoSpaceDN/>
      <w:adjustRightInd/>
      <w:spacing w:before="480" w:after="0" w:line="276" w:lineRule="auto"/>
      <w:textAlignment w:val="auto"/>
      <w:outlineLvl w:val="9"/>
    </w:pPr>
    <w:rPr>
      <w:rFonts w:asciiTheme="majorHAnsi" w:eastAsiaTheme="majorEastAsia" w:hAnsiTheme="majorHAnsi" w:cstheme="majorBidi"/>
      <w:bCs/>
      <w:color w:val="365F91" w:themeColor="accent1" w:themeShade="BF"/>
      <w:kern w:val="0"/>
      <w:sz w:val="28"/>
      <w:szCs w:val="28"/>
      <w:lang w:val="sv-SE" w:eastAsia="en-US"/>
    </w:rPr>
  </w:style>
  <w:style w:type="paragraph" w:customStyle="1" w:styleId="Author">
    <w:name w:val="Author"/>
    <w:rsid w:val="002B1866"/>
    <w:pPr>
      <w:spacing w:before="100" w:after="100" w:line="260" w:lineRule="exact"/>
      <w:jc w:val="center"/>
    </w:pPr>
    <w:rPr>
      <w:noProof/>
      <w:sz w:val="22"/>
      <w:szCs w:val="22"/>
      <w:lang w:val="en-US" w:eastAsia="en-US"/>
    </w:rPr>
  </w:style>
  <w:style w:type="paragraph" w:customStyle="1" w:styleId="Affiliation">
    <w:name w:val="Affiliation"/>
    <w:next w:val="Abstract"/>
    <w:rsid w:val="002B1866"/>
    <w:pPr>
      <w:spacing w:before="120" w:line="220" w:lineRule="exact"/>
      <w:jc w:val="center"/>
    </w:pPr>
    <w:rPr>
      <w:i/>
      <w:noProof/>
      <w:sz w:val="18"/>
      <w:lang w:val="en-US" w:eastAsia="en-US"/>
    </w:rPr>
  </w:style>
  <w:style w:type="paragraph" w:customStyle="1" w:styleId="Abstract">
    <w:name w:val="Abstract"/>
    <w:basedOn w:val="Normal"/>
    <w:rsid w:val="002B1866"/>
    <w:pPr>
      <w:overflowPunct/>
      <w:autoSpaceDE/>
      <w:autoSpaceDN/>
      <w:adjustRightInd/>
      <w:spacing w:before="0" w:after="260" w:line="220" w:lineRule="exact"/>
      <w:ind w:left="1100" w:hanging="1100"/>
      <w:textAlignment w:val="auto"/>
    </w:pPr>
    <w:rPr>
      <w:sz w:val="18"/>
      <w:lang w:eastAsia="en-US"/>
    </w:rPr>
  </w:style>
  <w:style w:type="character" w:styleId="HTML-citat">
    <w:name w:val="HTML Cite"/>
    <w:basedOn w:val="Standardstycketeckensnitt"/>
    <w:uiPriority w:val="99"/>
    <w:semiHidden/>
    <w:unhideWhenUsed/>
    <w:rsid w:val="00CE654F"/>
    <w:rPr>
      <w:i/>
      <w:iCs/>
    </w:rPr>
  </w:style>
  <w:style w:type="character" w:styleId="Stark">
    <w:name w:val="Strong"/>
    <w:basedOn w:val="Standardstycketeckensnitt"/>
    <w:uiPriority w:val="22"/>
    <w:qFormat/>
    <w:rsid w:val="00CE654F"/>
    <w:rPr>
      <w:b/>
      <w:bCs/>
    </w:rPr>
  </w:style>
  <w:style w:type="character" w:styleId="Betoning">
    <w:name w:val="Emphasis"/>
    <w:basedOn w:val="Standardstycketeckensnitt"/>
    <w:uiPriority w:val="20"/>
    <w:qFormat/>
    <w:rsid w:val="00CE654F"/>
    <w:rPr>
      <w:i/>
      <w:iCs/>
    </w:rPr>
  </w:style>
</w:styles>
</file>

<file path=word/webSettings.xml><?xml version="1.0" encoding="utf-8"?>
<w:webSettings xmlns:r="http://schemas.openxmlformats.org/officeDocument/2006/relationships" xmlns:w="http://schemas.openxmlformats.org/wordprocessingml/2006/main">
  <w:divs>
    <w:div w:id="29305868">
      <w:bodyDiv w:val="1"/>
      <w:marLeft w:val="0"/>
      <w:marRight w:val="0"/>
      <w:marTop w:val="0"/>
      <w:marBottom w:val="0"/>
      <w:divBdr>
        <w:top w:val="none" w:sz="0" w:space="0" w:color="auto"/>
        <w:left w:val="none" w:sz="0" w:space="0" w:color="auto"/>
        <w:bottom w:val="none" w:sz="0" w:space="0" w:color="auto"/>
        <w:right w:val="none" w:sz="0" w:space="0" w:color="auto"/>
      </w:divBdr>
    </w:div>
    <w:div w:id="297956863">
      <w:bodyDiv w:val="1"/>
      <w:marLeft w:val="0"/>
      <w:marRight w:val="0"/>
      <w:marTop w:val="0"/>
      <w:marBottom w:val="0"/>
      <w:divBdr>
        <w:top w:val="none" w:sz="0" w:space="0" w:color="auto"/>
        <w:left w:val="none" w:sz="0" w:space="0" w:color="auto"/>
        <w:bottom w:val="none" w:sz="0" w:space="0" w:color="auto"/>
        <w:right w:val="none" w:sz="0" w:space="0" w:color="auto"/>
      </w:divBdr>
    </w:div>
    <w:div w:id="315647227">
      <w:bodyDiv w:val="1"/>
      <w:marLeft w:val="0"/>
      <w:marRight w:val="0"/>
      <w:marTop w:val="0"/>
      <w:marBottom w:val="0"/>
      <w:divBdr>
        <w:top w:val="none" w:sz="0" w:space="0" w:color="auto"/>
        <w:left w:val="none" w:sz="0" w:space="0" w:color="auto"/>
        <w:bottom w:val="none" w:sz="0" w:space="0" w:color="auto"/>
        <w:right w:val="none" w:sz="0" w:space="0" w:color="auto"/>
      </w:divBdr>
    </w:div>
    <w:div w:id="361976894">
      <w:bodyDiv w:val="1"/>
      <w:marLeft w:val="0"/>
      <w:marRight w:val="0"/>
      <w:marTop w:val="0"/>
      <w:marBottom w:val="0"/>
      <w:divBdr>
        <w:top w:val="none" w:sz="0" w:space="0" w:color="auto"/>
        <w:left w:val="none" w:sz="0" w:space="0" w:color="auto"/>
        <w:bottom w:val="none" w:sz="0" w:space="0" w:color="auto"/>
        <w:right w:val="none" w:sz="0" w:space="0" w:color="auto"/>
      </w:divBdr>
    </w:div>
    <w:div w:id="468481057">
      <w:bodyDiv w:val="1"/>
      <w:marLeft w:val="0"/>
      <w:marRight w:val="0"/>
      <w:marTop w:val="0"/>
      <w:marBottom w:val="0"/>
      <w:divBdr>
        <w:top w:val="none" w:sz="0" w:space="0" w:color="auto"/>
        <w:left w:val="none" w:sz="0" w:space="0" w:color="auto"/>
        <w:bottom w:val="none" w:sz="0" w:space="0" w:color="auto"/>
        <w:right w:val="none" w:sz="0" w:space="0" w:color="auto"/>
      </w:divBdr>
    </w:div>
    <w:div w:id="776173277">
      <w:bodyDiv w:val="1"/>
      <w:marLeft w:val="0"/>
      <w:marRight w:val="0"/>
      <w:marTop w:val="0"/>
      <w:marBottom w:val="0"/>
      <w:divBdr>
        <w:top w:val="none" w:sz="0" w:space="0" w:color="auto"/>
        <w:left w:val="none" w:sz="0" w:space="0" w:color="auto"/>
        <w:bottom w:val="none" w:sz="0" w:space="0" w:color="auto"/>
        <w:right w:val="none" w:sz="0" w:space="0" w:color="auto"/>
      </w:divBdr>
    </w:div>
    <w:div w:id="912616530">
      <w:bodyDiv w:val="1"/>
      <w:marLeft w:val="0"/>
      <w:marRight w:val="0"/>
      <w:marTop w:val="0"/>
      <w:marBottom w:val="0"/>
      <w:divBdr>
        <w:top w:val="none" w:sz="0" w:space="0" w:color="auto"/>
        <w:left w:val="none" w:sz="0" w:space="0" w:color="auto"/>
        <w:bottom w:val="none" w:sz="0" w:space="0" w:color="auto"/>
        <w:right w:val="none" w:sz="0" w:space="0" w:color="auto"/>
      </w:divBdr>
    </w:div>
    <w:div w:id="967586076">
      <w:bodyDiv w:val="1"/>
      <w:marLeft w:val="0"/>
      <w:marRight w:val="0"/>
      <w:marTop w:val="0"/>
      <w:marBottom w:val="0"/>
      <w:divBdr>
        <w:top w:val="none" w:sz="0" w:space="0" w:color="auto"/>
        <w:left w:val="none" w:sz="0" w:space="0" w:color="auto"/>
        <w:bottom w:val="none" w:sz="0" w:space="0" w:color="auto"/>
        <w:right w:val="none" w:sz="0" w:space="0" w:color="auto"/>
      </w:divBdr>
    </w:div>
    <w:div w:id="1107384443">
      <w:bodyDiv w:val="1"/>
      <w:marLeft w:val="0"/>
      <w:marRight w:val="0"/>
      <w:marTop w:val="0"/>
      <w:marBottom w:val="0"/>
      <w:divBdr>
        <w:top w:val="none" w:sz="0" w:space="0" w:color="auto"/>
        <w:left w:val="none" w:sz="0" w:space="0" w:color="auto"/>
        <w:bottom w:val="none" w:sz="0" w:space="0" w:color="auto"/>
        <w:right w:val="none" w:sz="0" w:space="0" w:color="auto"/>
      </w:divBdr>
    </w:div>
    <w:div w:id="1225137827">
      <w:bodyDiv w:val="1"/>
      <w:marLeft w:val="0"/>
      <w:marRight w:val="0"/>
      <w:marTop w:val="0"/>
      <w:marBottom w:val="0"/>
      <w:divBdr>
        <w:top w:val="none" w:sz="0" w:space="0" w:color="auto"/>
        <w:left w:val="none" w:sz="0" w:space="0" w:color="auto"/>
        <w:bottom w:val="none" w:sz="0" w:space="0" w:color="auto"/>
        <w:right w:val="none" w:sz="0" w:space="0" w:color="auto"/>
      </w:divBdr>
    </w:div>
    <w:div w:id="1389571364">
      <w:bodyDiv w:val="1"/>
      <w:marLeft w:val="0"/>
      <w:marRight w:val="0"/>
      <w:marTop w:val="0"/>
      <w:marBottom w:val="0"/>
      <w:divBdr>
        <w:top w:val="none" w:sz="0" w:space="0" w:color="auto"/>
        <w:left w:val="none" w:sz="0" w:space="0" w:color="auto"/>
        <w:bottom w:val="none" w:sz="0" w:space="0" w:color="auto"/>
        <w:right w:val="none" w:sz="0" w:space="0" w:color="auto"/>
      </w:divBdr>
      <w:divsChild>
        <w:div w:id="1131091518">
          <w:marLeft w:val="0"/>
          <w:marRight w:val="0"/>
          <w:marTop w:val="0"/>
          <w:marBottom w:val="0"/>
          <w:divBdr>
            <w:top w:val="none" w:sz="0" w:space="0" w:color="auto"/>
            <w:left w:val="none" w:sz="0" w:space="0" w:color="auto"/>
            <w:bottom w:val="none" w:sz="0" w:space="0" w:color="auto"/>
            <w:right w:val="none" w:sz="0" w:space="0" w:color="auto"/>
          </w:divBdr>
          <w:divsChild>
            <w:div w:id="439421116">
              <w:marLeft w:val="0"/>
              <w:marRight w:val="0"/>
              <w:marTop w:val="0"/>
              <w:marBottom w:val="0"/>
              <w:divBdr>
                <w:top w:val="none" w:sz="0" w:space="0" w:color="auto"/>
                <w:left w:val="none" w:sz="0" w:space="0" w:color="auto"/>
                <w:bottom w:val="none" w:sz="0" w:space="0" w:color="auto"/>
                <w:right w:val="none" w:sz="0" w:space="0" w:color="auto"/>
              </w:divBdr>
              <w:divsChild>
                <w:div w:id="1777478469">
                  <w:marLeft w:val="0"/>
                  <w:marRight w:val="0"/>
                  <w:marTop w:val="0"/>
                  <w:marBottom w:val="0"/>
                  <w:divBdr>
                    <w:top w:val="none" w:sz="0" w:space="0" w:color="auto"/>
                    <w:left w:val="none" w:sz="0" w:space="0" w:color="auto"/>
                    <w:bottom w:val="none" w:sz="0" w:space="0" w:color="auto"/>
                    <w:right w:val="none" w:sz="0" w:space="0" w:color="auto"/>
                  </w:divBdr>
                  <w:divsChild>
                    <w:div w:id="2094472618">
                      <w:marLeft w:val="0"/>
                      <w:marRight w:val="0"/>
                      <w:marTop w:val="0"/>
                      <w:marBottom w:val="0"/>
                      <w:divBdr>
                        <w:top w:val="none" w:sz="0" w:space="0" w:color="auto"/>
                        <w:left w:val="none" w:sz="0" w:space="0" w:color="auto"/>
                        <w:bottom w:val="none" w:sz="0" w:space="0" w:color="auto"/>
                        <w:right w:val="none" w:sz="0" w:space="0" w:color="auto"/>
                      </w:divBdr>
                      <w:divsChild>
                        <w:div w:id="1421563617">
                          <w:marLeft w:val="0"/>
                          <w:marRight w:val="0"/>
                          <w:marTop w:val="0"/>
                          <w:marBottom w:val="0"/>
                          <w:divBdr>
                            <w:top w:val="none" w:sz="0" w:space="0" w:color="auto"/>
                            <w:left w:val="none" w:sz="0" w:space="0" w:color="auto"/>
                            <w:bottom w:val="none" w:sz="0" w:space="0" w:color="auto"/>
                            <w:right w:val="none" w:sz="0" w:space="0" w:color="auto"/>
                          </w:divBdr>
                          <w:divsChild>
                            <w:div w:id="1395160769">
                              <w:marLeft w:val="0"/>
                              <w:marRight w:val="0"/>
                              <w:marTop w:val="0"/>
                              <w:marBottom w:val="0"/>
                              <w:divBdr>
                                <w:top w:val="none" w:sz="0" w:space="0" w:color="auto"/>
                                <w:left w:val="none" w:sz="0" w:space="0" w:color="auto"/>
                                <w:bottom w:val="none" w:sz="0" w:space="0" w:color="auto"/>
                                <w:right w:val="none" w:sz="0" w:space="0" w:color="auto"/>
                              </w:divBdr>
                              <w:divsChild>
                                <w:div w:id="360211176">
                                  <w:marLeft w:val="0"/>
                                  <w:marRight w:val="0"/>
                                  <w:marTop w:val="0"/>
                                  <w:marBottom w:val="0"/>
                                  <w:divBdr>
                                    <w:top w:val="none" w:sz="0" w:space="0" w:color="auto"/>
                                    <w:left w:val="none" w:sz="0" w:space="0" w:color="auto"/>
                                    <w:bottom w:val="none" w:sz="0" w:space="0" w:color="auto"/>
                                    <w:right w:val="none" w:sz="0" w:space="0" w:color="auto"/>
                                  </w:divBdr>
                                  <w:divsChild>
                                    <w:div w:id="2044942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3893705">
      <w:bodyDiv w:val="1"/>
      <w:marLeft w:val="0"/>
      <w:marRight w:val="0"/>
      <w:marTop w:val="0"/>
      <w:marBottom w:val="0"/>
      <w:divBdr>
        <w:top w:val="none" w:sz="0" w:space="0" w:color="auto"/>
        <w:left w:val="none" w:sz="0" w:space="0" w:color="auto"/>
        <w:bottom w:val="none" w:sz="0" w:space="0" w:color="auto"/>
        <w:right w:val="none" w:sz="0" w:space="0" w:color="auto"/>
      </w:divBdr>
    </w:div>
    <w:div w:id="1502816274">
      <w:bodyDiv w:val="1"/>
      <w:marLeft w:val="0"/>
      <w:marRight w:val="0"/>
      <w:marTop w:val="0"/>
      <w:marBottom w:val="0"/>
      <w:divBdr>
        <w:top w:val="none" w:sz="0" w:space="0" w:color="auto"/>
        <w:left w:val="none" w:sz="0" w:space="0" w:color="auto"/>
        <w:bottom w:val="none" w:sz="0" w:space="0" w:color="auto"/>
        <w:right w:val="none" w:sz="0" w:space="0" w:color="auto"/>
      </w:divBdr>
    </w:div>
    <w:div w:id="1506477539">
      <w:bodyDiv w:val="1"/>
      <w:marLeft w:val="0"/>
      <w:marRight w:val="0"/>
      <w:marTop w:val="0"/>
      <w:marBottom w:val="0"/>
      <w:divBdr>
        <w:top w:val="none" w:sz="0" w:space="0" w:color="auto"/>
        <w:left w:val="none" w:sz="0" w:space="0" w:color="auto"/>
        <w:bottom w:val="none" w:sz="0" w:space="0" w:color="auto"/>
        <w:right w:val="none" w:sz="0" w:space="0" w:color="auto"/>
      </w:divBdr>
      <w:divsChild>
        <w:div w:id="285699382">
          <w:marLeft w:val="850"/>
          <w:marRight w:val="0"/>
          <w:marTop w:val="0"/>
          <w:marBottom w:val="160"/>
          <w:divBdr>
            <w:top w:val="none" w:sz="0" w:space="0" w:color="auto"/>
            <w:left w:val="none" w:sz="0" w:space="0" w:color="auto"/>
            <w:bottom w:val="none" w:sz="0" w:space="0" w:color="auto"/>
            <w:right w:val="none" w:sz="0" w:space="0" w:color="auto"/>
          </w:divBdr>
        </w:div>
        <w:div w:id="543756781">
          <w:marLeft w:val="1267"/>
          <w:marRight w:val="0"/>
          <w:marTop w:val="0"/>
          <w:marBottom w:val="0"/>
          <w:divBdr>
            <w:top w:val="none" w:sz="0" w:space="0" w:color="auto"/>
            <w:left w:val="none" w:sz="0" w:space="0" w:color="auto"/>
            <w:bottom w:val="none" w:sz="0" w:space="0" w:color="auto"/>
            <w:right w:val="none" w:sz="0" w:space="0" w:color="auto"/>
          </w:divBdr>
        </w:div>
        <w:div w:id="1038163476">
          <w:marLeft w:val="1267"/>
          <w:marRight w:val="0"/>
          <w:marTop w:val="67"/>
          <w:marBottom w:val="0"/>
          <w:divBdr>
            <w:top w:val="none" w:sz="0" w:space="0" w:color="auto"/>
            <w:left w:val="none" w:sz="0" w:space="0" w:color="auto"/>
            <w:bottom w:val="none" w:sz="0" w:space="0" w:color="auto"/>
            <w:right w:val="none" w:sz="0" w:space="0" w:color="auto"/>
          </w:divBdr>
        </w:div>
        <w:div w:id="1644576041">
          <w:marLeft w:val="850"/>
          <w:marRight w:val="0"/>
          <w:marTop w:val="77"/>
          <w:marBottom w:val="0"/>
          <w:divBdr>
            <w:top w:val="none" w:sz="0" w:space="0" w:color="auto"/>
            <w:left w:val="none" w:sz="0" w:space="0" w:color="auto"/>
            <w:bottom w:val="none" w:sz="0" w:space="0" w:color="auto"/>
            <w:right w:val="none" w:sz="0" w:space="0" w:color="auto"/>
          </w:divBdr>
        </w:div>
        <w:div w:id="1870878003">
          <w:marLeft w:val="850"/>
          <w:marRight w:val="0"/>
          <w:marTop w:val="77"/>
          <w:marBottom w:val="0"/>
          <w:divBdr>
            <w:top w:val="none" w:sz="0" w:space="0" w:color="auto"/>
            <w:left w:val="none" w:sz="0" w:space="0" w:color="auto"/>
            <w:bottom w:val="none" w:sz="0" w:space="0" w:color="auto"/>
            <w:right w:val="none" w:sz="0" w:space="0" w:color="auto"/>
          </w:divBdr>
        </w:div>
        <w:div w:id="1979913123">
          <w:marLeft w:val="850"/>
          <w:marRight w:val="0"/>
          <w:marTop w:val="77"/>
          <w:marBottom w:val="0"/>
          <w:divBdr>
            <w:top w:val="none" w:sz="0" w:space="0" w:color="auto"/>
            <w:left w:val="none" w:sz="0" w:space="0" w:color="auto"/>
            <w:bottom w:val="none" w:sz="0" w:space="0" w:color="auto"/>
            <w:right w:val="none" w:sz="0" w:space="0" w:color="auto"/>
          </w:divBdr>
        </w:div>
        <w:div w:id="2076198335">
          <w:marLeft w:val="1267"/>
          <w:marRight w:val="0"/>
          <w:marTop w:val="67"/>
          <w:marBottom w:val="0"/>
          <w:divBdr>
            <w:top w:val="none" w:sz="0" w:space="0" w:color="auto"/>
            <w:left w:val="none" w:sz="0" w:space="0" w:color="auto"/>
            <w:bottom w:val="none" w:sz="0" w:space="0" w:color="auto"/>
            <w:right w:val="none" w:sz="0" w:space="0" w:color="auto"/>
          </w:divBdr>
        </w:div>
      </w:divsChild>
    </w:div>
    <w:div w:id="1560287761">
      <w:bodyDiv w:val="1"/>
      <w:marLeft w:val="0"/>
      <w:marRight w:val="0"/>
      <w:marTop w:val="0"/>
      <w:marBottom w:val="0"/>
      <w:divBdr>
        <w:top w:val="none" w:sz="0" w:space="0" w:color="auto"/>
        <w:left w:val="none" w:sz="0" w:space="0" w:color="auto"/>
        <w:bottom w:val="none" w:sz="0" w:space="0" w:color="auto"/>
        <w:right w:val="none" w:sz="0" w:space="0" w:color="auto"/>
      </w:divBdr>
    </w:div>
    <w:div w:id="1596397621">
      <w:bodyDiv w:val="1"/>
      <w:marLeft w:val="0"/>
      <w:marRight w:val="0"/>
      <w:marTop w:val="0"/>
      <w:marBottom w:val="0"/>
      <w:divBdr>
        <w:top w:val="none" w:sz="0" w:space="0" w:color="auto"/>
        <w:left w:val="none" w:sz="0" w:space="0" w:color="auto"/>
        <w:bottom w:val="none" w:sz="0" w:space="0" w:color="auto"/>
        <w:right w:val="none" w:sz="0" w:space="0" w:color="auto"/>
      </w:divBdr>
      <w:divsChild>
        <w:div w:id="782572937">
          <w:marLeft w:val="0"/>
          <w:marRight w:val="0"/>
          <w:marTop w:val="0"/>
          <w:marBottom w:val="0"/>
          <w:divBdr>
            <w:top w:val="none" w:sz="0" w:space="0" w:color="auto"/>
            <w:left w:val="none" w:sz="0" w:space="0" w:color="auto"/>
            <w:bottom w:val="none" w:sz="0" w:space="0" w:color="auto"/>
            <w:right w:val="none" w:sz="0" w:space="0" w:color="auto"/>
          </w:divBdr>
        </w:div>
        <w:div w:id="433134049">
          <w:marLeft w:val="0"/>
          <w:marRight w:val="0"/>
          <w:marTop w:val="0"/>
          <w:marBottom w:val="0"/>
          <w:divBdr>
            <w:top w:val="none" w:sz="0" w:space="0" w:color="auto"/>
            <w:left w:val="none" w:sz="0" w:space="0" w:color="auto"/>
            <w:bottom w:val="none" w:sz="0" w:space="0" w:color="auto"/>
            <w:right w:val="none" w:sz="0" w:space="0" w:color="auto"/>
          </w:divBdr>
        </w:div>
      </w:divsChild>
    </w:div>
    <w:div w:id="1647667457">
      <w:bodyDiv w:val="1"/>
      <w:marLeft w:val="0"/>
      <w:marRight w:val="0"/>
      <w:marTop w:val="0"/>
      <w:marBottom w:val="0"/>
      <w:divBdr>
        <w:top w:val="none" w:sz="0" w:space="0" w:color="auto"/>
        <w:left w:val="none" w:sz="0" w:space="0" w:color="auto"/>
        <w:bottom w:val="none" w:sz="0" w:space="0" w:color="auto"/>
        <w:right w:val="none" w:sz="0" w:space="0" w:color="auto"/>
      </w:divBdr>
    </w:div>
    <w:div w:id="1775978137">
      <w:bodyDiv w:val="1"/>
      <w:marLeft w:val="0"/>
      <w:marRight w:val="0"/>
      <w:marTop w:val="0"/>
      <w:marBottom w:val="0"/>
      <w:divBdr>
        <w:top w:val="none" w:sz="0" w:space="0" w:color="auto"/>
        <w:left w:val="none" w:sz="0" w:space="0" w:color="auto"/>
        <w:bottom w:val="none" w:sz="0" w:space="0" w:color="auto"/>
        <w:right w:val="none" w:sz="0" w:space="0" w:color="auto"/>
      </w:divBdr>
    </w:div>
    <w:div w:id="1817599129">
      <w:bodyDiv w:val="1"/>
      <w:marLeft w:val="0"/>
      <w:marRight w:val="0"/>
      <w:marTop w:val="0"/>
      <w:marBottom w:val="0"/>
      <w:divBdr>
        <w:top w:val="none" w:sz="0" w:space="0" w:color="auto"/>
        <w:left w:val="none" w:sz="0" w:space="0" w:color="auto"/>
        <w:bottom w:val="none" w:sz="0" w:space="0" w:color="auto"/>
        <w:right w:val="none" w:sz="0" w:space="0" w:color="auto"/>
      </w:divBdr>
      <w:divsChild>
        <w:div w:id="1726492875">
          <w:marLeft w:val="0"/>
          <w:marRight w:val="0"/>
          <w:marTop w:val="0"/>
          <w:marBottom w:val="0"/>
          <w:divBdr>
            <w:top w:val="none" w:sz="0" w:space="0" w:color="auto"/>
            <w:left w:val="none" w:sz="0" w:space="0" w:color="auto"/>
            <w:bottom w:val="none" w:sz="0" w:space="0" w:color="auto"/>
            <w:right w:val="none" w:sz="0" w:space="0" w:color="auto"/>
          </w:divBdr>
          <w:divsChild>
            <w:div w:id="1354111768">
              <w:marLeft w:val="0"/>
              <w:marRight w:val="0"/>
              <w:marTop w:val="0"/>
              <w:marBottom w:val="0"/>
              <w:divBdr>
                <w:top w:val="none" w:sz="0" w:space="0" w:color="auto"/>
                <w:left w:val="none" w:sz="0" w:space="0" w:color="auto"/>
                <w:bottom w:val="none" w:sz="0" w:space="0" w:color="auto"/>
                <w:right w:val="none" w:sz="0" w:space="0" w:color="auto"/>
              </w:divBdr>
              <w:divsChild>
                <w:div w:id="1129738196">
                  <w:marLeft w:val="0"/>
                  <w:marRight w:val="0"/>
                  <w:marTop w:val="0"/>
                  <w:marBottom w:val="0"/>
                  <w:divBdr>
                    <w:top w:val="none" w:sz="0" w:space="0" w:color="auto"/>
                    <w:left w:val="none" w:sz="0" w:space="0" w:color="auto"/>
                    <w:bottom w:val="none" w:sz="0" w:space="0" w:color="auto"/>
                    <w:right w:val="none" w:sz="0" w:space="0" w:color="auto"/>
                  </w:divBdr>
                  <w:divsChild>
                    <w:div w:id="91482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3591409">
      <w:bodyDiv w:val="1"/>
      <w:marLeft w:val="0"/>
      <w:marRight w:val="0"/>
      <w:marTop w:val="0"/>
      <w:marBottom w:val="0"/>
      <w:divBdr>
        <w:top w:val="none" w:sz="0" w:space="0" w:color="auto"/>
        <w:left w:val="none" w:sz="0" w:space="0" w:color="auto"/>
        <w:bottom w:val="none" w:sz="0" w:space="0" w:color="auto"/>
        <w:right w:val="none" w:sz="0" w:space="0" w:color="auto"/>
      </w:divBdr>
      <w:divsChild>
        <w:div w:id="397022083">
          <w:marLeft w:val="0"/>
          <w:marRight w:val="0"/>
          <w:marTop w:val="0"/>
          <w:marBottom w:val="0"/>
          <w:divBdr>
            <w:top w:val="none" w:sz="0" w:space="0" w:color="auto"/>
            <w:left w:val="none" w:sz="0" w:space="0" w:color="auto"/>
            <w:bottom w:val="none" w:sz="0" w:space="0" w:color="auto"/>
            <w:right w:val="none" w:sz="0" w:space="0" w:color="auto"/>
          </w:divBdr>
          <w:divsChild>
            <w:div w:id="600649592">
              <w:marLeft w:val="0"/>
              <w:marRight w:val="0"/>
              <w:marTop w:val="0"/>
              <w:marBottom w:val="0"/>
              <w:divBdr>
                <w:top w:val="none" w:sz="0" w:space="0" w:color="auto"/>
                <w:left w:val="none" w:sz="0" w:space="0" w:color="auto"/>
                <w:bottom w:val="none" w:sz="0" w:space="0" w:color="auto"/>
                <w:right w:val="none" w:sz="0" w:space="0" w:color="auto"/>
              </w:divBdr>
              <w:divsChild>
                <w:div w:id="1754860126">
                  <w:marLeft w:val="0"/>
                  <w:marRight w:val="0"/>
                  <w:marTop w:val="0"/>
                  <w:marBottom w:val="0"/>
                  <w:divBdr>
                    <w:top w:val="none" w:sz="0" w:space="0" w:color="auto"/>
                    <w:left w:val="none" w:sz="0" w:space="0" w:color="auto"/>
                    <w:bottom w:val="none" w:sz="0" w:space="0" w:color="auto"/>
                    <w:right w:val="none" w:sz="0" w:space="0" w:color="auto"/>
                  </w:divBdr>
                  <w:divsChild>
                    <w:div w:id="435516783">
                      <w:marLeft w:val="0"/>
                      <w:marRight w:val="0"/>
                      <w:marTop w:val="0"/>
                      <w:marBottom w:val="0"/>
                      <w:divBdr>
                        <w:top w:val="none" w:sz="0" w:space="0" w:color="auto"/>
                        <w:left w:val="none" w:sz="0" w:space="0" w:color="auto"/>
                        <w:bottom w:val="none" w:sz="0" w:space="0" w:color="auto"/>
                        <w:right w:val="none" w:sz="0" w:space="0" w:color="auto"/>
                      </w:divBdr>
                      <w:divsChild>
                        <w:div w:id="1895660684">
                          <w:marLeft w:val="0"/>
                          <w:marRight w:val="0"/>
                          <w:marTop w:val="0"/>
                          <w:marBottom w:val="0"/>
                          <w:divBdr>
                            <w:top w:val="none" w:sz="0" w:space="0" w:color="auto"/>
                            <w:left w:val="none" w:sz="0" w:space="0" w:color="auto"/>
                            <w:bottom w:val="none" w:sz="0" w:space="0" w:color="auto"/>
                            <w:right w:val="none" w:sz="0" w:space="0" w:color="auto"/>
                          </w:divBdr>
                          <w:divsChild>
                            <w:div w:id="1700428279">
                              <w:marLeft w:val="0"/>
                              <w:marRight w:val="0"/>
                              <w:marTop w:val="0"/>
                              <w:marBottom w:val="0"/>
                              <w:divBdr>
                                <w:top w:val="none" w:sz="0" w:space="0" w:color="auto"/>
                                <w:left w:val="none" w:sz="0" w:space="0" w:color="auto"/>
                                <w:bottom w:val="none" w:sz="0" w:space="0" w:color="auto"/>
                                <w:right w:val="none" w:sz="0" w:space="0" w:color="auto"/>
                              </w:divBdr>
                              <w:divsChild>
                                <w:div w:id="1619215231">
                                  <w:marLeft w:val="0"/>
                                  <w:marRight w:val="0"/>
                                  <w:marTop w:val="0"/>
                                  <w:marBottom w:val="0"/>
                                  <w:divBdr>
                                    <w:top w:val="none" w:sz="0" w:space="0" w:color="auto"/>
                                    <w:left w:val="none" w:sz="0" w:space="0" w:color="auto"/>
                                    <w:bottom w:val="none" w:sz="0" w:space="0" w:color="auto"/>
                                    <w:right w:val="none" w:sz="0" w:space="0" w:color="auto"/>
                                  </w:divBdr>
                                  <w:divsChild>
                                    <w:div w:id="1491092659">
                                      <w:marLeft w:val="0"/>
                                      <w:marRight w:val="0"/>
                                      <w:marTop w:val="0"/>
                                      <w:marBottom w:val="0"/>
                                      <w:divBdr>
                                        <w:top w:val="none" w:sz="0" w:space="0" w:color="auto"/>
                                        <w:left w:val="none" w:sz="0" w:space="0" w:color="auto"/>
                                        <w:bottom w:val="none" w:sz="0" w:space="0" w:color="auto"/>
                                        <w:right w:val="none" w:sz="0" w:space="0" w:color="auto"/>
                                      </w:divBdr>
                                      <w:divsChild>
                                        <w:div w:id="1423180416">
                                          <w:marLeft w:val="0"/>
                                          <w:marRight w:val="0"/>
                                          <w:marTop w:val="0"/>
                                          <w:marBottom w:val="0"/>
                                          <w:divBdr>
                                            <w:top w:val="none" w:sz="0" w:space="0" w:color="auto"/>
                                            <w:left w:val="none" w:sz="0" w:space="0" w:color="auto"/>
                                            <w:bottom w:val="none" w:sz="0" w:space="0" w:color="auto"/>
                                            <w:right w:val="none" w:sz="0" w:space="0" w:color="auto"/>
                                          </w:divBdr>
                                          <w:divsChild>
                                            <w:div w:id="1582984090">
                                              <w:marLeft w:val="0"/>
                                              <w:marRight w:val="0"/>
                                              <w:marTop w:val="0"/>
                                              <w:marBottom w:val="0"/>
                                              <w:divBdr>
                                                <w:top w:val="none" w:sz="0" w:space="0" w:color="auto"/>
                                                <w:left w:val="none" w:sz="0" w:space="0" w:color="auto"/>
                                                <w:bottom w:val="none" w:sz="0" w:space="0" w:color="auto"/>
                                                <w:right w:val="none" w:sz="0" w:space="0" w:color="auto"/>
                                              </w:divBdr>
                                              <w:divsChild>
                                                <w:div w:id="274678628">
                                                  <w:marLeft w:val="0"/>
                                                  <w:marRight w:val="0"/>
                                                  <w:marTop w:val="0"/>
                                                  <w:marBottom w:val="0"/>
                                                  <w:divBdr>
                                                    <w:top w:val="none" w:sz="0" w:space="0" w:color="auto"/>
                                                    <w:left w:val="none" w:sz="0" w:space="0" w:color="auto"/>
                                                    <w:bottom w:val="none" w:sz="0" w:space="0" w:color="auto"/>
                                                    <w:right w:val="none" w:sz="0" w:space="0" w:color="auto"/>
                                                  </w:divBdr>
                                                  <w:divsChild>
                                                    <w:div w:id="1015419848">
                                                      <w:marLeft w:val="0"/>
                                                      <w:marRight w:val="0"/>
                                                      <w:marTop w:val="0"/>
                                                      <w:marBottom w:val="0"/>
                                                      <w:divBdr>
                                                        <w:top w:val="none" w:sz="0" w:space="0" w:color="auto"/>
                                                        <w:left w:val="none" w:sz="0" w:space="0" w:color="auto"/>
                                                        <w:bottom w:val="none" w:sz="0" w:space="0" w:color="auto"/>
                                                        <w:right w:val="none" w:sz="0" w:space="0" w:color="auto"/>
                                                      </w:divBdr>
                                                      <w:divsChild>
                                                        <w:div w:id="819808948">
                                                          <w:marLeft w:val="0"/>
                                                          <w:marRight w:val="0"/>
                                                          <w:marTop w:val="0"/>
                                                          <w:marBottom w:val="0"/>
                                                          <w:divBdr>
                                                            <w:top w:val="none" w:sz="0" w:space="0" w:color="auto"/>
                                                            <w:left w:val="none" w:sz="0" w:space="0" w:color="auto"/>
                                                            <w:bottom w:val="none" w:sz="0" w:space="0" w:color="auto"/>
                                                            <w:right w:val="none" w:sz="0" w:space="0" w:color="auto"/>
                                                          </w:divBdr>
                                                          <w:divsChild>
                                                            <w:div w:id="2115175938">
                                                              <w:marLeft w:val="0"/>
                                                              <w:marRight w:val="0"/>
                                                              <w:marTop w:val="0"/>
                                                              <w:marBottom w:val="0"/>
                                                              <w:divBdr>
                                                                <w:top w:val="none" w:sz="0" w:space="0" w:color="auto"/>
                                                                <w:left w:val="none" w:sz="0" w:space="0" w:color="auto"/>
                                                                <w:bottom w:val="none" w:sz="0" w:space="0" w:color="auto"/>
                                                                <w:right w:val="none" w:sz="0" w:space="0" w:color="auto"/>
                                                              </w:divBdr>
                                                              <w:divsChild>
                                                                <w:div w:id="1494446149">
                                                                  <w:marLeft w:val="0"/>
                                                                  <w:marRight w:val="0"/>
                                                                  <w:marTop w:val="0"/>
                                                                  <w:marBottom w:val="0"/>
                                                                  <w:divBdr>
                                                                    <w:top w:val="none" w:sz="0" w:space="0" w:color="auto"/>
                                                                    <w:left w:val="none" w:sz="0" w:space="0" w:color="auto"/>
                                                                    <w:bottom w:val="none" w:sz="0" w:space="0" w:color="auto"/>
                                                                    <w:right w:val="none" w:sz="0" w:space="0" w:color="auto"/>
                                                                  </w:divBdr>
                                                                  <w:divsChild>
                                                                    <w:div w:id="1029447683">
                                                                      <w:marLeft w:val="0"/>
                                                                      <w:marRight w:val="0"/>
                                                                      <w:marTop w:val="0"/>
                                                                      <w:marBottom w:val="0"/>
                                                                      <w:divBdr>
                                                                        <w:top w:val="none" w:sz="0" w:space="0" w:color="auto"/>
                                                                        <w:left w:val="none" w:sz="0" w:space="0" w:color="auto"/>
                                                                        <w:bottom w:val="none" w:sz="0" w:space="0" w:color="auto"/>
                                                                        <w:right w:val="none" w:sz="0" w:space="0" w:color="auto"/>
                                                                      </w:divBdr>
                                                                      <w:divsChild>
                                                                        <w:div w:id="364260760">
                                                                          <w:marLeft w:val="0"/>
                                                                          <w:marRight w:val="0"/>
                                                                          <w:marTop w:val="0"/>
                                                                          <w:marBottom w:val="0"/>
                                                                          <w:divBdr>
                                                                            <w:top w:val="none" w:sz="0" w:space="0" w:color="auto"/>
                                                                            <w:left w:val="none" w:sz="0" w:space="0" w:color="auto"/>
                                                                            <w:bottom w:val="none" w:sz="0" w:space="0" w:color="auto"/>
                                                                            <w:right w:val="none" w:sz="0" w:space="0" w:color="auto"/>
                                                                          </w:divBdr>
                                                                          <w:divsChild>
                                                                            <w:div w:id="312948724">
                                                                              <w:marLeft w:val="0"/>
                                                                              <w:marRight w:val="0"/>
                                                                              <w:marTop w:val="0"/>
                                                                              <w:marBottom w:val="0"/>
                                                                              <w:divBdr>
                                                                                <w:top w:val="none" w:sz="0" w:space="0" w:color="auto"/>
                                                                                <w:left w:val="none" w:sz="0" w:space="0" w:color="auto"/>
                                                                                <w:bottom w:val="none" w:sz="0" w:space="0" w:color="auto"/>
                                                                                <w:right w:val="none" w:sz="0" w:space="0" w:color="auto"/>
                                                                              </w:divBdr>
                                                                              <w:divsChild>
                                                                                <w:div w:id="765351171">
                                                                                  <w:marLeft w:val="0"/>
                                                                                  <w:marRight w:val="0"/>
                                                                                  <w:marTop w:val="0"/>
                                                                                  <w:marBottom w:val="0"/>
                                                                                  <w:divBdr>
                                                                                    <w:top w:val="none" w:sz="0" w:space="0" w:color="auto"/>
                                                                                    <w:left w:val="none" w:sz="0" w:space="0" w:color="auto"/>
                                                                                    <w:bottom w:val="none" w:sz="0" w:space="0" w:color="auto"/>
                                                                                    <w:right w:val="none" w:sz="0" w:space="0" w:color="auto"/>
                                                                                  </w:divBdr>
                                                                                  <w:divsChild>
                                                                                    <w:div w:id="568459931">
                                                                                      <w:marLeft w:val="0"/>
                                                                                      <w:marRight w:val="0"/>
                                                                                      <w:marTop w:val="0"/>
                                                                                      <w:marBottom w:val="0"/>
                                                                                      <w:divBdr>
                                                                                        <w:top w:val="none" w:sz="0" w:space="0" w:color="auto"/>
                                                                                        <w:left w:val="none" w:sz="0" w:space="0" w:color="auto"/>
                                                                                        <w:bottom w:val="none" w:sz="0" w:space="0" w:color="auto"/>
                                                                                        <w:right w:val="none" w:sz="0" w:space="0" w:color="auto"/>
                                                                                      </w:divBdr>
                                                                                      <w:divsChild>
                                                                                        <w:div w:id="133302743">
                                                                                          <w:marLeft w:val="0"/>
                                                                                          <w:marRight w:val="0"/>
                                                                                          <w:marTop w:val="0"/>
                                                                                          <w:marBottom w:val="0"/>
                                                                                          <w:divBdr>
                                                                                            <w:top w:val="none" w:sz="0" w:space="0" w:color="auto"/>
                                                                                            <w:left w:val="none" w:sz="0" w:space="0" w:color="auto"/>
                                                                                            <w:bottom w:val="none" w:sz="0" w:space="0" w:color="auto"/>
                                                                                            <w:right w:val="none" w:sz="0" w:space="0" w:color="auto"/>
                                                                                          </w:divBdr>
                                                                                          <w:divsChild>
                                                                                            <w:div w:id="1543176887">
                                                                                              <w:marLeft w:val="0"/>
                                                                                              <w:marRight w:val="0"/>
                                                                                              <w:marTop w:val="0"/>
                                                                                              <w:marBottom w:val="0"/>
                                                                                              <w:divBdr>
                                                                                                <w:top w:val="none" w:sz="0" w:space="0" w:color="auto"/>
                                                                                                <w:left w:val="none" w:sz="0" w:space="0" w:color="auto"/>
                                                                                                <w:bottom w:val="none" w:sz="0" w:space="0" w:color="auto"/>
                                                                                                <w:right w:val="none" w:sz="0" w:space="0" w:color="auto"/>
                                                                                              </w:divBdr>
                                                                                              <w:divsChild>
                                                                                                <w:div w:id="824469611">
                                                                                                  <w:marLeft w:val="0"/>
                                                                                                  <w:marRight w:val="0"/>
                                                                                                  <w:marTop w:val="0"/>
                                                                                                  <w:marBottom w:val="0"/>
                                                                                                  <w:divBdr>
                                                                                                    <w:top w:val="none" w:sz="0" w:space="0" w:color="auto"/>
                                                                                                    <w:left w:val="none" w:sz="0" w:space="0" w:color="auto"/>
                                                                                                    <w:bottom w:val="none" w:sz="0" w:space="0" w:color="auto"/>
                                                                                                    <w:right w:val="none" w:sz="0" w:space="0" w:color="auto"/>
                                                                                                  </w:divBdr>
                                                                                                  <w:divsChild>
                                                                                                    <w:div w:id="1813985143">
                                                                                                      <w:marLeft w:val="0"/>
                                                                                                      <w:marRight w:val="0"/>
                                                                                                      <w:marTop w:val="0"/>
                                                                                                      <w:marBottom w:val="0"/>
                                                                                                      <w:divBdr>
                                                                                                        <w:top w:val="none" w:sz="0" w:space="0" w:color="auto"/>
                                                                                                        <w:left w:val="none" w:sz="0" w:space="0" w:color="auto"/>
                                                                                                        <w:bottom w:val="none" w:sz="0" w:space="0" w:color="auto"/>
                                                                                                        <w:right w:val="none" w:sz="0" w:space="0" w:color="auto"/>
                                                                                                      </w:divBdr>
                                                                                                      <w:divsChild>
                                                                                                        <w:div w:id="850989181">
                                                                                                          <w:marLeft w:val="0"/>
                                                                                                          <w:marRight w:val="0"/>
                                                                                                          <w:marTop w:val="0"/>
                                                                                                          <w:marBottom w:val="0"/>
                                                                                                          <w:divBdr>
                                                                                                            <w:top w:val="none" w:sz="0" w:space="0" w:color="auto"/>
                                                                                                            <w:left w:val="none" w:sz="0" w:space="0" w:color="auto"/>
                                                                                                            <w:bottom w:val="none" w:sz="0" w:space="0" w:color="auto"/>
                                                                                                            <w:right w:val="none" w:sz="0" w:space="0" w:color="auto"/>
                                                                                                          </w:divBdr>
                                                                                                          <w:divsChild>
                                                                                                            <w:div w:id="802310976">
                                                                                                              <w:marLeft w:val="0"/>
                                                                                                              <w:marRight w:val="0"/>
                                                                                                              <w:marTop w:val="0"/>
                                                                                                              <w:marBottom w:val="0"/>
                                                                                                              <w:divBdr>
                                                                                                                <w:top w:val="none" w:sz="0" w:space="0" w:color="auto"/>
                                                                                                                <w:left w:val="none" w:sz="0" w:space="0" w:color="auto"/>
                                                                                                                <w:bottom w:val="none" w:sz="0" w:space="0" w:color="auto"/>
                                                                                                                <w:right w:val="none" w:sz="0" w:space="0" w:color="auto"/>
                                                                                                              </w:divBdr>
                                                                                                              <w:divsChild>
                                                                                                                <w:div w:id="1268856690">
                                                                                                                  <w:marLeft w:val="0"/>
                                                                                                                  <w:marRight w:val="0"/>
                                                                                                                  <w:marTop w:val="0"/>
                                                                                                                  <w:marBottom w:val="0"/>
                                                                                                                  <w:divBdr>
                                                                                                                    <w:top w:val="none" w:sz="0" w:space="0" w:color="auto"/>
                                                                                                                    <w:left w:val="none" w:sz="0" w:space="0" w:color="auto"/>
                                                                                                                    <w:bottom w:val="none" w:sz="0" w:space="0" w:color="auto"/>
                                                                                                                    <w:right w:val="none" w:sz="0" w:space="0" w:color="auto"/>
                                                                                                                  </w:divBdr>
                                                                                                                  <w:divsChild>
                                                                                                                    <w:div w:id="1789927483">
                                                                                                                      <w:marLeft w:val="0"/>
                                                                                                                      <w:marRight w:val="0"/>
                                                                                                                      <w:marTop w:val="0"/>
                                                                                                                      <w:marBottom w:val="0"/>
                                                                                                                      <w:divBdr>
                                                                                                                        <w:top w:val="none" w:sz="0" w:space="0" w:color="auto"/>
                                                                                                                        <w:left w:val="none" w:sz="0" w:space="0" w:color="auto"/>
                                                                                                                        <w:bottom w:val="none" w:sz="0" w:space="0" w:color="auto"/>
                                                                                                                        <w:right w:val="none" w:sz="0" w:space="0" w:color="auto"/>
                                                                                                                      </w:divBdr>
                                                                                                                      <w:divsChild>
                                                                                                                        <w:div w:id="813760665">
                                                                                                                          <w:marLeft w:val="0"/>
                                                                                                                          <w:marRight w:val="0"/>
                                                                                                                          <w:marTop w:val="0"/>
                                                                                                                          <w:marBottom w:val="0"/>
                                                                                                                          <w:divBdr>
                                                                                                                            <w:top w:val="none" w:sz="0" w:space="0" w:color="auto"/>
                                                                                                                            <w:left w:val="none" w:sz="0" w:space="0" w:color="auto"/>
                                                                                                                            <w:bottom w:val="none" w:sz="0" w:space="0" w:color="auto"/>
                                                                                                                            <w:right w:val="none" w:sz="0" w:space="0" w:color="auto"/>
                                                                                                                          </w:divBdr>
                                                                                                                          <w:divsChild>
                                                                                                                            <w:div w:id="1496146780">
                                                                                                                              <w:marLeft w:val="0"/>
                                                                                                                              <w:marRight w:val="0"/>
                                                                                                                              <w:marTop w:val="0"/>
                                                                                                                              <w:marBottom w:val="0"/>
                                                                                                                              <w:divBdr>
                                                                                                                                <w:top w:val="none" w:sz="0" w:space="0" w:color="auto"/>
                                                                                                                                <w:left w:val="none" w:sz="0" w:space="0" w:color="auto"/>
                                                                                                                                <w:bottom w:val="none" w:sz="0" w:space="0" w:color="auto"/>
                                                                                                                                <w:right w:val="none" w:sz="0" w:space="0" w:color="auto"/>
                                                                                                                              </w:divBdr>
                                                                                                                              <w:divsChild>
                                                                                                                                <w:div w:id="1546016882">
                                                                                                                                  <w:marLeft w:val="0"/>
                                                                                                                                  <w:marRight w:val="0"/>
                                                                                                                                  <w:marTop w:val="0"/>
                                                                                                                                  <w:marBottom w:val="0"/>
                                                                                                                                  <w:divBdr>
                                                                                                                                    <w:top w:val="none" w:sz="0" w:space="0" w:color="auto"/>
                                                                                                                                    <w:left w:val="none" w:sz="0" w:space="0" w:color="auto"/>
                                                                                                                                    <w:bottom w:val="none" w:sz="0" w:space="0" w:color="auto"/>
                                                                                                                                    <w:right w:val="none" w:sz="0" w:space="0" w:color="auto"/>
                                                                                                                                  </w:divBdr>
                                                                                                                                  <w:divsChild>
                                                                                                                                    <w:div w:id="70199334">
                                                                                                                                      <w:marLeft w:val="0"/>
                                                                                                                                      <w:marRight w:val="0"/>
                                                                                                                                      <w:marTop w:val="0"/>
                                                                                                                                      <w:marBottom w:val="0"/>
                                                                                                                                      <w:divBdr>
                                                                                                                                        <w:top w:val="none" w:sz="0" w:space="0" w:color="auto"/>
                                                                                                                                        <w:left w:val="none" w:sz="0" w:space="0" w:color="auto"/>
                                                                                                                                        <w:bottom w:val="none" w:sz="0" w:space="0" w:color="auto"/>
                                                                                                                                        <w:right w:val="none" w:sz="0" w:space="0" w:color="auto"/>
                                                                                                                                      </w:divBdr>
                                                                                                                                      <w:divsChild>
                                                                                                                                        <w:div w:id="223416774">
                                                                                                                                          <w:marLeft w:val="0"/>
                                                                                                                                          <w:marRight w:val="0"/>
                                                                                                                                          <w:marTop w:val="0"/>
                                                                                                                                          <w:marBottom w:val="0"/>
                                                                                                                                          <w:divBdr>
                                                                                                                                            <w:top w:val="none" w:sz="0" w:space="0" w:color="auto"/>
                                                                                                                                            <w:left w:val="none" w:sz="0" w:space="0" w:color="auto"/>
                                                                                                                                            <w:bottom w:val="none" w:sz="0" w:space="0" w:color="auto"/>
                                                                                                                                            <w:right w:val="none" w:sz="0" w:space="0" w:color="auto"/>
                                                                                                                                          </w:divBdr>
                                                                                                                                          <w:divsChild>
                                                                                                                                            <w:div w:id="1309869778">
                                                                                                                                              <w:marLeft w:val="0"/>
                                                                                                                                              <w:marRight w:val="0"/>
                                                                                                                                              <w:marTop w:val="0"/>
                                                                                                                                              <w:marBottom w:val="0"/>
                                                                                                                                              <w:divBdr>
                                                                                                                                                <w:top w:val="none" w:sz="0" w:space="0" w:color="auto"/>
                                                                                                                                                <w:left w:val="none" w:sz="0" w:space="0" w:color="auto"/>
                                                                                                                                                <w:bottom w:val="none" w:sz="0" w:space="0" w:color="auto"/>
                                                                                                                                                <w:right w:val="none" w:sz="0" w:space="0" w:color="auto"/>
                                                                                                                                              </w:divBdr>
                                                                                                                                              <w:divsChild>
                                                                                                                                                <w:div w:id="1056858783">
                                                                                                                                                  <w:marLeft w:val="0"/>
                                                                                                                                                  <w:marRight w:val="0"/>
                                                                                                                                                  <w:marTop w:val="0"/>
                                                                                                                                                  <w:marBottom w:val="0"/>
                                                                                                                                                  <w:divBdr>
                                                                                                                                                    <w:top w:val="none" w:sz="0" w:space="0" w:color="auto"/>
                                                                                                                                                    <w:left w:val="none" w:sz="0" w:space="0" w:color="auto"/>
                                                                                                                                                    <w:bottom w:val="none" w:sz="0" w:space="0" w:color="auto"/>
                                                                                                                                                    <w:right w:val="none" w:sz="0" w:space="0" w:color="auto"/>
                                                                                                                                                  </w:divBdr>
                                                                                                                                                  <w:divsChild>
                                                                                                                                                    <w:div w:id="1409494813">
                                                                                                                                                      <w:marLeft w:val="0"/>
                                                                                                                                                      <w:marRight w:val="0"/>
                                                                                                                                                      <w:marTop w:val="0"/>
                                                                                                                                                      <w:marBottom w:val="0"/>
                                                                                                                                                      <w:divBdr>
                                                                                                                                                        <w:top w:val="none" w:sz="0" w:space="0" w:color="auto"/>
                                                                                                                                                        <w:left w:val="none" w:sz="0" w:space="0" w:color="auto"/>
                                                                                                                                                        <w:bottom w:val="none" w:sz="0" w:space="0" w:color="auto"/>
                                                                                                                                                        <w:right w:val="none" w:sz="0" w:space="0" w:color="auto"/>
                                                                                                                                                      </w:divBdr>
                                                                                                                                                      <w:divsChild>
                                                                                                                                                        <w:div w:id="2048987481">
                                                                                                                                                          <w:marLeft w:val="0"/>
                                                                                                                                                          <w:marRight w:val="0"/>
                                                                                                                                                          <w:marTop w:val="0"/>
                                                                                                                                                          <w:marBottom w:val="0"/>
                                                                                                                                                          <w:divBdr>
                                                                                                                                                            <w:top w:val="none" w:sz="0" w:space="0" w:color="auto"/>
                                                                                                                                                            <w:left w:val="none" w:sz="0" w:space="0" w:color="auto"/>
                                                                                                                                                            <w:bottom w:val="none" w:sz="0" w:space="0" w:color="auto"/>
                                                                                                                                                            <w:right w:val="none" w:sz="0" w:space="0" w:color="auto"/>
                                                                                                                                                          </w:divBdr>
                                                                                                                                                          <w:divsChild>
                                                                                                                                                            <w:div w:id="1074619542">
                                                                                                                                                              <w:marLeft w:val="0"/>
                                                                                                                                                              <w:marRight w:val="0"/>
                                                                                                                                                              <w:marTop w:val="0"/>
                                                                                                                                                              <w:marBottom w:val="0"/>
                                                                                                                                                              <w:divBdr>
                                                                                                                                                                <w:top w:val="none" w:sz="0" w:space="0" w:color="auto"/>
                                                                                                                                                                <w:left w:val="none" w:sz="0" w:space="0" w:color="auto"/>
                                                                                                                                                                <w:bottom w:val="none" w:sz="0" w:space="0" w:color="auto"/>
                                                                                                                                                                <w:right w:val="none" w:sz="0" w:space="0" w:color="auto"/>
                                                                                                                                                              </w:divBdr>
                                                                                                                                                              <w:divsChild>
                                                                                                                                                                <w:div w:id="1856992921">
                                                                                                                                                                  <w:marLeft w:val="0"/>
                                                                                                                                                                  <w:marRight w:val="0"/>
                                                                                                                                                                  <w:marTop w:val="0"/>
                                                                                                                                                                  <w:marBottom w:val="0"/>
                                                                                                                                                                  <w:divBdr>
                                                                                                                                                                    <w:top w:val="none" w:sz="0" w:space="0" w:color="auto"/>
                                                                                                                                                                    <w:left w:val="none" w:sz="0" w:space="0" w:color="auto"/>
                                                                                                                                                                    <w:bottom w:val="none" w:sz="0" w:space="0" w:color="auto"/>
                                                                                                                                                                    <w:right w:val="none" w:sz="0" w:space="0" w:color="auto"/>
                                                                                                                                                                  </w:divBdr>
                                                                                                                                                                  <w:divsChild>
                                                                                                                                                                    <w:div w:id="1690831520">
                                                                                                                                                                      <w:marLeft w:val="0"/>
                                                                                                                                                                      <w:marRight w:val="0"/>
                                                                                                                                                                      <w:marTop w:val="0"/>
                                                                                                                                                                      <w:marBottom w:val="0"/>
                                                                                                                                                                      <w:divBdr>
                                                                                                                                                                        <w:top w:val="none" w:sz="0" w:space="0" w:color="auto"/>
                                                                                                                                                                        <w:left w:val="none" w:sz="0" w:space="0" w:color="auto"/>
                                                                                                                                                                        <w:bottom w:val="none" w:sz="0" w:space="0" w:color="auto"/>
                                                                                                                                                                        <w:right w:val="none" w:sz="0" w:space="0" w:color="auto"/>
                                                                                                                                                                      </w:divBdr>
                                                                                                                                                                      <w:divsChild>
                                                                                                                                                                        <w:div w:id="2074084417">
                                                                                                                                                                          <w:marLeft w:val="0"/>
                                                                                                                                                                          <w:marRight w:val="0"/>
                                                                                                                                                                          <w:marTop w:val="0"/>
                                                                                                                                                                          <w:marBottom w:val="0"/>
                                                                                                                                                                          <w:divBdr>
                                                                                                                                                                            <w:top w:val="none" w:sz="0" w:space="0" w:color="auto"/>
                                                                                                                                                                            <w:left w:val="none" w:sz="0" w:space="0" w:color="auto"/>
                                                                                                                                                                            <w:bottom w:val="none" w:sz="0" w:space="0" w:color="auto"/>
                                                                                                                                                                            <w:right w:val="none" w:sz="0" w:space="0" w:color="auto"/>
                                                                                                                                                                          </w:divBdr>
                                                                                                                                                                          <w:divsChild>
                                                                                                                                                                            <w:div w:id="153381112">
                                                                                                                                                                              <w:marLeft w:val="0"/>
                                                                                                                                                                              <w:marRight w:val="0"/>
                                                                                                                                                                              <w:marTop w:val="0"/>
                                                                                                                                                                              <w:marBottom w:val="0"/>
                                                                                                                                                                              <w:divBdr>
                                                                                                                                                                                <w:top w:val="none" w:sz="0" w:space="0" w:color="auto"/>
                                                                                                                                                                                <w:left w:val="none" w:sz="0" w:space="0" w:color="auto"/>
                                                                                                                                                                                <w:bottom w:val="none" w:sz="0" w:space="0" w:color="auto"/>
                                                                                                                                                                                <w:right w:val="none" w:sz="0" w:space="0" w:color="auto"/>
                                                                                                                                                                              </w:divBdr>
                                                                                                                                                                              <w:divsChild>
                                                                                                                                                                                <w:div w:id="1487740161">
                                                                                                                                                                                  <w:marLeft w:val="0"/>
                                                                                                                                                                                  <w:marRight w:val="0"/>
                                                                                                                                                                                  <w:marTop w:val="0"/>
                                                                                                                                                                                  <w:marBottom w:val="0"/>
                                                                                                                                                                                  <w:divBdr>
                                                                                                                                                                                    <w:top w:val="none" w:sz="0" w:space="0" w:color="auto"/>
                                                                                                                                                                                    <w:left w:val="none" w:sz="0" w:space="0" w:color="auto"/>
                                                                                                                                                                                    <w:bottom w:val="none" w:sz="0" w:space="0" w:color="auto"/>
                                                                                                                                                                                    <w:right w:val="none" w:sz="0" w:space="0" w:color="auto"/>
                                                                                                                                                                                  </w:divBdr>
                                                                                                                                                                                  <w:divsChild>
                                                                                                                                                                                    <w:div w:id="211380350">
                                                                                                                                                                                      <w:marLeft w:val="0"/>
                                                                                                                                                                                      <w:marRight w:val="0"/>
                                                                                                                                                                                      <w:marTop w:val="0"/>
                                                                                                                                                                                      <w:marBottom w:val="0"/>
                                                                                                                                                                                      <w:divBdr>
                                                                                                                                                                                        <w:top w:val="none" w:sz="0" w:space="0" w:color="auto"/>
                                                                                                                                                                                        <w:left w:val="none" w:sz="0" w:space="0" w:color="auto"/>
                                                                                                                                                                                        <w:bottom w:val="none" w:sz="0" w:space="0" w:color="auto"/>
                                                                                                                                                                                        <w:right w:val="none" w:sz="0" w:space="0" w:color="auto"/>
                                                                                                                                                                                      </w:divBdr>
                                                                                                                                                                                      <w:divsChild>
                                                                                                                                                                                        <w:div w:id="2976847">
                                                                                                                                                                                          <w:marLeft w:val="0"/>
                                                                                                                                                                                          <w:marRight w:val="0"/>
                                                                                                                                                                                          <w:marTop w:val="0"/>
                                                                                                                                                                                          <w:marBottom w:val="0"/>
                                                                                                                                                                                          <w:divBdr>
                                                                                                                                                                                            <w:top w:val="none" w:sz="0" w:space="0" w:color="auto"/>
                                                                                                                                                                                            <w:left w:val="none" w:sz="0" w:space="0" w:color="auto"/>
                                                                                                                                                                                            <w:bottom w:val="none" w:sz="0" w:space="0" w:color="auto"/>
                                                                                                                                                                                            <w:right w:val="none" w:sz="0" w:space="0" w:color="auto"/>
                                                                                                                                                                                          </w:divBdr>
                                                                                                                                                                                          <w:divsChild>
                                                                                                                                                                                            <w:div w:id="1466659936">
                                                                                                                                                                                              <w:marLeft w:val="0"/>
                                                                                                                                                                                              <w:marRight w:val="0"/>
                                                                                                                                                                                              <w:marTop w:val="0"/>
                                                                                                                                                                                              <w:marBottom w:val="0"/>
                                                                                                                                                                                              <w:divBdr>
                                                                                                                                                                                                <w:top w:val="none" w:sz="0" w:space="0" w:color="auto"/>
                                                                                                                                                                                                <w:left w:val="none" w:sz="0" w:space="0" w:color="auto"/>
                                                                                                                                                                                                <w:bottom w:val="none" w:sz="0" w:space="0" w:color="auto"/>
                                                                                                                                                                                                <w:right w:val="none" w:sz="0" w:space="0" w:color="auto"/>
                                                                                                                                                                                              </w:divBdr>
                                                                                                                                                                                              <w:divsChild>
                                                                                                                                                                                                <w:div w:id="1377775563">
                                                                                                                                                                                                  <w:marLeft w:val="0"/>
                                                                                                                                                                                                  <w:marRight w:val="0"/>
                                                                                                                                                                                                  <w:marTop w:val="0"/>
                                                                                                                                                                                                  <w:marBottom w:val="0"/>
                                                                                                                                                                                                  <w:divBdr>
                                                                                                                                                                                                    <w:top w:val="none" w:sz="0" w:space="0" w:color="auto"/>
                                                                                                                                                                                                    <w:left w:val="none" w:sz="0" w:space="0" w:color="auto"/>
                                                                                                                                                                                                    <w:bottom w:val="none" w:sz="0" w:space="0" w:color="auto"/>
                                                                                                                                                                                                    <w:right w:val="none" w:sz="0" w:space="0" w:color="auto"/>
                                                                                                                                                                                                  </w:divBdr>
                                                                                                                                                                                                  <w:divsChild>
                                                                                                                                                                                                    <w:div w:id="736587328">
                                                                                                                                                                                                      <w:marLeft w:val="0"/>
                                                                                                                                                                                                      <w:marRight w:val="0"/>
                                                                                                                                                                                                      <w:marTop w:val="0"/>
                                                                                                                                                                                                      <w:marBottom w:val="0"/>
                                                                                                                                                                                                      <w:divBdr>
                                                                                                                                                                                                        <w:top w:val="none" w:sz="0" w:space="0" w:color="auto"/>
                                                                                                                                                                                                        <w:left w:val="none" w:sz="0" w:space="0" w:color="auto"/>
                                                                                                                                                                                                        <w:bottom w:val="none" w:sz="0" w:space="0" w:color="auto"/>
                                                                                                                                                                                                        <w:right w:val="none" w:sz="0" w:space="0" w:color="auto"/>
                                                                                                                                                                                                      </w:divBdr>
                                                                                                                                                                                                      <w:divsChild>
                                                                                                                                                                                                        <w:div w:id="216480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31834298">
      <w:bodyDiv w:val="1"/>
      <w:marLeft w:val="0"/>
      <w:marRight w:val="0"/>
      <w:marTop w:val="0"/>
      <w:marBottom w:val="0"/>
      <w:divBdr>
        <w:top w:val="none" w:sz="0" w:space="0" w:color="auto"/>
        <w:left w:val="none" w:sz="0" w:space="0" w:color="auto"/>
        <w:bottom w:val="none" w:sz="0" w:space="0" w:color="auto"/>
        <w:right w:val="none" w:sz="0" w:space="0" w:color="auto"/>
      </w:divBdr>
    </w:div>
    <w:div w:id="2049142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 TargetMode="External"/><Relationship Id="rId13" Type="http://schemas.openxmlformats.org/officeDocument/2006/relationships/image" Target="media/image4.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footer" Target="footer2.xml"/><Relationship Id="rId29"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2.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chart" Target="charts/chart2.xml"/><Relationship Id="rId22" Type="http://schemas.openxmlformats.org/officeDocument/2006/relationships/theme" Target="theme/theme1.xml"/><Relationship Id="rId30"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icrosoft%20office\templates\ZZ1raple.dot"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MZ\Documents\Mats%20dokument\Batterier%20och%20hybrider\Stable%20fr&#229;n%20och%20med%20150422\modelbilder%202%20scenario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MZ\Documents\Mats%20dokument\Batterier%20och%20hybrider\Stable%20fr&#229;n%20och%20med%20150422\modelbilder%202%20scenarios.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MZ\Documents\Mats%20dokument\Batterier%20och%20hybrider\Stable%20fr&#229;n%20och%20med%20150422\modelbilder%202%20scenario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sv-SE"/>
  <c:chart>
    <c:plotArea>
      <c:layout/>
      <c:barChart>
        <c:barDir val="col"/>
        <c:grouping val="stacked"/>
        <c:ser>
          <c:idx val="0"/>
          <c:order val="0"/>
          <c:tx>
            <c:strRef>
              <c:f>'Tabeller per km'!$Q$5</c:f>
              <c:strCache>
                <c:ptCount val="1"/>
                <c:pt idx="0">
                  <c:v>Production</c:v>
                </c:pt>
              </c:strCache>
            </c:strRef>
          </c:tx>
          <c:cat>
            <c:multiLvlStrRef>
              <c:f>'Tabeller per km'!$R$3:$S$4</c:f>
              <c:multiLvlStrCache>
                <c:ptCount val="2"/>
                <c:lvl>
                  <c:pt idx="0">
                    <c:v>g CO2-eq</c:v>
                  </c:pt>
                  <c:pt idx="1">
                    <c:v>g CO2-eq</c:v>
                  </c:pt>
                </c:lvl>
                <c:lvl>
                  <c:pt idx="0">
                    <c:v>Achievement</c:v>
                  </c:pt>
                  <c:pt idx="1">
                    <c:v>Long-term goal</c:v>
                  </c:pt>
                </c:lvl>
              </c:multiLvlStrCache>
            </c:multiLvlStrRef>
          </c:cat>
          <c:val>
            <c:numRef>
              <c:f>'Tabeller per km'!$R$5:$S$5</c:f>
              <c:numCache>
                <c:formatCode>General</c:formatCode>
                <c:ptCount val="2"/>
                <c:pt idx="0">
                  <c:v>249</c:v>
                </c:pt>
                <c:pt idx="1">
                  <c:v>3.2</c:v>
                </c:pt>
              </c:numCache>
            </c:numRef>
          </c:val>
        </c:ser>
        <c:ser>
          <c:idx val="1"/>
          <c:order val="1"/>
          <c:tx>
            <c:strRef>
              <c:f>'Tabeller per km'!$Q$6</c:f>
              <c:strCache>
                <c:ptCount val="1"/>
                <c:pt idx="0">
                  <c:v>Use</c:v>
                </c:pt>
              </c:strCache>
            </c:strRef>
          </c:tx>
          <c:spPr>
            <a:solidFill>
              <a:srgbClr val="92B620"/>
            </a:solidFill>
          </c:spPr>
          <c:cat>
            <c:multiLvlStrRef>
              <c:f>'Tabeller per km'!$R$3:$S$4</c:f>
              <c:multiLvlStrCache>
                <c:ptCount val="2"/>
                <c:lvl>
                  <c:pt idx="0">
                    <c:v>g CO2-eq</c:v>
                  </c:pt>
                  <c:pt idx="1">
                    <c:v>g CO2-eq</c:v>
                  </c:pt>
                </c:lvl>
                <c:lvl>
                  <c:pt idx="0">
                    <c:v>Achievement</c:v>
                  </c:pt>
                  <c:pt idx="1">
                    <c:v>Long-term goal</c:v>
                  </c:pt>
                </c:lvl>
              </c:multiLvlStrCache>
            </c:multiLvlStrRef>
          </c:cat>
          <c:val>
            <c:numRef>
              <c:f>'Tabeller per km'!$R$6:$S$6</c:f>
              <c:numCache>
                <c:formatCode>0</c:formatCode>
                <c:ptCount val="2"/>
                <c:pt idx="0">
                  <c:v>69.024999999999991</c:v>
                </c:pt>
                <c:pt idx="1">
                  <c:v>23.2</c:v>
                </c:pt>
              </c:numCache>
            </c:numRef>
          </c:val>
        </c:ser>
        <c:ser>
          <c:idx val="2"/>
          <c:order val="2"/>
          <c:tx>
            <c:strRef>
              <c:f>'Tabeller per km'!$Q$7</c:f>
              <c:strCache>
                <c:ptCount val="1"/>
                <c:pt idx="0">
                  <c:v>End-of-life</c:v>
                </c:pt>
              </c:strCache>
            </c:strRef>
          </c:tx>
          <c:spPr>
            <a:solidFill>
              <a:srgbClr val="1FB7B7"/>
            </a:solidFill>
          </c:spPr>
          <c:cat>
            <c:multiLvlStrRef>
              <c:f>'Tabeller per km'!$R$3:$S$4</c:f>
              <c:multiLvlStrCache>
                <c:ptCount val="2"/>
                <c:lvl>
                  <c:pt idx="0">
                    <c:v>g CO2-eq</c:v>
                  </c:pt>
                  <c:pt idx="1">
                    <c:v>g CO2-eq</c:v>
                  </c:pt>
                </c:lvl>
                <c:lvl>
                  <c:pt idx="0">
                    <c:v>Achievement</c:v>
                  </c:pt>
                  <c:pt idx="1">
                    <c:v>Long-term goal</c:v>
                  </c:pt>
                </c:lvl>
              </c:multiLvlStrCache>
            </c:multiLvlStrRef>
          </c:cat>
          <c:val>
            <c:numRef>
              <c:f>'Tabeller per km'!$R$7:$S$7</c:f>
              <c:numCache>
                <c:formatCode>0.00</c:formatCode>
                <c:ptCount val="2"/>
                <c:pt idx="0" formatCode="0">
                  <c:v>-22.1</c:v>
                </c:pt>
                <c:pt idx="1">
                  <c:v>-0.28500000000000031</c:v>
                </c:pt>
              </c:numCache>
            </c:numRef>
          </c:val>
        </c:ser>
        <c:overlap val="100"/>
        <c:axId val="104106624"/>
        <c:axId val="104120704"/>
      </c:barChart>
      <c:catAx>
        <c:axId val="104106624"/>
        <c:scaling>
          <c:orientation val="minMax"/>
        </c:scaling>
        <c:axPos val="b"/>
        <c:numFmt formatCode="General" sourceLinked="0"/>
        <c:tickLblPos val="nextTo"/>
        <c:crossAx val="104120704"/>
        <c:crosses val="autoZero"/>
        <c:auto val="1"/>
        <c:lblAlgn val="ctr"/>
        <c:lblOffset val="100"/>
      </c:catAx>
      <c:valAx>
        <c:axId val="104120704"/>
        <c:scaling>
          <c:orientation val="minMax"/>
        </c:scaling>
        <c:axPos val="l"/>
        <c:majorGridlines/>
        <c:numFmt formatCode="General" sourceLinked="1"/>
        <c:tickLblPos val="nextTo"/>
        <c:crossAx val="104106624"/>
        <c:crosses val="autoZero"/>
        <c:crossBetween val="between"/>
      </c:valAx>
    </c:plotArea>
    <c:legend>
      <c:legendPos val="r"/>
      <c:layout/>
    </c:legend>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sv-SE"/>
  <c:chart>
    <c:plotArea>
      <c:layout/>
      <c:barChart>
        <c:barDir val="col"/>
        <c:grouping val="stacked"/>
        <c:ser>
          <c:idx val="0"/>
          <c:order val="0"/>
          <c:tx>
            <c:strRef>
              <c:f>'Tabeller per km'!$Q$18</c:f>
              <c:strCache>
                <c:ptCount val="1"/>
                <c:pt idx="0">
                  <c:v>Production</c:v>
                </c:pt>
              </c:strCache>
            </c:strRef>
          </c:tx>
          <c:cat>
            <c:multiLvlStrRef>
              <c:f>'Tabeller per km'!$R$16:$S$17</c:f>
              <c:multiLvlStrCache>
                <c:ptCount val="2"/>
                <c:lvl>
                  <c:pt idx="0">
                    <c:v>kg Sb-eq</c:v>
                  </c:pt>
                  <c:pt idx="1">
                    <c:v>kg Sb-eq</c:v>
                  </c:pt>
                </c:lvl>
                <c:lvl>
                  <c:pt idx="0">
                    <c:v>Achievement</c:v>
                  </c:pt>
                  <c:pt idx="1">
                    <c:v>Long-term goal</c:v>
                  </c:pt>
                </c:lvl>
              </c:multiLvlStrCache>
            </c:multiLvlStrRef>
          </c:cat>
          <c:val>
            <c:numRef>
              <c:f>'Tabeller per km'!$R$18:$S$18</c:f>
              <c:numCache>
                <c:formatCode>0.0E+00</c:formatCode>
                <c:ptCount val="2"/>
                <c:pt idx="0" formatCode="0.00E+00">
                  <c:v>2.1000000000000163E-6</c:v>
                </c:pt>
                <c:pt idx="1">
                  <c:v>2.7100000000000279E-8</c:v>
                </c:pt>
              </c:numCache>
            </c:numRef>
          </c:val>
        </c:ser>
        <c:ser>
          <c:idx val="1"/>
          <c:order val="1"/>
          <c:tx>
            <c:strRef>
              <c:f>'Tabeller per km'!$Q$19</c:f>
              <c:strCache>
                <c:ptCount val="1"/>
                <c:pt idx="0">
                  <c:v>Use</c:v>
                </c:pt>
              </c:strCache>
            </c:strRef>
          </c:tx>
          <c:spPr>
            <a:solidFill>
              <a:srgbClr val="92B620"/>
            </a:solidFill>
          </c:spPr>
          <c:cat>
            <c:multiLvlStrRef>
              <c:f>'Tabeller per km'!$R$16:$S$17</c:f>
              <c:multiLvlStrCache>
                <c:ptCount val="2"/>
                <c:lvl>
                  <c:pt idx="0">
                    <c:v>kg Sb-eq</c:v>
                  </c:pt>
                  <c:pt idx="1">
                    <c:v>kg Sb-eq</c:v>
                  </c:pt>
                </c:lvl>
                <c:lvl>
                  <c:pt idx="0">
                    <c:v>Achievement</c:v>
                  </c:pt>
                  <c:pt idx="1">
                    <c:v>Long-term goal</c:v>
                  </c:pt>
                </c:lvl>
              </c:multiLvlStrCache>
            </c:multiLvlStrRef>
          </c:cat>
          <c:val>
            <c:numRef>
              <c:f>'Tabeller per km'!$R$19:$S$19</c:f>
              <c:numCache>
                <c:formatCode>0.0E+00</c:formatCode>
                <c:ptCount val="2"/>
                <c:pt idx="0" formatCode="General">
                  <c:v>1.0900000000000107E-7</c:v>
                </c:pt>
                <c:pt idx="1">
                  <c:v>3.610000000000031E-8</c:v>
                </c:pt>
              </c:numCache>
            </c:numRef>
          </c:val>
        </c:ser>
        <c:ser>
          <c:idx val="2"/>
          <c:order val="2"/>
          <c:tx>
            <c:strRef>
              <c:f>'Tabeller per km'!$Q$20</c:f>
              <c:strCache>
                <c:ptCount val="1"/>
                <c:pt idx="0">
                  <c:v>End-of-life</c:v>
                </c:pt>
              </c:strCache>
            </c:strRef>
          </c:tx>
          <c:spPr>
            <a:solidFill>
              <a:srgbClr val="1FB7B7"/>
            </a:solidFill>
          </c:spPr>
          <c:cat>
            <c:multiLvlStrRef>
              <c:f>'Tabeller per km'!$R$16:$S$17</c:f>
              <c:multiLvlStrCache>
                <c:ptCount val="2"/>
                <c:lvl>
                  <c:pt idx="0">
                    <c:v>kg Sb-eq</c:v>
                  </c:pt>
                  <c:pt idx="1">
                    <c:v>kg Sb-eq</c:v>
                  </c:pt>
                </c:lvl>
                <c:lvl>
                  <c:pt idx="0">
                    <c:v>Achievement</c:v>
                  </c:pt>
                  <c:pt idx="1">
                    <c:v>Long-term goal</c:v>
                  </c:pt>
                </c:lvl>
              </c:multiLvlStrCache>
            </c:multiLvlStrRef>
          </c:cat>
          <c:val>
            <c:numRef>
              <c:f>'Tabeller per km'!$R$20:$S$20</c:f>
              <c:numCache>
                <c:formatCode>0.0E+00</c:formatCode>
                <c:ptCount val="2"/>
                <c:pt idx="0" formatCode="0.00E+00">
                  <c:v>-7.7000000000000692E-7</c:v>
                </c:pt>
                <c:pt idx="1">
                  <c:v>-1.0000000000000106E-8</c:v>
                </c:pt>
              </c:numCache>
            </c:numRef>
          </c:val>
        </c:ser>
        <c:overlap val="100"/>
        <c:axId val="105010304"/>
        <c:axId val="105011840"/>
      </c:barChart>
      <c:catAx>
        <c:axId val="105010304"/>
        <c:scaling>
          <c:orientation val="minMax"/>
        </c:scaling>
        <c:axPos val="b"/>
        <c:numFmt formatCode="General" sourceLinked="0"/>
        <c:tickLblPos val="nextTo"/>
        <c:crossAx val="105011840"/>
        <c:crosses val="autoZero"/>
        <c:auto val="1"/>
        <c:lblAlgn val="ctr"/>
        <c:lblOffset val="100"/>
      </c:catAx>
      <c:valAx>
        <c:axId val="105011840"/>
        <c:scaling>
          <c:orientation val="minMax"/>
        </c:scaling>
        <c:axPos val="l"/>
        <c:majorGridlines/>
        <c:numFmt formatCode="0.00E+00" sourceLinked="1"/>
        <c:tickLblPos val="nextTo"/>
        <c:crossAx val="105010304"/>
        <c:crosses val="autoZero"/>
        <c:crossBetween val="between"/>
      </c:valAx>
    </c:plotArea>
    <c:legend>
      <c:legendPos val="r"/>
      <c:layout/>
    </c:legend>
    <c:plotVisOnly val="1"/>
    <c:dispBlanksAs val="gap"/>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lang val="sv-SE"/>
  <c:chart>
    <c:plotArea>
      <c:layout/>
      <c:barChart>
        <c:barDir val="col"/>
        <c:grouping val="stacked"/>
        <c:ser>
          <c:idx val="0"/>
          <c:order val="0"/>
          <c:tx>
            <c:strRef>
              <c:f>'Tabeller per km'!$Q$46</c:f>
              <c:strCache>
                <c:ptCount val="1"/>
                <c:pt idx="0">
                  <c:v>Production</c:v>
                </c:pt>
              </c:strCache>
            </c:strRef>
          </c:tx>
          <c:cat>
            <c:multiLvlStrRef>
              <c:f>'Tabeller per km'!$R$44:$S$45</c:f>
              <c:multiLvlStrCache>
                <c:ptCount val="2"/>
                <c:lvl>
                  <c:pt idx="0">
                    <c:v>CTUe</c:v>
                  </c:pt>
                  <c:pt idx="1">
                    <c:v>CTUe</c:v>
                  </c:pt>
                </c:lvl>
                <c:lvl>
                  <c:pt idx="0">
                    <c:v>Achievement</c:v>
                  </c:pt>
                  <c:pt idx="1">
                    <c:v>Long-term goal</c:v>
                  </c:pt>
                </c:lvl>
              </c:multiLvlStrCache>
            </c:multiLvlStrRef>
          </c:cat>
          <c:val>
            <c:numRef>
              <c:f>'Tabeller per km'!$R$46:$S$46</c:f>
              <c:numCache>
                <c:formatCode>0.000</c:formatCode>
                <c:ptCount val="2"/>
                <c:pt idx="0">
                  <c:v>3.6</c:v>
                </c:pt>
                <c:pt idx="1">
                  <c:v>4.6400000000000004E-2</c:v>
                </c:pt>
              </c:numCache>
            </c:numRef>
          </c:val>
        </c:ser>
        <c:ser>
          <c:idx val="1"/>
          <c:order val="1"/>
          <c:tx>
            <c:strRef>
              <c:f>'Tabeller per km'!$Q$47</c:f>
              <c:strCache>
                <c:ptCount val="1"/>
                <c:pt idx="0">
                  <c:v>Use</c:v>
                </c:pt>
              </c:strCache>
            </c:strRef>
          </c:tx>
          <c:spPr>
            <a:solidFill>
              <a:srgbClr val="92B620"/>
            </a:solidFill>
          </c:spPr>
          <c:cat>
            <c:multiLvlStrRef>
              <c:f>'Tabeller per km'!$R$44:$S$45</c:f>
              <c:multiLvlStrCache>
                <c:ptCount val="2"/>
                <c:lvl>
                  <c:pt idx="0">
                    <c:v>CTUe</c:v>
                  </c:pt>
                  <c:pt idx="1">
                    <c:v>CTUe</c:v>
                  </c:pt>
                </c:lvl>
                <c:lvl>
                  <c:pt idx="0">
                    <c:v>Achievement</c:v>
                  </c:pt>
                  <c:pt idx="1">
                    <c:v>Long-term goal</c:v>
                  </c:pt>
                </c:lvl>
              </c:multiLvlStrCache>
            </c:multiLvlStrRef>
          </c:cat>
          <c:val>
            <c:numRef>
              <c:f>'Tabeller per km'!$R$47:$S$47</c:f>
              <c:numCache>
                <c:formatCode>0.000</c:formatCode>
                <c:ptCount val="2"/>
                <c:pt idx="0">
                  <c:v>0.62905599999999995</c:v>
                </c:pt>
                <c:pt idx="1">
                  <c:v>0.21400000000000041</c:v>
                </c:pt>
              </c:numCache>
            </c:numRef>
          </c:val>
        </c:ser>
        <c:ser>
          <c:idx val="2"/>
          <c:order val="2"/>
          <c:tx>
            <c:strRef>
              <c:f>'Tabeller per km'!$Q$48</c:f>
              <c:strCache>
                <c:ptCount val="1"/>
                <c:pt idx="0">
                  <c:v>End-of-life</c:v>
                </c:pt>
              </c:strCache>
            </c:strRef>
          </c:tx>
          <c:spPr>
            <a:solidFill>
              <a:srgbClr val="1FB7B7"/>
            </a:solidFill>
          </c:spPr>
          <c:cat>
            <c:multiLvlStrRef>
              <c:f>'Tabeller per km'!$R$44:$S$45</c:f>
              <c:multiLvlStrCache>
                <c:ptCount val="2"/>
                <c:lvl>
                  <c:pt idx="0">
                    <c:v>CTUe</c:v>
                  </c:pt>
                  <c:pt idx="1">
                    <c:v>CTUe</c:v>
                  </c:pt>
                </c:lvl>
                <c:lvl>
                  <c:pt idx="0">
                    <c:v>Achievement</c:v>
                  </c:pt>
                  <c:pt idx="1">
                    <c:v>Long-term goal</c:v>
                  </c:pt>
                </c:lvl>
              </c:multiLvlStrCache>
            </c:multiLvlStrRef>
          </c:cat>
          <c:val>
            <c:numRef>
              <c:f>'Tabeller per km'!$R$48:$S$48</c:f>
              <c:numCache>
                <c:formatCode>0.000</c:formatCode>
                <c:ptCount val="2"/>
                <c:pt idx="0">
                  <c:v>-1.1000000000000001</c:v>
                </c:pt>
                <c:pt idx="1">
                  <c:v>-1.4200000000000001E-2</c:v>
                </c:pt>
              </c:numCache>
            </c:numRef>
          </c:val>
        </c:ser>
        <c:overlap val="100"/>
        <c:axId val="105050112"/>
        <c:axId val="105051648"/>
      </c:barChart>
      <c:catAx>
        <c:axId val="105050112"/>
        <c:scaling>
          <c:orientation val="minMax"/>
        </c:scaling>
        <c:axPos val="b"/>
        <c:numFmt formatCode="General" sourceLinked="0"/>
        <c:tickLblPos val="nextTo"/>
        <c:crossAx val="105051648"/>
        <c:crosses val="autoZero"/>
        <c:auto val="1"/>
        <c:lblAlgn val="ctr"/>
        <c:lblOffset val="100"/>
      </c:catAx>
      <c:valAx>
        <c:axId val="105051648"/>
        <c:scaling>
          <c:orientation val="minMax"/>
        </c:scaling>
        <c:axPos val="l"/>
        <c:majorGridlines/>
        <c:numFmt formatCode="0.000" sourceLinked="1"/>
        <c:tickLblPos val="nextTo"/>
        <c:crossAx val="105050112"/>
        <c:crosses val="autoZero"/>
        <c:crossBetween val="between"/>
      </c:valAx>
    </c:plotArea>
    <c:legend>
      <c:legendPos val="r"/>
      <c:layout/>
    </c:legend>
    <c:plotVisOnly val="1"/>
    <c:dispBlanksAs val="gap"/>
  </c:chart>
  <c:externalData r:id="rId1"/>
</c:chartSpace>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EEE9DF-F5CD-4CA5-829F-90108B2980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ZZ1raple</Template>
  <TotalTime>3</TotalTime>
  <Pages>29</Pages>
  <Words>8591</Words>
  <Characters>49321</Characters>
  <Application>Microsoft Office Word</Application>
  <DocSecurity>0</DocSecurity>
  <Lines>1152</Lines>
  <Paragraphs>527</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Livscykelanalys</vt:lpstr>
      <vt:lpstr>Livscykelanalys</vt:lpstr>
    </vt:vector>
  </TitlesOfParts>
  <Company>Swerea IVF AB</Company>
  <LinksUpToDate>false</LinksUpToDate>
  <CharactersWithSpaces>57463</CharactersWithSpaces>
  <SharedDoc>false</SharedDoc>
  <HLinks>
    <vt:vector size="684" baseType="variant">
      <vt:variant>
        <vt:i4>1507387</vt:i4>
      </vt:variant>
      <vt:variant>
        <vt:i4>680</vt:i4>
      </vt:variant>
      <vt:variant>
        <vt:i4>0</vt:i4>
      </vt:variant>
      <vt:variant>
        <vt:i4>5</vt:i4>
      </vt:variant>
      <vt:variant>
        <vt:lpwstr/>
      </vt:variant>
      <vt:variant>
        <vt:lpwstr>_Toc422294441</vt:lpwstr>
      </vt:variant>
      <vt:variant>
        <vt:i4>1507387</vt:i4>
      </vt:variant>
      <vt:variant>
        <vt:i4>674</vt:i4>
      </vt:variant>
      <vt:variant>
        <vt:i4>0</vt:i4>
      </vt:variant>
      <vt:variant>
        <vt:i4>5</vt:i4>
      </vt:variant>
      <vt:variant>
        <vt:lpwstr/>
      </vt:variant>
      <vt:variant>
        <vt:lpwstr>_Toc422294440</vt:lpwstr>
      </vt:variant>
      <vt:variant>
        <vt:i4>1048635</vt:i4>
      </vt:variant>
      <vt:variant>
        <vt:i4>668</vt:i4>
      </vt:variant>
      <vt:variant>
        <vt:i4>0</vt:i4>
      </vt:variant>
      <vt:variant>
        <vt:i4>5</vt:i4>
      </vt:variant>
      <vt:variant>
        <vt:lpwstr/>
      </vt:variant>
      <vt:variant>
        <vt:lpwstr>_Toc422294439</vt:lpwstr>
      </vt:variant>
      <vt:variant>
        <vt:i4>1048635</vt:i4>
      </vt:variant>
      <vt:variant>
        <vt:i4>662</vt:i4>
      </vt:variant>
      <vt:variant>
        <vt:i4>0</vt:i4>
      </vt:variant>
      <vt:variant>
        <vt:i4>5</vt:i4>
      </vt:variant>
      <vt:variant>
        <vt:lpwstr/>
      </vt:variant>
      <vt:variant>
        <vt:lpwstr>_Toc422294438</vt:lpwstr>
      </vt:variant>
      <vt:variant>
        <vt:i4>1048635</vt:i4>
      </vt:variant>
      <vt:variant>
        <vt:i4>656</vt:i4>
      </vt:variant>
      <vt:variant>
        <vt:i4>0</vt:i4>
      </vt:variant>
      <vt:variant>
        <vt:i4>5</vt:i4>
      </vt:variant>
      <vt:variant>
        <vt:lpwstr/>
      </vt:variant>
      <vt:variant>
        <vt:lpwstr>_Toc422294437</vt:lpwstr>
      </vt:variant>
      <vt:variant>
        <vt:i4>1048635</vt:i4>
      </vt:variant>
      <vt:variant>
        <vt:i4>650</vt:i4>
      </vt:variant>
      <vt:variant>
        <vt:i4>0</vt:i4>
      </vt:variant>
      <vt:variant>
        <vt:i4>5</vt:i4>
      </vt:variant>
      <vt:variant>
        <vt:lpwstr/>
      </vt:variant>
      <vt:variant>
        <vt:lpwstr>_Toc422294436</vt:lpwstr>
      </vt:variant>
      <vt:variant>
        <vt:i4>1048635</vt:i4>
      </vt:variant>
      <vt:variant>
        <vt:i4>644</vt:i4>
      </vt:variant>
      <vt:variant>
        <vt:i4>0</vt:i4>
      </vt:variant>
      <vt:variant>
        <vt:i4>5</vt:i4>
      </vt:variant>
      <vt:variant>
        <vt:lpwstr/>
      </vt:variant>
      <vt:variant>
        <vt:lpwstr>_Toc422294435</vt:lpwstr>
      </vt:variant>
      <vt:variant>
        <vt:i4>1048635</vt:i4>
      </vt:variant>
      <vt:variant>
        <vt:i4>638</vt:i4>
      </vt:variant>
      <vt:variant>
        <vt:i4>0</vt:i4>
      </vt:variant>
      <vt:variant>
        <vt:i4>5</vt:i4>
      </vt:variant>
      <vt:variant>
        <vt:lpwstr/>
      </vt:variant>
      <vt:variant>
        <vt:lpwstr>_Toc422294434</vt:lpwstr>
      </vt:variant>
      <vt:variant>
        <vt:i4>1048635</vt:i4>
      </vt:variant>
      <vt:variant>
        <vt:i4>632</vt:i4>
      </vt:variant>
      <vt:variant>
        <vt:i4>0</vt:i4>
      </vt:variant>
      <vt:variant>
        <vt:i4>5</vt:i4>
      </vt:variant>
      <vt:variant>
        <vt:lpwstr/>
      </vt:variant>
      <vt:variant>
        <vt:lpwstr>_Toc422294433</vt:lpwstr>
      </vt:variant>
      <vt:variant>
        <vt:i4>1048635</vt:i4>
      </vt:variant>
      <vt:variant>
        <vt:i4>626</vt:i4>
      </vt:variant>
      <vt:variant>
        <vt:i4>0</vt:i4>
      </vt:variant>
      <vt:variant>
        <vt:i4>5</vt:i4>
      </vt:variant>
      <vt:variant>
        <vt:lpwstr/>
      </vt:variant>
      <vt:variant>
        <vt:lpwstr>_Toc422294432</vt:lpwstr>
      </vt:variant>
      <vt:variant>
        <vt:i4>1048635</vt:i4>
      </vt:variant>
      <vt:variant>
        <vt:i4>620</vt:i4>
      </vt:variant>
      <vt:variant>
        <vt:i4>0</vt:i4>
      </vt:variant>
      <vt:variant>
        <vt:i4>5</vt:i4>
      </vt:variant>
      <vt:variant>
        <vt:lpwstr/>
      </vt:variant>
      <vt:variant>
        <vt:lpwstr>_Toc422294431</vt:lpwstr>
      </vt:variant>
      <vt:variant>
        <vt:i4>1048635</vt:i4>
      </vt:variant>
      <vt:variant>
        <vt:i4>614</vt:i4>
      </vt:variant>
      <vt:variant>
        <vt:i4>0</vt:i4>
      </vt:variant>
      <vt:variant>
        <vt:i4>5</vt:i4>
      </vt:variant>
      <vt:variant>
        <vt:lpwstr/>
      </vt:variant>
      <vt:variant>
        <vt:lpwstr>_Toc422294430</vt:lpwstr>
      </vt:variant>
      <vt:variant>
        <vt:i4>1114171</vt:i4>
      </vt:variant>
      <vt:variant>
        <vt:i4>608</vt:i4>
      </vt:variant>
      <vt:variant>
        <vt:i4>0</vt:i4>
      </vt:variant>
      <vt:variant>
        <vt:i4>5</vt:i4>
      </vt:variant>
      <vt:variant>
        <vt:lpwstr/>
      </vt:variant>
      <vt:variant>
        <vt:lpwstr>_Toc422294429</vt:lpwstr>
      </vt:variant>
      <vt:variant>
        <vt:i4>1114171</vt:i4>
      </vt:variant>
      <vt:variant>
        <vt:i4>602</vt:i4>
      </vt:variant>
      <vt:variant>
        <vt:i4>0</vt:i4>
      </vt:variant>
      <vt:variant>
        <vt:i4>5</vt:i4>
      </vt:variant>
      <vt:variant>
        <vt:lpwstr/>
      </vt:variant>
      <vt:variant>
        <vt:lpwstr>_Toc422294428</vt:lpwstr>
      </vt:variant>
      <vt:variant>
        <vt:i4>1114171</vt:i4>
      </vt:variant>
      <vt:variant>
        <vt:i4>596</vt:i4>
      </vt:variant>
      <vt:variant>
        <vt:i4>0</vt:i4>
      </vt:variant>
      <vt:variant>
        <vt:i4>5</vt:i4>
      </vt:variant>
      <vt:variant>
        <vt:lpwstr/>
      </vt:variant>
      <vt:variant>
        <vt:lpwstr>_Toc422294427</vt:lpwstr>
      </vt:variant>
      <vt:variant>
        <vt:i4>1114171</vt:i4>
      </vt:variant>
      <vt:variant>
        <vt:i4>590</vt:i4>
      </vt:variant>
      <vt:variant>
        <vt:i4>0</vt:i4>
      </vt:variant>
      <vt:variant>
        <vt:i4>5</vt:i4>
      </vt:variant>
      <vt:variant>
        <vt:lpwstr/>
      </vt:variant>
      <vt:variant>
        <vt:lpwstr>_Toc422294426</vt:lpwstr>
      </vt:variant>
      <vt:variant>
        <vt:i4>1114171</vt:i4>
      </vt:variant>
      <vt:variant>
        <vt:i4>584</vt:i4>
      </vt:variant>
      <vt:variant>
        <vt:i4>0</vt:i4>
      </vt:variant>
      <vt:variant>
        <vt:i4>5</vt:i4>
      </vt:variant>
      <vt:variant>
        <vt:lpwstr/>
      </vt:variant>
      <vt:variant>
        <vt:lpwstr>_Toc422294425</vt:lpwstr>
      </vt:variant>
      <vt:variant>
        <vt:i4>1114171</vt:i4>
      </vt:variant>
      <vt:variant>
        <vt:i4>575</vt:i4>
      </vt:variant>
      <vt:variant>
        <vt:i4>0</vt:i4>
      </vt:variant>
      <vt:variant>
        <vt:i4>5</vt:i4>
      </vt:variant>
      <vt:variant>
        <vt:lpwstr/>
      </vt:variant>
      <vt:variant>
        <vt:lpwstr>_Toc422294424</vt:lpwstr>
      </vt:variant>
      <vt:variant>
        <vt:i4>1114171</vt:i4>
      </vt:variant>
      <vt:variant>
        <vt:i4>569</vt:i4>
      </vt:variant>
      <vt:variant>
        <vt:i4>0</vt:i4>
      </vt:variant>
      <vt:variant>
        <vt:i4>5</vt:i4>
      </vt:variant>
      <vt:variant>
        <vt:lpwstr/>
      </vt:variant>
      <vt:variant>
        <vt:lpwstr>_Toc422294423</vt:lpwstr>
      </vt:variant>
      <vt:variant>
        <vt:i4>1114171</vt:i4>
      </vt:variant>
      <vt:variant>
        <vt:i4>563</vt:i4>
      </vt:variant>
      <vt:variant>
        <vt:i4>0</vt:i4>
      </vt:variant>
      <vt:variant>
        <vt:i4>5</vt:i4>
      </vt:variant>
      <vt:variant>
        <vt:lpwstr/>
      </vt:variant>
      <vt:variant>
        <vt:lpwstr>_Toc422294422</vt:lpwstr>
      </vt:variant>
      <vt:variant>
        <vt:i4>1114171</vt:i4>
      </vt:variant>
      <vt:variant>
        <vt:i4>557</vt:i4>
      </vt:variant>
      <vt:variant>
        <vt:i4>0</vt:i4>
      </vt:variant>
      <vt:variant>
        <vt:i4>5</vt:i4>
      </vt:variant>
      <vt:variant>
        <vt:lpwstr/>
      </vt:variant>
      <vt:variant>
        <vt:lpwstr>_Toc422294421</vt:lpwstr>
      </vt:variant>
      <vt:variant>
        <vt:i4>1114171</vt:i4>
      </vt:variant>
      <vt:variant>
        <vt:i4>551</vt:i4>
      </vt:variant>
      <vt:variant>
        <vt:i4>0</vt:i4>
      </vt:variant>
      <vt:variant>
        <vt:i4>5</vt:i4>
      </vt:variant>
      <vt:variant>
        <vt:lpwstr/>
      </vt:variant>
      <vt:variant>
        <vt:lpwstr>_Toc422294420</vt:lpwstr>
      </vt:variant>
      <vt:variant>
        <vt:i4>1179707</vt:i4>
      </vt:variant>
      <vt:variant>
        <vt:i4>545</vt:i4>
      </vt:variant>
      <vt:variant>
        <vt:i4>0</vt:i4>
      </vt:variant>
      <vt:variant>
        <vt:i4>5</vt:i4>
      </vt:variant>
      <vt:variant>
        <vt:lpwstr/>
      </vt:variant>
      <vt:variant>
        <vt:lpwstr>_Toc422294419</vt:lpwstr>
      </vt:variant>
      <vt:variant>
        <vt:i4>1179707</vt:i4>
      </vt:variant>
      <vt:variant>
        <vt:i4>539</vt:i4>
      </vt:variant>
      <vt:variant>
        <vt:i4>0</vt:i4>
      </vt:variant>
      <vt:variant>
        <vt:i4>5</vt:i4>
      </vt:variant>
      <vt:variant>
        <vt:lpwstr/>
      </vt:variant>
      <vt:variant>
        <vt:lpwstr>_Toc422294418</vt:lpwstr>
      </vt:variant>
      <vt:variant>
        <vt:i4>1179707</vt:i4>
      </vt:variant>
      <vt:variant>
        <vt:i4>533</vt:i4>
      </vt:variant>
      <vt:variant>
        <vt:i4>0</vt:i4>
      </vt:variant>
      <vt:variant>
        <vt:i4>5</vt:i4>
      </vt:variant>
      <vt:variant>
        <vt:lpwstr/>
      </vt:variant>
      <vt:variant>
        <vt:lpwstr>_Toc422294417</vt:lpwstr>
      </vt:variant>
      <vt:variant>
        <vt:i4>1179707</vt:i4>
      </vt:variant>
      <vt:variant>
        <vt:i4>527</vt:i4>
      </vt:variant>
      <vt:variant>
        <vt:i4>0</vt:i4>
      </vt:variant>
      <vt:variant>
        <vt:i4>5</vt:i4>
      </vt:variant>
      <vt:variant>
        <vt:lpwstr/>
      </vt:variant>
      <vt:variant>
        <vt:lpwstr>_Toc422294416</vt:lpwstr>
      </vt:variant>
      <vt:variant>
        <vt:i4>1179707</vt:i4>
      </vt:variant>
      <vt:variant>
        <vt:i4>521</vt:i4>
      </vt:variant>
      <vt:variant>
        <vt:i4>0</vt:i4>
      </vt:variant>
      <vt:variant>
        <vt:i4>5</vt:i4>
      </vt:variant>
      <vt:variant>
        <vt:lpwstr/>
      </vt:variant>
      <vt:variant>
        <vt:lpwstr>_Toc422294415</vt:lpwstr>
      </vt:variant>
      <vt:variant>
        <vt:i4>1179707</vt:i4>
      </vt:variant>
      <vt:variant>
        <vt:i4>515</vt:i4>
      </vt:variant>
      <vt:variant>
        <vt:i4>0</vt:i4>
      </vt:variant>
      <vt:variant>
        <vt:i4>5</vt:i4>
      </vt:variant>
      <vt:variant>
        <vt:lpwstr/>
      </vt:variant>
      <vt:variant>
        <vt:lpwstr>_Toc422294414</vt:lpwstr>
      </vt:variant>
      <vt:variant>
        <vt:i4>1179707</vt:i4>
      </vt:variant>
      <vt:variant>
        <vt:i4>509</vt:i4>
      </vt:variant>
      <vt:variant>
        <vt:i4>0</vt:i4>
      </vt:variant>
      <vt:variant>
        <vt:i4>5</vt:i4>
      </vt:variant>
      <vt:variant>
        <vt:lpwstr/>
      </vt:variant>
      <vt:variant>
        <vt:lpwstr>_Toc422294413</vt:lpwstr>
      </vt:variant>
      <vt:variant>
        <vt:i4>1179707</vt:i4>
      </vt:variant>
      <vt:variant>
        <vt:i4>503</vt:i4>
      </vt:variant>
      <vt:variant>
        <vt:i4>0</vt:i4>
      </vt:variant>
      <vt:variant>
        <vt:i4>5</vt:i4>
      </vt:variant>
      <vt:variant>
        <vt:lpwstr/>
      </vt:variant>
      <vt:variant>
        <vt:lpwstr>_Toc422294412</vt:lpwstr>
      </vt:variant>
      <vt:variant>
        <vt:i4>1179707</vt:i4>
      </vt:variant>
      <vt:variant>
        <vt:i4>497</vt:i4>
      </vt:variant>
      <vt:variant>
        <vt:i4>0</vt:i4>
      </vt:variant>
      <vt:variant>
        <vt:i4>5</vt:i4>
      </vt:variant>
      <vt:variant>
        <vt:lpwstr/>
      </vt:variant>
      <vt:variant>
        <vt:lpwstr>_Toc422294411</vt:lpwstr>
      </vt:variant>
      <vt:variant>
        <vt:i4>1179707</vt:i4>
      </vt:variant>
      <vt:variant>
        <vt:i4>491</vt:i4>
      </vt:variant>
      <vt:variant>
        <vt:i4>0</vt:i4>
      </vt:variant>
      <vt:variant>
        <vt:i4>5</vt:i4>
      </vt:variant>
      <vt:variant>
        <vt:lpwstr/>
      </vt:variant>
      <vt:variant>
        <vt:lpwstr>_Toc422294410</vt:lpwstr>
      </vt:variant>
      <vt:variant>
        <vt:i4>1245243</vt:i4>
      </vt:variant>
      <vt:variant>
        <vt:i4>485</vt:i4>
      </vt:variant>
      <vt:variant>
        <vt:i4>0</vt:i4>
      </vt:variant>
      <vt:variant>
        <vt:i4>5</vt:i4>
      </vt:variant>
      <vt:variant>
        <vt:lpwstr/>
      </vt:variant>
      <vt:variant>
        <vt:lpwstr>_Toc422294409</vt:lpwstr>
      </vt:variant>
      <vt:variant>
        <vt:i4>1245243</vt:i4>
      </vt:variant>
      <vt:variant>
        <vt:i4>479</vt:i4>
      </vt:variant>
      <vt:variant>
        <vt:i4>0</vt:i4>
      </vt:variant>
      <vt:variant>
        <vt:i4>5</vt:i4>
      </vt:variant>
      <vt:variant>
        <vt:lpwstr/>
      </vt:variant>
      <vt:variant>
        <vt:lpwstr>_Toc422294408</vt:lpwstr>
      </vt:variant>
      <vt:variant>
        <vt:i4>1245243</vt:i4>
      </vt:variant>
      <vt:variant>
        <vt:i4>473</vt:i4>
      </vt:variant>
      <vt:variant>
        <vt:i4>0</vt:i4>
      </vt:variant>
      <vt:variant>
        <vt:i4>5</vt:i4>
      </vt:variant>
      <vt:variant>
        <vt:lpwstr/>
      </vt:variant>
      <vt:variant>
        <vt:lpwstr>_Toc422294407</vt:lpwstr>
      </vt:variant>
      <vt:variant>
        <vt:i4>1245243</vt:i4>
      </vt:variant>
      <vt:variant>
        <vt:i4>467</vt:i4>
      </vt:variant>
      <vt:variant>
        <vt:i4>0</vt:i4>
      </vt:variant>
      <vt:variant>
        <vt:i4>5</vt:i4>
      </vt:variant>
      <vt:variant>
        <vt:lpwstr/>
      </vt:variant>
      <vt:variant>
        <vt:lpwstr>_Toc422294406</vt:lpwstr>
      </vt:variant>
      <vt:variant>
        <vt:i4>1245243</vt:i4>
      </vt:variant>
      <vt:variant>
        <vt:i4>461</vt:i4>
      </vt:variant>
      <vt:variant>
        <vt:i4>0</vt:i4>
      </vt:variant>
      <vt:variant>
        <vt:i4>5</vt:i4>
      </vt:variant>
      <vt:variant>
        <vt:lpwstr/>
      </vt:variant>
      <vt:variant>
        <vt:lpwstr>_Toc422294405</vt:lpwstr>
      </vt:variant>
      <vt:variant>
        <vt:i4>1245243</vt:i4>
      </vt:variant>
      <vt:variant>
        <vt:i4>455</vt:i4>
      </vt:variant>
      <vt:variant>
        <vt:i4>0</vt:i4>
      </vt:variant>
      <vt:variant>
        <vt:i4>5</vt:i4>
      </vt:variant>
      <vt:variant>
        <vt:lpwstr/>
      </vt:variant>
      <vt:variant>
        <vt:lpwstr>_Toc422294404</vt:lpwstr>
      </vt:variant>
      <vt:variant>
        <vt:i4>1245243</vt:i4>
      </vt:variant>
      <vt:variant>
        <vt:i4>449</vt:i4>
      </vt:variant>
      <vt:variant>
        <vt:i4>0</vt:i4>
      </vt:variant>
      <vt:variant>
        <vt:i4>5</vt:i4>
      </vt:variant>
      <vt:variant>
        <vt:lpwstr/>
      </vt:variant>
      <vt:variant>
        <vt:lpwstr>_Toc422294403</vt:lpwstr>
      </vt:variant>
      <vt:variant>
        <vt:i4>1245243</vt:i4>
      </vt:variant>
      <vt:variant>
        <vt:i4>443</vt:i4>
      </vt:variant>
      <vt:variant>
        <vt:i4>0</vt:i4>
      </vt:variant>
      <vt:variant>
        <vt:i4>5</vt:i4>
      </vt:variant>
      <vt:variant>
        <vt:lpwstr/>
      </vt:variant>
      <vt:variant>
        <vt:lpwstr>_Toc422294402</vt:lpwstr>
      </vt:variant>
      <vt:variant>
        <vt:i4>1245243</vt:i4>
      </vt:variant>
      <vt:variant>
        <vt:i4>437</vt:i4>
      </vt:variant>
      <vt:variant>
        <vt:i4>0</vt:i4>
      </vt:variant>
      <vt:variant>
        <vt:i4>5</vt:i4>
      </vt:variant>
      <vt:variant>
        <vt:lpwstr/>
      </vt:variant>
      <vt:variant>
        <vt:lpwstr>_Toc422294401</vt:lpwstr>
      </vt:variant>
      <vt:variant>
        <vt:i4>1245243</vt:i4>
      </vt:variant>
      <vt:variant>
        <vt:i4>431</vt:i4>
      </vt:variant>
      <vt:variant>
        <vt:i4>0</vt:i4>
      </vt:variant>
      <vt:variant>
        <vt:i4>5</vt:i4>
      </vt:variant>
      <vt:variant>
        <vt:lpwstr/>
      </vt:variant>
      <vt:variant>
        <vt:lpwstr>_Toc422294400</vt:lpwstr>
      </vt:variant>
      <vt:variant>
        <vt:i4>1703996</vt:i4>
      </vt:variant>
      <vt:variant>
        <vt:i4>425</vt:i4>
      </vt:variant>
      <vt:variant>
        <vt:i4>0</vt:i4>
      </vt:variant>
      <vt:variant>
        <vt:i4>5</vt:i4>
      </vt:variant>
      <vt:variant>
        <vt:lpwstr/>
      </vt:variant>
      <vt:variant>
        <vt:lpwstr>_Toc422294399</vt:lpwstr>
      </vt:variant>
      <vt:variant>
        <vt:i4>1703996</vt:i4>
      </vt:variant>
      <vt:variant>
        <vt:i4>419</vt:i4>
      </vt:variant>
      <vt:variant>
        <vt:i4>0</vt:i4>
      </vt:variant>
      <vt:variant>
        <vt:i4>5</vt:i4>
      </vt:variant>
      <vt:variant>
        <vt:lpwstr/>
      </vt:variant>
      <vt:variant>
        <vt:lpwstr>_Toc422294398</vt:lpwstr>
      </vt:variant>
      <vt:variant>
        <vt:i4>1703996</vt:i4>
      </vt:variant>
      <vt:variant>
        <vt:i4>413</vt:i4>
      </vt:variant>
      <vt:variant>
        <vt:i4>0</vt:i4>
      </vt:variant>
      <vt:variant>
        <vt:i4>5</vt:i4>
      </vt:variant>
      <vt:variant>
        <vt:lpwstr/>
      </vt:variant>
      <vt:variant>
        <vt:lpwstr>_Toc422294397</vt:lpwstr>
      </vt:variant>
      <vt:variant>
        <vt:i4>1703996</vt:i4>
      </vt:variant>
      <vt:variant>
        <vt:i4>407</vt:i4>
      </vt:variant>
      <vt:variant>
        <vt:i4>0</vt:i4>
      </vt:variant>
      <vt:variant>
        <vt:i4>5</vt:i4>
      </vt:variant>
      <vt:variant>
        <vt:lpwstr/>
      </vt:variant>
      <vt:variant>
        <vt:lpwstr>_Toc422294396</vt:lpwstr>
      </vt:variant>
      <vt:variant>
        <vt:i4>1703996</vt:i4>
      </vt:variant>
      <vt:variant>
        <vt:i4>401</vt:i4>
      </vt:variant>
      <vt:variant>
        <vt:i4>0</vt:i4>
      </vt:variant>
      <vt:variant>
        <vt:i4>5</vt:i4>
      </vt:variant>
      <vt:variant>
        <vt:lpwstr/>
      </vt:variant>
      <vt:variant>
        <vt:lpwstr>_Toc422294395</vt:lpwstr>
      </vt:variant>
      <vt:variant>
        <vt:i4>1703996</vt:i4>
      </vt:variant>
      <vt:variant>
        <vt:i4>395</vt:i4>
      </vt:variant>
      <vt:variant>
        <vt:i4>0</vt:i4>
      </vt:variant>
      <vt:variant>
        <vt:i4>5</vt:i4>
      </vt:variant>
      <vt:variant>
        <vt:lpwstr/>
      </vt:variant>
      <vt:variant>
        <vt:lpwstr>_Toc422294394</vt:lpwstr>
      </vt:variant>
      <vt:variant>
        <vt:i4>1703996</vt:i4>
      </vt:variant>
      <vt:variant>
        <vt:i4>389</vt:i4>
      </vt:variant>
      <vt:variant>
        <vt:i4>0</vt:i4>
      </vt:variant>
      <vt:variant>
        <vt:i4>5</vt:i4>
      </vt:variant>
      <vt:variant>
        <vt:lpwstr/>
      </vt:variant>
      <vt:variant>
        <vt:lpwstr>_Toc422294393</vt:lpwstr>
      </vt:variant>
      <vt:variant>
        <vt:i4>1703996</vt:i4>
      </vt:variant>
      <vt:variant>
        <vt:i4>383</vt:i4>
      </vt:variant>
      <vt:variant>
        <vt:i4>0</vt:i4>
      </vt:variant>
      <vt:variant>
        <vt:i4>5</vt:i4>
      </vt:variant>
      <vt:variant>
        <vt:lpwstr/>
      </vt:variant>
      <vt:variant>
        <vt:lpwstr>_Toc422294392</vt:lpwstr>
      </vt:variant>
      <vt:variant>
        <vt:i4>1703996</vt:i4>
      </vt:variant>
      <vt:variant>
        <vt:i4>377</vt:i4>
      </vt:variant>
      <vt:variant>
        <vt:i4>0</vt:i4>
      </vt:variant>
      <vt:variant>
        <vt:i4>5</vt:i4>
      </vt:variant>
      <vt:variant>
        <vt:lpwstr/>
      </vt:variant>
      <vt:variant>
        <vt:lpwstr>_Toc422294391</vt:lpwstr>
      </vt:variant>
      <vt:variant>
        <vt:i4>1703996</vt:i4>
      </vt:variant>
      <vt:variant>
        <vt:i4>371</vt:i4>
      </vt:variant>
      <vt:variant>
        <vt:i4>0</vt:i4>
      </vt:variant>
      <vt:variant>
        <vt:i4>5</vt:i4>
      </vt:variant>
      <vt:variant>
        <vt:lpwstr/>
      </vt:variant>
      <vt:variant>
        <vt:lpwstr>_Toc422294390</vt:lpwstr>
      </vt:variant>
      <vt:variant>
        <vt:i4>1769532</vt:i4>
      </vt:variant>
      <vt:variant>
        <vt:i4>365</vt:i4>
      </vt:variant>
      <vt:variant>
        <vt:i4>0</vt:i4>
      </vt:variant>
      <vt:variant>
        <vt:i4>5</vt:i4>
      </vt:variant>
      <vt:variant>
        <vt:lpwstr/>
      </vt:variant>
      <vt:variant>
        <vt:lpwstr>_Toc422294389</vt:lpwstr>
      </vt:variant>
      <vt:variant>
        <vt:i4>1769532</vt:i4>
      </vt:variant>
      <vt:variant>
        <vt:i4>359</vt:i4>
      </vt:variant>
      <vt:variant>
        <vt:i4>0</vt:i4>
      </vt:variant>
      <vt:variant>
        <vt:i4>5</vt:i4>
      </vt:variant>
      <vt:variant>
        <vt:lpwstr/>
      </vt:variant>
      <vt:variant>
        <vt:lpwstr>_Toc422294388</vt:lpwstr>
      </vt:variant>
      <vt:variant>
        <vt:i4>1769532</vt:i4>
      </vt:variant>
      <vt:variant>
        <vt:i4>353</vt:i4>
      </vt:variant>
      <vt:variant>
        <vt:i4>0</vt:i4>
      </vt:variant>
      <vt:variant>
        <vt:i4>5</vt:i4>
      </vt:variant>
      <vt:variant>
        <vt:lpwstr/>
      </vt:variant>
      <vt:variant>
        <vt:lpwstr>_Toc422294387</vt:lpwstr>
      </vt:variant>
      <vt:variant>
        <vt:i4>1769532</vt:i4>
      </vt:variant>
      <vt:variant>
        <vt:i4>344</vt:i4>
      </vt:variant>
      <vt:variant>
        <vt:i4>0</vt:i4>
      </vt:variant>
      <vt:variant>
        <vt:i4>5</vt:i4>
      </vt:variant>
      <vt:variant>
        <vt:lpwstr/>
      </vt:variant>
      <vt:variant>
        <vt:lpwstr>_Toc422294386</vt:lpwstr>
      </vt:variant>
      <vt:variant>
        <vt:i4>1769532</vt:i4>
      </vt:variant>
      <vt:variant>
        <vt:i4>338</vt:i4>
      </vt:variant>
      <vt:variant>
        <vt:i4>0</vt:i4>
      </vt:variant>
      <vt:variant>
        <vt:i4>5</vt:i4>
      </vt:variant>
      <vt:variant>
        <vt:lpwstr/>
      </vt:variant>
      <vt:variant>
        <vt:lpwstr>_Toc422294385</vt:lpwstr>
      </vt:variant>
      <vt:variant>
        <vt:i4>1769532</vt:i4>
      </vt:variant>
      <vt:variant>
        <vt:i4>332</vt:i4>
      </vt:variant>
      <vt:variant>
        <vt:i4>0</vt:i4>
      </vt:variant>
      <vt:variant>
        <vt:i4>5</vt:i4>
      </vt:variant>
      <vt:variant>
        <vt:lpwstr/>
      </vt:variant>
      <vt:variant>
        <vt:lpwstr>_Toc422294384</vt:lpwstr>
      </vt:variant>
      <vt:variant>
        <vt:i4>1769532</vt:i4>
      </vt:variant>
      <vt:variant>
        <vt:i4>326</vt:i4>
      </vt:variant>
      <vt:variant>
        <vt:i4>0</vt:i4>
      </vt:variant>
      <vt:variant>
        <vt:i4>5</vt:i4>
      </vt:variant>
      <vt:variant>
        <vt:lpwstr/>
      </vt:variant>
      <vt:variant>
        <vt:lpwstr>_Toc422294383</vt:lpwstr>
      </vt:variant>
      <vt:variant>
        <vt:i4>1769532</vt:i4>
      </vt:variant>
      <vt:variant>
        <vt:i4>320</vt:i4>
      </vt:variant>
      <vt:variant>
        <vt:i4>0</vt:i4>
      </vt:variant>
      <vt:variant>
        <vt:i4>5</vt:i4>
      </vt:variant>
      <vt:variant>
        <vt:lpwstr/>
      </vt:variant>
      <vt:variant>
        <vt:lpwstr>_Toc422294382</vt:lpwstr>
      </vt:variant>
      <vt:variant>
        <vt:i4>1769532</vt:i4>
      </vt:variant>
      <vt:variant>
        <vt:i4>314</vt:i4>
      </vt:variant>
      <vt:variant>
        <vt:i4>0</vt:i4>
      </vt:variant>
      <vt:variant>
        <vt:i4>5</vt:i4>
      </vt:variant>
      <vt:variant>
        <vt:lpwstr/>
      </vt:variant>
      <vt:variant>
        <vt:lpwstr>_Toc422294381</vt:lpwstr>
      </vt:variant>
      <vt:variant>
        <vt:i4>1769532</vt:i4>
      </vt:variant>
      <vt:variant>
        <vt:i4>308</vt:i4>
      </vt:variant>
      <vt:variant>
        <vt:i4>0</vt:i4>
      </vt:variant>
      <vt:variant>
        <vt:i4>5</vt:i4>
      </vt:variant>
      <vt:variant>
        <vt:lpwstr/>
      </vt:variant>
      <vt:variant>
        <vt:lpwstr>_Toc422294380</vt:lpwstr>
      </vt:variant>
      <vt:variant>
        <vt:i4>1310780</vt:i4>
      </vt:variant>
      <vt:variant>
        <vt:i4>302</vt:i4>
      </vt:variant>
      <vt:variant>
        <vt:i4>0</vt:i4>
      </vt:variant>
      <vt:variant>
        <vt:i4>5</vt:i4>
      </vt:variant>
      <vt:variant>
        <vt:lpwstr/>
      </vt:variant>
      <vt:variant>
        <vt:lpwstr>_Toc422294379</vt:lpwstr>
      </vt:variant>
      <vt:variant>
        <vt:i4>1310780</vt:i4>
      </vt:variant>
      <vt:variant>
        <vt:i4>296</vt:i4>
      </vt:variant>
      <vt:variant>
        <vt:i4>0</vt:i4>
      </vt:variant>
      <vt:variant>
        <vt:i4>5</vt:i4>
      </vt:variant>
      <vt:variant>
        <vt:lpwstr/>
      </vt:variant>
      <vt:variant>
        <vt:lpwstr>_Toc422294378</vt:lpwstr>
      </vt:variant>
      <vt:variant>
        <vt:i4>1310780</vt:i4>
      </vt:variant>
      <vt:variant>
        <vt:i4>290</vt:i4>
      </vt:variant>
      <vt:variant>
        <vt:i4>0</vt:i4>
      </vt:variant>
      <vt:variant>
        <vt:i4>5</vt:i4>
      </vt:variant>
      <vt:variant>
        <vt:lpwstr/>
      </vt:variant>
      <vt:variant>
        <vt:lpwstr>_Toc422294377</vt:lpwstr>
      </vt:variant>
      <vt:variant>
        <vt:i4>1310780</vt:i4>
      </vt:variant>
      <vt:variant>
        <vt:i4>284</vt:i4>
      </vt:variant>
      <vt:variant>
        <vt:i4>0</vt:i4>
      </vt:variant>
      <vt:variant>
        <vt:i4>5</vt:i4>
      </vt:variant>
      <vt:variant>
        <vt:lpwstr/>
      </vt:variant>
      <vt:variant>
        <vt:lpwstr>_Toc422294376</vt:lpwstr>
      </vt:variant>
      <vt:variant>
        <vt:i4>1310780</vt:i4>
      </vt:variant>
      <vt:variant>
        <vt:i4>278</vt:i4>
      </vt:variant>
      <vt:variant>
        <vt:i4>0</vt:i4>
      </vt:variant>
      <vt:variant>
        <vt:i4>5</vt:i4>
      </vt:variant>
      <vt:variant>
        <vt:lpwstr/>
      </vt:variant>
      <vt:variant>
        <vt:lpwstr>_Toc422294375</vt:lpwstr>
      </vt:variant>
      <vt:variant>
        <vt:i4>1310780</vt:i4>
      </vt:variant>
      <vt:variant>
        <vt:i4>272</vt:i4>
      </vt:variant>
      <vt:variant>
        <vt:i4>0</vt:i4>
      </vt:variant>
      <vt:variant>
        <vt:i4>5</vt:i4>
      </vt:variant>
      <vt:variant>
        <vt:lpwstr/>
      </vt:variant>
      <vt:variant>
        <vt:lpwstr>_Toc422294374</vt:lpwstr>
      </vt:variant>
      <vt:variant>
        <vt:i4>1310780</vt:i4>
      </vt:variant>
      <vt:variant>
        <vt:i4>266</vt:i4>
      </vt:variant>
      <vt:variant>
        <vt:i4>0</vt:i4>
      </vt:variant>
      <vt:variant>
        <vt:i4>5</vt:i4>
      </vt:variant>
      <vt:variant>
        <vt:lpwstr/>
      </vt:variant>
      <vt:variant>
        <vt:lpwstr>_Toc422294373</vt:lpwstr>
      </vt:variant>
      <vt:variant>
        <vt:i4>1310780</vt:i4>
      </vt:variant>
      <vt:variant>
        <vt:i4>260</vt:i4>
      </vt:variant>
      <vt:variant>
        <vt:i4>0</vt:i4>
      </vt:variant>
      <vt:variant>
        <vt:i4>5</vt:i4>
      </vt:variant>
      <vt:variant>
        <vt:lpwstr/>
      </vt:variant>
      <vt:variant>
        <vt:lpwstr>_Toc422294372</vt:lpwstr>
      </vt:variant>
      <vt:variant>
        <vt:i4>1310780</vt:i4>
      </vt:variant>
      <vt:variant>
        <vt:i4>254</vt:i4>
      </vt:variant>
      <vt:variant>
        <vt:i4>0</vt:i4>
      </vt:variant>
      <vt:variant>
        <vt:i4>5</vt:i4>
      </vt:variant>
      <vt:variant>
        <vt:lpwstr/>
      </vt:variant>
      <vt:variant>
        <vt:lpwstr>_Toc422294371</vt:lpwstr>
      </vt:variant>
      <vt:variant>
        <vt:i4>1310780</vt:i4>
      </vt:variant>
      <vt:variant>
        <vt:i4>248</vt:i4>
      </vt:variant>
      <vt:variant>
        <vt:i4>0</vt:i4>
      </vt:variant>
      <vt:variant>
        <vt:i4>5</vt:i4>
      </vt:variant>
      <vt:variant>
        <vt:lpwstr/>
      </vt:variant>
      <vt:variant>
        <vt:lpwstr>_Toc422294370</vt:lpwstr>
      </vt:variant>
      <vt:variant>
        <vt:i4>1376316</vt:i4>
      </vt:variant>
      <vt:variant>
        <vt:i4>242</vt:i4>
      </vt:variant>
      <vt:variant>
        <vt:i4>0</vt:i4>
      </vt:variant>
      <vt:variant>
        <vt:i4>5</vt:i4>
      </vt:variant>
      <vt:variant>
        <vt:lpwstr/>
      </vt:variant>
      <vt:variant>
        <vt:lpwstr>_Toc422294369</vt:lpwstr>
      </vt:variant>
      <vt:variant>
        <vt:i4>1376316</vt:i4>
      </vt:variant>
      <vt:variant>
        <vt:i4>236</vt:i4>
      </vt:variant>
      <vt:variant>
        <vt:i4>0</vt:i4>
      </vt:variant>
      <vt:variant>
        <vt:i4>5</vt:i4>
      </vt:variant>
      <vt:variant>
        <vt:lpwstr/>
      </vt:variant>
      <vt:variant>
        <vt:lpwstr>_Toc422294368</vt:lpwstr>
      </vt:variant>
      <vt:variant>
        <vt:i4>1376316</vt:i4>
      </vt:variant>
      <vt:variant>
        <vt:i4>230</vt:i4>
      </vt:variant>
      <vt:variant>
        <vt:i4>0</vt:i4>
      </vt:variant>
      <vt:variant>
        <vt:i4>5</vt:i4>
      </vt:variant>
      <vt:variant>
        <vt:lpwstr/>
      </vt:variant>
      <vt:variant>
        <vt:lpwstr>_Toc422294367</vt:lpwstr>
      </vt:variant>
      <vt:variant>
        <vt:i4>1376316</vt:i4>
      </vt:variant>
      <vt:variant>
        <vt:i4>224</vt:i4>
      </vt:variant>
      <vt:variant>
        <vt:i4>0</vt:i4>
      </vt:variant>
      <vt:variant>
        <vt:i4>5</vt:i4>
      </vt:variant>
      <vt:variant>
        <vt:lpwstr/>
      </vt:variant>
      <vt:variant>
        <vt:lpwstr>_Toc422294366</vt:lpwstr>
      </vt:variant>
      <vt:variant>
        <vt:i4>1376316</vt:i4>
      </vt:variant>
      <vt:variant>
        <vt:i4>218</vt:i4>
      </vt:variant>
      <vt:variant>
        <vt:i4>0</vt:i4>
      </vt:variant>
      <vt:variant>
        <vt:i4>5</vt:i4>
      </vt:variant>
      <vt:variant>
        <vt:lpwstr/>
      </vt:variant>
      <vt:variant>
        <vt:lpwstr>_Toc422294365</vt:lpwstr>
      </vt:variant>
      <vt:variant>
        <vt:i4>1376316</vt:i4>
      </vt:variant>
      <vt:variant>
        <vt:i4>212</vt:i4>
      </vt:variant>
      <vt:variant>
        <vt:i4>0</vt:i4>
      </vt:variant>
      <vt:variant>
        <vt:i4>5</vt:i4>
      </vt:variant>
      <vt:variant>
        <vt:lpwstr/>
      </vt:variant>
      <vt:variant>
        <vt:lpwstr>_Toc422294364</vt:lpwstr>
      </vt:variant>
      <vt:variant>
        <vt:i4>1376316</vt:i4>
      </vt:variant>
      <vt:variant>
        <vt:i4>206</vt:i4>
      </vt:variant>
      <vt:variant>
        <vt:i4>0</vt:i4>
      </vt:variant>
      <vt:variant>
        <vt:i4>5</vt:i4>
      </vt:variant>
      <vt:variant>
        <vt:lpwstr/>
      </vt:variant>
      <vt:variant>
        <vt:lpwstr>_Toc422294363</vt:lpwstr>
      </vt:variant>
      <vt:variant>
        <vt:i4>1376316</vt:i4>
      </vt:variant>
      <vt:variant>
        <vt:i4>200</vt:i4>
      </vt:variant>
      <vt:variant>
        <vt:i4>0</vt:i4>
      </vt:variant>
      <vt:variant>
        <vt:i4>5</vt:i4>
      </vt:variant>
      <vt:variant>
        <vt:lpwstr/>
      </vt:variant>
      <vt:variant>
        <vt:lpwstr>_Toc422294362</vt:lpwstr>
      </vt:variant>
      <vt:variant>
        <vt:i4>1376316</vt:i4>
      </vt:variant>
      <vt:variant>
        <vt:i4>194</vt:i4>
      </vt:variant>
      <vt:variant>
        <vt:i4>0</vt:i4>
      </vt:variant>
      <vt:variant>
        <vt:i4>5</vt:i4>
      </vt:variant>
      <vt:variant>
        <vt:lpwstr/>
      </vt:variant>
      <vt:variant>
        <vt:lpwstr>_Toc422294361</vt:lpwstr>
      </vt:variant>
      <vt:variant>
        <vt:i4>1376316</vt:i4>
      </vt:variant>
      <vt:variant>
        <vt:i4>188</vt:i4>
      </vt:variant>
      <vt:variant>
        <vt:i4>0</vt:i4>
      </vt:variant>
      <vt:variant>
        <vt:i4>5</vt:i4>
      </vt:variant>
      <vt:variant>
        <vt:lpwstr/>
      </vt:variant>
      <vt:variant>
        <vt:lpwstr>_Toc422294360</vt:lpwstr>
      </vt:variant>
      <vt:variant>
        <vt:i4>1441852</vt:i4>
      </vt:variant>
      <vt:variant>
        <vt:i4>182</vt:i4>
      </vt:variant>
      <vt:variant>
        <vt:i4>0</vt:i4>
      </vt:variant>
      <vt:variant>
        <vt:i4>5</vt:i4>
      </vt:variant>
      <vt:variant>
        <vt:lpwstr/>
      </vt:variant>
      <vt:variant>
        <vt:lpwstr>_Toc422294359</vt:lpwstr>
      </vt:variant>
      <vt:variant>
        <vt:i4>1441852</vt:i4>
      </vt:variant>
      <vt:variant>
        <vt:i4>176</vt:i4>
      </vt:variant>
      <vt:variant>
        <vt:i4>0</vt:i4>
      </vt:variant>
      <vt:variant>
        <vt:i4>5</vt:i4>
      </vt:variant>
      <vt:variant>
        <vt:lpwstr/>
      </vt:variant>
      <vt:variant>
        <vt:lpwstr>_Toc422294358</vt:lpwstr>
      </vt:variant>
      <vt:variant>
        <vt:i4>1441852</vt:i4>
      </vt:variant>
      <vt:variant>
        <vt:i4>170</vt:i4>
      </vt:variant>
      <vt:variant>
        <vt:i4>0</vt:i4>
      </vt:variant>
      <vt:variant>
        <vt:i4>5</vt:i4>
      </vt:variant>
      <vt:variant>
        <vt:lpwstr/>
      </vt:variant>
      <vt:variant>
        <vt:lpwstr>_Toc422294357</vt:lpwstr>
      </vt:variant>
      <vt:variant>
        <vt:i4>1441852</vt:i4>
      </vt:variant>
      <vt:variant>
        <vt:i4>164</vt:i4>
      </vt:variant>
      <vt:variant>
        <vt:i4>0</vt:i4>
      </vt:variant>
      <vt:variant>
        <vt:i4>5</vt:i4>
      </vt:variant>
      <vt:variant>
        <vt:lpwstr/>
      </vt:variant>
      <vt:variant>
        <vt:lpwstr>_Toc422294356</vt:lpwstr>
      </vt:variant>
      <vt:variant>
        <vt:i4>1441852</vt:i4>
      </vt:variant>
      <vt:variant>
        <vt:i4>158</vt:i4>
      </vt:variant>
      <vt:variant>
        <vt:i4>0</vt:i4>
      </vt:variant>
      <vt:variant>
        <vt:i4>5</vt:i4>
      </vt:variant>
      <vt:variant>
        <vt:lpwstr/>
      </vt:variant>
      <vt:variant>
        <vt:lpwstr>_Toc422294355</vt:lpwstr>
      </vt:variant>
      <vt:variant>
        <vt:i4>1441852</vt:i4>
      </vt:variant>
      <vt:variant>
        <vt:i4>152</vt:i4>
      </vt:variant>
      <vt:variant>
        <vt:i4>0</vt:i4>
      </vt:variant>
      <vt:variant>
        <vt:i4>5</vt:i4>
      </vt:variant>
      <vt:variant>
        <vt:lpwstr/>
      </vt:variant>
      <vt:variant>
        <vt:lpwstr>_Toc422294354</vt:lpwstr>
      </vt:variant>
      <vt:variant>
        <vt:i4>1441852</vt:i4>
      </vt:variant>
      <vt:variant>
        <vt:i4>146</vt:i4>
      </vt:variant>
      <vt:variant>
        <vt:i4>0</vt:i4>
      </vt:variant>
      <vt:variant>
        <vt:i4>5</vt:i4>
      </vt:variant>
      <vt:variant>
        <vt:lpwstr/>
      </vt:variant>
      <vt:variant>
        <vt:lpwstr>_Toc422294353</vt:lpwstr>
      </vt:variant>
      <vt:variant>
        <vt:i4>1441852</vt:i4>
      </vt:variant>
      <vt:variant>
        <vt:i4>140</vt:i4>
      </vt:variant>
      <vt:variant>
        <vt:i4>0</vt:i4>
      </vt:variant>
      <vt:variant>
        <vt:i4>5</vt:i4>
      </vt:variant>
      <vt:variant>
        <vt:lpwstr/>
      </vt:variant>
      <vt:variant>
        <vt:lpwstr>_Toc422294352</vt:lpwstr>
      </vt:variant>
      <vt:variant>
        <vt:i4>1441852</vt:i4>
      </vt:variant>
      <vt:variant>
        <vt:i4>134</vt:i4>
      </vt:variant>
      <vt:variant>
        <vt:i4>0</vt:i4>
      </vt:variant>
      <vt:variant>
        <vt:i4>5</vt:i4>
      </vt:variant>
      <vt:variant>
        <vt:lpwstr/>
      </vt:variant>
      <vt:variant>
        <vt:lpwstr>_Toc422294351</vt:lpwstr>
      </vt:variant>
      <vt:variant>
        <vt:i4>1441852</vt:i4>
      </vt:variant>
      <vt:variant>
        <vt:i4>128</vt:i4>
      </vt:variant>
      <vt:variant>
        <vt:i4>0</vt:i4>
      </vt:variant>
      <vt:variant>
        <vt:i4>5</vt:i4>
      </vt:variant>
      <vt:variant>
        <vt:lpwstr/>
      </vt:variant>
      <vt:variant>
        <vt:lpwstr>_Toc422294350</vt:lpwstr>
      </vt:variant>
      <vt:variant>
        <vt:i4>1507388</vt:i4>
      </vt:variant>
      <vt:variant>
        <vt:i4>122</vt:i4>
      </vt:variant>
      <vt:variant>
        <vt:i4>0</vt:i4>
      </vt:variant>
      <vt:variant>
        <vt:i4>5</vt:i4>
      </vt:variant>
      <vt:variant>
        <vt:lpwstr/>
      </vt:variant>
      <vt:variant>
        <vt:lpwstr>_Toc422294349</vt:lpwstr>
      </vt:variant>
      <vt:variant>
        <vt:i4>1507388</vt:i4>
      </vt:variant>
      <vt:variant>
        <vt:i4>116</vt:i4>
      </vt:variant>
      <vt:variant>
        <vt:i4>0</vt:i4>
      </vt:variant>
      <vt:variant>
        <vt:i4>5</vt:i4>
      </vt:variant>
      <vt:variant>
        <vt:lpwstr/>
      </vt:variant>
      <vt:variant>
        <vt:lpwstr>_Toc422294348</vt:lpwstr>
      </vt:variant>
      <vt:variant>
        <vt:i4>1507388</vt:i4>
      </vt:variant>
      <vt:variant>
        <vt:i4>110</vt:i4>
      </vt:variant>
      <vt:variant>
        <vt:i4>0</vt:i4>
      </vt:variant>
      <vt:variant>
        <vt:i4>5</vt:i4>
      </vt:variant>
      <vt:variant>
        <vt:lpwstr/>
      </vt:variant>
      <vt:variant>
        <vt:lpwstr>_Toc422294347</vt:lpwstr>
      </vt:variant>
      <vt:variant>
        <vt:i4>1507388</vt:i4>
      </vt:variant>
      <vt:variant>
        <vt:i4>104</vt:i4>
      </vt:variant>
      <vt:variant>
        <vt:i4>0</vt:i4>
      </vt:variant>
      <vt:variant>
        <vt:i4>5</vt:i4>
      </vt:variant>
      <vt:variant>
        <vt:lpwstr/>
      </vt:variant>
      <vt:variant>
        <vt:lpwstr>_Toc422294346</vt:lpwstr>
      </vt:variant>
      <vt:variant>
        <vt:i4>1507388</vt:i4>
      </vt:variant>
      <vt:variant>
        <vt:i4>98</vt:i4>
      </vt:variant>
      <vt:variant>
        <vt:i4>0</vt:i4>
      </vt:variant>
      <vt:variant>
        <vt:i4>5</vt:i4>
      </vt:variant>
      <vt:variant>
        <vt:lpwstr/>
      </vt:variant>
      <vt:variant>
        <vt:lpwstr>_Toc422294345</vt:lpwstr>
      </vt:variant>
      <vt:variant>
        <vt:i4>1507388</vt:i4>
      </vt:variant>
      <vt:variant>
        <vt:i4>92</vt:i4>
      </vt:variant>
      <vt:variant>
        <vt:i4>0</vt:i4>
      </vt:variant>
      <vt:variant>
        <vt:i4>5</vt:i4>
      </vt:variant>
      <vt:variant>
        <vt:lpwstr/>
      </vt:variant>
      <vt:variant>
        <vt:lpwstr>_Toc422294344</vt:lpwstr>
      </vt:variant>
      <vt:variant>
        <vt:i4>1507388</vt:i4>
      </vt:variant>
      <vt:variant>
        <vt:i4>86</vt:i4>
      </vt:variant>
      <vt:variant>
        <vt:i4>0</vt:i4>
      </vt:variant>
      <vt:variant>
        <vt:i4>5</vt:i4>
      </vt:variant>
      <vt:variant>
        <vt:lpwstr/>
      </vt:variant>
      <vt:variant>
        <vt:lpwstr>_Toc422294343</vt:lpwstr>
      </vt:variant>
      <vt:variant>
        <vt:i4>1507388</vt:i4>
      </vt:variant>
      <vt:variant>
        <vt:i4>80</vt:i4>
      </vt:variant>
      <vt:variant>
        <vt:i4>0</vt:i4>
      </vt:variant>
      <vt:variant>
        <vt:i4>5</vt:i4>
      </vt:variant>
      <vt:variant>
        <vt:lpwstr/>
      </vt:variant>
      <vt:variant>
        <vt:lpwstr>_Toc422294342</vt:lpwstr>
      </vt:variant>
      <vt:variant>
        <vt:i4>1507388</vt:i4>
      </vt:variant>
      <vt:variant>
        <vt:i4>74</vt:i4>
      </vt:variant>
      <vt:variant>
        <vt:i4>0</vt:i4>
      </vt:variant>
      <vt:variant>
        <vt:i4>5</vt:i4>
      </vt:variant>
      <vt:variant>
        <vt:lpwstr/>
      </vt:variant>
      <vt:variant>
        <vt:lpwstr>_Toc422294341</vt:lpwstr>
      </vt:variant>
      <vt:variant>
        <vt:i4>1507388</vt:i4>
      </vt:variant>
      <vt:variant>
        <vt:i4>68</vt:i4>
      </vt:variant>
      <vt:variant>
        <vt:i4>0</vt:i4>
      </vt:variant>
      <vt:variant>
        <vt:i4>5</vt:i4>
      </vt:variant>
      <vt:variant>
        <vt:lpwstr/>
      </vt:variant>
      <vt:variant>
        <vt:lpwstr>_Toc422294340</vt:lpwstr>
      </vt:variant>
      <vt:variant>
        <vt:i4>1048636</vt:i4>
      </vt:variant>
      <vt:variant>
        <vt:i4>62</vt:i4>
      </vt:variant>
      <vt:variant>
        <vt:i4>0</vt:i4>
      </vt:variant>
      <vt:variant>
        <vt:i4>5</vt:i4>
      </vt:variant>
      <vt:variant>
        <vt:lpwstr/>
      </vt:variant>
      <vt:variant>
        <vt:lpwstr>_Toc422294339</vt:lpwstr>
      </vt:variant>
      <vt:variant>
        <vt:i4>1048636</vt:i4>
      </vt:variant>
      <vt:variant>
        <vt:i4>56</vt:i4>
      </vt:variant>
      <vt:variant>
        <vt:i4>0</vt:i4>
      </vt:variant>
      <vt:variant>
        <vt:i4>5</vt:i4>
      </vt:variant>
      <vt:variant>
        <vt:lpwstr/>
      </vt:variant>
      <vt:variant>
        <vt:lpwstr>_Toc422294338</vt:lpwstr>
      </vt:variant>
      <vt:variant>
        <vt:i4>1048636</vt:i4>
      </vt:variant>
      <vt:variant>
        <vt:i4>50</vt:i4>
      </vt:variant>
      <vt:variant>
        <vt:i4>0</vt:i4>
      </vt:variant>
      <vt:variant>
        <vt:i4>5</vt:i4>
      </vt:variant>
      <vt:variant>
        <vt:lpwstr/>
      </vt:variant>
      <vt:variant>
        <vt:lpwstr>_Toc422294337</vt:lpwstr>
      </vt:variant>
      <vt:variant>
        <vt:i4>1048636</vt:i4>
      </vt:variant>
      <vt:variant>
        <vt:i4>44</vt:i4>
      </vt:variant>
      <vt:variant>
        <vt:i4>0</vt:i4>
      </vt:variant>
      <vt:variant>
        <vt:i4>5</vt:i4>
      </vt:variant>
      <vt:variant>
        <vt:lpwstr/>
      </vt:variant>
      <vt:variant>
        <vt:lpwstr>_Toc422294336</vt:lpwstr>
      </vt:variant>
      <vt:variant>
        <vt:i4>1048636</vt:i4>
      </vt:variant>
      <vt:variant>
        <vt:i4>38</vt:i4>
      </vt:variant>
      <vt:variant>
        <vt:i4>0</vt:i4>
      </vt:variant>
      <vt:variant>
        <vt:i4>5</vt:i4>
      </vt:variant>
      <vt:variant>
        <vt:lpwstr/>
      </vt:variant>
      <vt:variant>
        <vt:lpwstr>_Toc422294335</vt:lpwstr>
      </vt:variant>
      <vt:variant>
        <vt:i4>1048636</vt:i4>
      </vt:variant>
      <vt:variant>
        <vt:i4>32</vt:i4>
      </vt:variant>
      <vt:variant>
        <vt:i4>0</vt:i4>
      </vt:variant>
      <vt:variant>
        <vt:i4>5</vt:i4>
      </vt:variant>
      <vt:variant>
        <vt:lpwstr/>
      </vt:variant>
      <vt:variant>
        <vt:lpwstr>_Toc422294334</vt:lpwstr>
      </vt:variant>
      <vt:variant>
        <vt:i4>1048636</vt:i4>
      </vt:variant>
      <vt:variant>
        <vt:i4>26</vt:i4>
      </vt:variant>
      <vt:variant>
        <vt:i4>0</vt:i4>
      </vt:variant>
      <vt:variant>
        <vt:i4>5</vt:i4>
      </vt:variant>
      <vt:variant>
        <vt:lpwstr/>
      </vt:variant>
      <vt:variant>
        <vt:lpwstr>_Toc422294333</vt:lpwstr>
      </vt:variant>
      <vt:variant>
        <vt:i4>1048636</vt:i4>
      </vt:variant>
      <vt:variant>
        <vt:i4>20</vt:i4>
      </vt:variant>
      <vt:variant>
        <vt:i4>0</vt:i4>
      </vt:variant>
      <vt:variant>
        <vt:i4>5</vt:i4>
      </vt:variant>
      <vt:variant>
        <vt:lpwstr/>
      </vt:variant>
      <vt:variant>
        <vt:lpwstr>_Toc422294332</vt:lpwstr>
      </vt:variant>
      <vt:variant>
        <vt:i4>1048636</vt:i4>
      </vt:variant>
      <vt:variant>
        <vt:i4>14</vt:i4>
      </vt:variant>
      <vt:variant>
        <vt:i4>0</vt:i4>
      </vt:variant>
      <vt:variant>
        <vt:i4>5</vt:i4>
      </vt:variant>
      <vt:variant>
        <vt:lpwstr/>
      </vt:variant>
      <vt:variant>
        <vt:lpwstr>_Toc422294331</vt:lpwstr>
      </vt:variant>
      <vt:variant>
        <vt:i4>1048636</vt:i4>
      </vt:variant>
      <vt:variant>
        <vt:i4>8</vt:i4>
      </vt:variant>
      <vt:variant>
        <vt:i4>0</vt:i4>
      </vt:variant>
      <vt:variant>
        <vt:i4>5</vt:i4>
      </vt:variant>
      <vt:variant>
        <vt:lpwstr/>
      </vt:variant>
      <vt:variant>
        <vt:lpwstr>_Toc422294330</vt:lpwstr>
      </vt:variant>
      <vt:variant>
        <vt:i4>1114172</vt:i4>
      </vt:variant>
      <vt:variant>
        <vt:i4>2</vt:i4>
      </vt:variant>
      <vt:variant>
        <vt:i4>0</vt:i4>
      </vt:variant>
      <vt:variant>
        <vt:i4>5</vt:i4>
      </vt:variant>
      <vt:variant>
        <vt:lpwstr/>
      </vt:variant>
      <vt:variant>
        <vt:lpwstr>_Toc422294329</vt:lpwstr>
      </vt:variant>
      <vt:variant>
        <vt:i4>131186</vt:i4>
      </vt:variant>
      <vt:variant>
        <vt:i4>0</vt:i4>
      </vt:variant>
      <vt:variant>
        <vt:i4>0</vt:i4>
      </vt:variant>
      <vt:variant>
        <vt:i4>5</vt:i4>
      </vt:variant>
      <vt:variant>
        <vt:lpwstr>http://en.wikipedia.org/wiki/Lithium_perchlorate</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Livscykelanalys</dc:title>
  <dc:creator>MATS ZACKRISSON</dc:creator>
  <cp:lastModifiedBy>mats.zackrisson</cp:lastModifiedBy>
  <cp:revision>2</cp:revision>
  <cp:lastPrinted>2016-05-03T06:41:00Z</cp:lastPrinted>
  <dcterms:created xsi:type="dcterms:W3CDTF">2016-05-03T08:32:00Z</dcterms:created>
  <dcterms:modified xsi:type="dcterms:W3CDTF">2016-05-03T08:32:00Z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el" linkTarget="Datum">
    <vt:lpwstr>9 Oktober 2007</vt:lpwstr>
  </property>
  <property fmtid="{D5CDD505-2E9C-101B-9397-08002B2CF9AE}" pid="3" name="Version">
    <vt:lpwstr>2</vt:lpwstr>
  </property>
  <property fmtid="{D5CDD505-2E9C-101B-9397-08002B2CF9AE}" pid="4" name="Rubriknumrering">
    <vt:lpwstr>0</vt:lpwstr>
  </property>
  <property fmtid="{D5CDD505-2E9C-101B-9397-08002B2CF9AE}" pid="5" name="Mendeley Document_1">
    <vt:lpwstr>True</vt:lpwstr>
  </property>
  <property fmtid="{D5CDD505-2E9C-101B-9397-08002B2CF9AE}" pid="6" name="Mendeley User Name_1">
    <vt:lpwstr>mats.zackrisson@swerea.se@www.mendeley.com</vt:lpwstr>
  </property>
  <property fmtid="{D5CDD505-2E9C-101B-9397-08002B2CF9AE}" pid="7" name="Mendeley Citation Style_1">
    <vt:lpwstr>http://www.zotero.org/styles/harvard1</vt:lpwstr>
  </property>
  <property fmtid="{D5CDD505-2E9C-101B-9397-08002B2CF9AE}" pid="8" name="Mendeley Recent Style Id 0_1">
    <vt:lpwstr>http://www.zotero.org/styles/american-political-science-association</vt:lpwstr>
  </property>
  <property fmtid="{D5CDD505-2E9C-101B-9397-08002B2CF9AE}" pid="9" name="Mendeley Recent Style Name 0_1">
    <vt:lpwstr>American Political Science Association</vt:lpwstr>
  </property>
  <property fmtid="{D5CDD505-2E9C-101B-9397-08002B2CF9AE}" pid="10" name="Mendeley Recent Style Id 1_1">
    <vt:lpwstr>http://www.zotero.org/styles/apa</vt:lpwstr>
  </property>
  <property fmtid="{D5CDD505-2E9C-101B-9397-08002B2CF9AE}" pid="11" name="Mendeley Recent Style Name 1_1">
    <vt:lpwstr>American Psychological Association 6th edition</vt:lpwstr>
  </property>
  <property fmtid="{D5CDD505-2E9C-101B-9397-08002B2CF9AE}" pid="12" name="Mendeley Recent Style Id 2_1">
    <vt:lpwstr>http://www.zotero.org/styles/american-sociological-association</vt:lpwstr>
  </property>
  <property fmtid="{D5CDD505-2E9C-101B-9397-08002B2CF9AE}" pid="13" name="Mendeley Recent Style Name 2_1">
    <vt:lpwstr>American Sociological Association</vt:lpwstr>
  </property>
  <property fmtid="{D5CDD505-2E9C-101B-9397-08002B2CF9AE}" pid="14" name="Mendeley Recent Style Id 3_1">
    <vt:lpwstr>http://www.zotero.org/styles/chicago-author-date</vt:lpwstr>
  </property>
  <property fmtid="{D5CDD505-2E9C-101B-9397-08002B2CF9AE}" pid="15" name="Mendeley Recent Style Name 3_1">
    <vt:lpwstr>Chicago Manual of Style 16th edition (author-date)</vt:lpwstr>
  </property>
  <property fmtid="{D5CDD505-2E9C-101B-9397-08002B2CF9AE}" pid="16" name="Mendeley Recent Style Id 4_1">
    <vt:lpwstr>http://www.zotero.org/styles/harvard1</vt:lpwstr>
  </property>
  <property fmtid="{D5CDD505-2E9C-101B-9397-08002B2CF9AE}" pid="17" name="Mendeley Recent Style Name 4_1">
    <vt:lpwstr>Harvard Reference format 1 (author-date)</vt:lpwstr>
  </property>
  <property fmtid="{D5CDD505-2E9C-101B-9397-08002B2CF9AE}" pid="18" name="Mendeley Recent Style Id 5_1">
    <vt:lpwstr>http://www.zotero.org/styles/ieee</vt:lpwstr>
  </property>
  <property fmtid="{D5CDD505-2E9C-101B-9397-08002B2CF9AE}" pid="19" name="Mendeley Recent Style Name 5_1">
    <vt:lpwstr>IEEE</vt:lpwstr>
  </property>
  <property fmtid="{D5CDD505-2E9C-101B-9397-08002B2CF9AE}" pid="20" name="Mendeley Recent Style Id 6_1">
    <vt:lpwstr>http://www.zotero.org/styles/journal-of-cleaner-production</vt:lpwstr>
  </property>
  <property fmtid="{D5CDD505-2E9C-101B-9397-08002B2CF9AE}" pid="21" name="Mendeley Recent Style Name 6_1">
    <vt:lpwstr>Journal of Cleaner Production</vt:lpwstr>
  </property>
  <property fmtid="{D5CDD505-2E9C-101B-9397-08002B2CF9AE}" pid="22" name="Mendeley Recent Style Id 7_1">
    <vt:lpwstr>http://www.zotero.org/styles/modern-humanities-research-association</vt:lpwstr>
  </property>
  <property fmtid="{D5CDD505-2E9C-101B-9397-08002B2CF9AE}" pid="23" name="Mendeley Recent Style Name 7_1">
    <vt:lpwstr>Modern Humanities Research Association 3rd edition (note with bibliography)</vt:lpwstr>
  </property>
  <property fmtid="{D5CDD505-2E9C-101B-9397-08002B2CF9AE}" pid="24" name="Mendeley Recent Style Id 8_1">
    <vt:lpwstr>http://www.zotero.org/styles/modern-language-association</vt:lpwstr>
  </property>
  <property fmtid="{D5CDD505-2E9C-101B-9397-08002B2CF9AE}" pid="25" name="Mendeley Recent Style Name 8_1">
    <vt:lpwstr>Modern Language Association 7th edition</vt:lpwstr>
  </property>
  <property fmtid="{D5CDD505-2E9C-101B-9397-08002B2CF9AE}" pid="26" name="Mendeley Recent Style Id 9_1">
    <vt:lpwstr>http://www.zotero.org/styles/nature</vt:lpwstr>
  </property>
  <property fmtid="{D5CDD505-2E9C-101B-9397-08002B2CF9AE}" pid="27" name="Mendeley Recent Style Name 9_1">
    <vt:lpwstr>Nature</vt:lpwstr>
  </property>
</Properties>
</file>