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B651C" w14:textId="60DB8C25" w:rsidR="004643D1" w:rsidRPr="004643D1" w:rsidRDefault="004643D1" w:rsidP="004643D1">
      <w:pPr>
        <w:spacing w:line="276" w:lineRule="auto"/>
        <w:rPr>
          <w:i/>
          <w:sz w:val="40"/>
        </w:rPr>
      </w:pPr>
      <w:r w:rsidRPr="004643D1">
        <w:rPr>
          <w:sz w:val="40"/>
        </w:rPr>
        <w:t>In-hospital adverse drug reactions in older adults; prevalence, presentation and associated drugs.</w:t>
      </w:r>
      <w:r w:rsidRPr="004643D1">
        <w:rPr>
          <w:i/>
          <w:sz w:val="40"/>
        </w:rPr>
        <w:t xml:space="preserve"> </w:t>
      </w:r>
      <w:r w:rsidRPr="004643D1">
        <w:rPr>
          <w:sz w:val="40"/>
        </w:rPr>
        <w:t>A systematic review and meta-analysis</w:t>
      </w:r>
    </w:p>
    <w:p w14:paraId="76A2B79D" w14:textId="77777777" w:rsidR="004643D1" w:rsidRDefault="004643D1" w:rsidP="004643D1">
      <w:pPr>
        <w:spacing w:line="480" w:lineRule="auto"/>
        <w:rPr>
          <w:b/>
          <w:sz w:val="28"/>
        </w:rPr>
      </w:pPr>
    </w:p>
    <w:p w14:paraId="4CB2AD5A" w14:textId="77777777" w:rsidR="004643D1" w:rsidRPr="00C70AE2" w:rsidRDefault="004643D1" w:rsidP="004643D1">
      <w:pPr>
        <w:spacing w:line="480" w:lineRule="auto"/>
        <w:rPr>
          <w:b/>
          <w:sz w:val="28"/>
        </w:rPr>
      </w:pPr>
      <w:r w:rsidRPr="00C70AE2">
        <w:rPr>
          <w:b/>
          <w:sz w:val="28"/>
        </w:rPr>
        <w:t>SUPPLEMENTARY DATA</w:t>
      </w:r>
    </w:p>
    <w:sdt>
      <w:sdtPr>
        <w:rPr>
          <w:rFonts w:asciiTheme="minorHAnsi" w:eastAsiaTheme="minorHAnsi" w:hAnsiTheme="minorHAnsi" w:cstheme="minorBidi"/>
          <w:color w:val="auto"/>
          <w:sz w:val="22"/>
          <w:szCs w:val="22"/>
          <w:lang w:val="en-GB"/>
        </w:rPr>
        <w:id w:val="-909303735"/>
        <w:docPartObj>
          <w:docPartGallery w:val="Table of Contents"/>
          <w:docPartUnique/>
        </w:docPartObj>
      </w:sdtPr>
      <w:sdtEndPr>
        <w:rPr>
          <w:b/>
          <w:bCs/>
          <w:noProof/>
        </w:rPr>
      </w:sdtEndPr>
      <w:sdtContent>
        <w:p w14:paraId="610C3404" w14:textId="77777777" w:rsidR="007D57FB" w:rsidRDefault="007D57FB" w:rsidP="00426A1D">
          <w:pPr>
            <w:pStyle w:val="TOCHeading"/>
          </w:pPr>
          <w:r>
            <w:t>Table of Contents</w:t>
          </w:r>
        </w:p>
        <w:p w14:paraId="10A6B4DE" w14:textId="5B07FDFF" w:rsidR="00FD4542" w:rsidRDefault="007D57FB">
          <w:pPr>
            <w:pStyle w:val="TOC1"/>
            <w:rPr>
              <w:rFonts w:eastAsiaTheme="minorEastAsia"/>
              <w:lang w:eastAsia="en-GB"/>
            </w:rPr>
          </w:pPr>
          <w:r>
            <w:rPr>
              <w:b/>
              <w:bCs/>
            </w:rPr>
            <w:fldChar w:fldCharType="begin"/>
          </w:r>
          <w:r>
            <w:rPr>
              <w:b/>
              <w:bCs/>
            </w:rPr>
            <w:instrText xml:space="preserve"> TOC \o "1-3" \h \z \u </w:instrText>
          </w:r>
          <w:r>
            <w:rPr>
              <w:b/>
              <w:bCs/>
            </w:rPr>
            <w:fldChar w:fldCharType="separate"/>
          </w:r>
          <w:hyperlink w:anchor="_Toc52396323" w:history="1">
            <w:r w:rsidR="00FD4542" w:rsidRPr="00E5372A">
              <w:rPr>
                <w:rStyle w:val="Hyperlink"/>
              </w:rPr>
              <w:t>Appendix 1. MOOSE Checklist for Meta-analyses of Observational Studies</w:t>
            </w:r>
            <w:r w:rsidR="00FD4542">
              <w:rPr>
                <w:webHidden/>
              </w:rPr>
              <w:tab/>
            </w:r>
            <w:r w:rsidR="00FD4542">
              <w:rPr>
                <w:webHidden/>
              </w:rPr>
              <w:fldChar w:fldCharType="begin"/>
            </w:r>
            <w:r w:rsidR="00FD4542">
              <w:rPr>
                <w:webHidden/>
              </w:rPr>
              <w:instrText xml:space="preserve"> PAGEREF _Toc52396323 \h </w:instrText>
            </w:r>
            <w:r w:rsidR="00FD4542">
              <w:rPr>
                <w:webHidden/>
              </w:rPr>
            </w:r>
            <w:r w:rsidR="00FD4542">
              <w:rPr>
                <w:webHidden/>
              </w:rPr>
              <w:fldChar w:fldCharType="separate"/>
            </w:r>
            <w:r w:rsidR="00FD4542">
              <w:rPr>
                <w:webHidden/>
              </w:rPr>
              <w:t>4</w:t>
            </w:r>
            <w:r w:rsidR="00FD4542">
              <w:rPr>
                <w:webHidden/>
              </w:rPr>
              <w:fldChar w:fldCharType="end"/>
            </w:r>
          </w:hyperlink>
        </w:p>
        <w:p w14:paraId="66756916" w14:textId="40A98376" w:rsidR="00FD4542" w:rsidRDefault="00FD4542">
          <w:pPr>
            <w:pStyle w:val="TOC1"/>
            <w:rPr>
              <w:rFonts w:eastAsiaTheme="minorEastAsia"/>
              <w:lang w:eastAsia="en-GB"/>
            </w:rPr>
          </w:pPr>
          <w:hyperlink w:anchor="_Toc52396324" w:history="1">
            <w:r w:rsidRPr="00E5372A">
              <w:rPr>
                <w:rStyle w:val="Hyperlink"/>
              </w:rPr>
              <w:t>Methods</w:t>
            </w:r>
            <w:r>
              <w:rPr>
                <w:webHidden/>
              </w:rPr>
              <w:tab/>
            </w:r>
            <w:r>
              <w:rPr>
                <w:webHidden/>
              </w:rPr>
              <w:fldChar w:fldCharType="begin"/>
            </w:r>
            <w:r>
              <w:rPr>
                <w:webHidden/>
              </w:rPr>
              <w:instrText xml:space="preserve"> PAGEREF _Toc52396324 \h </w:instrText>
            </w:r>
            <w:r>
              <w:rPr>
                <w:webHidden/>
              </w:rPr>
            </w:r>
            <w:r>
              <w:rPr>
                <w:webHidden/>
              </w:rPr>
              <w:fldChar w:fldCharType="separate"/>
            </w:r>
            <w:r>
              <w:rPr>
                <w:webHidden/>
              </w:rPr>
              <w:t>6</w:t>
            </w:r>
            <w:r>
              <w:rPr>
                <w:webHidden/>
              </w:rPr>
              <w:fldChar w:fldCharType="end"/>
            </w:r>
          </w:hyperlink>
        </w:p>
        <w:p w14:paraId="414D52EC" w14:textId="66C6B334" w:rsidR="00FD4542" w:rsidRDefault="00FD4542">
          <w:pPr>
            <w:pStyle w:val="TOC2"/>
            <w:tabs>
              <w:tab w:val="right" w:leader="dot" w:pos="9016"/>
            </w:tabs>
            <w:rPr>
              <w:rFonts w:eastAsiaTheme="minorEastAsia"/>
              <w:noProof/>
              <w:lang w:eastAsia="en-GB"/>
            </w:rPr>
          </w:pPr>
          <w:hyperlink w:anchor="_Toc52396325" w:history="1">
            <w:r w:rsidRPr="00E5372A">
              <w:rPr>
                <w:rStyle w:val="Hyperlink"/>
                <w:noProof/>
              </w:rPr>
              <w:t>Search terms</w:t>
            </w:r>
            <w:r>
              <w:rPr>
                <w:noProof/>
                <w:webHidden/>
              </w:rPr>
              <w:tab/>
            </w:r>
            <w:r>
              <w:rPr>
                <w:noProof/>
                <w:webHidden/>
              </w:rPr>
              <w:fldChar w:fldCharType="begin"/>
            </w:r>
            <w:r>
              <w:rPr>
                <w:noProof/>
                <w:webHidden/>
              </w:rPr>
              <w:instrText xml:space="preserve"> PAGEREF _Toc52396325 \h </w:instrText>
            </w:r>
            <w:r>
              <w:rPr>
                <w:noProof/>
                <w:webHidden/>
              </w:rPr>
            </w:r>
            <w:r>
              <w:rPr>
                <w:noProof/>
                <w:webHidden/>
              </w:rPr>
              <w:fldChar w:fldCharType="separate"/>
            </w:r>
            <w:r>
              <w:rPr>
                <w:noProof/>
                <w:webHidden/>
              </w:rPr>
              <w:t>6</w:t>
            </w:r>
            <w:r>
              <w:rPr>
                <w:noProof/>
                <w:webHidden/>
              </w:rPr>
              <w:fldChar w:fldCharType="end"/>
            </w:r>
          </w:hyperlink>
        </w:p>
        <w:p w14:paraId="4E731115" w14:textId="2C9A2AC5" w:rsidR="00FD4542" w:rsidRDefault="00FD4542">
          <w:pPr>
            <w:pStyle w:val="TOC3"/>
            <w:tabs>
              <w:tab w:val="right" w:leader="dot" w:pos="9016"/>
            </w:tabs>
            <w:rPr>
              <w:rFonts w:eastAsiaTheme="minorEastAsia"/>
              <w:noProof/>
              <w:lang w:eastAsia="en-GB"/>
            </w:rPr>
          </w:pPr>
          <w:hyperlink w:anchor="_Toc52396326" w:history="1">
            <w:r w:rsidRPr="00E5372A">
              <w:rPr>
                <w:rStyle w:val="Hyperlink"/>
                <w:noProof/>
              </w:rPr>
              <w:t>PubMed</w:t>
            </w:r>
            <w:r>
              <w:rPr>
                <w:noProof/>
                <w:webHidden/>
              </w:rPr>
              <w:tab/>
            </w:r>
            <w:r>
              <w:rPr>
                <w:noProof/>
                <w:webHidden/>
              </w:rPr>
              <w:fldChar w:fldCharType="begin"/>
            </w:r>
            <w:r>
              <w:rPr>
                <w:noProof/>
                <w:webHidden/>
              </w:rPr>
              <w:instrText xml:space="preserve"> PAGEREF _Toc52396326 \h </w:instrText>
            </w:r>
            <w:r>
              <w:rPr>
                <w:noProof/>
                <w:webHidden/>
              </w:rPr>
            </w:r>
            <w:r>
              <w:rPr>
                <w:noProof/>
                <w:webHidden/>
              </w:rPr>
              <w:fldChar w:fldCharType="separate"/>
            </w:r>
            <w:r>
              <w:rPr>
                <w:noProof/>
                <w:webHidden/>
              </w:rPr>
              <w:t>6</w:t>
            </w:r>
            <w:r>
              <w:rPr>
                <w:noProof/>
                <w:webHidden/>
              </w:rPr>
              <w:fldChar w:fldCharType="end"/>
            </w:r>
          </w:hyperlink>
        </w:p>
        <w:p w14:paraId="2F633B4E" w14:textId="463E0810" w:rsidR="00FD4542" w:rsidRDefault="00FD4542">
          <w:pPr>
            <w:pStyle w:val="TOC3"/>
            <w:tabs>
              <w:tab w:val="right" w:leader="dot" w:pos="9016"/>
            </w:tabs>
            <w:rPr>
              <w:rFonts w:eastAsiaTheme="minorEastAsia"/>
              <w:noProof/>
              <w:lang w:eastAsia="en-GB"/>
            </w:rPr>
          </w:pPr>
          <w:hyperlink w:anchor="_Toc52396327" w:history="1">
            <w:r w:rsidRPr="00E5372A">
              <w:rPr>
                <w:rStyle w:val="Hyperlink"/>
                <w:noProof/>
              </w:rPr>
              <w:t>EMBASE</w:t>
            </w:r>
            <w:r>
              <w:rPr>
                <w:noProof/>
                <w:webHidden/>
              </w:rPr>
              <w:tab/>
            </w:r>
            <w:r>
              <w:rPr>
                <w:noProof/>
                <w:webHidden/>
              </w:rPr>
              <w:fldChar w:fldCharType="begin"/>
            </w:r>
            <w:r>
              <w:rPr>
                <w:noProof/>
                <w:webHidden/>
              </w:rPr>
              <w:instrText xml:space="preserve"> PAGEREF _Toc52396327 \h </w:instrText>
            </w:r>
            <w:r>
              <w:rPr>
                <w:noProof/>
                <w:webHidden/>
              </w:rPr>
            </w:r>
            <w:r>
              <w:rPr>
                <w:noProof/>
                <w:webHidden/>
              </w:rPr>
              <w:fldChar w:fldCharType="separate"/>
            </w:r>
            <w:r>
              <w:rPr>
                <w:noProof/>
                <w:webHidden/>
              </w:rPr>
              <w:t>7</w:t>
            </w:r>
            <w:r>
              <w:rPr>
                <w:noProof/>
                <w:webHidden/>
              </w:rPr>
              <w:fldChar w:fldCharType="end"/>
            </w:r>
          </w:hyperlink>
        </w:p>
        <w:p w14:paraId="0CE6EFAA" w14:textId="3750AF2B" w:rsidR="00FD4542" w:rsidRDefault="00FD4542">
          <w:pPr>
            <w:pStyle w:val="TOC3"/>
            <w:tabs>
              <w:tab w:val="right" w:leader="dot" w:pos="9016"/>
            </w:tabs>
            <w:rPr>
              <w:rFonts w:eastAsiaTheme="minorEastAsia"/>
              <w:noProof/>
              <w:lang w:eastAsia="en-GB"/>
            </w:rPr>
          </w:pPr>
          <w:hyperlink w:anchor="_Toc52396328" w:history="1">
            <w:r w:rsidRPr="00E5372A">
              <w:rPr>
                <w:rStyle w:val="Hyperlink"/>
                <w:noProof/>
              </w:rPr>
              <w:t>CINAHL</w:t>
            </w:r>
            <w:r>
              <w:rPr>
                <w:noProof/>
                <w:webHidden/>
              </w:rPr>
              <w:tab/>
            </w:r>
            <w:r>
              <w:rPr>
                <w:noProof/>
                <w:webHidden/>
              </w:rPr>
              <w:fldChar w:fldCharType="begin"/>
            </w:r>
            <w:r>
              <w:rPr>
                <w:noProof/>
                <w:webHidden/>
              </w:rPr>
              <w:instrText xml:space="preserve"> PAGEREF _Toc52396328 \h </w:instrText>
            </w:r>
            <w:r>
              <w:rPr>
                <w:noProof/>
                <w:webHidden/>
              </w:rPr>
            </w:r>
            <w:r>
              <w:rPr>
                <w:noProof/>
                <w:webHidden/>
              </w:rPr>
              <w:fldChar w:fldCharType="separate"/>
            </w:r>
            <w:r>
              <w:rPr>
                <w:noProof/>
                <w:webHidden/>
              </w:rPr>
              <w:t>8</w:t>
            </w:r>
            <w:r>
              <w:rPr>
                <w:noProof/>
                <w:webHidden/>
              </w:rPr>
              <w:fldChar w:fldCharType="end"/>
            </w:r>
          </w:hyperlink>
        </w:p>
        <w:p w14:paraId="1284F572" w14:textId="7B93F5AF" w:rsidR="00FD4542" w:rsidRDefault="00FD4542">
          <w:pPr>
            <w:pStyle w:val="TOC2"/>
            <w:tabs>
              <w:tab w:val="right" w:leader="dot" w:pos="9016"/>
            </w:tabs>
            <w:rPr>
              <w:rFonts w:eastAsiaTheme="minorEastAsia"/>
              <w:noProof/>
              <w:lang w:eastAsia="en-GB"/>
            </w:rPr>
          </w:pPr>
          <w:hyperlink w:anchor="_Toc52396329" w:history="1">
            <w:r w:rsidRPr="00E5372A">
              <w:rPr>
                <w:rStyle w:val="Hyperlink"/>
                <w:noProof/>
              </w:rPr>
              <w:t>Study Eligibility Criteria</w:t>
            </w:r>
            <w:r>
              <w:rPr>
                <w:noProof/>
                <w:webHidden/>
              </w:rPr>
              <w:tab/>
            </w:r>
            <w:r>
              <w:rPr>
                <w:noProof/>
                <w:webHidden/>
              </w:rPr>
              <w:fldChar w:fldCharType="begin"/>
            </w:r>
            <w:r>
              <w:rPr>
                <w:noProof/>
                <w:webHidden/>
              </w:rPr>
              <w:instrText xml:space="preserve"> PAGEREF _Toc52396329 \h </w:instrText>
            </w:r>
            <w:r>
              <w:rPr>
                <w:noProof/>
                <w:webHidden/>
              </w:rPr>
            </w:r>
            <w:r>
              <w:rPr>
                <w:noProof/>
                <w:webHidden/>
              </w:rPr>
              <w:fldChar w:fldCharType="separate"/>
            </w:r>
            <w:r>
              <w:rPr>
                <w:noProof/>
                <w:webHidden/>
              </w:rPr>
              <w:t>9</w:t>
            </w:r>
            <w:r>
              <w:rPr>
                <w:noProof/>
                <w:webHidden/>
              </w:rPr>
              <w:fldChar w:fldCharType="end"/>
            </w:r>
          </w:hyperlink>
        </w:p>
        <w:p w14:paraId="11C8E218" w14:textId="228600C3" w:rsidR="00FD4542" w:rsidRDefault="00FD4542">
          <w:pPr>
            <w:pStyle w:val="TOC2"/>
            <w:tabs>
              <w:tab w:val="right" w:leader="dot" w:pos="9016"/>
            </w:tabs>
            <w:rPr>
              <w:rFonts w:eastAsiaTheme="minorEastAsia"/>
              <w:noProof/>
              <w:lang w:eastAsia="en-GB"/>
            </w:rPr>
          </w:pPr>
          <w:hyperlink w:anchor="_Toc52396330" w:history="1">
            <w:r w:rsidRPr="00E5372A">
              <w:rPr>
                <w:rStyle w:val="Hyperlink"/>
                <w:noProof/>
              </w:rPr>
              <w:t>Statistical analysis</w:t>
            </w:r>
            <w:r>
              <w:rPr>
                <w:noProof/>
                <w:webHidden/>
              </w:rPr>
              <w:tab/>
            </w:r>
            <w:r>
              <w:rPr>
                <w:noProof/>
                <w:webHidden/>
              </w:rPr>
              <w:fldChar w:fldCharType="begin"/>
            </w:r>
            <w:r>
              <w:rPr>
                <w:noProof/>
                <w:webHidden/>
              </w:rPr>
              <w:instrText xml:space="preserve"> PAGEREF _Toc52396330 \h </w:instrText>
            </w:r>
            <w:r>
              <w:rPr>
                <w:noProof/>
                <w:webHidden/>
              </w:rPr>
            </w:r>
            <w:r>
              <w:rPr>
                <w:noProof/>
                <w:webHidden/>
              </w:rPr>
              <w:fldChar w:fldCharType="separate"/>
            </w:r>
            <w:r>
              <w:rPr>
                <w:noProof/>
                <w:webHidden/>
              </w:rPr>
              <w:t>9</w:t>
            </w:r>
            <w:r>
              <w:rPr>
                <w:noProof/>
                <w:webHidden/>
              </w:rPr>
              <w:fldChar w:fldCharType="end"/>
            </w:r>
          </w:hyperlink>
        </w:p>
        <w:p w14:paraId="629677BA" w14:textId="662355F1" w:rsidR="00FD4542" w:rsidRDefault="00FD4542">
          <w:pPr>
            <w:pStyle w:val="TOC1"/>
            <w:rPr>
              <w:rFonts w:eastAsiaTheme="minorEastAsia"/>
              <w:lang w:eastAsia="en-GB"/>
            </w:rPr>
          </w:pPr>
          <w:hyperlink w:anchor="_Toc52396331" w:history="1">
            <w:r w:rsidRPr="00E5372A">
              <w:rPr>
                <w:rStyle w:val="Hyperlink"/>
              </w:rPr>
              <w:t>Appendix 2. Sensitivity Analysis of ADR Presentations</w:t>
            </w:r>
            <w:r>
              <w:rPr>
                <w:webHidden/>
              </w:rPr>
              <w:tab/>
            </w:r>
            <w:r>
              <w:rPr>
                <w:webHidden/>
              </w:rPr>
              <w:fldChar w:fldCharType="begin"/>
            </w:r>
            <w:r>
              <w:rPr>
                <w:webHidden/>
              </w:rPr>
              <w:instrText xml:space="preserve"> PAGEREF _Toc52396331 \h </w:instrText>
            </w:r>
            <w:r>
              <w:rPr>
                <w:webHidden/>
              </w:rPr>
            </w:r>
            <w:r>
              <w:rPr>
                <w:webHidden/>
              </w:rPr>
              <w:fldChar w:fldCharType="separate"/>
            </w:r>
            <w:r>
              <w:rPr>
                <w:webHidden/>
              </w:rPr>
              <w:t>11</w:t>
            </w:r>
            <w:r>
              <w:rPr>
                <w:webHidden/>
              </w:rPr>
              <w:fldChar w:fldCharType="end"/>
            </w:r>
          </w:hyperlink>
        </w:p>
        <w:p w14:paraId="417BFF93" w14:textId="2144AC73" w:rsidR="00FD4542" w:rsidRDefault="00FD4542">
          <w:pPr>
            <w:pStyle w:val="TOC1"/>
            <w:rPr>
              <w:rFonts w:eastAsiaTheme="minorEastAsia"/>
              <w:lang w:eastAsia="en-GB"/>
            </w:rPr>
          </w:pPr>
          <w:hyperlink w:anchor="_Toc52396332" w:history="1">
            <w:r w:rsidRPr="00E5372A">
              <w:rPr>
                <w:rStyle w:val="Hyperlink"/>
              </w:rPr>
              <w:t>Risk of Bias (RoB) and Quality Assessment</w:t>
            </w:r>
            <w:r>
              <w:rPr>
                <w:webHidden/>
              </w:rPr>
              <w:tab/>
            </w:r>
            <w:r>
              <w:rPr>
                <w:webHidden/>
              </w:rPr>
              <w:fldChar w:fldCharType="begin"/>
            </w:r>
            <w:r>
              <w:rPr>
                <w:webHidden/>
              </w:rPr>
              <w:instrText xml:space="preserve"> PAGEREF _Toc52396332 \h </w:instrText>
            </w:r>
            <w:r>
              <w:rPr>
                <w:webHidden/>
              </w:rPr>
            </w:r>
            <w:r>
              <w:rPr>
                <w:webHidden/>
              </w:rPr>
              <w:fldChar w:fldCharType="separate"/>
            </w:r>
            <w:r>
              <w:rPr>
                <w:webHidden/>
              </w:rPr>
              <w:t>14</w:t>
            </w:r>
            <w:r>
              <w:rPr>
                <w:webHidden/>
              </w:rPr>
              <w:fldChar w:fldCharType="end"/>
            </w:r>
          </w:hyperlink>
        </w:p>
        <w:p w14:paraId="4D087E8C" w14:textId="1CFF0EBB" w:rsidR="00FD4542" w:rsidRDefault="00FD4542">
          <w:pPr>
            <w:pStyle w:val="TOC2"/>
            <w:tabs>
              <w:tab w:val="right" w:leader="dot" w:pos="9016"/>
            </w:tabs>
            <w:rPr>
              <w:rFonts w:eastAsiaTheme="minorEastAsia"/>
              <w:noProof/>
              <w:lang w:eastAsia="en-GB"/>
            </w:rPr>
          </w:pPr>
          <w:hyperlink w:anchor="_Toc52396333" w:history="1">
            <w:r w:rsidRPr="00E5372A">
              <w:rPr>
                <w:rStyle w:val="Hyperlink"/>
                <w:noProof/>
              </w:rPr>
              <w:t>Appendix 3. Descriptive summary of RoB / Quality justification and judgements of domains of NOS of included observational Studies (provided in alphabetical order)</w:t>
            </w:r>
            <w:r>
              <w:rPr>
                <w:noProof/>
                <w:webHidden/>
              </w:rPr>
              <w:tab/>
            </w:r>
            <w:r>
              <w:rPr>
                <w:noProof/>
                <w:webHidden/>
              </w:rPr>
              <w:fldChar w:fldCharType="begin"/>
            </w:r>
            <w:r>
              <w:rPr>
                <w:noProof/>
                <w:webHidden/>
              </w:rPr>
              <w:instrText xml:space="preserve"> PAGEREF _Toc52396333 \h </w:instrText>
            </w:r>
            <w:r>
              <w:rPr>
                <w:noProof/>
                <w:webHidden/>
              </w:rPr>
            </w:r>
            <w:r>
              <w:rPr>
                <w:noProof/>
                <w:webHidden/>
              </w:rPr>
              <w:fldChar w:fldCharType="separate"/>
            </w:r>
            <w:r>
              <w:rPr>
                <w:noProof/>
                <w:webHidden/>
              </w:rPr>
              <w:t>14</w:t>
            </w:r>
            <w:r>
              <w:rPr>
                <w:noProof/>
                <w:webHidden/>
              </w:rPr>
              <w:fldChar w:fldCharType="end"/>
            </w:r>
          </w:hyperlink>
        </w:p>
        <w:p w14:paraId="59EB9A06" w14:textId="3FC7A30B" w:rsidR="00FD4542" w:rsidRDefault="00FD4542">
          <w:pPr>
            <w:pStyle w:val="TOC3"/>
            <w:tabs>
              <w:tab w:val="right" w:leader="dot" w:pos="9016"/>
            </w:tabs>
            <w:rPr>
              <w:rFonts w:eastAsiaTheme="minorEastAsia"/>
              <w:noProof/>
              <w:lang w:eastAsia="en-GB"/>
            </w:rPr>
          </w:pPr>
          <w:hyperlink w:anchor="_Toc52396334" w:history="1">
            <w:r w:rsidRPr="00E5372A">
              <w:rPr>
                <w:rStyle w:val="Hyperlink"/>
                <w:noProof/>
              </w:rPr>
              <w:t>Ayub 2009, Bowman 1996</w:t>
            </w:r>
            <w:r>
              <w:rPr>
                <w:noProof/>
                <w:webHidden/>
              </w:rPr>
              <w:tab/>
            </w:r>
            <w:r>
              <w:rPr>
                <w:noProof/>
                <w:webHidden/>
              </w:rPr>
              <w:fldChar w:fldCharType="begin"/>
            </w:r>
            <w:r>
              <w:rPr>
                <w:noProof/>
                <w:webHidden/>
              </w:rPr>
              <w:instrText xml:space="preserve"> PAGEREF _Toc52396334 \h </w:instrText>
            </w:r>
            <w:r>
              <w:rPr>
                <w:noProof/>
                <w:webHidden/>
              </w:rPr>
            </w:r>
            <w:r>
              <w:rPr>
                <w:noProof/>
                <w:webHidden/>
              </w:rPr>
              <w:fldChar w:fldCharType="separate"/>
            </w:r>
            <w:r>
              <w:rPr>
                <w:noProof/>
                <w:webHidden/>
              </w:rPr>
              <w:t>14</w:t>
            </w:r>
            <w:r>
              <w:rPr>
                <w:noProof/>
                <w:webHidden/>
              </w:rPr>
              <w:fldChar w:fldCharType="end"/>
            </w:r>
          </w:hyperlink>
        </w:p>
        <w:p w14:paraId="3E80B7DD" w14:textId="21D4C5AB" w:rsidR="00FD4542" w:rsidRDefault="00FD4542">
          <w:pPr>
            <w:pStyle w:val="TOC3"/>
            <w:tabs>
              <w:tab w:val="right" w:leader="dot" w:pos="9016"/>
            </w:tabs>
            <w:rPr>
              <w:rFonts w:eastAsiaTheme="minorEastAsia"/>
              <w:noProof/>
              <w:lang w:eastAsia="en-GB"/>
            </w:rPr>
          </w:pPr>
          <w:hyperlink w:anchor="_Toc52396335" w:history="1">
            <w:r w:rsidRPr="00E5372A">
              <w:rPr>
                <w:rStyle w:val="Hyperlink"/>
                <w:noProof/>
              </w:rPr>
              <w:t>Calderon-Ospina 2010, Cheong 2018</w:t>
            </w:r>
            <w:r>
              <w:rPr>
                <w:noProof/>
                <w:webHidden/>
              </w:rPr>
              <w:tab/>
            </w:r>
            <w:r>
              <w:rPr>
                <w:noProof/>
                <w:webHidden/>
              </w:rPr>
              <w:fldChar w:fldCharType="begin"/>
            </w:r>
            <w:r>
              <w:rPr>
                <w:noProof/>
                <w:webHidden/>
              </w:rPr>
              <w:instrText xml:space="preserve"> PAGEREF _Toc52396335 \h </w:instrText>
            </w:r>
            <w:r>
              <w:rPr>
                <w:noProof/>
                <w:webHidden/>
              </w:rPr>
            </w:r>
            <w:r>
              <w:rPr>
                <w:noProof/>
                <w:webHidden/>
              </w:rPr>
              <w:fldChar w:fldCharType="separate"/>
            </w:r>
            <w:r>
              <w:rPr>
                <w:noProof/>
                <w:webHidden/>
              </w:rPr>
              <w:t>14</w:t>
            </w:r>
            <w:r>
              <w:rPr>
                <w:noProof/>
                <w:webHidden/>
              </w:rPr>
              <w:fldChar w:fldCharType="end"/>
            </w:r>
          </w:hyperlink>
        </w:p>
        <w:p w14:paraId="6B1A7166" w14:textId="07499BB9" w:rsidR="00FD4542" w:rsidRDefault="00FD4542">
          <w:pPr>
            <w:pStyle w:val="TOC3"/>
            <w:tabs>
              <w:tab w:val="right" w:leader="dot" w:pos="9016"/>
            </w:tabs>
            <w:rPr>
              <w:rFonts w:eastAsiaTheme="minorEastAsia"/>
              <w:noProof/>
              <w:lang w:eastAsia="en-GB"/>
            </w:rPr>
          </w:pPr>
          <w:hyperlink w:anchor="_Toc52396336" w:history="1">
            <w:r w:rsidRPr="00E5372A">
              <w:rPr>
                <w:rStyle w:val="Hyperlink"/>
                <w:noProof/>
              </w:rPr>
              <w:t>Conforti 2012, Corsonello 2009</w:t>
            </w:r>
            <w:r>
              <w:rPr>
                <w:noProof/>
                <w:webHidden/>
              </w:rPr>
              <w:tab/>
            </w:r>
            <w:r>
              <w:rPr>
                <w:noProof/>
                <w:webHidden/>
              </w:rPr>
              <w:fldChar w:fldCharType="begin"/>
            </w:r>
            <w:r>
              <w:rPr>
                <w:noProof/>
                <w:webHidden/>
              </w:rPr>
              <w:instrText xml:space="preserve"> PAGEREF _Toc52396336 \h </w:instrText>
            </w:r>
            <w:r>
              <w:rPr>
                <w:noProof/>
                <w:webHidden/>
              </w:rPr>
            </w:r>
            <w:r>
              <w:rPr>
                <w:noProof/>
                <w:webHidden/>
              </w:rPr>
              <w:fldChar w:fldCharType="separate"/>
            </w:r>
            <w:r>
              <w:rPr>
                <w:noProof/>
                <w:webHidden/>
              </w:rPr>
              <w:t>15</w:t>
            </w:r>
            <w:r>
              <w:rPr>
                <w:noProof/>
                <w:webHidden/>
              </w:rPr>
              <w:fldChar w:fldCharType="end"/>
            </w:r>
          </w:hyperlink>
        </w:p>
        <w:p w14:paraId="707D4745" w14:textId="6BB48820" w:rsidR="00FD4542" w:rsidRDefault="00FD4542">
          <w:pPr>
            <w:pStyle w:val="TOC3"/>
            <w:tabs>
              <w:tab w:val="right" w:leader="dot" w:pos="9016"/>
            </w:tabs>
            <w:rPr>
              <w:rFonts w:eastAsiaTheme="minorEastAsia"/>
              <w:noProof/>
              <w:lang w:eastAsia="en-GB"/>
            </w:rPr>
          </w:pPr>
          <w:hyperlink w:anchor="_Toc52396337" w:history="1">
            <w:r w:rsidRPr="00E5372A">
              <w:rPr>
                <w:rStyle w:val="Hyperlink"/>
                <w:noProof/>
              </w:rPr>
              <w:t>Davies 2009, Fernandez-Regueiro 2011</w:t>
            </w:r>
            <w:r>
              <w:rPr>
                <w:noProof/>
                <w:webHidden/>
              </w:rPr>
              <w:tab/>
            </w:r>
            <w:r>
              <w:rPr>
                <w:noProof/>
                <w:webHidden/>
              </w:rPr>
              <w:fldChar w:fldCharType="begin"/>
            </w:r>
            <w:r>
              <w:rPr>
                <w:noProof/>
                <w:webHidden/>
              </w:rPr>
              <w:instrText xml:space="preserve"> PAGEREF _Toc52396337 \h </w:instrText>
            </w:r>
            <w:r>
              <w:rPr>
                <w:noProof/>
                <w:webHidden/>
              </w:rPr>
            </w:r>
            <w:r>
              <w:rPr>
                <w:noProof/>
                <w:webHidden/>
              </w:rPr>
              <w:fldChar w:fldCharType="separate"/>
            </w:r>
            <w:r>
              <w:rPr>
                <w:noProof/>
                <w:webHidden/>
              </w:rPr>
              <w:t>16</w:t>
            </w:r>
            <w:r>
              <w:rPr>
                <w:noProof/>
                <w:webHidden/>
              </w:rPr>
              <w:fldChar w:fldCharType="end"/>
            </w:r>
          </w:hyperlink>
        </w:p>
        <w:p w14:paraId="11240D97" w14:textId="6A478686" w:rsidR="00FD4542" w:rsidRDefault="00FD4542">
          <w:pPr>
            <w:pStyle w:val="TOC3"/>
            <w:tabs>
              <w:tab w:val="right" w:leader="dot" w:pos="9016"/>
            </w:tabs>
            <w:rPr>
              <w:rFonts w:eastAsiaTheme="minorEastAsia"/>
              <w:noProof/>
              <w:lang w:eastAsia="en-GB"/>
            </w:rPr>
          </w:pPr>
          <w:hyperlink w:anchor="_Toc52396338" w:history="1">
            <w:r w:rsidRPr="00E5372A">
              <w:rPr>
                <w:rStyle w:val="Hyperlink"/>
                <w:noProof/>
              </w:rPr>
              <w:t>Ganeva 2016, Ganeva 2013</w:t>
            </w:r>
            <w:r>
              <w:rPr>
                <w:noProof/>
                <w:webHidden/>
              </w:rPr>
              <w:tab/>
            </w:r>
            <w:r>
              <w:rPr>
                <w:noProof/>
                <w:webHidden/>
              </w:rPr>
              <w:fldChar w:fldCharType="begin"/>
            </w:r>
            <w:r>
              <w:rPr>
                <w:noProof/>
                <w:webHidden/>
              </w:rPr>
              <w:instrText xml:space="preserve"> PAGEREF _Toc52396338 \h </w:instrText>
            </w:r>
            <w:r>
              <w:rPr>
                <w:noProof/>
                <w:webHidden/>
              </w:rPr>
            </w:r>
            <w:r>
              <w:rPr>
                <w:noProof/>
                <w:webHidden/>
              </w:rPr>
              <w:fldChar w:fldCharType="separate"/>
            </w:r>
            <w:r>
              <w:rPr>
                <w:noProof/>
                <w:webHidden/>
              </w:rPr>
              <w:t>17</w:t>
            </w:r>
            <w:r>
              <w:rPr>
                <w:noProof/>
                <w:webHidden/>
              </w:rPr>
              <w:fldChar w:fldCharType="end"/>
            </w:r>
          </w:hyperlink>
        </w:p>
        <w:p w14:paraId="2F2A2682" w14:textId="4A66BF6A" w:rsidR="00FD4542" w:rsidRDefault="00FD4542">
          <w:pPr>
            <w:pStyle w:val="TOC3"/>
            <w:tabs>
              <w:tab w:val="right" w:leader="dot" w:pos="9016"/>
            </w:tabs>
            <w:rPr>
              <w:rFonts w:eastAsiaTheme="minorEastAsia"/>
              <w:noProof/>
              <w:lang w:eastAsia="en-GB"/>
            </w:rPr>
          </w:pPr>
          <w:hyperlink w:anchor="_Toc52396339" w:history="1">
            <w:r w:rsidRPr="00E5372A">
              <w:rPr>
                <w:rStyle w:val="Hyperlink"/>
                <w:noProof/>
              </w:rPr>
              <w:t>Ganeva 2007, Giardina 2018</w:t>
            </w:r>
            <w:r>
              <w:rPr>
                <w:noProof/>
                <w:webHidden/>
              </w:rPr>
              <w:tab/>
            </w:r>
            <w:r>
              <w:rPr>
                <w:noProof/>
                <w:webHidden/>
              </w:rPr>
              <w:fldChar w:fldCharType="begin"/>
            </w:r>
            <w:r>
              <w:rPr>
                <w:noProof/>
                <w:webHidden/>
              </w:rPr>
              <w:instrText xml:space="preserve"> PAGEREF _Toc52396339 \h </w:instrText>
            </w:r>
            <w:r>
              <w:rPr>
                <w:noProof/>
                <w:webHidden/>
              </w:rPr>
            </w:r>
            <w:r>
              <w:rPr>
                <w:noProof/>
                <w:webHidden/>
              </w:rPr>
              <w:fldChar w:fldCharType="separate"/>
            </w:r>
            <w:r>
              <w:rPr>
                <w:noProof/>
                <w:webHidden/>
              </w:rPr>
              <w:t>17</w:t>
            </w:r>
            <w:r>
              <w:rPr>
                <w:noProof/>
                <w:webHidden/>
              </w:rPr>
              <w:fldChar w:fldCharType="end"/>
            </w:r>
          </w:hyperlink>
        </w:p>
        <w:p w14:paraId="7F141C18" w14:textId="7273C98A" w:rsidR="00FD4542" w:rsidRDefault="00FD4542">
          <w:pPr>
            <w:pStyle w:val="TOC3"/>
            <w:tabs>
              <w:tab w:val="right" w:leader="dot" w:pos="9016"/>
            </w:tabs>
            <w:rPr>
              <w:rFonts w:eastAsiaTheme="minorEastAsia"/>
              <w:noProof/>
              <w:lang w:eastAsia="en-GB"/>
            </w:rPr>
          </w:pPr>
          <w:hyperlink w:anchor="_Toc52396340" w:history="1">
            <w:r w:rsidRPr="00E5372A">
              <w:rPr>
                <w:rStyle w:val="Hyperlink"/>
                <w:noProof/>
              </w:rPr>
              <w:t>Gonzalez-Martin 1997, Hailu 2020</w:t>
            </w:r>
            <w:r>
              <w:rPr>
                <w:noProof/>
                <w:webHidden/>
              </w:rPr>
              <w:tab/>
            </w:r>
            <w:r>
              <w:rPr>
                <w:noProof/>
                <w:webHidden/>
              </w:rPr>
              <w:fldChar w:fldCharType="begin"/>
            </w:r>
            <w:r>
              <w:rPr>
                <w:noProof/>
                <w:webHidden/>
              </w:rPr>
              <w:instrText xml:space="preserve"> PAGEREF _Toc52396340 \h </w:instrText>
            </w:r>
            <w:r>
              <w:rPr>
                <w:noProof/>
                <w:webHidden/>
              </w:rPr>
            </w:r>
            <w:r>
              <w:rPr>
                <w:noProof/>
                <w:webHidden/>
              </w:rPr>
              <w:fldChar w:fldCharType="separate"/>
            </w:r>
            <w:r>
              <w:rPr>
                <w:noProof/>
                <w:webHidden/>
              </w:rPr>
              <w:t>18</w:t>
            </w:r>
            <w:r>
              <w:rPr>
                <w:noProof/>
                <w:webHidden/>
              </w:rPr>
              <w:fldChar w:fldCharType="end"/>
            </w:r>
          </w:hyperlink>
        </w:p>
        <w:p w14:paraId="4186C0E0" w14:textId="0C5BB404" w:rsidR="00FD4542" w:rsidRDefault="00FD4542">
          <w:pPr>
            <w:pStyle w:val="TOC3"/>
            <w:tabs>
              <w:tab w:val="right" w:leader="dot" w:pos="9016"/>
            </w:tabs>
            <w:rPr>
              <w:rFonts w:eastAsiaTheme="minorEastAsia"/>
              <w:noProof/>
              <w:lang w:eastAsia="en-GB"/>
            </w:rPr>
          </w:pPr>
          <w:hyperlink w:anchor="_Toc52396341" w:history="1">
            <w:r w:rsidRPr="00E5372A">
              <w:rPr>
                <w:rStyle w:val="Hyperlink"/>
                <w:noProof/>
              </w:rPr>
              <w:t>Harugeri 2011, Kaur 2018</w:t>
            </w:r>
            <w:r>
              <w:rPr>
                <w:noProof/>
                <w:webHidden/>
              </w:rPr>
              <w:tab/>
            </w:r>
            <w:r>
              <w:rPr>
                <w:noProof/>
                <w:webHidden/>
              </w:rPr>
              <w:fldChar w:fldCharType="begin"/>
            </w:r>
            <w:r>
              <w:rPr>
                <w:noProof/>
                <w:webHidden/>
              </w:rPr>
              <w:instrText xml:space="preserve"> PAGEREF _Toc52396341 \h </w:instrText>
            </w:r>
            <w:r>
              <w:rPr>
                <w:noProof/>
                <w:webHidden/>
              </w:rPr>
            </w:r>
            <w:r>
              <w:rPr>
                <w:noProof/>
                <w:webHidden/>
              </w:rPr>
              <w:fldChar w:fldCharType="separate"/>
            </w:r>
            <w:r>
              <w:rPr>
                <w:noProof/>
                <w:webHidden/>
              </w:rPr>
              <w:t>19</w:t>
            </w:r>
            <w:r>
              <w:rPr>
                <w:noProof/>
                <w:webHidden/>
              </w:rPr>
              <w:fldChar w:fldCharType="end"/>
            </w:r>
          </w:hyperlink>
        </w:p>
        <w:p w14:paraId="69A22A76" w14:textId="5CD2C012" w:rsidR="00FD4542" w:rsidRDefault="00FD4542">
          <w:pPr>
            <w:pStyle w:val="TOC3"/>
            <w:tabs>
              <w:tab w:val="right" w:leader="dot" w:pos="9016"/>
            </w:tabs>
            <w:rPr>
              <w:rFonts w:eastAsiaTheme="minorEastAsia"/>
              <w:noProof/>
              <w:lang w:eastAsia="en-GB"/>
            </w:rPr>
          </w:pPr>
          <w:hyperlink w:anchor="_Toc52396342" w:history="1">
            <w:r w:rsidRPr="00E5372A">
              <w:rPr>
                <w:rStyle w:val="Hyperlink"/>
                <w:noProof/>
              </w:rPr>
              <w:t>Lavan 2017, Leach 1986</w:t>
            </w:r>
            <w:r>
              <w:rPr>
                <w:noProof/>
                <w:webHidden/>
              </w:rPr>
              <w:tab/>
            </w:r>
            <w:r>
              <w:rPr>
                <w:noProof/>
                <w:webHidden/>
              </w:rPr>
              <w:fldChar w:fldCharType="begin"/>
            </w:r>
            <w:r>
              <w:rPr>
                <w:noProof/>
                <w:webHidden/>
              </w:rPr>
              <w:instrText xml:space="preserve"> PAGEREF _Toc52396342 \h </w:instrText>
            </w:r>
            <w:r>
              <w:rPr>
                <w:noProof/>
                <w:webHidden/>
              </w:rPr>
            </w:r>
            <w:r>
              <w:rPr>
                <w:noProof/>
                <w:webHidden/>
              </w:rPr>
              <w:fldChar w:fldCharType="separate"/>
            </w:r>
            <w:r>
              <w:rPr>
                <w:noProof/>
                <w:webHidden/>
              </w:rPr>
              <w:t>19</w:t>
            </w:r>
            <w:r>
              <w:rPr>
                <w:noProof/>
                <w:webHidden/>
              </w:rPr>
              <w:fldChar w:fldCharType="end"/>
            </w:r>
          </w:hyperlink>
        </w:p>
        <w:p w14:paraId="0D43EFF3" w14:textId="7944BEE3" w:rsidR="00FD4542" w:rsidRDefault="00FD4542">
          <w:pPr>
            <w:pStyle w:val="TOC3"/>
            <w:tabs>
              <w:tab w:val="right" w:leader="dot" w:pos="9016"/>
            </w:tabs>
            <w:rPr>
              <w:rFonts w:eastAsiaTheme="minorEastAsia"/>
              <w:noProof/>
              <w:lang w:eastAsia="en-GB"/>
            </w:rPr>
          </w:pPr>
          <w:hyperlink w:anchor="_Toc52396343" w:history="1">
            <w:r w:rsidRPr="00E5372A">
              <w:rPr>
                <w:rStyle w:val="Hyperlink"/>
                <w:noProof/>
              </w:rPr>
              <w:t>Liao 2019, Mohebbi 2010</w:t>
            </w:r>
            <w:r>
              <w:rPr>
                <w:noProof/>
                <w:webHidden/>
              </w:rPr>
              <w:tab/>
            </w:r>
            <w:r>
              <w:rPr>
                <w:noProof/>
                <w:webHidden/>
              </w:rPr>
              <w:fldChar w:fldCharType="begin"/>
            </w:r>
            <w:r>
              <w:rPr>
                <w:noProof/>
                <w:webHidden/>
              </w:rPr>
              <w:instrText xml:space="preserve"> PAGEREF _Toc52396343 \h </w:instrText>
            </w:r>
            <w:r>
              <w:rPr>
                <w:noProof/>
                <w:webHidden/>
              </w:rPr>
            </w:r>
            <w:r>
              <w:rPr>
                <w:noProof/>
                <w:webHidden/>
              </w:rPr>
              <w:fldChar w:fldCharType="separate"/>
            </w:r>
            <w:r>
              <w:rPr>
                <w:noProof/>
                <w:webHidden/>
              </w:rPr>
              <w:t>20</w:t>
            </w:r>
            <w:r>
              <w:rPr>
                <w:noProof/>
                <w:webHidden/>
              </w:rPr>
              <w:fldChar w:fldCharType="end"/>
            </w:r>
          </w:hyperlink>
        </w:p>
        <w:p w14:paraId="0258F328" w14:textId="5016E483" w:rsidR="00FD4542" w:rsidRDefault="00FD4542">
          <w:pPr>
            <w:pStyle w:val="TOC3"/>
            <w:tabs>
              <w:tab w:val="right" w:leader="dot" w:pos="9016"/>
            </w:tabs>
            <w:rPr>
              <w:rFonts w:eastAsiaTheme="minorEastAsia"/>
              <w:noProof/>
              <w:lang w:eastAsia="en-GB"/>
            </w:rPr>
          </w:pPr>
          <w:hyperlink w:anchor="_Toc52396344" w:history="1">
            <w:r w:rsidRPr="00E5372A">
              <w:rPr>
                <w:rStyle w:val="Hyperlink"/>
                <w:noProof/>
              </w:rPr>
              <w:t>Mugosa 2015, O’Connor 2012</w:t>
            </w:r>
            <w:r>
              <w:rPr>
                <w:noProof/>
                <w:webHidden/>
              </w:rPr>
              <w:tab/>
            </w:r>
            <w:r>
              <w:rPr>
                <w:noProof/>
                <w:webHidden/>
              </w:rPr>
              <w:fldChar w:fldCharType="begin"/>
            </w:r>
            <w:r>
              <w:rPr>
                <w:noProof/>
                <w:webHidden/>
              </w:rPr>
              <w:instrText xml:space="preserve"> PAGEREF _Toc52396344 \h </w:instrText>
            </w:r>
            <w:r>
              <w:rPr>
                <w:noProof/>
                <w:webHidden/>
              </w:rPr>
            </w:r>
            <w:r>
              <w:rPr>
                <w:noProof/>
                <w:webHidden/>
              </w:rPr>
              <w:fldChar w:fldCharType="separate"/>
            </w:r>
            <w:r>
              <w:rPr>
                <w:noProof/>
                <w:webHidden/>
              </w:rPr>
              <w:t>21</w:t>
            </w:r>
            <w:r>
              <w:rPr>
                <w:noProof/>
                <w:webHidden/>
              </w:rPr>
              <w:fldChar w:fldCharType="end"/>
            </w:r>
          </w:hyperlink>
        </w:p>
        <w:p w14:paraId="2974E9A6" w14:textId="26A01BFC" w:rsidR="00FD4542" w:rsidRDefault="00FD4542">
          <w:pPr>
            <w:pStyle w:val="TOC3"/>
            <w:tabs>
              <w:tab w:val="right" w:leader="dot" w:pos="9016"/>
            </w:tabs>
            <w:rPr>
              <w:rFonts w:eastAsiaTheme="minorEastAsia"/>
              <w:noProof/>
              <w:lang w:eastAsia="en-GB"/>
            </w:rPr>
          </w:pPr>
          <w:hyperlink w:anchor="_Toc52396345" w:history="1">
            <w:r w:rsidRPr="00E5372A">
              <w:rPr>
                <w:rStyle w:val="Hyperlink"/>
                <w:noProof/>
              </w:rPr>
              <w:t>Onder 2010, Reichel 1965</w:t>
            </w:r>
            <w:r>
              <w:rPr>
                <w:noProof/>
                <w:webHidden/>
              </w:rPr>
              <w:tab/>
            </w:r>
            <w:r>
              <w:rPr>
                <w:noProof/>
                <w:webHidden/>
              </w:rPr>
              <w:fldChar w:fldCharType="begin"/>
            </w:r>
            <w:r>
              <w:rPr>
                <w:noProof/>
                <w:webHidden/>
              </w:rPr>
              <w:instrText xml:space="preserve"> PAGEREF _Toc52396345 \h </w:instrText>
            </w:r>
            <w:r>
              <w:rPr>
                <w:noProof/>
                <w:webHidden/>
              </w:rPr>
            </w:r>
            <w:r>
              <w:rPr>
                <w:noProof/>
                <w:webHidden/>
              </w:rPr>
              <w:fldChar w:fldCharType="separate"/>
            </w:r>
            <w:r>
              <w:rPr>
                <w:noProof/>
                <w:webHidden/>
              </w:rPr>
              <w:t>22</w:t>
            </w:r>
            <w:r>
              <w:rPr>
                <w:noProof/>
                <w:webHidden/>
              </w:rPr>
              <w:fldChar w:fldCharType="end"/>
            </w:r>
          </w:hyperlink>
        </w:p>
        <w:p w14:paraId="05344DEB" w14:textId="539D876E" w:rsidR="00FD4542" w:rsidRDefault="00FD4542">
          <w:pPr>
            <w:pStyle w:val="TOC3"/>
            <w:tabs>
              <w:tab w:val="right" w:leader="dot" w:pos="9016"/>
            </w:tabs>
            <w:rPr>
              <w:rFonts w:eastAsiaTheme="minorEastAsia"/>
              <w:noProof/>
              <w:lang w:eastAsia="en-GB"/>
            </w:rPr>
          </w:pPr>
          <w:hyperlink w:anchor="_Toc52396346" w:history="1">
            <w:r w:rsidRPr="00E5372A">
              <w:rPr>
                <w:rStyle w:val="Hyperlink"/>
                <w:noProof/>
              </w:rPr>
              <w:t>Tangiisuran 2012, Tangiisuran 2014</w:t>
            </w:r>
            <w:r>
              <w:rPr>
                <w:noProof/>
                <w:webHidden/>
              </w:rPr>
              <w:tab/>
            </w:r>
            <w:r>
              <w:rPr>
                <w:noProof/>
                <w:webHidden/>
              </w:rPr>
              <w:fldChar w:fldCharType="begin"/>
            </w:r>
            <w:r>
              <w:rPr>
                <w:noProof/>
                <w:webHidden/>
              </w:rPr>
              <w:instrText xml:space="preserve"> PAGEREF _Toc52396346 \h </w:instrText>
            </w:r>
            <w:r>
              <w:rPr>
                <w:noProof/>
                <w:webHidden/>
              </w:rPr>
            </w:r>
            <w:r>
              <w:rPr>
                <w:noProof/>
                <w:webHidden/>
              </w:rPr>
              <w:fldChar w:fldCharType="separate"/>
            </w:r>
            <w:r>
              <w:rPr>
                <w:noProof/>
                <w:webHidden/>
              </w:rPr>
              <w:t>22</w:t>
            </w:r>
            <w:r>
              <w:rPr>
                <w:noProof/>
                <w:webHidden/>
              </w:rPr>
              <w:fldChar w:fldCharType="end"/>
            </w:r>
          </w:hyperlink>
        </w:p>
        <w:p w14:paraId="429DD4DD" w14:textId="4A6ECE7C" w:rsidR="00FD4542" w:rsidRDefault="00FD4542">
          <w:pPr>
            <w:pStyle w:val="TOC2"/>
            <w:tabs>
              <w:tab w:val="right" w:leader="dot" w:pos="9016"/>
            </w:tabs>
            <w:rPr>
              <w:rFonts w:eastAsiaTheme="minorEastAsia"/>
              <w:noProof/>
              <w:lang w:eastAsia="en-GB"/>
            </w:rPr>
          </w:pPr>
          <w:hyperlink w:anchor="_Toc52396347" w:history="1">
            <w:r w:rsidRPr="00E5372A">
              <w:rPr>
                <w:rStyle w:val="Hyperlink"/>
                <w:noProof/>
              </w:rPr>
              <w:t>Appendix 4. Summary of Observational Studies Quality Assessment</w:t>
            </w:r>
            <w:r>
              <w:rPr>
                <w:noProof/>
                <w:webHidden/>
              </w:rPr>
              <w:tab/>
            </w:r>
            <w:r>
              <w:rPr>
                <w:noProof/>
                <w:webHidden/>
              </w:rPr>
              <w:fldChar w:fldCharType="begin"/>
            </w:r>
            <w:r>
              <w:rPr>
                <w:noProof/>
                <w:webHidden/>
              </w:rPr>
              <w:instrText xml:space="preserve"> PAGEREF _Toc52396347 \h </w:instrText>
            </w:r>
            <w:r>
              <w:rPr>
                <w:noProof/>
                <w:webHidden/>
              </w:rPr>
            </w:r>
            <w:r>
              <w:rPr>
                <w:noProof/>
                <w:webHidden/>
              </w:rPr>
              <w:fldChar w:fldCharType="separate"/>
            </w:r>
            <w:r>
              <w:rPr>
                <w:noProof/>
                <w:webHidden/>
              </w:rPr>
              <w:t>24</w:t>
            </w:r>
            <w:r>
              <w:rPr>
                <w:noProof/>
                <w:webHidden/>
              </w:rPr>
              <w:fldChar w:fldCharType="end"/>
            </w:r>
          </w:hyperlink>
        </w:p>
        <w:p w14:paraId="3BFBE75F" w14:textId="6B6C11E0" w:rsidR="00FD4542" w:rsidRDefault="00FD4542">
          <w:pPr>
            <w:pStyle w:val="TOC2"/>
            <w:tabs>
              <w:tab w:val="right" w:leader="dot" w:pos="9016"/>
            </w:tabs>
            <w:rPr>
              <w:rFonts w:eastAsiaTheme="minorEastAsia"/>
              <w:noProof/>
              <w:lang w:eastAsia="en-GB"/>
            </w:rPr>
          </w:pPr>
          <w:hyperlink w:anchor="_Toc52396348" w:history="1">
            <w:r w:rsidRPr="00E5372A">
              <w:rPr>
                <w:rStyle w:val="Hyperlink"/>
                <w:noProof/>
              </w:rPr>
              <w:t>Appendix 5. Observational studies grouped by study quality (p=0.003)</w:t>
            </w:r>
            <w:r>
              <w:rPr>
                <w:noProof/>
                <w:webHidden/>
              </w:rPr>
              <w:tab/>
            </w:r>
            <w:r>
              <w:rPr>
                <w:noProof/>
                <w:webHidden/>
              </w:rPr>
              <w:fldChar w:fldCharType="begin"/>
            </w:r>
            <w:r>
              <w:rPr>
                <w:noProof/>
                <w:webHidden/>
              </w:rPr>
              <w:instrText xml:space="preserve"> PAGEREF _Toc52396348 \h </w:instrText>
            </w:r>
            <w:r>
              <w:rPr>
                <w:noProof/>
                <w:webHidden/>
              </w:rPr>
            </w:r>
            <w:r>
              <w:rPr>
                <w:noProof/>
                <w:webHidden/>
              </w:rPr>
              <w:fldChar w:fldCharType="separate"/>
            </w:r>
            <w:r>
              <w:rPr>
                <w:noProof/>
                <w:webHidden/>
              </w:rPr>
              <w:t>26</w:t>
            </w:r>
            <w:r>
              <w:rPr>
                <w:noProof/>
                <w:webHidden/>
              </w:rPr>
              <w:fldChar w:fldCharType="end"/>
            </w:r>
          </w:hyperlink>
        </w:p>
        <w:p w14:paraId="49E7ED1F" w14:textId="777F8B54" w:rsidR="00FD4542" w:rsidRDefault="00FD4542">
          <w:pPr>
            <w:pStyle w:val="TOC2"/>
            <w:tabs>
              <w:tab w:val="right" w:leader="dot" w:pos="9016"/>
            </w:tabs>
            <w:rPr>
              <w:rFonts w:eastAsiaTheme="minorEastAsia"/>
              <w:noProof/>
              <w:lang w:eastAsia="en-GB"/>
            </w:rPr>
          </w:pPr>
          <w:hyperlink w:anchor="_Toc52396349" w:history="1">
            <w:r w:rsidRPr="00E5372A">
              <w:rPr>
                <w:rStyle w:val="Hyperlink"/>
                <w:noProof/>
              </w:rPr>
              <w:t xml:space="preserve">Appendix 6. Forrest plot showing proportion of patients aged 65 years or older experiencing an in-hospital ADR - including Liao </w:t>
            </w:r>
            <w:r w:rsidRPr="00E5372A">
              <w:rPr>
                <w:rStyle w:val="Hyperlink"/>
                <w:i/>
                <w:noProof/>
              </w:rPr>
              <w:t>et al.*</w:t>
            </w:r>
            <w:r w:rsidRPr="00E5372A">
              <w:rPr>
                <w:rStyle w:val="Hyperlink"/>
                <w:noProof/>
                <w:vertAlign w:val="superscript"/>
              </w:rPr>
              <w:t>31</w:t>
            </w:r>
            <w:r>
              <w:rPr>
                <w:noProof/>
                <w:webHidden/>
              </w:rPr>
              <w:tab/>
            </w:r>
            <w:r>
              <w:rPr>
                <w:noProof/>
                <w:webHidden/>
              </w:rPr>
              <w:fldChar w:fldCharType="begin"/>
            </w:r>
            <w:r>
              <w:rPr>
                <w:noProof/>
                <w:webHidden/>
              </w:rPr>
              <w:instrText xml:space="preserve"> PAGEREF _Toc52396349 \h </w:instrText>
            </w:r>
            <w:r>
              <w:rPr>
                <w:noProof/>
                <w:webHidden/>
              </w:rPr>
            </w:r>
            <w:r>
              <w:rPr>
                <w:noProof/>
                <w:webHidden/>
              </w:rPr>
              <w:fldChar w:fldCharType="separate"/>
            </w:r>
            <w:r>
              <w:rPr>
                <w:noProof/>
                <w:webHidden/>
              </w:rPr>
              <w:t>27</w:t>
            </w:r>
            <w:r>
              <w:rPr>
                <w:noProof/>
                <w:webHidden/>
              </w:rPr>
              <w:fldChar w:fldCharType="end"/>
            </w:r>
          </w:hyperlink>
        </w:p>
        <w:p w14:paraId="61808E49" w14:textId="4AAA9F2C" w:rsidR="00FD4542" w:rsidRDefault="00FD4542">
          <w:pPr>
            <w:pStyle w:val="TOC2"/>
            <w:tabs>
              <w:tab w:val="right" w:leader="dot" w:pos="9016"/>
            </w:tabs>
            <w:rPr>
              <w:rFonts w:eastAsiaTheme="minorEastAsia"/>
              <w:noProof/>
              <w:lang w:eastAsia="en-GB"/>
            </w:rPr>
          </w:pPr>
          <w:hyperlink w:anchor="_Toc52396350" w:history="1">
            <w:r w:rsidRPr="00E5372A">
              <w:rPr>
                <w:rStyle w:val="Hyperlink"/>
                <w:noProof/>
              </w:rPr>
              <w:t>Appendix 7. Observational studies grouped according to NOS Domain S4 - demonstration that outcome of interest (ADR) was not present at start of study</w:t>
            </w:r>
            <w:r>
              <w:rPr>
                <w:noProof/>
                <w:webHidden/>
              </w:rPr>
              <w:tab/>
            </w:r>
            <w:r>
              <w:rPr>
                <w:noProof/>
                <w:webHidden/>
              </w:rPr>
              <w:fldChar w:fldCharType="begin"/>
            </w:r>
            <w:r>
              <w:rPr>
                <w:noProof/>
                <w:webHidden/>
              </w:rPr>
              <w:instrText xml:space="preserve"> PAGEREF _Toc52396350 \h </w:instrText>
            </w:r>
            <w:r>
              <w:rPr>
                <w:noProof/>
                <w:webHidden/>
              </w:rPr>
            </w:r>
            <w:r>
              <w:rPr>
                <w:noProof/>
                <w:webHidden/>
              </w:rPr>
              <w:fldChar w:fldCharType="separate"/>
            </w:r>
            <w:r>
              <w:rPr>
                <w:noProof/>
                <w:webHidden/>
              </w:rPr>
              <w:t>29</w:t>
            </w:r>
            <w:r>
              <w:rPr>
                <w:noProof/>
                <w:webHidden/>
              </w:rPr>
              <w:fldChar w:fldCharType="end"/>
            </w:r>
          </w:hyperlink>
        </w:p>
        <w:p w14:paraId="1BDF6010" w14:textId="146F13CB" w:rsidR="00FD4542" w:rsidRDefault="00FD4542">
          <w:pPr>
            <w:pStyle w:val="TOC2"/>
            <w:tabs>
              <w:tab w:val="right" w:leader="dot" w:pos="9016"/>
            </w:tabs>
            <w:rPr>
              <w:rFonts w:eastAsiaTheme="minorEastAsia"/>
              <w:noProof/>
              <w:lang w:eastAsia="en-GB"/>
            </w:rPr>
          </w:pPr>
          <w:hyperlink w:anchor="_Toc52396351" w:history="1">
            <w:r w:rsidRPr="00E5372A">
              <w:rPr>
                <w:rStyle w:val="Hyperlink"/>
                <w:noProof/>
              </w:rPr>
              <w:t>Appendix 8. Funnel plots of included studies</w:t>
            </w:r>
            <w:r>
              <w:rPr>
                <w:noProof/>
                <w:webHidden/>
              </w:rPr>
              <w:tab/>
            </w:r>
            <w:r>
              <w:rPr>
                <w:noProof/>
                <w:webHidden/>
              </w:rPr>
              <w:fldChar w:fldCharType="begin"/>
            </w:r>
            <w:r>
              <w:rPr>
                <w:noProof/>
                <w:webHidden/>
              </w:rPr>
              <w:instrText xml:space="preserve"> PAGEREF _Toc52396351 \h </w:instrText>
            </w:r>
            <w:r>
              <w:rPr>
                <w:noProof/>
                <w:webHidden/>
              </w:rPr>
            </w:r>
            <w:r>
              <w:rPr>
                <w:noProof/>
                <w:webHidden/>
              </w:rPr>
              <w:fldChar w:fldCharType="separate"/>
            </w:r>
            <w:r>
              <w:rPr>
                <w:noProof/>
                <w:webHidden/>
              </w:rPr>
              <w:t>30</w:t>
            </w:r>
            <w:r>
              <w:rPr>
                <w:noProof/>
                <w:webHidden/>
              </w:rPr>
              <w:fldChar w:fldCharType="end"/>
            </w:r>
          </w:hyperlink>
        </w:p>
        <w:p w14:paraId="6374FB9C" w14:textId="2C0C1A24" w:rsidR="00FD4542" w:rsidRDefault="00FD4542">
          <w:pPr>
            <w:pStyle w:val="TOC3"/>
            <w:tabs>
              <w:tab w:val="right" w:leader="dot" w:pos="9016"/>
            </w:tabs>
            <w:rPr>
              <w:rFonts w:eastAsiaTheme="minorEastAsia"/>
              <w:noProof/>
              <w:lang w:eastAsia="en-GB"/>
            </w:rPr>
          </w:pPr>
          <w:hyperlink w:anchor="_Toc52396352" w:history="1">
            <w:r w:rsidRPr="00E5372A">
              <w:rPr>
                <w:rStyle w:val="Hyperlink"/>
                <w:noProof/>
              </w:rPr>
              <w:t xml:space="preserve">Funnel plot excluding Liao </w:t>
            </w:r>
            <w:r w:rsidRPr="00E5372A">
              <w:rPr>
                <w:rStyle w:val="Hyperlink"/>
                <w:i/>
                <w:noProof/>
              </w:rPr>
              <w:t>et al.</w:t>
            </w:r>
            <w:r w:rsidRPr="00E5372A">
              <w:rPr>
                <w:rStyle w:val="Hyperlink"/>
                <w:i/>
                <w:noProof/>
                <w:vertAlign w:val="superscript"/>
              </w:rPr>
              <w:t>31</w:t>
            </w:r>
            <w:r>
              <w:rPr>
                <w:noProof/>
                <w:webHidden/>
              </w:rPr>
              <w:tab/>
            </w:r>
            <w:r>
              <w:rPr>
                <w:noProof/>
                <w:webHidden/>
              </w:rPr>
              <w:fldChar w:fldCharType="begin"/>
            </w:r>
            <w:r>
              <w:rPr>
                <w:noProof/>
                <w:webHidden/>
              </w:rPr>
              <w:instrText xml:space="preserve"> PAGEREF _Toc52396352 \h </w:instrText>
            </w:r>
            <w:r>
              <w:rPr>
                <w:noProof/>
                <w:webHidden/>
              </w:rPr>
            </w:r>
            <w:r>
              <w:rPr>
                <w:noProof/>
                <w:webHidden/>
              </w:rPr>
              <w:fldChar w:fldCharType="separate"/>
            </w:r>
            <w:r>
              <w:rPr>
                <w:noProof/>
                <w:webHidden/>
              </w:rPr>
              <w:t>30</w:t>
            </w:r>
            <w:r>
              <w:rPr>
                <w:noProof/>
                <w:webHidden/>
              </w:rPr>
              <w:fldChar w:fldCharType="end"/>
            </w:r>
          </w:hyperlink>
        </w:p>
        <w:p w14:paraId="19E5798C" w14:textId="07CC5B05" w:rsidR="00FD4542" w:rsidRDefault="00FD4542">
          <w:pPr>
            <w:pStyle w:val="TOC3"/>
            <w:tabs>
              <w:tab w:val="right" w:leader="dot" w:pos="9016"/>
            </w:tabs>
            <w:rPr>
              <w:rFonts w:eastAsiaTheme="minorEastAsia"/>
              <w:noProof/>
              <w:lang w:eastAsia="en-GB"/>
            </w:rPr>
          </w:pPr>
          <w:hyperlink w:anchor="_Toc52396353" w:history="1">
            <w:r w:rsidRPr="00E5372A">
              <w:rPr>
                <w:rStyle w:val="Hyperlink"/>
                <w:noProof/>
              </w:rPr>
              <w:t xml:space="preserve">Funnel plot including Liao </w:t>
            </w:r>
            <w:r w:rsidRPr="00E5372A">
              <w:rPr>
                <w:rStyle w:val="Hyperlink"/>
                <w:i/>
                <w:noProof/>
              </w:rPr>
              <w:t>et al.</w:t>
            </w:r>
            <w:r w:rsidRPr="00E5372A">
              <w:rPr>
                <w:rStyle w:val="Hyperlink"/>
                <w:noProof/>
                <w:vertAlign w:val="superscript"/>
              </w:rPr>
              <w:t>31</w:t>
            </w:r>
            <w:r>
              <w:rPr>
                <w:noProof/>
                <w:webHidden/>
              </w:rPr>
              <w:tab/>
            </w:r>
            <w:r>
              <w:rPr>
                <w:noProof/>
                <w:webHidden/>
              </w:rPr>
              <w:fldChar w:fldCharType="begin"/>
            </w:r>
            <w:r>
              <w:rPr>
                <w:noProof/>
                <w:webHidden/>
              </w:rPr>
              <w:instrText xml:space="preserve"> PAGEREF _Toc52396353 \h </w:instrText>
            </w:r>
            <w:r>
              <w:rPr>
                <w:noProof/>
                <w:webHidden/>
              </w:rPr>
            </w:r>
            <w:r>
              <w:rPr>
                <w:noProof/>
                <w:webHidden/>
              </w:rPr>
              <w:fldChar w:fldCharType="separate"/>
            </w:r>
            <w:r>
              <w:rPr>
                <w:noProof/>
                <w:webHidden/>
              </w:rPr>
              <w:t>30</w:t>
            </w:r>
            <w:r>
              <w:rPr>
                <w:noProof/>
                <w:webHidden/>
              </w:rPr>
              <w:fldChar w:fldCharType="end"/>
            </w:r>
          </w:hyperlink>
        </w:p>
        <w:p w14:paraId="1374BC97" w14:textId="2B91BEE9" w:rsidR="00FD4542" w:rsidRDefault="00FD4542">
          <w:pPr>
            <w:pStyle w:val="TOC2"/>
            <w:tabs>
              <w:tab w:val="right" w:leader="dot" w:pos="9016"/>
            </w:tabs>
            <w:rPr>
              <w:rFonts w:eastAsiaTheme="minorEastAsia"/>
              <w:noProof/>
              <w:lang w:eastAsia="en-GB"/>
            </w:rPr>
          </w:pPr>
          <w:hyperlink w:anchor="_Toc52396354" w:history="1">
            <w:r w:rsidRPr="00E5372A">
              <w:rPr>
                <w:rStyle w:val="Hyperlink"/>
                <w:noProof/>
              </w:rPr>
              <w:t>Appendix 9. Cochrane Risk of Bias (RoB) 2.0 Assessment of Randomised Control Trials (RCT).</w:t>
            </w:r>
            <w:r>
              <w:rPr>
                <w:noProof/>
                <w:webHidden/>
              </w:rPr>
              <w:tab/>
            </w:r>
            <w:r>
              <w:rPr>
                <w:noProof/>
                <w:webHidden/>
              </w:rPr>
              <w:fldChar w:fldCharType="begin"/>
            </w:r>
            <w:r>
              <w:rPr>
                <w:noProof/>
                <w:webHidden/>
              </w:rPr>
              <w:instrText xml:space="preserve"> PAGEREF _Toc52396354 \h </w:instrText>
            </w:r>
            <w:r>
              <w:rPr>
                <w:noProof/>
                <w:webHidden/>
              </w:rPr>
            </w:r>
            <w:r>
              <w:rPr>
                <w:noProof/>
                <w:webHidden/>
              </w:rPr>
              <w:fldChar w:fldCharType="separate"/>
            </w:r>
            <w:r>
              <w:rPr>
                <w:noProof/>
                <w:webHidden/>
              </w:rPr>
              <w:t>31</w:t>
            </w:r>
            <w:r>
              <w:rPr>
                <w:noProof/>
                <w:webHidden/>
              </w:rPr>
              <w:fldChar w:fldCharType="end"/>
            </w:r>
          </w:hyperlink>
        </w:p>
        <w:p w14:paraId="0073A056" w14:textId="13B5EA64" w:rsidR="00FD4542" w:rsidRDefault="00FD4542">
          <w:pPr>
            <w:pStyle w:val="TOC1"/>
            <w:rPr>
              <w:rFonts w:eastAsiaTheme="minorEastAsia"/>
              <w:lang w:eastAsia="en-GB"/>
            </w:rPr>
          </w:pPr>
          <w:hyperlink w:anchor="_Toc52396355" w:history="1">
            <w:r w:rsidRPr="00E5372A">
              <w:rPr>
                <w:rStyle w:val="Hyperlink"/>
              </w:rPr>
              <w:t>Regression diagnostics</w:t>
            </w:r>
            <w:r>
              <w:rPr>
                <w:webHidden/>
              </w:rPr>
              <w:tab/>
            </w:r>
            <w:r>
              <w:rPr>
                <w:webHidden/>
              </w:rPr>
              <w:fldChar w:fldCharType="begin"/>
            </w:r>
            <w:r>
              <w:rPr>
                <w:webHidden/>
              </w:rPr>
              <w:instrText xml:space="preserve"> PAGEREF _Toc52396355 \h </w:instrText>
            </w:r>
            <w:r>
              <w:rPr>
                <w:webHidden/>
              </w:rPr>
            </w:r>
            <w:r>
              <w:rPr>
                <w:webHidden/>
              </w:rPr>
              <w:fldChar w:fldCharType="separate"/>
            </w:r>
            <w:r>
              <w:rPr>
                <w:webHidden/>
              </w:rPr>
              <w:t>32</w:t>
            </w:r>
            <w:r>
              <w:rPr>
                <w:webHidden/>
              </w:rPr>
              <w:fldChar w:fldCharType="end"/>
            </w:r>
          </w:hyperlink>
        </w:p>
        <w:p w14:paraId="6EDAAE8C" w14:textId="15F5C4D6" w:rsidR="00FD4542" w:rsidRDefault="00FD4542">
          <w:pPr>
            <w:pStyle w:val="TOC1"/>
            <w:rPr>
              <w:rFonts w:eastAsiaTheme="minorEastAsia"/>
              <w:lang w:eastAsia="en-GB"/>
            </w:rPr>
          </w:pPr>
          <w:hyperlink w:anchor="_Toc52396356" w:history="1">
            <w:r w:rsidRPr="00E5372A">
              <w:rPr>
                <w:rStyle w:val="Hyperlink"/>
              </w:rPr>
              <w:t>Subgroup Analyses</w:t>
            </w:r>
            <w:r>
              <w:rPr>
                <w:webHidden/>
              </w:rPr>
              <w:tab/>
            </w:r>
            <w:r>
              <w:rPr>
                <w:webHidden/>
              </w:rPr>
              <w:fldChar w:fldCharType="begin"/>
            </w:r>
            <w:r>
              <w:rPr>
                <w:webHidden/>
              </w:rPr>
              <w:instrText xml:space="preserve"> PAGEREF _Toc52396356 \h </w:instrText>
            </w:r>
            <w:r>
              <w:rPr>
                <w:webHidden/>
              </w:rPr>
            </w:r>
            <w:r>
              <w:rPr>
                <w:webHidden/>
              </w:rPr>
              <w:fldChar w:fldCharType="separate"/>
            </w:r>
            <w:r>
              <w:rPr>
                <w:webHidden/>
              </w:rPr>
              <w:t>33</w:t>
            </w:r>
            <w:r>
              <w:rPr>
                <w:webHidden/>
              </w:rPr>
              <w:fldChar w:fldCharType="end"/>
            </w:r>
          </w:hyperlink>
        </w:p>
        <w:p w14:paraId="5667309D" w14:textId="5DCFB69D" w:rsidR="00FD4542" w:rsidRDefault="00FD4542">
          <w:pPr>
            <w:pStyle w:val="TOC2"/>
            <w:tabs>
              <w:tab w:val="right" w:leader="dot" w:pos="9016"/>
            </w:tabs>
            <w:rPr>
              <w:rFonts w:eastAsiaTheme="minorEastAsia"/>
              <w:noProof/>
              <w:lang w:eastAsia="en-GB"/>
            </w:rPr>
          </w:pPr>
          <w:hyperlink w:anchor="_Toc52396357" w:history="1">
            <w:r w:rsidRPr="00E5372A">
              <w:rPr>
                <w:rStyle w:val="Hyperlink"/>
                <w:noProof/>
              </w:rPr>
              <w:t>Appendix 10. Reported ADR events and ADR proportions for all included papers/studies, grouped by specialist service setting (p=0.051)</w:t>
            </w:r>
            <w:r>
              <w:rPr>
                <w:noProof/>
                <w:webHidden/>
              </w:rPr>
              <w:tab/>
            </w:r>
            <w:r>
              <w:rPr>
                <w:noProof/>
                <w:webHidden/>
              </w:rPr>
              <w:fldChar w:fldCharType="begin"/>
            </w:r>
            <w:r>
              <w:rPr>
                <w:noProof/>
                <w:webHidden/>
              </w:rPr>
              <w:instrText xml:space="preserve"> PAGEREF _Toc52396357 \h </w:instrText>
            </w:r>
            <w:r>
              <w:rPr>
                <w:noProof/>
                <w:webHidden/>
              </w:rPr>
            </w:r>
            <w:r>
              <w:rPr>
                <w:noProof/>
                <w:webHidden/>
              </w:rPr>
              <w:fldChar w:fldCharType="separate"/>
            </w:r>
            <w:r>
              <w:rPr>
                <w:noProof/>
                <w:webHidden/>
              </w:rPr>
              <w:t>33</w:t>
            </w:r>
            <w:r>
              <w:rPr>
                <w:noProof/>
                <w:webHidden/>
              </w:rPr>
              <w:fldChar w:fldCharType="end"/>
            </w:r>
          </w:hyperlink>
        </w:p>
        <w:p w14:paraId="4FC0D0E0" w14:textId="4EBC9DDF" w:rsidR="00FD4542" w:rsidRDefault="00FD4542">
          <w:pPr>
            <w:pStyle w:val="TOC2"/>
            <w:tabs>
              <w:tab w:val="right" w:leader="dot" w:pos="9016"/>
            </w:tabs>
            <w:rPr>
              <w:rFonts w:eastAsiaTheme="minorEastAsia"/>
              <w:noProof/>
              <w:lang w:eastAsia="en-GB"/>
            </w:rPr>
          </w:pPr>
          <w:hyperlink w:anchor="_Toc52396358" w:history="1">
            <w:r w:rsidRPr="00E5372A">
              <w:rPr>
                <w:rStyle w:val="Hyperlink"/>
                <w:noProof/>
              </w:rPr>
              <w:t>Description of ADR Identification and Assessment Methodologies Employed by all Included Papers/studies</w:t>
            </w:r>
            <w:r>
              <w:rPr>
                <w:noProof/>
                <w:webHidden/>
              </w:rPr>
              <w:tab/>
            </w:r>
            <w:r>
              <w:rPr>
                <w:noProof/>
                <w:webHidden/>
              </w:rPr>
              <w:fldChar w:fldCharType="begin"/>
            </w:r>
            <w:r>
              <w:rPr>
                <w:noProof/>
                <w:webHidden/>
              </w:rPr>
              <w:instrText xml:space="preserve"> PAGEREF _Toc52396358 \h </w:instrText>
            </w:r>
            <w:r>
              <w:rPr>
                <w:noProof/>
                <w:webHidden/>
              </w:rPr>
            </w:r>
            <w:r>
              <w:rPr>
                <w:noProof/>
                <w:webHidden/>
              </w:rPr>
              <w:fldChar w:fldCharType="separate"/>
            </w:r>
            <w:r>
              <w:rPr>
                <w:noProof/>
                <w:webHidden/>
              </w:rPr>
              <w:t>35</w:t>
            </w:r>
            <w:r>
              <w:rPr>
                <w:noProof/>
                <w:webHidden/>
              </w:rPr>
              <w:fldChar w:fldCharType="end"/>
            </w:r>
          </w:hyperlink>
        </w:p>
        <w:p w14:paraId="3319F30C" w14:textId="5E141E43" w:rsidR="00FD4542" w:rsidRDefault="00FD4542">
          <w:pPr>
            <w:pStyle w:val="TOC3"/>
            <w:tabs>
              <w:tab w:val="right" w:leader="dot" w:pos="9016"/>
            </w:tabs>
            <w:rPr>
              <w:rFonts w:eastAsiaTheme="minorEastAsia"/>
              <w:noProof/>
              <w:lang w:eastAsia="en-GB"/>
            </w:rPr>
          </w:pPr>
          <w:hyperlink w:anchor="_Toc52396359" w:history="1">
            <w:r w:rsidRPr="00E5372A">
              <w:rPr>
                <w:rStyle w:val="Hyperlink"/>
                <w:noProof/>
              </w:rPr>
              <w:t>Appendix 11. Description of ADR Identification and Assessment Methodologies Employed by all Included Papers/studies</w:t>
            </w:r>
            <w:r>
              <w:rPr>
                <w:noProof/>
                <w:webHidden/>
              </w:rPr>
              <w:tab/>
            </w:r>
            <w:r>
              <w:rPr>
                <w:noProof/>
                <w:webHidden/>
              </w:rPr>
              <w:fldChar w:fldCharType="begin"/>
            </w:r>
            <w:r>
              <w:rPr>
                <w:noProof/>
                <w:webHidden/>
              </w:rPr>
              <w:instrText xml:space="preserve"> PAGEREF _Toc52396359 \h </w:instrText>
            </w:r>
            <w:r>
              <w:rPr>
                <w:noProof/>
                <w:webHidden/>
              </w:rPr>
            </w:r>
            <w:r>
              <w:rPr>
                <w:noProof/>
                <w:webHidden/>
              </w:rPr>
              <w:fldChar w:fldCharType="separate"/>
            </w:r>
            <w:r>
              <w:rPr>
                <w:noProof/>
                <w:webHidden/>
              </w:rPr>
              <w:t>35</w:t>
            </w:r>
            <w:r>
              <w:rPr>
                <w:noProof/>
                <w:webHidden/>
              </w:rPr>
              <w:fldChar w:fldCharType="end"/>
            </w:r>
          </w:hyperlink>
        </w:p>
        <w:p w14:paraId="058DECC1" w14:textId="04506429" w:rsidR="00FD4542" w:rsidRDefault="00FD4542">
          <w:pPr>
            <w:pStyle w:val="TOC3"/>
            <w:tabs>
              <w:tab w:val="right" w:leader="dot" w:pos="9016"/>
            </w:tabs>
            <w:rPr>
              <w:rFonts w:eastAsiaTheme="minorEastAsia"/>
              <w:noProof/>
              <w:lang w:eastAsia="en-GB"/>
            </w:rPr>
          </w:pPr>
          <w:hyperlink w:anchor="_Toc52396360" w:history="1">
            <w:r w:rsidRPr="00E5372A">
              <w:rPr>
                <w:rStyle w:val="Hyperlink"/>
                <w:noProof/>
                <w:lang w:eastAsia="en-GB"/>
              </w:rPr>
              <w:t xml:space="preserve">Appendix 12. Meta-analysis of Studies Where all Participants Were </w:t>
            </w:r>
            <w:r w:rsidRPr="00E5372A">
              <w:rPr>
                <w:rStyle w:val="Hyperlink"/>
                <w:rFonts w:ascii="Calibri" w:hAnsi="Calibri" w:cs="Calibri"/>
                <w:noProof/>
                <w:lang w:eastAsia="en-GB"/>
              </w:rPr>
              <w:t>≥</w:t>
            </w:r>
            <w:r w:rsidRPr="00E5372A">
              <w:rPr>
                <w:rStyle w:val="Hyperlink"/>
                <w:noProof/>
                <w:lang w:eastAsia="en-GB"/>
              </w:rPr>
              <w:t>65 Years at Baseline (p=0.299)</w:t>
            </w:r>
            <w:r>
              <w:rPr>
                <w:noProof/>
                <w:webHidden/>
              </w:rPr>
              <w:tab/>
            </w:r>
            <w:r>
              <w:rPr>
                <w:noProof/>
                <w:webHidden/>
              </w:rPr>
              <w:fldChar w:fldCharType="begin"/>
            </w:r>
            <w:r>
              <w:rPr>
                <w:noProof/>
                <w:webHidden/>
              </w:rPr>
              <w:instrText xml:space="preserve"> PAGEREF _Toc52396360 \h </w:instrText>
            </w:r>
            <w:r>
              <w:rPr>
                <w:noProof/>
                <w:webHidden/>
              </w:rPr>
            </w:r>
            <w:r>
              <w:rPr>
                <w:noProof/>
                <w:webHidden/>
              </w:rPr>
              <w:fldChar w:fldCharType="separate"/>
            </w:r>
            <w:r>
              <w:rPr>
                <w:noProof/>
                <w:webHidden/>
              </w:rPr>
              <w:t>43</w:t>
            </w:r>
            <w:r>
              <w:rPr>
                <w:noProof/>
                <w:webHidden/>
              </w:rPr>
              <w:fldChar w:fldCharType="end"/>
            </w:r>
          </w:hyperlink>
        </w:p>
        <w:p w14:paraId="30C04FFA" w14:textId="0ED780F1" w:rsidR="00FD4542" w:rsidRDefault="00FD4542">
          <w:pPr>
            <w:pStyle w:val="TOC3"/>
            <w:tabs>
              <w:tab w:val="right" w:leader="dot" w:pos="9016"/>
            </w:tabs>
            <w:rPr>
              <w:rFonts w:eastAsiaTheme="minorEastAsia"/>
              <w:noProof/>
              <w:lang w:eastAsia="en-GB"/>
            </w:rPr>
          </w:pPr>
          <w:hyperlink w:anchor="_Toc52396361" w:history="1">
            <w:r w:rsidRPr="00E5372A">
              <w:rPr>
                <w:rStyle w:val="Hyperlink"/>
                <w:rFonts w:eastAsia="Times New Roman"/>
                <w:noProof/>
                <w:lang w:eastAsia="en-GB"/>
              </w:rPr>
              <w:t>Appendix 13.  Meta-analysis of studies grouped by ADR definition (p=0.806)</w:t>
            </w:r>
            <w:r>
              <w:rPr>
                <w:noProof/>
                <w:webHidden/>
              </w:rPr>
              <w:tab/>
            </w:r>
            <w:r>
              <w:rPr>
                <w:noProof/>
                <w:webHidden/>
              </w:rPr>
              <w:fldChar w:fldCharType="begin"/>
            </w:r>
            <w:r>
              <w:rPr>
                <w:noProof/>
                <w:webHidden/>
              </w:rPr>
              <w:instrText xml:space="preserve"> PAGEREF _Toc52396361 \h </w:instrText>
            </w:r>
            <w:r>
              <w:rPr>
                <w:noProof/>
                <w:webHidden/>
              </w:rPr>
            </w:r>
            <w:r>
              <w:rPr>
                <w:noProof/>
                <w:webHidden/>
              </w:rPr>
              <w:fldChar w:fldCharType="separate"/>
            </w:r>
            <w:r>
              <w:rPr>
                <w:noProof/>
                <w:webHidden/>
              </w:rPr>
              <w:t>44</w:t>
            </w:r>
            <w:r>
              <w:rPr>
                <w:noProof/>
                <w:webHidden/>
              </w:rPr>
              <w:fldChar w:fldCharType="end"/>
            </w:r>
          </w:hyperlink>
        </w:p>
        <w:p w14:paraId="5CC8F592" w14:textId="2221DD73" w:rsidR="00FD4542" w:rsidRDefault="00FD4542">
          <w:pPr>
            <w:pStyle w:val="TOC3"/>
            <w:tabs>
              <w:tab w:val="right" w:leader="dot" w:pos="9016"/>
            </w:tabs>
            <w:rPr>
              <w:rFonts w:eastAsiaTheme="minorEastAsia"/>
              <w:noProof/>
              <w:lang w:eastAsia="en-GB"/>
            </w:rPr>
          </w:pPr>
          <w:hyperlink w:anchor="_Toc52396362" w:history="1">
            <w:r w:rsidRPr="00E5372A">
              <w:rPr>
                <w:rStyle w:val="Hyperlink"/>
                <w:rFonts w:eastAsia="Times New Roman"/>
                <w:noProof/>
                <w:lang w:eastAsia="en-GB"/>
              </w:rPr>
              <w:t>Appendix 14. Meta-analysis of studies grouped by ADR causality (p=0.78)</w:t>
            </w:r>
            <w:r>
              <w:rPr>
                <w:noProof/>
                <w:webHidden/>
              </w:rPr>
              <w:tab/>
            </w:r>
            <w:r>
              <w:rPr>
                <w:noProof/>
                <w:webHidden/>
              </w:rPr>
              <w:fldChar w:fldCharType="begin"/>
            </w:r>
            <w:r>
              <w:rPr>
                <w:noProof/>
                <w:webHidden/>
              </w:rPr>
              <w:instrText xml:space="preserve"> PAGEREF _Toc52396362 \h </w:instrText>
            </w:r>
            <w:r>
              <w:rPr>
                <w:noProof/>
                <w:webHidden/>
              </w:rPr>
            </w:r>
            <w:r>
              <w:rPr>
                <w:noProof/>
                <w:webHidden/>
              </w:rPr>
              <w:fldChar w:fldCharType="separate"/>
            </w:r>
            <w:r>
              <w:rPr>
                <w:noProof/>
                <w:webHidden/>
              </w:rPr>
              <w:t>45</w:t>
            </w:r>
            <w:r>
              <w:rPr>
                <w:noProof/>
                <w:webHidden/>
              </w:rPr>
              <w:fldChar w:fldCharType="end"/>
            </w:r>
          </w:hyperlink>
        </w:p>
        <w:p w14:paraId="2481D462" w14:textId="0D3E0E42" w:rsidR="00FD4542" w:rsidRDefault="00FD4542">
          <w:pPr>
            <w:pStyle w:val="TOC3"/>
            <w:tabs>
              <w:tab w:val="right" w:leader="dot" w:pos="9016"/>
            </w:tabs>
            <w:rPr>
              <w:rFonts w:eastAsiaTheme="minorEastAsia"/>
              <w:noProof/>
              <w:lang w:eastAsia="en-GB"/>
            </w:rPr>
          </w:pPr>
          <w:hyperlink w:anchor="_Toc52396363" w:history="1">
            <w:r w:rsidRPr="00E5372A">
              <w:rPr>
                <w:rStyle w:val="Hyperlink"/>
                <w:rFonts w:eastAsia="Times New Roman"/>
                <w:noProof/>
                <w:lang w:eastAsia="en-GB"/>
              </w:rPr>
              <w:t xml:space="preserve">Appendix 15. </w:t>
            </w:r>
            <w:r w:rsidRPr="00E5372A">
              <w:rPr>
                <w:rStyle w:val="Hyperlink"/>
                <w:noProof/>
                <w:lang w:eastAsia="en-GB"/>
              </w:rPr>
              <w:t>Meta-analysis of studies</w:t>
            </w:r>
            <w:r w:rsidRPr="00E5372A">
              <w:rPr>
                <w:rStyle w:val="Hyperlink"/>
                <w:rFonts w:eastAsia="Times New Roman"/>
                <w:noProof/>
                <w:lang w:eastAsia="en-GB"/>
              </w:rPr>
              <w:t xml:space="preserve"> grouped by comparable overlapping ADR methodologies (p=0.383)</w:t>
            </w:r>
            <w:r>
              <w:rPr>
                <w:noProof/>
                <w:webHidden/>
              </w:rPr>
              <w:tab/>
            </w:r>
            <w:r>
              <w:rPr>
                <w:noProof/>
                <w:webHidden/>
              </w:rPr>
              <w:fldChar w:fldCharType="begin"/>
            </w:r>
            <w:r>
              <w:rPr>
                <w:noProof/>
                <w:webHidden/>
              </w:rPr>
              <w:instrText xml:space="preserve"> PAGEREF _Toc52396363 \h </w:instrText>
            </w:r>
            <w:r>
              <w:rPr>
                <w:noProof/>
                <w:webHidden/>
              </w:rPr>
            </w:r>
            <w:r>
              <w:rPr>
                <w:noProof/>
                <w:webHidden/>
              </w:rPr>
              <w:fldChar w:fldCharType="separate"/>
            </w:r>
            <w:r>
              <w:rPr>
                <w:noProof/>
                <w:webHidden/>
              </w:rPr>
              <w:t>46</w:t>
            </w:r>
            <w:r>
              <w:rPr>
                <w:noProof/>
                <w:webHidden/>
              </w:rPr>
              <w:fldChar w:fldCharType="end"/>
            </w:r>
          </w:hyperlink>
        </w:p>
        <w:p w14:paraId="23BD6E1F" w14:textId="2A53DFFE" w:rsidR="00FD4542" w:rsidRDefault="00FD4542">
          <w:pPr>
            <w:pStyle w:val="TOC3"/>
            <w:tabs>
              <w:tab w:val="right" w:leader="dot" w:pos="9016"/>
            </w:tabs>
            <w:rPr>
              <w:rFonts w:eastAsiaTheme="minorEastAsia"/>
              <w:noProof/>
              <w:lang w:eastAsia="en-GB"/>
            </w:rPr>
          </w:pPr>
          <w:hyperlink w:anchor="_Toc52396364" w:history="1">
            <w:r w:rsidRPr="00E5372A">
              <w:rPr>
                <w:rStyle w:val="Hyperlink"/>
                <w:rFonts w:eastAsia="Times New Roman"/>
                <w:noProof/>
                <w:lang w:eastAsia="en-GB"/>
              </w:rPr>
              <w:t>Appendix 16. Pooled estimates of ADR proportions grouped by ADR identification methods (p =0.31)</w:t>
            </w:r>
            <w:r>
              <w:rPr>
                <w:noProof/>
                <w:webHidden/>
              </w:rPr>
              <w:tab/>
            </w:r>
            <w:r>
              <w:rPr>
                <w:noProof/>
                <w:webHidden/>
              </w:rPr>
              <w:fldChar w:fldCharType="begin"/>
            </w:r>
            <w:r>
              <w:rPr>
                <w:noProof/>
                <w:webHidden/>
              </w:rPr>
              <w:instrText xml:space="preserve"> PAGEREF _Toc52396364 \h </w:instrText>
            </w:r>
            <w:r>
              <w:rPr>
                <w:noProof/>
                <w:webHidden/>
              </w:rPr>
            </w:r>
            <w:r>
              <w:rPr>
                <w:noProof/>
                <w:webHidden/>
              </w:rPr>
              <w:fldChar w:fldCharType="separate"/>
            </w:r>
            <w:r>
              <w:rPr>
                <w:noProof/>
                <w:webHidden/>
              </w:rPr>
              <w:t>47</w:t>
            </w:r>
            <w:r>
              <w:rPr>
                <w:noProof/>
                <w:webHidden/>
              </w:rPr>
              <w:fldChar w:fldCharType="end"/>
            </w:r>
          </w:hyperlink>
        </w:p>
        <w:p w14:paraId="35366FC8" w14:textId="4A224D11" w:rsidR="00FD4542" w:rsidRDefault="00FD4542">
          <w:pPr>
            <w:pStyle w:val="TOC1"/>
            <w:rPr>
              <w:rFonts w:eastAsiaTheme="minorEastAsia"/>
              <w:lang w:eastAsia="en-GB"/>
            </w:rPr>
          </w:pPr>
          <w:hyperlink w:anchor="_Toc52396365" w:history="1">
            <w:r w:rsidRPr="00E5372A">
              <w:rPr>
                <w:rStyle w:val="Hyperlink"/>
              </w:rPr>
              <w:t>ADR Presentations</w:t>
            </w:r>
            <w:r>
              <w:rPr>
                <w:webHidden/>
              </w:rPr>
              <w:tab/>
            </w:r>
            <w:r>
              <w:rPr>
                <w:webHidden/>
              </w:rPr>
              <w:fldChar w:fldCharType="begin"/>
            </w:r>
            <w:r>
              <w:rPr>
                <w:webHidden/>
              </w:rPr>
              <w:instrText xml:space="preserve"> PAGEREF _Toc52396365 \h </w:instrText>
            </w:r>
            <w:r>
              <w:rPr>
                <w:webHidden/>
              </w:rPr>
            </w:r>
            <w:r>
              <w:rPr>
                <w:webHidden/>
              </w:rPr>
              <w:fldChar w:fldCharType="separate"/>
            </w:r>
            <w:r>
              <w:rPr>
                <w:webHidden/>
              </w:rPr>
              <w:t>48</w:t>
            </w:r>
            <w:r>
              <w:rPr>
                <w:webHidden/>
              </w:rPr>
              <w:fldChar w:fldCharType="end"/>
            </w:r>
          </w:hyperlink>
        </w:p>
        <w:p w14:paraId="046B214E" w14:textId="4E8538A8" w:rsidR="00FD4542" w:rsidRDefault="00FD4542">
          <w:pPr>
            <w:pStyle w:val="TOC2"/>
            <w:tabs>
              <w:tab w:val="right" w:leader="dot" w:pos="9016"/>
            </w:tabs>
            <w:rPr>
              <w:rFonts w:eastAsiaTheme="minorEastAsia"/>
              <w:noProof/>
              <w:lang w:eastAsia="en-GB"/>
            </w:rPr>
          </w:pPr>
          <w:hyperlink w:anchor="_Toc52396366" w:history="1">
            <w:r w:rsidRPr="00E5372A">
              <w:rPr>
                <w:rStyle w:val="Hyperlink"/>
                <w:noProof/>
              </w:rPr>
              <w:t>Appendix 17. Ranking of ADR Presentations by MedDRA-SOC® Classification</w:t>
            </w:r>
            <w:r>
              <w:rPr>
                <w:noProof/>
                <w:webHidden/>
              </w:rPr>
              <w:tab/>
            </w:r>
            <w:r>
              <w:rPr>
                <w:noProof/>
                <w:webHidden/>
              </w:rPr>
              <w:fldChar w:fldCharType="begin"/>
            </w:r>
            <w:r>
              <w:rPr>
                <w:noProof/>
                <w:webHidden/>
              </w:rPr>
              <w:instrText xml:space="preserve"> PAGEREF _Toc52396366 \h </w:instrText>
            </w:r>
            <w:r>
              <w:rPr>
                <w:noProof/>
                <w:webHidden/>
              </w:rPr>
            </w:r>
            <w:r>
              <w:rPr>
                <w:noProof/>
                <w:webHidden/>
              </w:rPr>
              <w:fldChar w:fldCharType="separate"/>
            </w:r>
            <w:r>
              <w:rPr>
                <w:noProof/>
                <w:webHidden/>
              </w:rPr>
              <w:t>48</w:t>
            </w:r>
            <w:r>
              <w:rPr>
                <w:noProof/>
                <w:webHidden/>
              </w:rPr>
              <w:fldChar w:fldCharType="end"/>
            </w:r>
          </w:hyperlink>
        </w:p>
        <w:p w14:paraId="1CE9520E" w14:textId="19AE734A" w:rsidR="00FD4542" w:rsidRDefault="00FD4542">
          <w:pPr>
            <w:pStyle w:val="TOC2"/>
            <w:tabs>
              <w:tab w:val="right" w:leader="dot" w:pos="9016"/>
            </w:tabs>
            <w:rPr>
              <w:rFonts w:eastAsiaTheme="minorEastAsia"/>
              <w:noProof/>
              <w:lang w:eastAsia="en-GB"/>
            </w:rPr>
          </w:pPr>
          <w:hyperlink w:anchor="_Toc52396367" w:history="1">
            <w:r w:rsidRPr="00E5372A">
              <w:rPr>
                <w:rStyle w:val="Hyperlink"/>
                <w:noProof/>
              </w:rPr>
              <w:t>Appendix 18. Breakdown of ADR Presentations by ADR Detail (In Descending Frequency).</w:t>
            </w:r>
            <w:r>
              <w:rPr>
                <w:noProof/>
                <w:webHidden/>
              </w:rPr>
              <w:tab/>
            </w:r>
            <w:r>
              <w:rPr>
                <w:noProof/>
                <w:webHidden/>
              </w:rPr>
              <w:fldChar w:fldCharType="begin"/>
            </w:r>
            <w:r>
              <w:rPr>
                <w:noProof/>
                <w:webHidden/>
              </w:rPr>
              <w:instrText xml:space="preserve"> PAGEREF _Toc52396367 \h </w:instrText>
            </w:r>
            <w:r>
              <w:rPr>
                <w:noProof/>
                <w:webHidden/>
              </w:rPr>
            </w:r>
            <w:r>
              <w:rPr>
                <w:noProof/>
                <w:webHidden/>
              </w:rPr>
              <w:fldChar w:fldCharType="separate"/>
            </w:r>
            <w:r>
              <w:rPr>
                <w:noProof/>
                <w:webHidden/>
              </w:rPr>
              <w:t>49</w:t>
            </w:r>
            <w:r>
              <w:rPr>
                <w:noProof/>
                <w:webHidden/>
              </w:rPr>
              <w:fldChar w:fldCharType="end"/>
            </w:r>
          </w:hyperlink>
        </w:p>
        <w:p w14:paraId="3DFD96B6" w14:textId="32D6C5BA" w:rsidR="00FD4542" w:rsidRDefault="00FD4542">
          <w:pPr>
            <w:pStyle w:val="TOC1"/>
            <w:rPr>
              <w:rFonts w:eastAsiaTheme="minorEastAsia"/>
              <w:lang w:eastAsia="en-GB"/>
            </w:rPr>
          </w:pPr>
          <w:hyperlink w:anchor="_Toc52396368" w:history="1">
            <w:r w:rsidRPr="00E5372A">
              <w:rPr>
                <w:rStyle w:val="Hyperlink"/>
              </w:rPr>
              <w:t>ADR Drugs</w:t>
            </w:r>
            <w:r>
              <w:rPr>
                <w:webHidden/>
              </w:rPr>
              <w:tab/>
            </w:r>
            <w:r>
              <w:rPr>
                <w:webHidden/>
              </w:rPr>
              <w:fldChar w:fldCharType="begin"/>
            </w:r>
            <w:r>
              <w:rPr>
                <w:webHidden/>
              </w:rPr>
              <w:instrText xml:space="preserve"> PAGEREF _Toc52396368 \h </w:instrText>
            </w:r>
            <w:r>
              <w:rPr>
                <w:webHidden/>
              </w:rPr>
            </w:r>
            <w:r>
              <w:rPr>
                <w:webHidden/>
              </w:rPr>
              <w:fldChar w:fldCharType="separate"/>
            </w:r>
            <w:r>
              <w:rPr>
                <w:webHidden/>
              </w:rPr>
              <w:t>56</w:t>
            </w:r>
            <w:r>
              <w:rPr>
                <w:webHidden/>
              </w:rPr>
              <w:fldChar w:fldCharType="end"/>
            </w:r>
          </w:hyperlink>
        </w:p>
        <w:p w14:paraId="448BA3BA" w14:textId="704C2DB1" w:rsidR="00FD4542" w:rsidRDefault="00FD4542">
          <w:pPr>
            <w:pStyle w:val="TOC2"/>
            <w:tabs>
              <w:tab w:val="right" w:leader="dot" w:pos="9016"/>
            </w:tabs>
            <w:rPr>
              <w:rFonts w:eastAsiaTheme="minorEastAsia"/>
              <w:noProof/>
              <w:lang w:eastAsia="en-GB"/>
            </w:rPr>
          </w:pPr>
          <w:hyperlink w:anchor="_Toc52396369" w:history="1">
            <w:r w:rsidRPr="00E5372A">
              <w:rPr>
                <w:rStyle w:val="Hyperlink"/>
                <w:noProof/>
              </w:rPr>
              <w:t>Appendix 19. Causative Drug Agents Ranked by Descending Frequency as per Therapeutic Subgroup (ATC 2</w:t>
            </w:r>
            <w:r w:rsidRPr="00E5372A">
              <w:rPr>
                <w:rStyle w:val="Hyperlink"/>
                <w:noProof/>
                <w:vertAlign w:val="superscript"/>
              </w:rPr>
              <w:t>nd</w:t>
            </w:r>
            <w:r w:rsidRPr="00E5372A">
              <w:rPr>
                <w:rStyle w:val="Hyperlink"/>
                <w:noProof/>
              </w:rPr>
              <w:t xml:space="preserve"> Level).</w:t>
            </w:r>
            <w:r>
              <w:rPr>
                <w:noProof/>
                <w:webHidden/>
              </w:rPr>
              <w:tab/>
            </w:r>
            <w:r>
              <w:rPr>
                <w:noProof/>
                <w:webHidden/>
              </w:rPr>
              <w:fldChar w:fldCharType="begin"/>
            </w:r>
            <w:r>
              <w:rPr>
                <w:noProof/>
                <w:webHidden/>
              </w:rPr>
              <w:instrText xml:space="preserve"> PAGEREF _Toc52396369 \h </w:instrText>
            </w:r>
            <w:r>
              <w:rPr>
                <w:noProof/>
                <w:webHidden/>
              </w:rPr>
            </w:r>
            <w:r>
              <w:rPr>
                <w:noProof/>
                <w:webHidden/>
              </w:rPr>
              <w:fldChar w:fldCharType="separate"/>
            </w:r>
            <w:r>
              <w:rPr>
                <w:noProof/>
                <w:webHidden/>
              </w:rPr>
              <w:t>56</w:t>
            </w:r>
            <w:r>
              <w:rPr>
                <w:noProof/>
                <w:webHidden/>
              </w:rPr>
              <w:fldChar w:fldCharType="end"/>
            </w:r>
          </w:hyperlink>
        </w:p>
        <w:p w14:paraId="3C14E7B8" w14:textId="7CC472A3" w:rsidR="00FD4542" w:rsidRDefault="00FD4542">
          <w:pPr>
            <w:pStyle w:val="TOC2"/>
            <w:tabs>
              <w:tab w:val="right" w:leader="dot" w:pos="9016"/>
            </w:tabs>
            <w:rPr>
              <w:rFonts w:eastAsiaTheme="minorEastAsia"/>
              <w:noProof/>
              <w:lang w:eastAsia="en-GB"/>
            </w:rPr>
          </w:pPr>
          <w:hyperlink w:anchor="_Toc52396370" w:history="1">
            <w:r w:rsidRPr="00E5372A">
              <w:rPr>
                <w:rStyle w:val="Hyperlink"/>
                <w:noProof/>
              </w:rPr>
              <w:t>Appendix 20. Reported Causative Drugs Grouped by Anatomical Group (ATC 1</w:t>
            </w:r>
            <w:r w:rsidRPr="00E5372A">
              <w:rPr>
                <w:rStyle w:val="Hyperlink"/>
                <w:noProof/>
                <w:vertAlign w:val="superscript"/>
              </w:rPr>
              <w:t>st</w:t>
            </w:r>
            <w:r w:rsidRPr="00E5372A">
              <w:rPr>
                <w:rStyle w:val="Hyperlink"/>
                <w:noProof/>
              </w:rPr>
              <w:t xml:space="preserve"> Level) in Descending Order.</w:t>
            </w:r>
            <w:r>
              <w:rPr>
                <w:noProof/>
                <w:webHidden/>
              </w:rPr>
              <w:tab/>
            </w:r>
            <w:r>
              <w:rPr>
                <w:noProof/>
                <w:webHidden/>
              </w:rPr>
              <w:fldChar w:fldCharType="begin"/>
            </w:r>
            <w:r>
              <w:rPr>
                <w:noProof/>
                <w:webHidden/>
              </w:rPr>
              <w:instrText xml:space="preserve"> PAGEREF _Toc52396370 \h </w:instrText>
            </w:r>
            <w:r>
              <w:rPr>
                <w:noProof/>
                <w:webHidden/>
              </w:rPr>
            </w:r>
            <w:r>
              <w:rPr>
                <w:noProof/>
                <w:webHidden/>
              </w:rPr>
              <w:fldChar w:fldCharType="separate"/>
            </w:r>
            <w:r>
              <w:rPr>
                <w:noProof/>
                <w:webHidden/>
              </w:rPr>
              <w:t>57</w:t>
            </w:r>
            <w:r>
              <w:rPr>
                <w:noProof/>
                <w:webHidden/>
              </w:rPr>
              <w:fldChar w:fldCharType="end"/>
            </w:r>
          </w:hyperlink>
        </w:p>
        <w:p w14:paraId="090A4CD2" w14:textId="46622091" w:rsidR="00FD4542" w:rsidRDefault="00FD4542">
          <w:pPr>
            <w:pStyle w:val="TOC2"/>
            <w:tabs>
              <w:tab w:val="right" w:leader="dot" w:pos="9016"/>
            </w:tabs>
            <w:rPr>
              <w:rFonts w:eastAsiaTheme="minorEastAsia"/>
              <w:noProof/>
              <w:lang w:eastAsia="en-GB"/>
            </w:rPr>
          </w:pPr>
          <w:hyperlink w:anchor="_Toc52396371" w:history="1">
            <w:r w:rsidRPr="00E5372A">
              <w:rPr>
                <w:rStyle w:val="Hyperlink"/>
                <w:noProof/>
              </w:rPr>
              <w:t>Appendix 21. Breakdown of Causative Drugs by ATC Classification in Descending Frequency – Grouped by Anatomical (ATC 1</w:t>
            </w:r>
            <w:r w:rsidRPr="00E5372A">
              <w:rPr>
                <w:rStyle w:val="Hyperlink"/>
                <w:noProof/>
                <w:vertAlign w:val="superscript"/>
              </w:rPr>
              <w:t>st</w:t>
            </w:r>
            <w:r w:rsidRPr="00E5372A">
              <w:rPr>
                <w:rStyle w:val="Hyperlink"/>
                <w:noProof/>
              </w:rPr>
              <w:t>) Level to Chemical Substance/Drug (ATC 5</w:t>
            </w:r>
            <w:r w:rsidRPr="00E5372A">
              <w:rPr>
                <w:rStyle w:val="Hyperlink"/>
                <w:noProof/>
                <w:vertAlign w:val="superscript"/>
              </w:rPr>
              <w:t>th</w:t>
            </w:r>
            <w:r w:rsidRPr="00E5372A">
              <w:rPr>
                <w:rStyle w:val="Hyperlink"/>
                <w:noProof/>
              </w:rPr>
              <w:t>); n = 2385.</w:t>
            </w:r>
            <w:r>
              <w:rPr>
                <w:noProof/>
                <w:webHidden/>
              </w:rPr>
              <w:tab/>
            </w:r>
            <w:r>
              <w:rPr>
                <w:noProof/>
                <w:webHidden/>
              </w:rPr>
              <w:fldChar w:fldCharType="begin"/>
            </w:r>
            <w:r>
              <w:rPr>
                <w:noProof/>
                <w:webHidden/>
              </w:rPr>
              <w:instrText xml:space="preserve"> PAGEREF _Toc52396371 \h </w:instrText>
            </w:r>
            <w:r>
              <w:rPr>
                <w:noProof/>
                <w:webHidden/>
              </w:rPr>
            </w:r>
            <w:r>
              <w:rPr>
                <w:noProof/>
                <w:webHidden/>
              </w:rPr>
              <w:fldChar w:fldCharType="separate"/>
            </w:r>
            <w:r>
              <w:rPr>
                <w:noProof/>
                <w:webHidden/>
              </w:rPr>
              <w:t>58</w:t>
            </w:r>
            <w:r>
              <w:rPr>
                <w:noProof/>
                <w:webHidden/>
              </w:rPr>
              <w:fldChar w:fldCharType="end"/>
            </w:r>
          </w:hyperlink>
        </w:p>
        <w:p w14:paraId="6B31D8FF" w14:textId="45C4F4F7" w:rsidR="00FD4542" w:rsidRDefault="00FD4542">
          <w:pPr>
            <w:pStyle w:val="TOC3"/>
            <w:tabs>
              <w:tab w:val="right" w:leader="dot" w:pos="9016"/>
            </w:tabs>
            <w:rPr>
              <w:rFonts w:eastAsiaTheme="minorEastAsia"/>
              <w:noProof/>
              <w:lang w:eastAsia="en-GB"/>
            </w:rPr>
          </w:pPr>
          <w:hyperlink w:anchor="_Toc52396372" w:history="1">
            <w:r w:rsidRPr="00E5372A">
              <w:rPr>
                <w:rStyle w:val="Hyperlink"/>
                <w:noProof/>
              </w:rPr>
              <w:t>Cardiovascular system</w:t>
            </w:r>
            <w:r>
              <w:rPr>
                <w:noProof/>
                <w:webHidden/>
              </w:rPr>
              <w:tab/>
            </w:r>
            <w:r>
              <w:rPr>
                <w:noProof/>
                <w:webHidden/>
              </w:rPr>
              <w:fldChar w:fldCharType="begin"/>
            </w:r>
            <w:r>
              <w:rPr>
                <w:noProof/>
                <w:webHidden/>
              </w:rPr>
              <w:instrText xml:space="preserve"> PAGEREF _Toc52396372 \h </w:instrText>
            </w:r>
            <w:r>
              <w:rPr>
                <w:noProof/>
                <w:webHidden/>
              </w:rPr>
            </w:r>
            <w:r>
              <w:rPr>
                <w:noProof/>
                <w:webHidden/>
              </w:rPr>
              <w:fldChar w:fldCharType="separate"/>
            </w:r>
            <w:r>
              <w:rPr>
                <w:noProof/>
                <w:webHidden/>
              </w:rPr>
              <w:t>58</w:t>
            </w:r>
            <w:r>
              <w:rPr>
                <w:noProof/>
                <w:webHidden/>
              </w:rPr>
              <w:fldChar w:fldCharType="end"/>
            </w:r>
          </w:hyperlink>
        </w:p>
        <w:p w14:paraId="725E9E21" w14:textId="3F6ACD29" w:rsidR="00FD4542" w:rsidRDefault="00FD4542">
          <w:pPr>
            <w:pStyle w:val="TOC3"/>
            <w:tabs>
              <w:tab w:val="right" w:leader="dot" w:pos="9016"/>
            </w:tabs>
            <w:rPr>
              <w:rFonts w:eastAsiaTheme="minorEastAsia"/>
              <w:noProof/>
              <w:lang w:eastAsia="en-GB"/>
            </w:rPr>
          </w:pPr>
          <w:hyperlink w:anchor="_Toc52396373" w:history="1">
            <w:r w:rsidRPr="00E5372A">
              <w:rPr>
                <w:rStyle w:val="Hyperlink"/>
                <w:noProof/>
              </w:rPr>
              <w:t>Central nervous system</w:t>
            </w:r>
            <w:r>
              <w:rPr>
                <w:noProof/>
                <w:webHidden/>
              </w:rPr>
              <w:tab/>
            </w:r>
            <w:r>
              <w:rPr>
                <w:noProof/>
                <w:webHidden/>
              </w:rPr>
              <w:fldChar w:fldCharType="begin"/>
            </w:r>
            <w:r>
              <w:rPr>
                <w:noProof/>
                <w:webHidden/>
              </w:rPr>
              <w:instrText xml:space="preserve"> PAGEREF _Toc52396373 \h </w:instrText>
            </w:r>
            <w:r>
              <w:rPr>
                <w:noProof/>
                <w:webHidden/>
              </w:rPr>
            </w:r>
            <w:r>
              <w:rPr>
                <w:noProof/>
                <w:webHidden/>
              </w:rPr>
              <w:fldChar w:fldCharType="separate"/>
            </w:r>
            <w:r>
              <w:rPr>
                <w:noProof/>
                <w:webHidden/>
              </w:rPr>
              <w:t>60</w:t>
            </w:r>
            <w:r>
              <w:rPr>
                <w:noProof/>
                <w:webHidden/>
              </w:rPr>
              <w:fldChar w:fldCharType="end"/>
            </w:r>
          </w:hyperlink>
        </w:p>
        <w:p w14:paraId="32E53C9E" w14:textId="3974C8C3" w:rsidR="00FD4542" w:rsidRDefault="00FD4542">
          <w:pPr>
            <w:pStyle w:val="TOC3"/>
            <w:tabs>
              <w:tab w:val="right" w:leader="dot" w:pos="9016"/>
            </w:tabs>
            <w:rPr>
              <w:rFonts w:eastAsiaTheme="minorEastAsia"/>
              <w:noProof/>
              <w:lang w:eastAsia="en-GB"/>
            </w:rPr>
          </w:pPr>
          <w:hyperlink w:anchor="_Toc52396374" w:history="1">
            <w:r w:rsidRPr="00E5372A">
              <w:rPr>
                <w:rStyle w:val="Hyperlink"/>
                <w:noProof/>
              </w:rPr>
              <w:t>Anti-infectives for systemic use</w:t>
            </w:r>
            <w:r>
              <w:rPr>
                <w:noProof/>
                <w:webHidden/>
              </w:rPr>
              <w:tab/>
            </w:r>
            <w:r>
              <w:rPr>
                <w:noProof/>
                <w:webHidden/>
              </w:rPr>
              <w:fldChar w:fldCharType="begin"/>
            </w:r>
            <w:r>
              <w:rPr>
                <w:noProof/>
                <w:webHidden/>
              </w:rPr>
              <w:instrText xml:space="preserve"> PAGEREF _Toc52396374 \h </w:instrText>
            </w:r>
            <w:r>
              <w:rPr>
                <w:noProof/>
                <w:webHidden/>
              </w:rPr>
            </w:r>
            <w:r>
              <w:rPr>
                <w:noProof/>
                <w:webHidden/>
              </w:rPr>
              <w:fldChar w:fldCharType="separate"/>
            </w:r>
            <w:r>
              <w:rPr>
                <w:noProof/>
                <w:webHidden/>
              </w:rPr>
              <w:t>62</w:t>
            </w:r>
            <w:r>
              <w:rPr>
                <w:noProof/>
                <w:webHidden/>
              </w:rPr>
              <w:fldChar w:fldCharType="end"/>
            </w:r>
          </w:hyperlink>
        </w:p>
        <w:p w14:paraId="1F535124" w14:textId="44955BC5" w:rsidR="00FD4542" w:rsidRDefault="00FD4542">
          <w:pPr>
            <w:pStyle w:val="TOC3"/>
            <w:tabs>
              <w:tab w:val="right" w:leader="dot" w:pos="9016"/>
            </w:tabs>
            <w:rPr>
              <w:rFonts w:eastAsiaTheme="minorEastAsia"/>
              <w:noProof/>
              <w:lang w:eastAsia="en-GB"/>
            </w:rPr>
          </w:pPr>
          <w:hyperlink w:anchor="_Toc52396375" w:history="1">
            <w:r w:rsidRPr="00E5372A">
              <w:rPr>
                <w:rStyle w:val="Hyperlink"/>
                <w:noProof/>
              </w:rPr>
              <w:t>Blood and blood forming organs</w:t>
            </w:r>
            <w:r>
              <w:rPr>
                <w:noProof/>
                <w:webHidden/>
              </w:rPr>
              <w:tab/>
            </w:r>
            <w:r>
              <w:rPr>
                <w:noProof/>
                <w:webHidden/>
              </w:rPr>
              <w:fldChar w:fldCharType="begin"/>
            </w:r>
            <w:r>
              <w:rPr>
                <w:noProof/>
                <w:webHidden/>
              </w:rPr>
              <w:instrText xml:space="preserve"> PAGEREF _Toc52396375 \h </w:instrText>
            </w:r>
            <w:r>
              <w:rPr>
                <w:noProof/>
                <w:webHidden/>
              </w:rPr>
            </w:r>
            <w:r>
              <w:rPr>
                <w:noProof/>
                <w:webHidden/>
              </w:rPr>
              <w:fldChar w:fldCharType="separate"/>
            </w:r>
            <w:r>
              <w:rPr>
                <w:noProof/>
                <w:webHidden/>
              </w:rPr>
              <w:t>64</w:t>
            </w:r>
            <w:r>
              <w:rPr>
                <w:noProof/>
                <w:webHidden/>
              </w:rPr>
              <w:fldChar w:fldCharType="end"/>
            </w:r>
          </w:hyperlink>
        </w:p>
        <w:p w14:paraId="5A5CA074" w14:textId="3C383DA3" w:rsidR="00FD4542" w:rsidRDefault="00FD4542">
          <w:pPr>
            <w:pStyle w:val="TOC3"/>
            <w:tabs>
              <w:tab w:val="right" w:leader="dot" w:pos="9016"/>
            </w:tabs>
            <w:rPr>
              <w:rFonts w:eastAsiaTheme="minorEastAsia"/>
              <w:noProof/>
              <w:lang w:eastAsia="en-GB"/>
            </w:rPr>
          </w:pPr>
          <w:hyperlink w:anchor="_Toc52396376" w:history="1">
            <w:r w:rsidRPr="00E5372A">
              <w:rPr>
                <w:rStyle w:val="Hyperlink"/>
                <w:noProof/>
              </w:rPr>
              <w:t>Alimentary tract and metabolism</w:t>
            </w:r>
            <w:r>
              <w:rPr>
                <w:noProof/>
                <w:webHidden/>
              </w:rPr>
              <w:tab/>
            </w:r>
            <w:r>
              <w:rPr>
                <w:noProof/>
                <w:webHidden/>
              </w:rPr>
              <w:fldChar w:fldCharType="begin"/>
            </w:r>
            <w:r>
              <w:rPr>
                <w:noProof/>
                <w:webHidden/>
              </w:rPr>
              <w:instrText xml:space="preserve"> PAGEREF _Toc52396376 \h </w:instrText>
            </w:r>
            <w:r>
              <w:rPr>
                <w:noProof/>
                <w:webHidden/>
              </w:rPr>
            </w:r>
            <w:r>
              <w:rPr>
                <w:noProof/>
                <w:webHidden/>
              </w:rPr>
              <w:fldChar w:fldCharType="separate"/>
            </w:r>
            <w:r>
              <w:rPr>
                <w:noProof/>
                <w:webHidden/>
              </w:rPr>
              <w:t>65</w:t>
            </w:r>
            <w:r>
              <w:rPr>
                <w:noProof/>
                <w:webHidden/>
              </w:rPr>
              <w:fldChar w:fldCharType="end"/>
            </w:r>
          </w:hyperlink>
        </w:p>
        <w:p w14:paraId="2E845BD5" w14:textId="5480848E" w:rsidR="00FD4542" w:rsidRDefault="00FD4542">
          <w:pPr>
            <w:pStyle w:val="TOC3"/>
            <w:tabs>
              <w:tab w:val="right" w:leader="dot" w:pos="9016"/>
            </w:tabs>
            <w:rPr>
              <w:rFonts w:eastAsiaTheme="minorEastAsia"/>
              <w:noProof/>
              <w:lang w:eastAsia="en-GB"/>
            </w:rPr>
          </w:pPr>
          <w:hyperlink w:anchor="_Toc52396377" w:history="1">
            <w:r w:rsidRPr="00E5372A">
              <w:rPr>
                <w:rStyle w:val="Hyperlink"/>
                <w:noProof/>
              </w:rPr>
              <w:t>Respiratory system</w:t>
            </w:r>
            <w:r>
              <w:rPr>
                <w:noProof/>
                <w:webHidden/>
              </w:rPr>
              <w:tab/>
            </w:r>
            <w:r>
              <w:rPr>
                <w:noProof/>
                <w:webHidden/>
              </w:rPr>
              <w:fldChar w:fldCharType="begin"/>
            </w:r>
            <w:r>
              <w:rPr>
                <w:noProof/>
                <w:webHidden/>
              </w:rPr>
              <w:instrText xml:space="preserve"> PAGEREF _Toc52396377 \h </w:instrText>
            </w:r>
            <w:r>
              <w:rPr>
                <w:noProof/>
                <w:webHidden/>
              </w:rPr>
            </w:r>
            <w:r>
              <w:rPr>
                <w:noProof/>
                <w:webHidden/>
              </w:rPr>
              <w:fldChar w:fldCharType="separate"/>
            </w:r>
            <w:r>
              <w:rPr>
                <w:noProof/>
                <w:webHidden/>
              </w:rPr>
              <w:t>67</w:t>
            </w:r>
            <w:r>
              <w:rPr>
                <w:noProof/>
                <w:webHidden/>
              </w:rPr>
              <w:fldChar w:fldCharType="end"/>
            </w:r>
          </w:hyperlink>
        </w:p>
        <w:p w14:paraId="26C3BE1E" w14:textId="02E1F139" w:rsidR="00FD4542" w:rsidRDefault="00FD4542">
          <w:pPr>
            <w:pStyle w:val="TOC3"/>
            <w:tabs>
              <w:tab w:val="right" w:leader="dot" w:pos="9016"/>
            </w:tabs>
            <w:rPr>
              <w:rFonts w:eastAsiaTheme="minorEastAsia"/>
              <w:noProof/>
              <w:lang w:eastAsia="en-GB"/>
            </w:rPr>
          </w:pPr>
          <w:hyperlink w:anchor="_Toc52396378" w:history="1">
            <w:r w:rsidRPr="00E5372A">
              <w:rPr>
                <w:rStyle w:val="Hyperlink"/>
                <w:noProof/>
              </w:rPr>
              <w:t>Systemic hormonal preparations, excluding sex hormones</w:t>
            </w:r>
            <w:r>
              <w:rPr>
                <w:noProof/>
                <w:webHidden/>
              </w:rPr>
              <w:tab/>
            </w:r>
            <w:r>
              <w:rPr>
                <w:noProof/>
                <w:webHidden/>
              </w:rPr>
              <w:fldChar w:fldCharType="begin"/>
            </w:r>
            <w:r>
              <w:rPr>
                <w:noProof/>
                <w:webHidden/>
              </w:rPr>
              <w:instrText xml:space="preserve"> PAGEREF _Toc52396378 \h </w:instrText>
            </w:r>
            <w:r>
              <w:rPr>
                <w:noProof/>
                <w:webHidden/>
              </w:rPr>
            </w:r>
            <w:r>
              <w:rPr>
                <w:noProof/>
                <w:webHidden/>
              </w:rPr>
              <w:fldChar w:fldCharType="separate"/>
            </w:r>
            <w:r>
              <w:rPr>
                <w:noProof/>
                <w:webHidden/>
              </w:rPr>
              <w:t>68</w:t>
            </w:r>
            <w:r>
              <w:rPr>
                <w:noProof/>
                <w:webHidden/>
              </w:rPr>
              <w:fldChar w:fldCharType="end"/>
            </w:r>
          </w:hyperlink>
        </w:p>
        <w:p w14:paraId="3E61402B" w14:textId="1A895224" w:rsidR="00FD4542" w:rsidRDefault="00FD4542">
          <w:pPr>
            <w:pStyle w:val="TOC3"/>
            <w:tabs>
              <w:tab w:val="right" w:leader="dot" w:pos="9016"/>
            </w:tabs>
            <w:rPr>
              <w:rFonts w:eastAsiaTheme="minorEastAsia"/>
              <w:noProof/>
              <w:lang w:eastAsia="en-GB"/>
            </w:rPr>
          </w:pPr>
          <w:hyperlink w:anchor="_Toc52396379" w:history="1">
            <w:r w:rsidRPr="00E5372A">
              <w:rPr>
                <w:rStyle w:val="Hyperlink"/>
                <w:noProof/>
              </w:rPr>
              <w:t>Musculoskeletal system</w:t>
            </w:r>
            <w:r>
              <w:rPr>
                <w:noProof/>
                <w:webHidden/>
              </w:rPr>
              <w:tab/>
            </w:r>
            <w:r>
              <w:rPr>
                <w:noProof/>
                <w:webHidden/>
              </w:rPr>
              <w:fldChar w:fldCharType="begin"/>
            </w:r>
            <w:r>
              <w:rPr>
                <w:noProof/>
                <w:webHidden/>
              </w:rPr>
              <w:instrText xml:space="preserve"> PAGEREF _Toc52396379 \h </w:instrText>
            </w:r>
            <w:r>
              <w:rPr>
                <w:noProof/>
                <w:webHidden/>
              </w:rPr>
            </w:r>
            <w:r>
              <w:rPr>
                <w:noProof/>
                <w:webHidden/>
              </w:rPr>
              <w:fldChar w:fldCharType="separate"/>
            </w:r>
            <w:r>
              <w:rPr>
                <w:noProof/>
                <w:webHidden/>
              </w:rPr>
              <w:t>68</w:t>
            </w:r>
            <w:r>
              <w:rPr>
                <w:noProof/>
                <w:webHidden/>
              </w:rPr>
              <w:fldChar w:fldCharType="end"/>
            </w:r>
          </w:hyperlink>
        </w:p>
        <w:p w14:paraId="33E77F19" w14:textId="21D27811" w:rsidR="00FD4542" w:rsidRDefault="00FD4542">
          <w:pPr>
            <w:pStyle w:val="TOC3"/>
            <w:tabs>
              <w:tab w:val="right" w:leader="dot" w:pos="9016"/>
            </w:tabs>
            <w:rPr>
              <w:rFonts w:eastAsiaTheme="minorEastAsia"/>
              <w:noProof/>
              <w:lang w:eastAsia="en-GB"/>
            </w:rPr>
          </w:pPr>
          <w:hyperlink w:anchor="_Toc52396380" w:history="1">
            <w:r w:rsidRPr="00E5372A">
              <w:rPr>
                <w:rStyle w:val="Hyperlink"/>
                <w:noProof/>
              </w:rPr>
              <w:t>Sensory organs</w:t>
            </w:r>
            <w:r>
              <w:rPr>
                <w:noProof/>
                <w:webHidden/>
              </w:rPr>
              <w:tab/>
            </w:r>
            <w:r>
              <w:rPr>
                <w:noProof/>
                <w:webHidden/>
              </w:rPr>
              <w:fldChar w:fldCharType="begin"/>
            </w:r>
            <w:r>
              <w:rPr>
                <w:noProof/>
                <w:webHidden/>
              </w:rPr>
              <w:instrText xml:space="preserve"> PAGEREF _Toc52396380 \h </w:instrText>
            </w:r>
            <w:r>
              <w:rPr>
                <w:noProof/>
                <w:webHidden/>
              </w:rPr>
            </w:r>
            <w:r>
              <w:rPr>
                <w:noProof/>
                <w:webHidden/>
              </w:rPr>
              <w:fldChar w:fldCharType="separate"/>
            </w:r>
            <w:r>
              <w:rPr>
                <w:noProof/>
                <w:webHidden/>
              </w:rPr>
              <w:t>68</w:t>
            </w:r>
            <w:r>
              <w:rPr>
                <w:noProof/>
                <w:webHidden/>
              </w:rPr>
              <w:fldChar w:fldCharType="end"/>
            </w:r>
          </w:hyperlink>
        </w:p>
        <w:p w14:paraId="5303B4E1" w14:textId="7A3752F4" w:rsidR="00FD4542" w:rsidRDefault="00FD4542">
          <w:pPr>
            <w:pStyle w:val="TOC3"/>
            <w:tabs>
              <w:tab w:val="right" w:leader="dot" w:pos="9016"/>
            </w:tabs>
            <w:rPr>
              <w:rFonts w:eastAsiaTheme="minorEastAsia"/>
              <w:noProof/>
              <w:lang w:eastAsia="en-GB"/>
            </w:rPr>
          </w:pPr>
          <w:hyperlink w:anchor="_Toc52396381" w:history="1">
            <w:r w:rsidRPr="00E5372A">
              <w:rPr>
                <w:rStyle w:val="Hyperlink"/>
                <w:noProof/>
              </w:rPr>
              <w:t>Antineoplastic and immunomodulating agents</w:t>
            </w:r>
            <w:r>
              <w:rPr>
                <w:noProof/>
                <w:webHidden/>
              </w:rPr>
              <w:tab/>
            </w:r>
            <w:r>
              <w:rPr>
                <w:noProof/>
                <w:webHidden/>
              </w:rPr>
              <w:fldChar w:fldCharType="begin"/>
            </w:r>
            <w:r>
              <w:rPr>
                <w:noProof/>
                <w:webHidden/>
              </w:rPr>
              <w:instrText xml:space="preserve"> PAGEREF _Toc52396381 \h </w:instrText>
            </w:r>
            <w:r>
              <w:rPr>
                <w:noProof/>
                <w:webHidden/>
              </w:rPr>
            </w:r>
            <w:r>
              <w:rPr>
                <w:noProof/>
                <w:webHidden/>
              </w:rPr>
              <w:fldChar w:fldCharType="separate"/>
            </w:r>
            <w:r>
              <w:rPr>
                <w:noProof/>
                <w:webHidden/>
              </w:rPr>
              <w:t>69</w:t>
            </w:r>
            <w:r>
              <w:rPr>
                <w:noProof/>
                <w:webHidden/>
              </w:rPr>
              <w:fldChar w:fldCharType="end"/>
            </w:r>
          </w:hyperlink>
        </w:p>
        <w:p w14:paraId="503EEA90" w14:textId="1A9F1AC3" w:rsidR="00FD4542" w:rsidRDefault="00FD4542">
          <w:pPr>
            <w:pStyle w:val="TOC3"/>
            <w:tabs>
              <w:tab w:val="right" w:leader="dot" w:pos="9016"/>
            </w:tabs>
            <w:rPr>
              <w:rFonts w:eastAsiaTheme="minorEastAsia"/>
              <w:noProof/>
              <w:lang w:eastAsia="en-GB"/>
            </w:rPr>
          </w:pPr>
          <w:hyperlink w:anchor="_Toc52396382" w:history="1">
            <w:r w:rsidRPr="00E5372A">
              <w:rPr>
                <w:rStyle w:val="Hyperlink"/>
                <w:noProof/>
              </w:rPr>
              <w:t>Genitourinary system and sex hormones</w:t>
            </w:r>
            <w:r>
              <w:rPr>
                <w:noProof/>
                <w:webHidden/>
              </w:rPr>
              <w:tab/>
            </w:r>
            <w:r>
              <w:rPr>
                <w:noProof/>
                <w:webHidden/>
              </w:rPr>
              <w:fldChar w:fldCharType="begin"/>
            </w:r>
            <w:r>
              <w:rPr>
                <w:noProof/>
                <w:webHidden/>
              </w:rPr>
              <w:instrText xml:space="preserve"> PAGEREF _Toc52396382 \h </w:instrText>
            </w:r>
            <w:r>
              <w:rPr>
                <w:noProof/>
                <w:webHidden/>
              </w:rPr>
            </w:r>
            <w:r>
              <w:rPr>
                <w:noProof/>
                <w:webHidden/>
              </w:rPr>
              <w:fldChar w:fldCharType="separate"/>
            </w:r>
            <w:r>
              <w:rPr>
                <w:noProof/>
                <w:webHidden/>
              </w:rPr>
              <w:t>69</w:t>
            </w:r>
            <w:r>
              <w:rPr>
                <w:noProof/>
                <w:webHidden/>
              </w:rPr>
              <w:fldChar w:fldCharType="end"/>
            </w:r>
          </w:hyperlink>
        </w:p>
        <w:p w14:paraId="18B97373" w14:textId="298D9A24" w:rsidR="00FD4542" w:rsidRDefault="00FD4542">
          <w:pPr>
            <w:pStyle w:val="TOC3"/>
            <w:tabs>
              <w:tab w:val="right" w:leader="dot" w:pos="9016"/>
            </w:tabs>
            <w:rPr>
              <w:rFonts w:eastAsiaTheme="minorEastAsia"/>
              <w:noProof/>
              <w:lang w:eastAsia="en-GB"/>
            </w:rPr>
          </w:pPr>
          <w:hyperlink w:anchor="_Toc52396383" w:history="1">
            <w:r w:rsidRPr="00E5372A">
              <w:rPr>
                <w:rStyle w:val="Hyperlink"/>
                <w:noProof/>
              </w:rPr>
              <w:t>Dermatologics</w:t>
            </w:r>
            <w:r>
              <w:rPr>
                <w:noProof/>
                <w:webHidden/>
              </w:rPr>
              <w:tab/>
            </w:r>
            <w:r>
              <w:rPr>
                <w:noProof/>
                <w:webHidden/>
              </w:rPr>
              <w:fldChar w:fldCharType="begin"/>
            </w:r>
            <w:r>
              <w:rPr>
                <w:noProof/>
                <w:webHidden/>
              </w:rPr>
              <w:instrText xml:space="preserve"> PAGEREF _Toc52396383 \h </w:instrText>
            </w:r>
            <w:r>
              <w:rPr>
                <w:noProof/>
                <w:webHidden/>
              </w:rPr>
            </w:r>
            <w:r>
              <w:rPr>
                <w:noProof/>
                <w:webHidden/>
              </w:rPr>
              <w:fldChar w:fldCharType="separate"/>
            </w:r>
            <w:r>
              <w:rPr>
                <w:noProof/>
                <w:webHidden/>
              </w:rPr>
              <w:t>69</w:t>
            </w:r>
            <w:r>
              <w:rPr>
                <w:noProof/>
                <w:webHidden/>
              </w:rPr>
              <w:fldChar w:fldCharType="end"/>
            </w:r>
          </w:hyperlink>
        </w:p>
        <w:p w14:paraId="1D8ED427" w14:textId="0115BEAE" w:rsidR="00FD4542" w:rsidRDefault="00FD4542">
          <w:pPr>
            <w:pStyle w:val="TOC3"/>
            <w:tabs>
              <w:tab w:val="right" w:leader="dot" w:pos="9016"/>
            </w:tabs>
            <w:rPr>
              <w:rFonts w:eastAsiaTheme="minorEastAsia"/>
              <w:noProof/>
              <w:lang w:eastAsia="en-GB"/>
            </w:rPr>
          </w:pPr>
          <w:hyperlink w:anchor="_Toc52396384" w:history="1">
            <w:r w:rsidRPr="00E5372A">
              <w:rPr>
                <w:rStyle w:val="Hyperlink"/>
                <w:noProof/>
              </w:rPr>
              <w:t>Antiparasitic products, insecticides and repellents</w:t>
            </w:r>
            <w:r>
              <w:rPr>
                <w:noProof/>
                <w:webHidden/>
              </w:rPr>
              <w:tab/>
            </w:r>
            <w:r>
              <w:rPr>
                <w:noProof/>
                <w:webHidden/>
              </w:rPr>
              <w:fldChar w:fldCharType="begin"/>
            </w:r>
            <w:r>
              <w:rPr>
                <w:noProof/>
                <w:webHidden/>
              </w:rPr>
              <w:instrText xml:space="preserve"> PAGEREF _Toc52396384 \h </w:instrText>
            </w:r>
            <w:r>
              <w:rPr>
                <w:noProof/>
                <w:webHidden/>
              </w:rPr>
            </w:r>
            <w:r>
              <w:rPr>
                <w:noProof/>
                <w:webHidden/>
              </w:rPr>
              <w:fldChar w:fldCharType="separate"/>
            </w:r>
            <w:r>
              <w:rPr>
                <w:noProof/>
                <w:webHidden/>
              </w:rPr>
              <w:t>70</w:t>
            </w:r>
            <w:r>
              <w:rPr>
                <w:noProof/>
                <w:webHidden/>
              </w:rPr>
              <w:fldChar w:fldCharType="end"/>
            </w:r>
          </w:hyperlink>
        </w:p>
        <w:p w14:paraId="0B6D99B0" w14:textId="370C8AE5" w:rsidR="00FD4542" w:rsidRDefault="00FD4542">
          <w:pPr>
            <w:pStyle w:val="TOC3"/>
            <w:tabs>
              <w:tab w:val="right" w:leader="dot" w:pos="9016"/>
            </w:tabs>
            <w:rPr>
              <w:rFonts w:eastAsiaTheme="minorEastAsia"/>
              <w:noProof/>
              <w:lang w:eastAsia="en-GB"/>
            </w:rPr>
          </w:pPr>
          <w:hyperlink w:anchor="_Toc52396385" w:history="1">
            <w:r w:rsidRPr="00E5372A">
              <w:rPr>
                <w:rStyle w:val="Hyperlink"/>
                <w:noProof/>
              </w:rPr>
              <w:t>Various</w:t>
            </w:r>
            <w:r>
              <w:rPr>
                <w:noProof/>
                <w:webHidden/>
              </w:rPr>
              <w:tab/>
            </w:r>
            <w:r>
              <w:rPr>
                <w:noProof/>
                <w:webHidden/>
              </w:rPr>
              <w:fldChar w:fldCharType="begin"/>
            </w:r>
            <w:r>
              <w:rPr>
                <w:noProof/>
                <w:webHidden/>
              </w:rPr>
              <w:instrText xml:space="preserve"> PAGEREF _Toc52396385 \h </w:instrText>
            </w:r>
            <w:r>
              <w:rPr>
                <w:noProof/>
                <w:webHidden/>
              </w:rPr>
            </w:r>
            <w:r>
              <w:rPr>
                <w:noProof/>
                <w:webHidden/>
              </w:rPr>
              <w:fldChar w:fldCharType="separate"/>
            </w:r>
            <w:r>
              <w:rPr>
                <w:noProof/>
                <w:webHidden/>
              </w:rPr>
              <w:t>70</w:t>
            </w:r>
            <w:r>
              <w:rPr>
                <w:noProof/>
                <w:webHidden/>
              </w:rPr>
              <w:fldChar w:fldCharType="end"/>
            </w:r>
          </w:hyperlink>
        </w:p>
        <w:p w14:paraId="06ADAD4A" w14:textId="179C19B2" w:rsidR="00FD4542" w:rsidRDefault="00FD4542">
          <w:pPr>
            <w:pStyle w:val="TOC1"/>
            <w:rPr>
              <w:rFonts w:eastAsiaTheme="minorEastAsia"/>
              <w:lang w:eastAsia="en-GB"/>
            </w:rPr>
          </w:pPr>
          <w:hyperlink w:anchor="_Toc52396386" w:history="1">
            <w:r w:rsidRPr="00E5372A">
              <w:rPr>
                <w:rStyle w:val="Hyperlink"/>
              </w:rPr>
              <w:t>Appendix 22. ADR Reported Severity.</w:t>
            </w:r>
            <w:r>
              <w:rPr>
                <w:webHidden/>
              </w:rPr>
              <w:tab/>
            </w:r>
            <w:r>
              <w:rPr>
                <w:webHidden/>
              </w:rPr>
              <w:fldChar w:fldCharType="begin"/>
            </w:r>
            <w:r>
              <w:rPr>
                <w:webHidden/>
              </w:rPr>
              <w:instrText xml:space="preserve"> PAGEREF _Toc52396386 \h </w:instrText>
            </w:r>
            <w:r>
              <w:rPr>
                <w:webHidden/>
              </w:rPr>
            </w:r>
            <w:r>
              <w:rPr>
                <w:webHidden/>
              </w:rPr>
              <w:fldChar w:fldCharType="separate"/>
            </w:r>
            <w:r>
              <w:rPr>
                <w:webHidden/>
              </w:rPr>
              <w:t>71</w:t>
            </w:r>
            <w:r>
              <w:rPr>
                <w:webHidden/>
              </w:rPr>
              <w:fldChar w:fldCharType="end"/>
            </w:r>
          </w:hyperlink>
        </w:p>
        <w:p w14:paraId="4FDD93C6" w14:textId="1E384899" w:rsidR="00FD4542" w:rsidRDefault="00FD4542">
          <w:pPr>
            <w:pStyle w:val="TOC2"/>
            <w:tabs>
              <w:tab w:val="right" w:leader="dot" w:pos="9016"/>
            </w:tabs>
            <w:rPr>
              <w:rFonts w:eastAsiaTheme="minorEastAsia"/>
              <w:noProof/>
              <w:lang w:eastAsia="en-GB"/>
            </w:rPr>
          </w:pPr>
          <w:hyperlink w:anchor="_Toc52396387" w:history="1">
            <w:r w:rsidRPr="00E5372A">
              <w:rPr>
                <w:rStyle w:val="Hyperlink"/>
                <w:noProof/>
              </w:rPr>
              <w:t>Appendix 23. Meta-analysis ADR Reported Severity</w:t>
            </w:r>
            <w:r>
              <w:rPr>
                <w:noProof/>
                <w:webHidden/>
              </w:rPr>
              <w:tab/>
            </w:r>
            <w:r>
              <w:rPr>
                <w:noProof/>
                <w:webHidden/>
              </w:rPr>
              <w:fldChar w:fldCharType="begin"/>
            </w:r>
            <w:r>
              <w:rPr>
                <w:noProof/>
                <w:webHidden/>
              </w:rPr>
              <w:instrText xml:space="preserve"> PAGEREF _Toc52396387 \h </w:instrText>
            </w:r>
            <w:r>
              <w:rPr>
                <w:noProof/>
                <w:webHidden/>
              </w:rPr>
            </w:r>
            <w:r>
              <w:rPr>
                <w:noProof/>
                <w:webHidden/>
              </w:rPr>
              <w:fldChar w:fldCharType="separate"/>
            </w:r>
            <w:r>
              <w:rPr>
                <w:noProof/>
                <w:webHidden/>
              </w:rPr>
              <w:t>72</w:t>
            </w:r>
            <w:r>
              <w:rPr>
                <w:noProof/>
                <w:webHidden/>
              </w:rPr>
              <w:fldChar w:fldCharType="end"/>
            </w:r>
          </w:hyperlink>
        </w:p>
        <w:p w14:paraId="027AECFF" w14:textId="3E597667" w:rsidR="00FD4542" w:rsidRDefault="00FD4542">
          <w:pPr>
            <w:pStyle w:val="TOC1"/>
            <w:rPr>
              <w:rFonts w:eastAsiaTheme="minorEastAsia"/>
              <w:lang w:eastAsia="en-GB"/>
            </w:rPr>
          </w:pPr>
          <w:hyperlink w:anchor="_Toc52396388" w:history="1">
            <w:r w:rsidRPr="00E5372A">
              <w:rPr>
                <w:rStyle w:val="Hyperlink"/>
              </w:rPr>
              <w:t>Appendix 24. Preventability</w:t>
            </w:r>
            <w:r>
              <w:rPr>
                <w:webHidden/>
              </w:rPr>
              <w:tab/>
            </w:r>
            <w:r>
              <w:rPr>
                <w:webHidden/>
              </w:rPr>
              <w:fldChar w:fldCharType="begin"/>
            </w:r>
            <w:r>
              <w:rPr>
                <w:webHidden/>
              </w:rPr>
              <w:instrText xml:space="preserve"> PAGEREF _Toc52396388 \h </w:instrText>
            </w:r>
            <w:r>
              <w:rPr>
                <w:webHidden/>
              </w:rPr>
            </w:r>
            <w:r>
              <w:rPr>
                <w:webHidden/>
              </w:rPr>
              <w:fldChar w:fldCharType="separate"/>
            </w:r>
            <w:r>
              <w:rPr>
                <w:webHidden/>
              </w:rPr>
              <w:t>73</w:t>
            </w:r>
            <w:r>
              <w:rPr>
                <w:webHidden/>
              </w:rPr>
              <w:fldChar w:fldCharType="end"/>
            </w:r>
          </w:hyperlink>
        </w:p>
        <w:p w14:paraId="40E2B2DA" w14:textId="0C060CFE" w:rsidR="00FD4542" w:rsidRDefault="00FD4542">
          <w:pPr>
            <w:pStyle w:val="TOC2"/>
            <w:tabs>
              <w:tab w:val="right" w:leader="dot" w:pos="9016"/>
            </w:tabs>
            <w:rPr>
              <w:rFonts w:eastAsiaTheme="minorEastAsia"/>
              <w:noProof/>
              <w:lang w:eastAsia="en-GB"/>
            </w:rPr>
          </w:pPr>
          <w:hyperlink w:anchor="_Toc52396389" w:history="1">
            <w:r w:rsidRPr="00E5372A">
              <w:rPr>
                <w:rStyle w:val="Hyperlink"/>
                <w:noProof/>
              </w:rPr>
              <w:t>Appendix 25. Meta-analysis of pooled estimate of “preventable” ADRs in studies (n=4) using Hallas tool</w:t>
            </w:r>
            <w:r>
              <w:rPr>
                <w:noProof/>
                <w:webHidden/>
              </w:rPr>
              <w:tab/>
            </w:r>
            <w:r>
              <w:rPr>
                <w:noProof/>
                <w:webHidden/>
              </w:rPr>
              <w:fldChar w:fldCharType="begin"/>
            </w:r>
            <w:r>
              <w:rPr>
                <w:noProof/>
                <w:webHidden/>
              </w:rPr>
              <w:instrText xml:space="preserve"> PAGEREF _Toc52396389 \h </w:instrText>
            </w:r>
            <w:r>
              <w:rPr>
                <w:noProof/>
                <w:webHidden/>
              </w:rPr>
            </w:r>
            <w:r>
              <w:rPr>
                <w:noProof/>
                <w:webHidden/>
              </w:rPr>
              <w:fldChar w:fldCharType="separate"/>
            </w:r>
            <w:r>
              <w:rPr>
                <w:noProof/>
                <w:webHidden/>
              </w:rPr>
              <w:t>74</w:t>
            </w:r>
            <w:r>
              <w:rPr>
                <w:noProof/>
                <w:webHidden/>
              </w:rPr>
              <w:fldChar w:fldCharType="end"/>
            </w:r>
          </w:hyperlink>
        </w:p>
        <w:p w14:paraId="53F42239" w14:textId="737676B4" w:rsidR="00FD4542" w:rsidRDefault="00FD4542">
          <w:pPr>
            <w:pStyle w:val="TOC1"/>
            <w:rPr>
              <w:rFonts w:eastAsiaTheme="minorEastAsia"/>
              <w:lang w:eastAsia="en-GB"/>
            </w:rPr>
          </w:pPr>
          <w:hyperlink w:anchor="_Toc52396390" w:history="1">
            <w:r w:rsidRPr="00E5372A">
              <w:rPr>
                <w:rStyle w:val="Hyperlink"/>
              </w:rPr>
              <w:t>Appendix 26. Reported Polypharmacy</w:t>
            </w:r>
            <w:r>
              <w:rPr>
                <w:webHidden/>
              </w:rPr>
              <w:tab/>
            </w:r>
            <w:r>
              <w:rPr>
                <w:webHidden/>
              </w:rPr>
              <w:fldChar w:fldCharType="begin"/>
            </w:r>
            <w:r>
              <w:rPr>
                <w:webHidden/>
              </w:rPr>
              <w:instrText xml:space="preserve"> PAGEREF _Toc52396390 \h </w:instrText>
            </w:r>
            <w:r>
              <w:rPr>
                <w:webHidden/>
              </w:rPr>
            </w:r>
            <w:r>
              <w:rPr>
                <w:webHidden/>
              </w:rPr>
              <w:fldChar w:fldCharType="separate"/>
            </w:r>
            <w:r>
              <w:rPr>
                <w:webHidden/>
              </w:rPr>
              <w:t>74</w:t>
            </w:r>
            <w:r>
              <w:rPr>
                <w:webHidden/>
              </w:rPr>
              <w:fldChar w:fldCharType="end"/>
            </w:r>
          </w:hyperlink>
        </w:p>
        <w:p w14:paraId="57D1CB0F" w14:textId="5BA85468" w:rsidR="00FD4542" w:rsidRDefault="00FD4542">
          <w:pPr>
            <w:pStyle w:val="TOC1"/>
            <w:rPr>
              <w:rFonts w:eastAsiaTheme="minorEastAsia"/>
              <w:lang w:eastAsia="en-GB"/>
            </w:rPr>
          </w:pPr>
          <w:hyperlink w:anchor="_Toc52396391" w:history="1">
            <w:r w:rsidRPr="00E5372A">
              <w:rPr>
                <w:rStyle w:val="Hyperlink"/>
                <w:lang w:eastAsia="en-GB"/>
              </w:rPr>
              <w:t>Appendix 27. Reported multi-morbidity</w:t>
            </w:r>
            <w:r>
              <w:rPr>
                <w:webHidden/>
              </w:rPr>
              <w:tab/>
            </w:r>
            <w:r>
              <w:rPr>
                <w:webHidden/>
              </w:rPr>
              <w:fldChar w:fldCharType="begin"/>
            </w:r>
            <w:r>
              <w:rPr>
                <w:webHidden/>
              </w:rPr>
              <w:instrText xml:space="preserve"> PAGEREF _Toc52396391 \h </w:instrText>
            </w:r>
            <w:r>
              <w:rPr>
                <w:webHidden/>
              </w:rPr>
            </w:r>
            <w:r>
              <w:rPr>
                <w:webHidden/>
              </w:rPr>
              <w:fldChar w:fldCharType="separate"/>
            </w:r>
            <w:r>
              <w:rPr>
                <w:webHidden/>
              </w:rPr>
              <w:t>76</w:t>
            </w:r>
            <w:r>
              <w:rPr>
                <w:webHidden/>
              </w:rPr>
              <w:fldChar w:fldCharType="end"/>
            </w:r>
          </w:hyperlink>
        </w:p>
        <w:p w14:paraId="2667DCF0" w14:textId="4F3B837C" w:rsidR="00FD4542" w:rsidRDefault="00FD4542">
          <w:pPr>
            <w:pStyle w:val="TOC1"/>
            <w:rPr>
              <w:rFonts w:eastAsiaTheme="minorEastAsia"/>
              <w:lang w:eastAsia="en-GB"/>
            </w:rPr>
          </w:pPr>
          <w:hyperlink w:anchor="_Toc52396392" w:history="1">
            <w:r w:rsidRPr="00E5372A">
              <w:rPr>
                <w:rStyle w:val="Hyperlink"/>
              </w:rPr>
              <w:t>Appendix 28. Reported ADR outcomes</w:t>
            </w:r>
            <w:r>
              <w:rPr>
                <w:webHidden/>
              </w:rPr>
              <w:tab/>
            </w:r>
            <w:r>
              <w:rPr>
                <w:webHidden/>
              </w:rPr>
              <w:fldChar w:fldCharType="begin"/>
            </w:r>
            <w:r>
              <w:rPr>
                <w:webHidden/>
              </w:rPr>
              <w:instrText xml:space="preserve"> PAGEREF _Toc52396392 \h </w:instrText>
            </w:r>
            <w:r>
              <w:rPr>
                <w:webHidden/>
              </w:rPr>
            </w:r>
            <w:r>
              <w:rPr>
                <w:webHidden/>
              </w:rPr>
              <w:fldChar w:fldCharType="separate"/>
            </w:r>
            <w:r>
              <w:rPr>
                <w:webHidden/>
              </w:rPr>
              <w:t>77</w:t>
            </w:r>
            <w:r>
              <w:rPr>
                <w:webHidden/>
              </w:rPr>
              <w:fldChar w:fldCharType="end"/>
            </w:r>
          </w:hyperlink>
        </w:p>
        <w:p w14:paraId="79939889" w14:textId="44FA66EB" w:rsidR="00FD4542" w:rsidRDefault="00FD4542">
          <w:pPr>
            <w:pStyle w:val="TOC1"/>
            <w:rPr>
              <w:rFonts w:eastAsiaTheme="minorEastAsia"/>
              <w:lang w:eastAsia="en-GB"/>
            </w:rPr>
          </w:pPr>
          <w:hyperlink w:anchor="_Toc52396393" w:history="1">
            <w:r w:rsidRPr="00E5372A">
              <w:rPr>
                <w:rStyle w:val="Hyperlink"/>
              </w:rPr>
              <w:t>References</w:t>
            </w:r>
            <w:r>
              <w:rPr>
                <w:webHidden/>
              </w:rPr>
              <w:tab/>
            </w:r>
            <w:r>
              <w:rPr>
                <w:webHidden/>
              </w:rPr>
              <w:fldChar w:fldCharType="begin"/>
            </w:r>
            <w:r>
              <w:rPr>
                <w:webHidden/>
              </w:rPr>
              <w:instrText xml:space="preserve"> PAGEREF _Toc52396393 \h </w:instrText>
            </w:r>
            <w:r>
              <w:rPr>
                <w:webHidden/>
              </w:rPr>
            </w:r>
            <w:r>
              <w:rPr>
                <w:webHidden/>
              </w:rPr>
              <w:fldChar w:fldCharType="separate"/>
            </w:r>
            <w:r>
              <w:rPr>
                <w:webHidden/>
              </w:rPr>
              <w:t>79</w:t>
            </w:r>
            <w:r>
              <w:rPr>
                <w:webHidden/>
              </w:rPr>
              <w:fldChar w:fldCharType="end"/>
            </w:r>
          </w:hyperlink>
        </w:p>
        <w:p w14:paraId="610C3433" w14:textId="0CCC31FF" w:rsidR="007D57FB" w:rsidRDefault="007D57FB">
          <w:pPr>
            <w:rPr>
              <w:rFonts w:asciiTheme="majorHAnsi" w:eastAsiaTheme="majorEastAsia" w:hAnsiTheme="majorHAnsi" w:cstheme="majorBidi"/>
              <w:color w:val="2E74B5" w:themeColor="accent1" w:themeShade="BF"/>
              <w:sz w:val="32"/>
              <w:szCs w:val="32"/>
            </w:rPr>
          </w:pPr>
          <w:r>
            <w:rPr>
              <w:b/>
              <w:bCs/>
              <w:noProof/>
            </w:rPr>
            <w:fldChar w:fldCharType="end"/>
          </w:r>
        </w:p>
      </w:sdtContent>
    </w:sdt>
    <w:p w14:paraId="5435D7BC" w14:textId="77777777" w:rsidR="00E06236" w:rsidRDefault="00E06236">
      <w:pPr>
        <w:rPr>
          <w:rFonts w:asciiTheme="majorHAnsi" w:eastAsiaTheme="majorEastAsia" w:hAnsiTheme="majorHAnsi" w:cstheme="majorBidi"/>
          <w:color w:val="2E74B5" w:themeColor="accent1" w:themeShade="BF"/>
          <w:sz w:val="32"/>
          <w:szCs w:val="32"/>
        </w:rPr>
      </w:pPr>
      <w:r>
        <w:br w:type="page"/>
      </w:r>
    </w:p>
    <w:p w14:paraId="610C3434" w14:textId="0184ACC4" w:rsidR="007D57FB" w:rsidRPr="00DC6C38" w:rsidRDefault="00737863" w:rsidP="005B3E6B">
      <w:pPr>
        <w:pStyle w:val="Heading1"/>
      </w:pPr>
      <w:bookmarkStart w:id="0" w:name="_Toc52396323"/>
      <w:r>
        <w:t>Appendix 1.</w:t>
      </w:r>
      <w:r w:rsidR="007D57FB">
        <w:t xml:space="preserve"> MOOSE Checklist for Meta-analyses of Observational Studies</w:t>
      </w:r>
      <w:bookmarkEnd w:id="0"/>
    </w:p>
    <w:tbl>
      <w:tblPr>
        <w:tblW w:w="9894" w:type="dxa"/>
        <w:tblInd w:w="-5" w:type="dxa"/>
        <w:tblLook w:val="04A0" w:firstRow="1" w:lastRow="0" w:firstColumn="1" w:lastColumn="0" w:noHBand="0" w:noVBand="1"/>
      </w:tblPr>
      <w:tblGrid>
        <w:gridCol w:w="709"/>
        <w:gridCol w:w="5060"/>
        <w:gridCol w:w="2065"/>
        <w:gridCol w:w="2060"/>
      </w:tblGrid>
      <w:tr w:rsidR="007D57FB" w:rsidRPr="00752481" w14:paraId="610C3439" w14:textId="77777777" w:rsidTr="005B3E6B">
        <w:trPr>
          <w:trHeight w:val="520"/>
        </w:trPr>
        <w:tc>
          <w:tcPr>
            <w:tcW w:w="7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0C3435"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Item No</w:t>
            </w:r>
          </w:p>
        </w:tc>
        <w:tc>
          <w:tcPr>
            <w:tcW w:w="5060" w:type="dxa"/>
            <w:tcBorders>
              <w:top w:val="single" w:sz="4" w:space="0" w:color="auto"/>
              <w:left w:val="nil"/>
              <w:bottom w:val="single" w:sz="4" w:space="0" w:color="auto"/>
              <w:right w:val="single" w:sz="4" w:space="0" w:color="auto"/>
            </w:tcBorders>
            <w:shd w:val="clear" w:color="000000" w:fill="D9D9D9"/>
            <w:vAlign w:val="center"/>
            <w:hideMark/>
          </w:tcPr>
          <w:p w14:paraId="610C3436"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Recommendation</w:t>
            </w:r>
          </w:p>
        </w:tc>
        <w:tc>
          <w:tcPr>
            <w:tcW w:w="2065" w:type="dxa"/>
            <w:tcBorders>
              <w:top w:val="single" w:sz="4" w:space="0" w:color="auto"/>
              <w:left w:val="nil"/>
              <w:bottom w:val="single" w:sz="4" w:space="0" w:color="auto"/>
              <w:right w:val="single" w:sz="4" w:space="0" w:color="auto"/>
            </w:tcBorders>
            <w:shd w:val="clear" w:color="000000" w:fill="D9D9D9"/>
            <w:vAlign w:val="center"/>
            <w:hideMark/>
          </w:tcPr>
          <w:p w14:paraId="610C3437"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 xml:space="preserve">Described </w:t>
            </w:r>
          </w:p>
        </w:tc>
        <w:tc>
          <w:tcPr>
            <w:tcW w:w="2060" w:type="dxa"/>
            <w:tcBorders>
              <w:top w:val="single" w:sz="4" w:space="0" w:color="auto"/>
              <w:left w:val="nil"/>
              <w:bottom w:val="single" w:sz="4" w:space="0" w:color="auto"/>
              <w:right w:val="single" w:sz="4" w:space="0" w:color="auto"/>
            </w:tcBorders>
            <w:shd w:val="clear" w:color="000000" w:fill="D9D9D9"/>
            <w:vAlign w:val="center"/>
            <w:hideMark/>
          </w:tcPr>
          <w:p w14:paraId="610C3438"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Location in document</w:t>
            </w:r>
          </w:p>
        </w:tc>
      </w:tr>
      <w:tr w:rsidR="007D57FB" w:rsidRPr="00752481" w14:paraId="610C343C" w14:textId="77777777" w:rsidTr="005B3E6B">
        <w:trPr>
          <w:trHeight w:val="29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3A"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background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3B"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41"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3D"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w:t>
            </w:r>
          </w:p>
        </w:tc>
        <w:tc>
          <w:tcPr>
            <w:tcW w:w="5060" w:type="dxa"/>
            <w:tcBorders>
              <w:top w:val="nil"/>
              <w:left w:val="nil"/>
              <w:bottom w:val="single" w:sz="4" w:space="0" w:color="auto"/>
              <w:right w:val="single" w:sz="4" w:space="0" w:color="auto"/>
            </w:tcBorders>
            <w:shd w:val="clear" w:color="auto" w:fill="auto"/>
            <w:vAlign w:val="center"/>
            <w:hideMark/>
          </w:tcPr>
          <w:p w14:paraId="610C343E"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Problem definition</w:t>
            </w:r>
          </w:p>
        </w:tc>
        <w:tc>
          <w:tcPr>
            <w:tcW w:w="2065" w:type="dxa"/>
            <w:tcBorders>
              <w:top w:val="nil"/>
              <w:left w:val="nil"/>
              <w:bottom w:val="single" w:sz="4" w:space="0" w:color="auto"/>
              <w:right w:val="single" w:sz="4" w:space="0" w:color="auto"/>
            </w:tcBorders>
            <w:shd w:val="clear" w:color="auto" w:fill="auto"/>
            <w:vAlign w:val="center"/>
            <w:hideMark/>
          </w:tcPr>
          <w:p w14:paraId="610C343F"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40"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Introduction </w:t>
            </w:r>
          </w:p>
        </w:tc>
      </w:tr>
      <w:tr w:rsidR="007D57FB" w:rsidRPr="00752481" w14:paraId="610C3446"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42"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w:t>
            </w:r>
          </w:p>
        </w:tc>
        <w:tc>
          <w:tcPr>
            <w:tcW w:w="5060" w:type="dxa"/>
            <w:tcBorders>
              <w:top w:val="nil"/>
              <w:left w:val="nil"/>
              <w:bottom w:val="single" w:sz="4" w:space="0" w:color="auto"/>
              <w:right w:val="single" w:sz="4" w:space="0" w:color="auto"/>
            </w:tcBorders>
            <w:shd w:val="clear" w:color="auto" w:fill="auto"/>
            <w:vAlign w:val="center"/>
            <w:hideMark/>
          </w:tcPr>
          <w:p w14:paraId="610C3443"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Hypothesis statement</w:t>
            </w:r>
          </w:p>
        </w:tc>
        <w:tc>
          <w:tcPr>
            <w:tcW w:w="2065" w:type="dxa"/>
            <w:tcBorders>
              <w:top w:val="nil"/>
              <w:left w:val="nil"/>
              <w:bottom w:val="single" w:sz="4" w:space="0" w:color="auto"/>
              <w:right w:val="single" w:sz="4" w:space="0" w:color="auto"/>
            </w:tcBorders>
            <w:shd w:val="clear" w:color="auto" w:fill="auto"/>
            <w:vAlign w:val="center"/>
            <w:hideMark/>
          </w:tcPr>
          <w:p w14:paraId="610C3444"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45"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Introduction and Methods</w:t>
            </w:r>
          </w:p>
        </w:tc>
      </w:tr>
      <w:tr w:rsidR="007D57FB" w:rsidRPr="00752481" w14:paraId="610C344B"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47"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w:t>
            </w:r>
          </w:p>
        </w:tc>
        <w:tc>
          <w:tcPr>
            <w:tcW w:w="5060" w:type="dxa"/>
            <w:tcBorders>
              <w:top w:val="nil"/>
              <w:left w:val="nil"/>
              <w:bottom w:val="single" w:sz="4" w:space="0" w:color="auto"/>
              <w:right w:val="single" w:sz="4" w:space="0" w:color="auto"/>
            </w:tcBorders>
            <w:shd w:val="clear" w:color="auto" w:fill="auto"/>
            <w:vAlign w:val="center"/>
            <w:hideMark/>
          </w:tcPr>
          <w:p w14:paraId="610C3448"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Description of study outcome(s)</w:t>
            </w:r>
          </w:p>
        </w:tc>
        <w:tc>
          <w:tcPr>
            <w:tcW w:w="2065" w:type="dxa"/>
            <w:tcBorders>
              <w:top w:val="nil"/>
              <w:left w:val="nil"/>
              <w:bottom w:val="single" w:sz="4" w:space="0" w:color="auto"/>
              <w:right w:val="single" w:sz="4" w:space="0" w:color="auto"/>
            </w:tcBorders>
            <w:shd w:val="clear" w:color="auto" w:fill="auto"/>
            <w:vAlign w:val="center"/>
            <w:hideMark/>
          </w:tcPr>
          <w:p w14:paraId="610C3449"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4A"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Introduction and Methods</w:t>
            </w:r>
          </w:p>
        </w:tc>
      </w:tr>
      <w:tr w:rsidR="007D57FB" w:rsidRPr="00752481" w14:paraId="610C3450"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4C"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4</w:t>
            </w:r>
          </w:p>
        </w:tc>
        <w:tc>
          <w:tcPr>
            <w:tcW w:w="5060" w:type="dxa"/>
            <w:tcBorders>
              <w:top w:val="nil"/>
              <w:left w:val="nil"/>
              <w:bottom w:val="single" w:sz="4" w:space="0" w:color="auto"/>
              <w:right w:val="single" w:sz="4" w:space="0" w:color="auto"/>
            </w:tcBorders>
            <w:shd w:val="clear" w:color="auto" w:fill="auto"/>
            <w:vAlign w:val="center"/>
            <w:hideMark/>
          </w:tcPr>
          <w:p w14:paraId="610C344D"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Type of exposure or intervention used</w:t>
            </w:r>
          </w:p>
        </w:tc>
        <w:tc>
          <w:tcPr>
            <w:tcW w:w="2065" w:type="dxa"/>
            <w:tcBorders>
              <w:top w:val="nil"/>
              <w:left w:val="nil"/>
              <w:bottom w:val="single" w:sz="4" w:space="0" w:color="auto"/>
              <w:right w:val="single" w:sz="4" w:space="0" w:color="auto"/>
            </w:tcBorders>
            <w:shd w:val="clear" w:color="auto" w:fill="auto"/>
            <w:vAlign w:val="center"/>
            <w:hideMark/>
          </w:tcPr>
          <w:p w14:paraId="610C344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NA</w:t>
            </w:r>
          </w:p>
        </w:tc>
        <w:tc>
          <w:tcPr>
            <w:tcW w:w="2060" w:type="dxa"/>
            <w:tcBorders>
              <w:top w:val="nil"/>
              <w:left w:val="nil"/>
              <w:bottom w:val="single" w:sz="4" w:space="0" w:color="auto"/>
              <w:right w:val="single" w:sz="4" w:space="0" w:color="auto"/>
            </w:tcBorders>
            <w:shd w:val="clear" w:color="auto" w:fill="auto"/>
            <w:vAlign w:val="center"/>
            <w:hideMark/>
          </w:tcPr>
          <w:p w14:paraId="610C344F"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w:t>
            </w:r>
          </w:p>
        </w:tc>
      </w:tr>
      <w:tr w:rsidR="007D57FB" w:rsidRPr="00752481" w14:paraId="610C3455"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51"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5</w:t>
            </w:r>
          </w:p>
        </w:tc>
        <w:tc>
          <w:tcPr>
            <w:tcW w:w="5060" w:type="dxa"/>
            <w:tcBorders>
              <w:top w:val="nil"/>
              <w:left w:val="nil"/>
              <w:bottom w:val="single" w:sz="4" w:space="0" w:color="auto"/>
              <w:right w:val="single" w:sz="4" w:space="0" w:color="auto"/>
            </w:tcBorders>
            <w:shd w:val="clear" w:color="auto" w:fill="auto"/>
            <w:vAlign w:val="center"/>
            <w:hideMark/>
          </w:tcPr>
          <w:p w14:paraId="610C3452"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Type of study designs used</w:t>
            </w:r>
          </w:p>
        </w:tc>
        <w:tc>
          <w:tcPr>
            <w:tcW w:w="2065" w:type="dxa"/>
            <w:tcBorders>
              <w:top w:val="nil"/>
              <w:left w:val="nil"/>
              <w:bottom w:val="single" w:sz="4" w:space="0" w:color="auto"/>
              <w:right w:val="single" w:sz="4" w:space="0" w:color="auto"/>
            </w:tcBorders>
            <w:shd w:val="clear" w:color="auto" w:fill="auto"/>
            <w:vAlign w:val="center"/>
            <w:hideMark/>
          </w:tcPr>
          <w:p w14:paraId="610C3453"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5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Methods </w:t>
            </w:r>
          </w:p>
        </w:tc>
      </w:tr>
      <w:tr w:rsidR="007D57FB" w:rsidRPr="00752481" w14:paraId="610C345A"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5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6</w:t>
            </w:r>
          </w:p>
        </w:tc>
        <w:tc>
          <w:tcPr>
            <w:tcW w:w="5060" w:type="dxa"/>
            <w:tcBorders>
              <w:top w:val="nil"/>
              <w:left w:val="nil"/>
              <w:bottom w:val="single" w:sz="4" w:space="0" w:color="auto"/>
              <w:right w:val="single" w:sz="4" w:space="0" w:color="auto"/>
            </w:tcBorders>
            <w:shd w:val="clear" w:color="auto" w:fill="auto"/>
            <w:vAlign w:val="center"/>
            <w:hideMark/>
          </w:tcPr>
          <w:p w14:paraId="610C3457"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Study population</w:t>
            </w:r>
          </w:p>
        </w:tc>
        <w:tc>
          <w:tcPr>
            <w:tcW w:w="2065" w:type="dxa"/>
            <w:tcBorders>
              <w:top w:val="nil"/>
              <w:left w:val="nil"/>
              <w:bottom w:val="single" w:sz="4" w:space="0" w:color="auto"/>
              <w:right w:val="single" w:sz="4" w:space="0" w:color="auto"/>
            </w:tcBorders>
            <w:shd w:val="clear" w:color="auto" w:fill="auto"/>
            <w:vAlign w:val="center"/>
            <w:hideMark/>
          </w:tcPr>
          <w:p w14:paraId="610C3458"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59"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Methods </w:t>
            </w:r>
          </w:p>
        </w:tc>
      </w:tr>
      <w:tr w:rsidR="007D57FB" w:rsidRPr="00752481" w14:paraId="610C345D" w14:textId="77777777" w:rsidTr="005B3E6B">
        <w:trPr>
          <w:trHeight w:val="29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5B"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search strategy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5C"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62"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5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7</w:t>
            </w:r>
          </w:p>
        </w:tc>
        <w:tc>
          <w:tcPr>
            <w:tcW w:w="5060" w:type="dxa"/>
            <w:tcBorders>
              <w:top w:val="nil"/>
              <w:left w:val="nil"/>
              <w:bottom w:val="single" w:sz="4" w:space="0" w:color="auto"/>
              <w:right w:val="single" w:sz="4" w:space="0" w:color="auto"/>
            </w:tcBorders>
            <w:shd w:val="clear" w:color="auto" w:fill="auto"/>
            <w:vAlign w:val="center"/>
            <w:hideMark/>
          </w:tcPr>
          <w:p w14:paraId="610C345F"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Qualifications of searchers (eg, librarians and investigators)</w:t>
            </w:r>
          </w:p>
        </w:tc>
        <w:tc>
          <w:tcPr>
            <w:tcW w:w="2065" w:type="dxa"/>
            <w:tcBorders>
              <w:top w:val="nil"/>
              <w:left w:val="nil"/>
              <w:bottom w:val="single" w:sz="4" w:space="0" w:color="auto"/>
              <w:right w:val="single" w:sz="4" w:space="0" w:color="auto"/>
            </w:tcBorders>
            <w:shd w:val="clear" w:color="auto" w:fill="auto"/>
            <w:vAlign w:val="center"/>
            <w:hideMark/>
          </w:tcPr>
          <w:p w14:paraId="610C3460"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61"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67"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63"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8</w:t>
            </w:r>
          </w:p>
        </w:tc>
        <w:tc>
          <w:tcPr>
            <w:tcW w:w="5060" w:type="dxa"/>
            <w:tcBorders>
              <w:top w:val="nil"/>
              <w:left w:val="nil"/>
              <w:bottom w:val="single" w:sz="4" w:space="0" w:color="auto"/>
              <w:right w:val="single" w:sz="4" w:space="0" w:color="auto"/>
            </w:tcBorders>
            <w:shd w:val="clear" w:color="auto" w:fill="auto"/>
            <w:vAlign w:val="center"/>
            <w:hideMark/>
          </w:tcPr>
          <w:p w14:paraId="610C3464"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Search strategy, including time period included in the synthesis and key words</w:t>
            </w:r>
          </w:p>
        </w:tc>
        <w:tc>
          <w:tcPr>
            <w:tcW w:w="2065" w:type="dxa"/>
            <w:tcBorders>
              <w:top w:val="nil"/>
              <w:left w:val="nil"/>
              <w:bottom w:val="single" w:sz="4" w:space="0" w:color="auto"/>
              <w:right w:val="single" w:sz="4" w:space="0" w:color="auto"/>
            </w:tcBorders>
            <w:shd w:val="clear" w:color="auto" w:fill="auto"/>
            <w:vAlign w:val="center"/>
            <w:hideMark/>
          </w:tcPr>
          <w:p w14:paraId="610C3465"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6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Methods and eSupplement </w:t>
            </w:r>
          </w:p>
        </w:tc>
      </w:tr>
      <w:tr w:rsidR="007D57FB" w:rsidRPr="00752481" w14:paraId="610C346C"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68"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9</w:t>
            </w:r>
          </w:p>
        </w:tc>
        <w:tc>
          <w:tcPr>
            <w:tcW w:w="5060" w:type="dxa"/>
            <w:tcBorders>
              <w:top w:val="nil"/>
              <w:left w:val="nil"/>
              <w:bottom w:val="single" w:sz="4" w:space="0" w:color="auto"/>
              <w:right w:val="single" w:sz="4" w:space="0" w:color="auto"/>
            </w:tcBorders>
            <w:shd w:val="clear" w:color="auto" w:fill="auto"/>
            <w:vAlign w:val="center"/>
            <w:hideMark/>
          </w:tcPr>
          <w:p w14:paraId="610C3469"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Effort to include all available studies, including contact with authors</w:t>
            </w:r>
          </w:p>
        </w:tc>
        <w:tc>
          <w:tcPr>
            <w:tcW w:w="2065" w:type="dxa"/>
            <w:tcBorders>
              <w:top w:val="nil"/>
              <w:left w:val="nil"/>
              <w:bottom w:val="single" w:sz="4" w:space="0" w:color="auto"/>
              <w:right w:val="single" w:sz="4" w:space="0" w:color="auto"/>
            </w:tcBorders>
            <w:shd w:val="clear" w:color="auto" w:fill="auto"/>
            <w:vAlign w:val="center"/>
            <w:hideMark/>
          </w:tcPr>
          <w:p w14:paraId="610C346A"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6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71"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6D"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10</w:t>
            </w:r>
          </w:p>
        </w:tc>
        <w:tc>
          <w:tcPr>
            <w:tcW w:w="5060" w:type="dxa"/>
            <w:tcBorders>
              <w:top w:val="nil"/>
              <w:left w:val="nil"/>
              <w:bottom w:val="single" w:sz="4" w:space="0" w:color="auto"/>
              <w:right w:val="single" w:sz="4" w:space="0" w:color="auto"/>
            </w:tcBorders>
            <w:shd w:val="clear" w:color="auto" w:fill="auto"/>
            <w:vAlign w:val="center"/>
            <w:hideMark/>
          </w:tcPr>
          <w:p w14:paraId="610C346E"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Databases and registries searched</w:t>
            </w:r>
          </w:p>
        </w:tc>
        <w:tc>
          <w:tcPr>
            <w:tcW w:w="2065" w:type="dxa"/>
            <w:tcBorders>
              <w:top w:val="nil"/>
              <w:left w:val="nil"/>
              <w:bottom w:val="single" w:sz="4" w:space="0" w:color="auto"/>
              <w:right w:val="single" w:sz="4" w:space="0" w:color="auto"/>
            </w:tcBorders>
            <w:shd w:val="clear" w:color="auto" w:fill="auto"/>
            <w:vAlign w:val="center"/>
            <w:hideMark/>
          </w:tcPr>
          <w:p w14:paraId="610C346F"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70"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76"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72"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11</w:t>
            </w:r>
          </w:p>
        </w:tc>
        <w:tc>
          <w:tcPr>
            <w:tcW w:w="5060" w:type="dxa"/>
            <w:tcBorders>
              <w:top w:val="nil"/>
              <w:left w:val="nil"/>
              <w:bottom w:val="single" w:sz="4" w:space="0" w:color="auto"/>
              <w:right w:val="single" w:sz="4" w:space="0" w:color="auto"/>
            </w:tcBorders>
            <w:shd w:val="clear" w:color="auto" w:fill="auto"/>
            <w:vAlign w:val="center"/>
            <w:hideMark/>
          </w:tcPr>
          <w:p w14:paraId="610C3473"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Search software used, name and version, including special features used (eg, explosion)</w:t>
            </w:r>
          </w:p>
        </w:tc>
        <w:tc>
          <w:tcPr>
            <w:tcW w:w="2065" w:type="dxa"/>
            <w:tcBorders>
              <w:top w:val="nil"/>
              <w:left w:val="nil"/>
              <w:bottom w:val="single" w:sz="4" w:space="0" w:color="auto"/>
              <w:right w:val="single" w:sz="4" w:space="0" w:color="auto"/>
            </w:tcBorders>
            <w:shd w:val="clear" w:color="auto" w:fill="auto"/>
            <w:vAlign w:val="center"/>
            <w:hideMark/>
          </w:tcPr>
          <w:p w14:paraId="610C3474"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75"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 and eSupplement</w:t>
            </w:r>
          </w:p>
        </w:tc>
      </w:tr>
      <w:tr w:rsidR="007D57FB" w:rsidRPr="00752481" w14:paraId="610C347B"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77"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12</w:t>
            </w:r>
          </w:p>
        </w:tc>
        <w:tc>
          <w:tcPr>
            <w:tcW w:w="5060" w:type="dxa"/>
            <w:tcBorders>
              <w:top w:val="nil"/>
              <w:left w:val="nil"/>
              <w:bottom w:val="single" w:sz="4" w:space="0" w:color="auto"/>
              <w:right w:val="single" w:sz="4" w:space="0" w:color="auto"/>
            </w:tcBorders>
            <w:shd w:val="clear" w:color="auto" w:fill="auto"/>
            <w:vAlign w:val="center"/>
            <w:hideMark/>
          </w:tcPr>
          <w:p w14:paraId="610C3478"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Use of hand searching (eg, reference lists of obtained articles)</w:t>
            </w:r>
          </w:p>
        </w:tc>
        <w:tc>
          <w:tcPr>
            <w:tcW w:w="2065" w:type="dxa"/>
            <w:tcBorders>
              <w:top w:val="nil"/>
              <w:left w:val="nil"/>
              <w:bottom w:val="single" w:sz="4" w:space="0" w:color="auto"/>
              <w:right w:val="single" w:sz="4" w:space="0" w:color="auto"/>
            </w:tcBorders>
            <w:shd w:val="clear" w:color="auto" w:fill="auto"/>
            <w:vAlign w:val="center"/>
            <w:hideMark/>
          </w:tcPr>
          <w:p w14:paraId="610C3479"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7A"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Methods </w:t>
            </w:r>
          </w:p>
        </w:tc>
      </w:tr>
      <w:tr w:rsidR="007D57FB" w:rsidRPr="00752481" w14:paraId="610C3480"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7C"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13</w:t>
            </w:r>
          </w:p>
        </w:tc>
        <w:tc>
          <w:tcPr>
            <w:tcW w:w="5060" w:type="dxa"/>
            <w:tcBorders>
              <w:top w:val="nil"/>
              <w:left w:val="nil"/>
              <w:bottom w:val="single" w:sz="4" w:space="0" w:color="auto"/>
              <w:right w:val="single" w:sz="4" w:space="0" w:color="auto"/>
            </w:tcBorders>
            <w:shd w:val="clear" w:color="auto" w:fill="auto"/>
            <w:vAlign w:val="center"/>
            <w:hideMark/>
          </w:tcPr>
          <w:p w14:paraId="610C347D"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List of citations located and those excluded, including justification</w:t>
            </w:r>
          </w:p>
        </w:tc>
        <w:tc>
          <w:tcPr>
            <w:tcW w:w="2065" w:type="dxa"/>
            <w:tcBorders>
              <w:top w:val="nil"/>
              <w:left w:val="nil"/>
              <w:bottom w:val="single" w:sz="4" w:space="0" w:color="auto"/>
              <w:right w:val="single" w:sz="4" w:space="0" w:color="auto"/>
            </w:tcBorders>
            <w:shd w:val="clear" w:color="auto" w:fill="auto"/>
            <w:vAlign w:val="center"/>
            <w:hideMark/>
          </w:tcPr>
          <w:p w14:paraId="610C347E"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7F"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Figure 1. PRISMA diagram</w:t>
            </w:r>
          </w:p>
        </w:tc>
      </w:tr>
      <w:tr w:rsidR="007D57FB" w:rsidRPr="00752481" w14:paraId="610C3485"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81"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14</w:t>
            </w:r>
          </w:p>
        </w:tc>
        <w:tc>
          <w:tcPr>
            <w:tcW w:w="5060" w:type="dxa"/>
            <w:tcBorders>
              <w:top w:val="nil"/>
              <w:left w:val="nil"/>
              <w:bottom w:val="single" w:sz="4" w:space="0" w:color="auto"/>
              <w:right w:val="single" w:sz="4" w:space="0" w:color="auto"/>
            </w:tcBorders>
            <w:shd w:val="clear" w:color="auto" w:fill="auto"/>
            <w:vAlign w:val="center"/>
            <w:hideMark/>
          </w:tcPr>
          <w:p w14:paraId="610C3482"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 of addressing articles published in languages other than English</w:t>
            </w:r>
          </w:p>
        </w:tc>
        <w:tc>
          <w:tcPr>
            <w:tcW w:w="2065" w:type="dxa"/>
            <w:tcBorders>
              <w:top w:val="nil"/>
              <w:left w:val="nil"/>
              <w:bottom w:val="single" w:sz="4" w:space="0" w:color="auto"/>
              <w:right w:val="single" w:sz="4" w:space="0" w:color="auto"/>
            </w:tcBorders>
            <w:shd w:val="clear" w:color="auto" w:fill="auto"/>
            <w:vAlign w:val="center"/>
            <w:hideMark/>
          </w:tcPr>
          <w:p w14:paraId="610C3483"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r w:rsidRPr="00752481">
              <w:rPr>
                <w:rFonts w:ascii="Arial" w:eastAsia="Times New Roman" w:hAnsi="Arial" w:cs="Arial"/>
                <w:color w:val="000000"/>
                <w:sz w:val="20"/>
                <w:szCs w:val="24"/>
                <w:lang w:eastAsia="en-GB"/>
              </w:rPr>
              <w:t> </w:t>
            </w:r>
          </w:p>
        </w:tc>
        <w:tc>
          <w:tcPr>
            <w:tcW w:w="2060" w:type="dxa"/>
            <w:tcBorders>
              <w:top w:val="nil"/>
              <w:left w:val="nil"/>
              <w:bottom w:val="single" w:sz="4" w:space="0" w:color="auto"/>
              <w:right w:val="single" w:sz="4" w:space="0" w:color="auto"/>
            </w:tcBorders>
            <w:shd w:val="clear" w:color="auto" w:fill="auto"/>
            <w:vAlign w:val="center"/>
            <w:hideMark/>
          </w:tcPr>
          <w:p w14:paraId="610C348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r>
              <w:rPr>
                <w:rFonts w:ascii="Arial" w:eastAsia="Times New Roman" w:hAnsi="Arial" w:cs="Arial"/>
                <w:color w:val="000000"/>
                <w:sz w:val="20"/>
                <w:szCs w:val="24"/>
                <w:lang w:eastAsia="en-GB"/>
              </w:rPr>
              <w:t>Methods</w:t>
            </w:r>
          </w:p>
        </w:tc>
      </w:tr>
      <w:tr w:rsidR="007D57FB" w:rsidRPr="00752481" w14:paraId="610C348A"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8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15</w:t>
            </w:r>
          </w:p>
        </w:tc>
        <w:tc>
          <w:tcPr>
            <w:tcW w:w="5060" w:type="dxa"/>
            <w:tcBorders>
              <w:top w:val="nil"/>
              <w:left w:val="nil"/>
              <w:bottom w:val="single" w:sz="4" w:space="0" w:color="auto"/>
              <w:right w:val="single" w:sz="4" w:space="0" w:color="auto"/>
            </w:tcBorders>
            <w:shd w:val="clear" w:color="auto" w:fill="auto"/>
            <w:vAlign w:val="center"/>
            <w:hideMark/>
          </w:tcPr>
          <w:p w14:paraId="610C3487"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 of handling abstracts and unpublished studies</w:t>
            </w:r>
          </w:p>
        </w:tc>
        <w:tc>
          <w:tcPr>
            <w:tcW w:w="2065" w:type="dxa"/>
            <w:tcBorders>
              <w:top w:val="nil"/>
              <w:left w:val="nil"/>
              <w:bottom w:val="single" w:sz="4" w:space="0" w:color="auto"/>
              <w:right w:val="single" w:sz="4" w:space="0" w:color="auto"/>
            </w:tcBorders>
            <w:shd w:val="clear" w:color="auto" w:fill="auto"/>
            <w:vAlign w:val="center"/>
            <w:hideMark/>
          </w:tcPr>
          <w:p w14:paraId="610C3488"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c>
          <w:tcPr>
            <w:tcW w:w="2060" w:type="dxa"/>
            <w:tcBorders>
              <w:top w:val="nil"/>
              <w:left w:val="nil"/>
              <w:bottom w:val="single" w:sz="4" w:space="0" w:color="auto"/>
              <w:right w:val="single" w:sz="4" w:space="0" w:color="auto"/>
            </w:tcBorders>
            <w:shd w:val="clear" w:color="auto" w:fill="auto"/>
            <w:vAlign w:val="center"/>
            <w:hideMark/>
          </w:tcPr>
          <w:p w14:paraId="610C3489"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8F"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8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16</w:t>
            </w:r>
          </w:p>
        </w:tc>
        <w:tc>
          <w:tcPr>
            <w:tcW w:w="5060" w:type="dxa"/>
            <w:tcBorders>
              <w:top w:val="nil"/>
              <w:left w:val="nil"/>
              <w:bottom w:val="single" w:sz="4" w:space="0" w:color="auto"/>
              <w:right w:val="single" w:sz="4" w:space="0" w:color="auto"/>
            </w:tcBorders>
            <w:shd w:val="clear" w:color="auto" w:fill="auto"/>
            <w:vAlign w:val="center"/>
            <w:hideMark/>
          </w:tcPr>
          <w:p w14:paraId="610C348C"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Description of any contact with authors</w:t>
            </w:r>
          </w:p>
        </w:tc>
        <w:tc>
          <w:tcPr>
            <w:tcW w:w="2065" w:type="dxa"/>
            <w:tcBorders>
              <w:top w:val="nil"/>
              <w:left w:val="nil"/>
              <w:bottom w:val="single" w:sz="4" w:space="0" w:color="auto"/>
              <w:right w:val="single" w:sz="4" w:space="0" w:color="auto"/>
            </w:tcBorders>
            <w:shd w:val="clear" w:color="auto" w:fill="auto"/>
            <w:vAlign w:val="center"/>
            <w:hideMark/>
          </w:tcPr>
          <w:p w14:paraId="610C348D"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8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92" w14:textId="77777777" w:rsidTr="005B3E6B">
        <w:trPr>
          <w:trHeight w:val="29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90"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methods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91"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97"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93"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17</w:t>
            </w:r>
          </w:p>
        </w:tc>
        <w:tc>
          <w:tcPr>
            <w:tcW w:w="5060" w:type="dxa"/>
            <w:tcBorders>
              <w:top w:val="nil"/>
              <w:left w:val="nil"/>
              <w:bottom w:val="single" w:sz="4" w:space="0" w:color="auto"/>
              <w:right w:val="single" w:sz="4" w:space="0" w:color="auto"/>
            </w:tcBorders>
            <w:shd w:val="clear" w:color="auto" w:fill="auto"/>
            <w:vAlign w:val="center"/>
            <w:hideMark/>
          </w:tcPr>
          <w:p w14:paraId="610C3494"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Description of relevance or appropriateness of studies assembled for assessing the hypothesis to be tested</w:t>
            </w:r>
          </w:p>
        </w:tc>
        <w:tc>
          <w:tcPr>
            <w:tcW w:w="2065" w:type="dxa"/>
            <w:tcBorders>
              <w:top w:val="nil"/>
              <w:left w:val="nil"/>
              <w:bottom w:val="single" w:sz="4" w:space="0" w:color="auto"/>
              <w:right w:val="single" w:sz="4" w:space="0" w:color="auto"/>
            </w:tcBorders>
            <w:shd w:val="clear" w:color="auto" w:fill="auto"/>
            <w:vAlign w:val="center"/>
            <w:hideMark/>
          </w:tcPr>
          <w:p w14:paraId="610C3495"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9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9C"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98"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18</w:t>
            </w:r>
          </w:p>
        </w:tc>
        <w:tc>
          <w:tcPr>
            <w:tcW w:w="5060" w:type="dxa"/>
            <w:tcBorders>
              <w:top w:val="nil"/>
              <w:left w:val="nil"/>
              <w:bottom w:val="single" w:sz="4" w:space="0" w:color="auto"/>
              <w:right w:val="single" w:sz="4" w:space="0" w:color="auto"/>
            </w:tcBorders>
            <w:shd w:val="clear" w:color="auto" w:fill="auto"/>
            <w:vAlign w:val="center"/>
            <w:hideMark/>
          </w:tcPr>
          <w:p w14:paraId="610C3499"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Rationale for the selection and coding of data (eg, sound clinical principles or convenience)</w:t>
            </w:r>
          </w:p>
        </w:tc>
        <w:tc>
          <w:tcPr>
            <w:tcW w:w="2065" w:type="dxa"/>
            <w:tcBorders>
              <w:top w:val="nil"/>
              <w:left w:val="nil"/>
              <w:bottom w:val="single" w:sz="4" w:space="0" w:color="auto"/>
              <w:right w:val="single" w:sz="4" w:space="0" w:color="auto"/>
            </w:tcBorders>
            <w:shd w:val="clear" w:color="auto" w:fill="auto"/>
            <w:vAlign w:val="center"/>
            <w:hideMark/>
          </w:tcPr>
          <w:p w14:paraId="610C349A"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9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A1"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9D"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19</w:t>
            </w:r>
          </w:p>
        </w:tc>
        <w:tc>
          <w:tcPr>
            <w:tcW w:w="5060" w:type="dxa"/>
            <w:tcBorders>
              <w:top w:val="nil"/>
              <w:left w:val="nil"/>
              <w:bottom w:val="single" w:sz="4" w:space="0" w:color="auto"/>
              <w:right w:val="single" w:sz="4" w:space="0" w:color="auto"/>
            </w:tcBorders>
            <w:shd w:val="clear" w:color="auto" w:fill="auto"/>
            <w:vAlign w:val="center"/>
            <w:hideMark/>
          </w:tcPr>
          <w:p w14:paraId="610C349E"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Documentation of how data were classified and coded (eg, multiple raters, blinding and interrater reliability)</w:t>
            </w:r>
          </w:p>
        </w:tc>
        <w:tc>
          <w:tcPr>
            <w:tcW w:w="2065" w:type="dxa"/>
            <w:tcBorders>
              <w:top w:val="nil"/>
              <w:left w:val="nil"/>
              <w:bottom w:val="single" w:sz="4" w:space="0" w:color="auto"/>
              <w:right w:val="single" w:sz="4" w:space="0" w:color="auto"/>
            </w:tcBorders>
            <w:shd w:val="clear" w:color="auto" w:fill="auto"/>
            <w:vAlign w:val="center"/>
            <w:hideMark/>
          </w:tcPr>
          <w:p w14:paraId="610C349F"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A0"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A6"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A2"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20</w:t>
            </w:r>
          </w:p>
        </w:tc>
        <w:tc>
          <w:tcPr>
            <w:tcW w:w="5060" w:type="dxa"/>
            <w:tcBorders>
              <w:top w:val="nil"/>
              <w:left w:val="nil"/>
              <w:bottom w:val="single" w:sz="4" w:space="0" w:color="auto"/>
              <w:right w:val="single" w:sz="4" w:space="0" w:color="auto"/>
            </w:tcBorders>
            <w:shd w:val="clear" w:color="auto" w:fill="auto"/>
            <w:vAlign w:val="center"/>
            <w:hideMark/>
          </w:tcPr>
          <w:p w14:paraId="610C34A3"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Assessment of confounding (eg, comparability of cases and controls in studies where appropriate)</w:t>
            </w:r>
          </w:p>
        </w:tc>
        <w:tc>
          <w:tcPr>
            <w:tcW w:w="2065" w:type="dxa"/>
            <w:tcBorders>
              <w:top w:val="nil"/>
              <w:left w:val="nil"/>
              <w:bottom w:val="single" w:sz="4" w:space="0" w:color="auto"/>
              <w:right w:val="single" w:sz="4" w:space="0" w:color="auto"/>
            </w:tcBorders>
            <w:shd w:val="clear" w:color="auto" w:fill="auto"/>
            <w:vAlign w:val="center"/>
            <w:hideMark/>
          </w:tcPr>
          <w:p w14:paraId="610C34A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NA</w:t>
            </w:r>
          </w:p>
        </w:tc>
        <w:tc>
          <w:tcPr>
            <w:tcW w:w="2060" w:type="dxa"/>
            <w:tcBorders>
              <w:top w:val="nil"/>
              <w:left w:val="nil"/>
              <w:bottom w:val="single" w:sz="4" w:space="0" w:color="auto"/>
              <w:right w:val="single" w:sz="4" w:space="0" w:color="auto"/>
            </w:tcBorders>
            <w:shd w:val="clear" w:color="auto" w:fill="auto"/>
            <w:vAlign w:val="center"/>
            <w:hideMark/>
          </w:tcPr>
          <w:p w14:paraId="610C34A5"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NA</w:t>
            </w:r>
          </w:p>
        </w:tc>
      </w:tr>
      <w:tr w:rsidR="007D57FB" w:rsidRPr="00752481" w14:paraId="610C34AB" w14:textId="77777777" w:rsidTr="005B3E6B">
        <w:trPr>
          <w:trHeight w:val="75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A7"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21</w:t>
            </w:r>
          </w:p>
        </w:tc>
        <w:tc>
          <w:tcPr>
            <w:tcW w:w="5060" w:type="dxa"/>
            <w:tcBorders>
              <w:top w:val="nil"/>
              <w:left w:val="nil"/>
              <w:bottom w:val="single" w:sz="4" w:space="0" w:color="auto"/>
              <w:right w:val="single" w:sz="4" w:space="0" w:color="auto"/>
            </w:tcBorders>
            <w:shd w:val="clear" w:color="auto" w:fill="auto"/>
            <w:vAlign w:val="center"/>
            <w:hideMark/>
          </w:tcPr>
          <w:p w14:paraId="610C34A8"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Assessment of study quality, including blinding of quality assessors, stratification or regression on possible predictors of study results</w:t>
            </w:r>
          </w:p>
        </w:tc>
        <w:tc>
          <w:tcPr>
            <w:tcW w:w="2065" w:type="dxa"/>
            <w:tcBorders>
              <w:top w:val="nil"/>
              <w:left w:val="nil"/>
              <w:bottom w:val="single" w:sz="4" w:space="0" w:color="auto"/>
              <w:right w:val="single" w:sz="4" w:space="0" w:color="auto"/>
            </w:tcBorders>
            <w:shd w:val="clear" w:color="auto" w:fill="auto"/>
            <w:vAlign w:val="center"/>
            <w:hideMark/>
          </w:tcPr>
          <w:p w14:paraId="610C34A9"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AA"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 and eSupplement</w:t>
            </w:r>
          </w:p>
        </w:tc>
      </w:tr>
      <w:tr w:rsidR="007D57FB" w:rsidRPr="00752481" w14:paraId="610C34B0"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AC"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22</w:t>
            </w:r>
          </w:p>
        </w:tc>
        <w:tc>
          <w:tcPr>
            <w:tcW w:w="5060" w:type="dxa"/>
            <w:tcBorders>
              <w:top w:val="nil"/>
              <w:left w:val="nil"/>
              <w:bottom w:val="single" w:sz="4" w:space="0" w:color="auto"/>
              <w:right w:val="single" w:sz="4" w:space="0" w:color="auto"/>
            </w:tcBorders>
            <w:shd w:val="clear" w:color="auto" w:fill="auto"/>
            <w:vAlign w:val="center"/>
            <w:hideMark/>
          </w:tcPr>
          <w:p w14:paraId="610C34AD"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Assessment of heterogeneity</w:t>
            </w:r>
          </w:p>
        </w:tc>
        <w:tc>
          <w:tcPr>
            <w:tcW w:w="2065" w:type="dxa"/>
            <w:tcBorders>
              <w:top w:val="nil"/>
              <w:left w:val="nil"/>
              <w:bottom w:val="single" w:sz="4" w:space="0" w:color="auto"/>
              <w:right w:val="single" w:sz="4" w:space="0" w:color="auto"/>
            </w:tcBorders>
            <w:shd w:val="clear" w:color="auto" w:fill="auto"/>
            <w:vAlign w:val="center"/>
            <w:hideMark/>
          </w:tcPr>
          <w:p w14:paraId="610C34AE"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AF"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 Results and eSupplem</w:t>
            </w:r>
            <w:r>
              <w:rPr>
                <w:rFonts w:ascii="Arial" w:eastAsia="Times New Roman" w:hAnsi="Arial" w:cs="Arial"/>
                <w:color w:val="000000"/>
                <w:sz w:val="20"/>
                <w:szCs w:val="24"/>
                <w:lang w:eastAsia="en-GB"/>
              </w:rPr>
              <w:t>e</w:t>
            </w:r>
            <w:r w:rsidRPr="00752481">
              <w:rPr>
                <w:rFonts w:ascii="Arial" w:eastAsia="Times New Roman" w:hAnsi="Arial" w:cs="Arial"/>
                <w:color w:val="000000"/>
                <w:sz w:val="20"/>
                <w:szCs w:val="24"/>
                <w:lang w:eastAsia="en-GB"/>
              </w:rPr>
              <w:t>nt</w:t>
            </w:r>
          </w:p>
        </w:tc>
      </w:tr>
      <w:tr w:rsidR="007D57FB" w:rsidRPr="00752481" w14:paraId="610C34B5" w14:textId="77777777" w:rsidTr="005B3E6B">
        <w:trPr>
          <w:trHeight w:val="1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B1"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23</w:t>
            </w:r>
          </w:p>
        </w:tc>
        <w:tc>
          <w:tcPr>
            <w:tcW w:w="5060" w:type="dxa"/>
            <w:tcBorders>
              <w:top w:val="nil"/>
              <w:left w:val="nil"/>
              <w:bottom w:val="single" w:sz="4" w:space="0" w:color="auto"/>
              <w:right w:val="single" w:sz="4" w:space="0" w:color="auto"/>
            </w:tcBorders>
            <w:shd w:val="clear" w:color="auto" w:fill="auto"/>
            <w:vAlign w:val="center"/>
            <w:hideMark/>
          </w:tcPr>
          <w:p w14:paraId="610C34B2"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Description of statistical methods (eg, complete description of fixed or random effects models, justification of whether the chosen models account for predictors of study results, dose-response models, or cumulative meta-analysis) in sufficient detail to be replicated</w:t>
            </w:r>
          </w:p>
        </w:tc>
        <w:tc>
          <w:tcPr>
            <w:tcW w:w="2065" w:type="dxa"/>
            <w:tcBorders>
              <w:top w:val="nil"/>
              <w:left w:val="nil"/>
              <w:bottom w:val="single" w:sz="4" w:space="0" w:color="auto"/>
              <w:right w:val="single" w:sz="4" w:space="0" w:color="auto"/>
            </w:tcBorders>
            <w:shd w:val="clear" w:color="auto" w:fill="auto"/>
            <w:vAlign w:val="center"/>
            <w:hideMark/>
          </w:tcPr>
          <w:p w14:paraId="610C34B3"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B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Methods</w:t>
            </w:r>
          </w:p>
        </w:tc>
      </w:tr>
      <w:tr w:rsidR="007D57FB" w:rsidRPr="00752481" w14:paraId="610C34BA" w14:textId="77777777" w:rsidTr="005B3E6B">
        <w:trPr>
          <w:trHeight w:val="520"/>
        </w:trPr>
        <w:tc>
          <w:tcPr>
            <w:tcW w:w="7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0C34B6"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Item No</w:t>
            </w:r>
          </w:p>
        </w:tc>
        <w:tc>
          <w:tcPr>
            <w:tcW w:w="5060" w:type="dxa"/>
            <w:tcBorders>
              <w:top w:val="single" w:sz="4" w:space="0" w:color="auto"/>
              <w:left w:val="nil"/>
              <w:bottom w:val="single" w:sz="4" w:space="0" w:color="auto"/>
              <w:right w:val="single" w:sz="4" w:space="0" w:color="auto"/>
            </w:tcBorders>
            <w:shd w:val="clear" w:color="000000" w:fill="D9D9D9"/>
            <w:vAlign w:val="center"/>
            <w:hideMark/>
          </w:tcPr>
          <w:p w14:paraId="610C34B7"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Recommendation</w:t>
            </w:r>
          </w:p>
        </w:tc>
        <w:tc>
          <w:tcPr>
            <w:tcW w:w="2065" w:type="dxa"/>
            <w:tcBorders>
              <w:top w:val="single" w:sz="4" w:space="0" w:color="auto"/>
              <w:left w:val="nil"/>
              <w:bottom w:val="single" w:sz="4" w:space="0" w:color="auto"/>
              <w:right w:val="single" w:sz="4" w:space="0" w:color="auto"/>
            </w:tcBorders>
            <w:shd w:val="clear" w:color="000000" w:fill="D9D9D9"/>
            <w:vAlign w:val="center"/>
            <w:hideMark/>
          </w:tcPr>
          <w:p w14:paraId="610C34B8"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 xml:space="preserve">Described </w:t>
            </w:r>
          </w:p>
        </w:tc>
        <w:tc>
          <w:tcPr>
            <w:tcW w:w="2060" w:type="dxa"/>
            <w:tcBorders>
              <w:top w:val="single" w:sz="4" w:space="0" w:color="auto"/>
              <w:left w:val="nil"/>
              <w:bottom w:val="single" w:sz="4" w:space="0" w:color="auto"/>
              <w:right w:val="single" w:sz="4" w:space="0" w:color="auto"/>
            </w:tcBorders>
            <w:shd w:val="clear" w:color="000000" w:fill="D9D9D9"/>
            <w:vAlign w:val="center"/>
            <w:hideMark/>
          </w:tcPr>
          <w:p w14:paraId="610C34B9" w14:textId="77777777" w:rsidR="007D57FB" w:rsidRPr="00752481" w:rsidRDefault="007D57FB" w:rsidP="005B3E6B">
            <w:pPr>
              <w:spacing w:after="0" w:line="240" w:lineRule="auto"/>
              <w:jc w:val="center"/>
              <w:rPr>
                <w:rFonts w:ascii="Arial" w:eastAsia="Times New Roman" w:hAnsi="Arial" w:cs="Arial"/>
                <w:b/>
                <w:bCs/>
                <w:color w:val="000000"/>
                <w:sz w:val="20"/>
                <w:szCs w:val="20"/>
                <w:lang w:eastAsia="en-GB"/>
              </w:rPr>
            </w:pPr>
            <w:r w:rsidRPr="00752481">
              <w:rPr>
                <w:rFonts w:ascii="Arial" w:eastAsia="Times New Roman" w:hAnsi="Arial" w:cs="Arial"/>
                <w:b/>
                <w:bCs/>
                <w:color w:val="000000"/>
                <w:sz w:val="20"/>
                <w:szCs w:val="24"/>
                <w:lang w:eastAsia="en-GB"/>
              </w:rPr>
              <w:t>Location in document</w:t>
            </w:r>
          </w:p>
        </w:tc>
      </w:tr>
      <w:tr w:rsidR="007D57FB" w:rsidRPr="00752481" w14:paraId="610C34BF"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B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24</w:t>
            </w:r>
          </w:p>
        </w:tc>
        <w:tc>
          <w:tcPr>
            <w:tcW w:w="5060" w:type="dxa"/>
            <w:tcBorders>
              <w:top w:val="nil"/>
              <w:left w:val="nil"/>
              <w:bottom w:val="single" w:sz="4" w:space="0" w:color="auto"/>
              <w:right w:val="single" w:sz="4" w:space="0" w:color="auto"/>
            </w:tcBorders>
            <w:shd w:val="clear" w:color="auto" w:fill="auto"/>
            <w:vAlign w:val="center"/>
            <w:hideMark/>
          </w:tcPr>
          <w:p w14:paraId="610C34BC"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Provision of appropriate tables and graphics</w:t>
            </w:r>
          </w:p>
        </w:tc>
        <w:tc>
          <w:tcPr>
            <w:tcW w:w="2065" w:type="dxa"/>
            <w:tcBorders>
              <w:top w:val="nil"/>
              <w:left w:val="nil"/>
              <w:bottom w:val="single" w:sz="4" w:space="0" w:color="auto"/>
              <w:right w:val="single" w:sz="4" w:space="0" w:color="auto"/>
            </w:tcBorders>
            <w:shd w:val="clear" w:color="auto" w:fill="auto"/>
            <w:vAlign w:val="center"/>
            <w:hideMark/>
          </w:tcPr>
          <w:p w14:paraId="610C34BD"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B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Results and eSupplements</w:t>
            </w:r>
          </w:p>
        </w:tc>
      </w:tr>
      <w:tr w:rsidR="007D57FB" w:rsidRPr="00752481" w14:paraId="610C34C2" w14:textId="77777777" w:rsidTr="005B3E6B">
        <w:trPr>
          <w:trHeight w:val="29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C0"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results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C1"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C7" w14:textId="77777777" w:rsidTr="005B3E6B">
        <w:trPr>
          <w:trHeight w:val="75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C3"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25</w:t>
            </w:r>
          </w:p>
        </w:tc>
        <w:tc>
          <w:tcPr>
            <w:tcW w:w="5060" w:type="dxa"/>
            <w:tcBorders>
              <w:top w:val="nil"/>
              <w:left w:val="nil"/>
              <w:bottom w:val="single" w:sz="4" w:space="0" w:color="auto"/>
              <w:right w:val="single" w:sz="4" w:space="0" w:color="auto"/>
            </w:tcBorders>
            <w:shd w:val="clear" w:color="auto" w:fill="auto"/>
            <w:vAlign w:val="center"/>
            <w:hideMark/>
          </w:tcPr>
          <w:p w14:paraId="610C34C4"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Graphic summarizing individual study estimates and overall estimate</w:t>
            </w:r>
          </w:p>
        </w:tc>
        <w:tc>
          <w:tcPr>
            <w:tcW w:w="2065" w:type="dxa"/>
            <w:tcBorders>
              <w:top w:val="nil"/>
              <w:left w:val="nil"/>
              <w:bottom w:val="single" w:sz="4" w:space="0" w:color="auto"/>
              <w:right w:val="single" w:sz="4" w:space="0" w:color="auto"/>
            </w:tcBorders>
            <w:shd w:val="clear" w:color="auto" w:fill="auto"/>
            <w:vAlign w:val="center"/>
            <w:hideMark/>
          </w:tcPr>
          <w:p w14:paraId="610C34C5"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C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Figure 2. Overall Forest plot and eSupplement  </w:t>
            </w:r>
          </w:p>
        </w:tc>
      </w:tr>
      <w:tr w:rsidR="007D57FB" w:rsidRPr="00752481" w14:paraId="610C34CC"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C8"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26</w:t>
            </w:r>
          </w:p>
        </w:tc>
        <w:tc>
          <w:tcPr>
            <w:tcW w:w="5060" w:type="dxa"/>
            <w:tcBorders>
              <w:top w:val="nil"/>
              <w:left w:val="nil"/>
              <w:bottom w:val="single" w:sz="4" w:space="0" w:color="auto"/>
              <w:right w:val="single" w:sz="4" w:space="0" w:color="auto"/>
            </w:tcBorders>
            <w:shd w:val="clear" w:color="auto" w:fill="auto"/>
            <w:vAlign w:val="center"/>
            <w:hideMark/>
          </w:tcPr>
          <w:p w14:paraId="610C34C9"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Table giving descriptive information for each study included</w:t>
            </w:r>
          </w:p>
        </w:tc>
        <w:tc>
          <w:tcPr>
            <w:tcW w:w="2065" w:type="dxa"/>
            <w:tcBorders>
              <w:top w:val="nil"/>
              <w:left w:val="nil"/>
              <w:bottom w:val="single" w:sz="4" w:space="0" w:color="auto"/>
              <w:right w:val="single" w:sz="4" w:space="0" w:color="auto"/>
            </w:tcBorders>
            <w:shd w:val="clear" w:color="auto" w:fill="auto"/>
            <w:vAlign w:val="center"/>
            <w:hideMark/>
          </w:tcPr>
          <w:p w14:paraId="610C34CA"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C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Table 1.</w:t>
            </w:r>
          </w:p>
        </w:tc>
      </w:tr>
      <w:tr w:rsidR="007D57FB" w:rsidRPr="00752481" w14:paraId="610C34D1"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CD"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27</w:t>
            </w:r>
          </w:p>
        </w:tc>
        <w:tc>
          <w:tcPr>
            <w:tcW w:w="5060" w:type="dxa"/>
            <w:tcBorders>
              <w:top w:val="nil"/>
              <w:left w:val="nil"/>
              <w:bottom w:val="single" w:sz="4" w:space="0" w:color="auto"/>
              <w:right w:val="single" w:sz="4" w:space="0" w:color="auto"/>
            </w:tcBorders>
            <w:shd w:val="clear" w:color="auto" w:fill="auto"/>
            <w:vAlign w:val="center"/>
            <w:hideMark/>
          </w:tcPr>
          <w:p w14:paraId="610C34CE"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Results of sensitivity testing (eg, subgroup analysis)</w:t>
            </w:r>
          </w:p>
        </w:tc>
        <w:tc>
          <w:tcPr>
            <w:tcW w:w="2065" w:type="dxa"/>
            <w:tcBorders>
              <w:top w:val="nil"/>
              <w:left w:val="nil"/>
              <w:bottom w:val="single" w:sz="4" w:space="0" w:color="auto"/>
              <w:right w:val="single" w:sz="4" w:space="0" w:color="auto"/>
            </w:tcBorders>
            <w:shd w:val="clear" w:color="auto" w:fill="auto"/>
            <w:vAlign w:val="center"/>
            <w:hideMark/>
          </w:tcPr>
          <w:p w14:paraId="610C34CF"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D0"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Results and eSupplement </w:t>
            </w:r>
          </w:p>
        </w:tc>
      </w:tr>
      <w:tr w:rsidR="007D57FB" w:rsidRPr="00752481" w14:paraId="610C34D6"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D2"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28</w:t>
            </w:r>
          </w:p>
        </w:tc>
        <w:tc>
          <w:tcPr>
            <w:tcW w:w="5060" w:type="dxa"/>
            <w:tcBorders>
              <w:top w:val="nil"/>
              <w:left w:val="nil"/>
              <w:bottom w:val="single" w:sz="4" w:space="0" w:color="auto"/>
              <w:right w:val="single" w:sz="4" w:space="0" w:color="auto"/>
            </w:tcBorders>
            <w:shd w:val="clear" w:color="auto" w:fill="auto"/>
            <w:vAlign w:val="center"/>
            <w:hideMark/>
          </w:tcPr>
          <w:p w14:paraId="610C34D3"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Indication of statistical uncertainty of findings</w:t>
            </w:r>
          </w:p>
        </w:tc>
        <w:tc>
          <w:tcPr>
            <w:tcW w:w="2065" w:type="dxa"/>
            <w:tcBorders>
              <w:top w:val="nil"/>
              <w:left w:val="nil"/>
              <w:bottom w:val="single" w:sz="4" w:space="0" w:color="auto"/>
              <w:right w:val="single" w:sz="4" w:space="0" w:color="auto"/>
            </w:tcBorders>
            <w:shd w:val="clear" w:color="auto" w:fill="auto"/>
            <w:vAlign w:val="center"/>
            <w:hideMark/>
          </w:tcPr>
          <w:p w14:paraId="610C34D4"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D5"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Results and discussion</w:t>
            </w:r>
          </w:p>
        </w:tc>
      </w:tr>
      <w:tr w:rsidR="007D57FB" w:rsidRPr="00752481" w14:paraId="610C34D9" w14:textId="77777777" w:rsidTr="005B3E6B">
        <w:trPr>
          <w:trHeight w:val="30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D7"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discussion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D8"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DE"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DA"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29</w:t>
            </w:r>
          </w:p>
        </w:tc>
        <w:tc>
          <w:tcPr>
            <w:tcW w:w="5060" w:type="dxa"/>
            <w:tcBorders>
              <w:top w:val="nil"/>
              <w:left w:val="nil"/>
              <w:bottom w:val="single" w:sz="4" w:space="0" w:color="auto"/>
              <w:right w:val="single" w:sz="4" w:space="0" w:color="auto"/>
            </w:tcBorders>
            <w:shd w:val="clear" w:color="auto" w:fill="auto"/>
            <w:vAlign w:val="center"/>
            <w:hideMark/>
          </w:tcPr>
          <w:p w14:paraId="610C34DB"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Quantitative assessment of bias (eg, publication bias)</w:t>
            </w:r>
          </w:p>
        </w:tc>
        <w:tc>
          <w:tcPr>
            <w:tcW w:w="2065" w:type="dxa"/>
            <w:tcBorders>
              <w:top w:val="nil"/>
              <w:left w:val="nil"/>
              <w:bottom w:val="single" w:sz="4" w:space="0" w:color="auto"/>
              <w:right w:val="single" w:sz="4" w:space="0" w:color="auto"/>
            </w:tcBorders>
            <w:shd w:val="clear" w:color="auto" w:fill="auto"/>
            <w:vAlign w:val="center"/>
            <w:hideMark/>
          </w:tcPr>
          <w:p w14:paraId="610C34DC"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noWrap/>
            <w:vAlign w:val="bottom"/>
            <w:hideMark/>
          </w:tcPr>
          <w:p w14:paraId="610C34DD" w14:textId="77777777" w:rsidR="007D57FB" w:rsidRPr="00752481" w:rsidRDefault="007D57FB" w:rsidP="005B3E6B">
            <w:pPr>
              <w:spacing w:after="0" w:line="240" w:lineRule="auto"/>
              <w:jc w:val="center"/>
              <w:rPr>
                <w:rFonts w:ascii="Calibri" w:eastAsia="Times New Roman" w:hAnsi="Calibri" w:cs="Calibri"/>
                <w:color w:val="000000"/>
                <w:lang w:eastAsia="en-GB"/>
              </w:rPr>
            </w:pPr>
            <w:r w:rsidRPr="00752481">
              <w:rPr>
                <w:rFonts w:ascii="Calibri" w:eastAsia="Times New Roman" w:hAnsi="Calibri" w:cs="Calibri"/>
                <w:color w:val="000000"/>
                <w:lang w:eastAsia="en-GB"/>
              </w:rPr>
              <w:t> </w:t>
            </w:r>
            <w:r>
              <w:rPr>
                <w:rFonts w:ascii="Calibri" w:eastAsia="Times New Roman" w:hAnsi="Calibri" w:cs="Calibri"/>
                <w:color w:val="000000"/>
                <w:lang w:eastAsia="en-GB"/>
              </w:rPr>
              <w:t>eSupplement</w:t>
            </w:r>
          </w:p>
        </w:tc>
      </w:tr>
      <w:tr w:rsidR="007D57FB" w:rsidRPr="00752481" w14:paraId="610C34E3"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DF"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30</w:t>
            </w:r>
          </w:p>
        </w:tc>
        <w:tc>
          <w:tcPr>
            <w:tcW w:w="5060" w:type="dxa"/>
            <w:tcBorders>
              <w:top w:val="nil"/>
              <w:left w:val="nil"/>
              <w:bottom w:val="single" w:sz="4" w:space="0" w:color="auto"/>
              <w:right w:val="single" w:sz="4" w:space="0" w:color="auto"/>
            </w:tcBorders>
            <w:shd w:val="clear" w:color="auto" w:fill="auto"/>
            <w:vAlign w:val="center"/>
            <w:hideMark/>
          </w:tcPr>
          <w:p w14:paraId="610C34E0"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Justification for exclusion (eg, exclusion of non-English language citations)</w:t>
            </w:r>
          </w:p>
        </w:tc>
        <w:tc>
          <w:tcPr>
            <w:tcW w:w="2065" w:type="dxa"/>
            <w:tcBorders>
              <w:top w:val="nil"/>
              <w:left w:val="nil"/>
              <w:bottom w:val="single" w:sz="4" w:space="0" w:color="auto"/>
              <w:right w:val="single" w:sz="4" w:space="0" w:color="auto"/>
            </w:tcBorders>
            <w:shd w:val="clear" w:color="auto" w:fill="auto"/>
            <w:vAlign w:val="center"/>
            <w:hideMark/>
          </w:tcPr>
          <w:p w14:paraId="610C34E1"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E2"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xml:space="preserve">Figure 1. PRSIMA diagram and methods </w:t>
            </w:r>
          </w:p>
        </w:tc>
      </w:tr>
      <w:tr w:rsidR="007D57FB" w:rsidRPr="00752481" w14:paraId="610C34E8"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E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31</w:t>
            </w:r>
          </w:p>
        </w:tc>
        <w:tc>
          <w:tcPr>
            <w:tcW w:w="5060" w:type="dxa"/>
            <w:tcBorders>
              <w:top w:val="nil"/>
              <w:left w:val="nil"/>
              <w:bottom w:val="single" w:sz="4" w:space="0" w:color="auto"/>
              <w:right w:val="single" w:sz="4" w:space="0" w:color="auto"/>
            </w:tcBorders>
            <w:shd w:val="clear" w:color="auto" w:fill="auto"/>
            <w:vAlign w:val="center"/>
            <w:hideMark/>
          </w:tcPr>
          <w:p w14:paraId="610C34E5"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Assessment of quality of included studies</w:t>
            </w:r>
          </w:p>
        </w:tc>
        <w:tc>
          <w:tcPr>
            <w:tcW w:w="2065" w:type="dxa"/>
            <w:tcBorders>
              <w:top w:val="nil"/>
              <w:left w:val="nil"/>
              <w:bottom w:val="single" w:sz="4" w:space="0" w:color="auto"/>
              <w:right w:val="single" w:sz="4" w:space="0" w:color="auto"/>
            </w:tcBorders>
            <w:shd w:val="clear" w:color="auto" w:fill="auto"/>
            <w:vAlign w:val="center"/>
            <w:hideMark/>
          </w:tcPr>
          <w:p w14:paraId="610C34E6"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E7"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Results, Table 1. and eSupplement</w:t>
            </w:r>
          </w:p>
        </w:tc>
      </w:tr>
      <w:tr w:rsidR="007D57FB" w:rsidRPr="00752481" w14:paraId="610C34EB" w14:textId="77777777" w:rsidTr="005B3E6B">
        <w:trPr>
          <w:trHeight w:val="300"/>
        </w:trPr>
        <w:tc>
          <w:tcPr>
            <w:tcW w:w="7834"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10C34E9" w14:textId="77777777" w:rsidR="007D57FB" w:rsidRPr="00752481" w:rsidRDefault="007D57FB" w:rsidP="005B3E6B">
            <w:pPr>
              <w:spacing w:after="0" w:line="240" w:lineRule="auto"/>
              <w:rPr>
                <w:rFonts w:ascii="Arial" w:eastAsia="Times New Roman" w:hAnsi="Arial" w:cs="Arial"/>
                <w:b/>
                <w:bCs/>
                <w:i/>
                <w:iCs/>
                <w:color w:val="000000"/>
                <w:sz w:val="20"/>
                <w:szCs w:val="20"/>
                <w:lang w:eastAsia="en-GB"/>
              </w:rPr>
            </w:pPr>
            <w:r w:rsidRPr="00752481">
              <w:rPr>
                <w:rFonts w:ascii="Arial" w:eastAsia="Times New Roman" w:hAnsi="Arial" w:cs="Arial"/>
                <w:b/>
                <w:bCs/>
                <w:i/>
                <w:iCs/>
                <w:color w:val="000000"/>
                <w:sz w:val="20"/>
                <w:szCs w:val="24"/>
                <w:lang w:eastAsia="en-GB"/>
              </w:rPr>
              <w:t>Reporting of conclusions should include</w:t>
            </w:r>
          </w:p>
        </w:tc>
        <w:tc>
          <w:tcPr>
            <w:tcW w:w="2060" w:type="dxa"/>
            <w:tcBorders>
              <w:top w:val="nil"/>
              <w:left w:val="nil"/>
              <w:bottom w:val="single" w:sz="4" w:space="0" w:color="auto"/>
              <w:right w:val="single" w:sz="4" w:space="0" w:color="auto"/>
            </w:tcBorders>
            <w:shd w:val="clear" w:color="000000" w:fill="F2F2F2"/>
            <w:vAlign w:val="center"/>
            <w:hideMark/>
          </w:tcPr>
          <w:p w14:paraId="610C34EA"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 </w:t>
            </w:r>
          </w:p>
        </w:tc>
      </w:tr>
      <w:tr w:rsidR="007D57FB" w:rsidRPr="00752481" w14:paraId="610C34F0"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EC"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32</w:t>
            </w:r>
          </w:p>
        </w:tc>
        <w:tc>
          <w:tcPr>
            <w:tcW w:w="5060" w:type="dxa"/>
            <w:tcBorders>
              <w:top w:val="nil"/>
              <w:left w:val="nil"/>
              <w:bottom w:val="single" w:sz="4" w:space="0" w:color="auto"/>
              <w:right w:val="single" w:sz="4" w:space="0" w:color="auto"/>
            </w:tcBorders>
            <w:shd w:val="clear" w:color="auto" w:fill="auto"/>
            <w:vAlign w:val="center"/>
            <w:hideMark/>
          </w:tcPr>
          <w:p w14:paraId="610C34ED"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Consideration of alternative explanations for observed results</w:t>
            </w:r>
          </w:p>
        </w:tc>
        <w:tc>
          <w:tcPr>
            <w:tcW w:w="2065" w:type="dxa"/>
            <w:tcBorders>
              <w:top w:val="nil"/>
              <w:left w:val="nil"/>
              <w:bottom w:val="single" w:sz="4" w:space="0" w:color="auto"/>
              <w:right w:val="single" w:sz="4" w:space="0" w:color="auto"/>
            </w:tcBorders>
            <w:shd w:val="clear" w:color="auto" w:fill="auto"/>
            <w:vAlign w:val="center"/>
            <w:hideMark/>
          </w:tcPr>
          <w:p w14:paraId="610C34E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r w:rsidRPr="00752481">
              <w:rPr>
                <w:rFonts w:ascii="Arial" w:eastAsia="Times New Roman" w:hAnsi="Arial" w:cs="Arial"/>
                <w:color w:val="000000"/>
                <w:sz w:val="20"/>
                <w:szCs w:val="24"/>
                <w:lang w:eastAsia="en-GB"/>
              </w:rPr>
              <w:t> </w:t>
            </w:r>
          </w:p>
        </w:tc>
        <w:tc>
          <w:tcPr>
            <w:tcW w:w="2060" w:type="dxa"/>
            <w:tcBorders>
              <w:top w:val="nil"/>
              <w:left w:val="nil"/>
              <w:bottom w:val="single" w:sz="4" w:space="0" w:color="auto"/>
              <w:right w:val="single" w:sz="4" w:space="0" w:color="auto"/>
            </w:tcBorders>
            <w:shd w:val="clear" w:color="auto" w:fill="auto"/>
            <w:vAlign w:val="center"/>
            <w:hideMark/>
          </w:tcPr>
          <w:p w14:paraId="610C34EF"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Pr>
                <w:rFonts w:ascii="Arial" w:eastAsia="Times New Roman" w:hAnsi="Arial" w:cs="Arial"/>
                <w:color w:val="000000"/>
                <w:sz w:val="20"/>
                <w:szCs w:val="24"/>
                <w:lang w:eastAsia="en-GB"/>
              </w:rPr>
              <w:t>Discussion</w:t>
            </w:r>
            <w:r w:rsidRPr="00752481">
              <w:rPr>
                <w:rFonts w:ascii="Arial" w:eastAsia="Times New Roman" w:hAnsi="Arial" w:cs="Arial"/>
                <w:color w:val="000000"/>
                <w:sz w:val="20"/>
                <w:szCs w:val="24"/>
                <w:lang w:eastAsia="en-GB"/>
              </w:rPr>
              <w:t> </w:t>
            </w:r>
          </w:p>
        </w:tc>
      </w:tr>
      <w:tr w:rsidR="007D57FB" w:rsidRPr="00752481" w14:paraId="610C34F5" w14:textId="77777777" w:rsidTr="005B3E6B">
        <w:trPr>
          <w:trHeight w:val="75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F1"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33</w:t>
            </w:r>
          </w:p>
        </w:tc>
        <w:tc>
          <w:tcPr>
            <w:tcW w:w="5060" w:type="dxa"/>
            <w:tcBorders>
              <w:top w:val="nil"/>
              <w:left w:val="nil"/>
              <w:bottom w:val="single" w:sz="4" w:space="0" w:color="auto"/>
              <w:right w:val="single" w:sz="4" w:space="0" w:color="auto"/>
            </w:tcBorders>
            <w:shd w:val="clear" w:color="auto" w:fill="auto"/>
            <w:vAlign w:val="center"/>
            <w:hideMark/>
          </w:tcPr>
          <w:p w14:paraId="610C34F2"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Generalization of the conclusions (ie, appropriate for the data presented and within the domain of the literature review)</w:t>
            </w:r>
          </w:p>
        </w:tc>
        <w:tc>
          <w:tcPr>
            <w:tcW w:w="2065" w:type="dxa"/>
            <w:tcBorders>
              <w:top w:val="nil"/>
              <w:left w:val="nil"/>
              <w:bottom w:val="single" w:sz="4" w:space="0" w:color="auto"/>
              <w:right w:val="single" w:sz="4" w:space="0" w:color="auto"/>
            </w:tcBorders>
            <w:shd w:val="clear" w:color="auto" w:fill="auto"/>
            <w:vAlign w:val="center"/>
            <w:hideMark/>
          </w:tcPr>
          <w:p w14:paraId="610C34F3"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F4"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Discussion</w:t>
            </w:r>
          </w:p>
        </w:tc>
      </w:tr>
      <w:tr w:rsidR="007D57FB" w:rsidRPr="00752481" w14:paraId="610C34FA" w14:textId="77777777" w:rsidTr="005B3E6B">
        <w:trPr>
          <w:trHeight w:val="5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F6"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34</w:t>
            </w:r>
          </w:p>
        </w:tc>
        <w:tc>
          <w:tcPr>
            <w:tcW w:w="5060" w:type="dxa"/>
            <w:tcBorders>
              <w:top w:val="nil"/>
              <w:left w:val="nil"/>
              <w:bottom w:val="single" w:sz="4" w:space="0" w:color="auto"/>
              <w:right w:val="single" w:sz="4" w:space="0" w:color="auto"/>
            </w:tcBorders>
            <w:shd w:val="clear" w:color="auto" w:fill="auto"/>
            <w:vAlign w:val="center"/>
            <w:hideMark/>
          </w:tcPr>
          <w:p w14:paraId="610C34F7"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Guidelines for future research</w:t>
            </w:r>
          </w:p>
        </w:tc>
        <w:tc>
          <w:tcPr>
            <w:tcW w:w="2065" w:type="dxa"/>
            <w:tcBorders>
              <w:top w:val="nil"/>
              <w:left w:val="nil"/>
              <w:bottom w:val="single" w:sz="4" w:space="0" w:color="auto"/>
              <w:right w:val="single" w:sz="4" w:space="0" w:color="auto"/>
            </w:tcBorders>
            <w:shd w:val="clear" w:color="auto" w:fill="auto"/>
            <w:vAlign w:val="center"/>
            <w:hideMark/>
          </w:tcPr>
          <w:p w14:paraId="610C34F8"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F9"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Discussion, future directions</w:t>
            </w:r>
          </w:p>
        </w:tc>
      </w:tr>
      <w:tr w:rsidR="007D57FB" w:rsidRPr="00752481" w14:paraId="610C34FF" w14:textId="77777777" w:rsidTr="005B3E6B">
        <w:trPr>
          <w:trHeight w:val="29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0C34FB"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35</w:t>
            </w:r>
          </w:p>
        </w:tc>
        <w:tc>
          <w:tcPr>
            <w:tcW w:w="5060" w:type="dxa"/>
            <w:tcBorders>
              <w:top w:val="nil"/>
              <w:left w:val="nil"/>
              <w:bottom w:val="single" w:sz="4" w:space="0" w:color="auto"/>
              <w:right w:val="single" w:sz="4" w:space="0" w:color="auto"/>
            </w:tcBorders>
            <w:shd w:val="clear" w:color="auto" w:fill="auto"/>
            <w:vAlign w:val="center"/>
            <w:hideMark/>
          </w:tcPr>
          <w:p w14:paraId="610C34FC" w14:textId="77777777" w:rsidR="007D57FB" w:rsidRPr="00752481" w:rsidRDefault="007D57FB" w:rsidP="005B3E6B">
            <w:pPr>
              <w:spacing w:after="0" w:line="240" w:lineRule="auto"/>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Disclosure of funding source</w:t>
            </w:r>
          </w:p>
        </w:tc>
        <w:tc>
          <w:tcPr>
            <w:tcW w:w="2065" w:type="dxa"/>
            <w:tcBorders>
              <w:top w:val="nil"/>
              <w:left w:val="nil"/>
              <w:bottom w:val="single" w:sz="4" w:space="0" w:color="auto"/>
              <w:right w:val="single" w:sz="4" w:space="0" w:color="auto"/>
            </w:tcBorders>
            <w:shd w:val="clear" w:color="auto" w:fill="auto"/>
            <w:vAlign w:val="center"/>
            <w:hideMark/>
          </w:tcPr>
          <w:p w14:paraId="610C34FD" w14:textId="77777777" w:rsidR="007D57FB" w:rsidRPr="00752481" w:rsidRDefault="007D57FB" w:rsidP="005B3E6B">
            <w:pPr>
              <w:spacing w:after="0" w:line="240" w:lineRule="auto"/>
              <w:jc w:val="center"/>
              <w:rPr>
                <w:rFonts w:ascii="Wingdings 2" w:eastAsia="Times New Roman" w:hAnsi="Wingdings 2" w:cs="Calibri"/>
                <w:color w:val="000000"/>
                <w:sz w:val="20"/>
                <w:szCs w:val="20"/>
                <w:lang w:eastAsia="en-GB"/>
              </w:rPr>
            </w:pPr>
            <w:r w:rsidRPr="00752481">
              <w:rPr>
                <w:rFonts w:ascii="Wingdings 2" w:eastAsia="Times New Roman" w:hAnsi="Wingdings 2" w:cs="Calibri"/>
                <w:color w:val="000000"/>
                <w:sz w:val="20"/>
                <w:szCs w:val="20"/>
                <w:lang w:eastAsia="en-GB"/>
              </w:rPr>
              <w:sym w:font="Wingdings 2" w:char="F050"/>
            </w:r>
          </w:p>
        </w:tc>
        <w:tc>
          <w:tcPr>
            <w:tcW w:w="2060" w:type="dxa"/>
            <w:tcBorders>
              <w:top w:val="nil"/>
              <w:left w:val="nil"/>
              <w:bottom w:val="single" w:sz="4" w:space="0" w:color="auto"/>
              <w:right w:val="single" w:sz="4" w:space="0" w:color="auto"/>
            </w:tcBorders>
            <w:shd w:val="clear" w:color="auto" w:fill="auto"/>
            <w:vAlign w:val="center"/>
            <w:hideMark/>
          </w:tcPr>
          <w:p w14:paraId="610C34FE" w14:textId="77777777" w:rsidR="007D57FB" w:rsidRPr="00752481" w:rsidRDefault="007D57FB" w:rsidP="005B3E6B">
            <w:pPr>
              <w:spacing w:after="0" w:line="240" w:lineRule="auto"/>
              <w:jc w:val="center"/>
              <w:rPr>
                <w:rFonts w:ascii="Arial" w:eastAsia="Times New Roman" w:hAnsi="Arial" w:cs="Arial"/>
                <w:color w:val="000000"/>
                <w:sz w:val="20"/>
                <w:szCs w:val="20"/>
                <w:lang w:eastAsia="en-GB"/>
              </w:rPr>
            </w:pPr>
            <w:r w:rsidRPr="00752481">
              <w:rPr>
                <w:rFonts w:ascii="Arial" w:eastAsia="Times New Roman" w:hAnsi="Arial" w:cs="Arial"/>
                <w:color w:val="000000"/>
                <w:sz w:val="20"/>
                <w:szCs w:val="24"/>
                <w:lang w:eastAsia="en-GB"/>
              </w:rPr>
              <w:t>Funding</w:t>
            </w:r>
          </w:p>
        </w:tc>
      </w:tr>
    </w:tbl>
    <w:p w14:paraId="610C3500" w14:textId="77777777" w:rsidR="007D57FB" w:rsidRPr="00752481" w:rsidRDefault="007D57FB" w:rsidP="005B3E6B">
      <w:pPr>
        <w:spacing w:after="0" w:line="240" w:lineRule="auto"/>
        <w:rPr>
          <w:sz w:val="20"/>
        </w:rPr>
      </w:pPr>
      <w:r w:rsidRPr="009E0760">
        <w:rPr>
          <w:rFonts w:ascii="Arial" w:eastAsia="Times New Roman" w:hAnsi="Arial" w:cs="Arial"/>
          <w:i/>
          <w:color w:val="000000"/>
          <w:sz w:val="20"/>
          <w:szCs w:val="24"/>
          <w:lang w:eastAsia="en-GB"/>
        </w:rPr>
        <w:t>From</w:t>
      </w:r>
      <w:r w:rsidRPr="009E0760">
        <w:rPr>
          <w:rFonts w:ascii="Arial" w:eastAsia="Times New Roman" w:hAnsi="Arial" w:cs="Arial"/>
          <w:color w:val="000000"/>
          <w:sz w:val="20"/>
          <w:szCs w:val="24"/>
          <w:lang w:eastAsia="en-GB"/>
        </w:rPr>
        <w:t xml:space="preserve">: Stroup DF, Berlin JA, Morton SC, et al, for the Meta-analysis Of Observational Studies in Epidemiology (MOOSE) Group. </w:t>
      </w:r>
      <w:r w:rsidRPr="009E0760">
        <w:rPr>
          <w:rFonts w:ascii="Arial" w:eastAsia="Times New Roman" w:hAnsi="Arial" w:cs="Arial"/>
          <w:bCs/>
          <w:color w:val="000000"/>
          <w:kern w:val="36"/>
          <w:sz w:val="20"/>
          <w:szCs w:val="24"/>
          <w:lang w:eastAsia="en-GB"/>
        </w:rPr>
        <w:t xml:space="preserve">Meta-analysis of Observational Studies in Epidemiology. </w:t>
      </w:r>
      <w:r w:rsidRPr="009E0760">
        <w:rPr>
          <w:rFonts w:ascii="Arial" w:eastAsia="Times New Roman" w:hAnsi="Arial" w:cs="Arial"/>
          <w:bCs/>
          <w:color w:val="000000"/>
          <w:sz w:val="20"/>
          <w:szCs w:val="24"/>
          <w:lang w:eastAsia="en-GB"/>
        </w:rPr>
        <w:t>A Proposal for Reporting.</w:t>
      </w:r>
      <w:r w:rsidRPr="009E0760">
        <w:rPr>
          <w:rFonts w:ascii="Arial" w:eastAsia="Times New Roman" w:hAnsi="Arial" w:cs="Arial"/>
          <w:color w:val="000000"/>
          <w:sz w:val="20"/>
          <w:szCs w:val="24"/>
          <w:lang w:eastAsia="en-GB"/>
        </w:rPr>
        <w:t xml:space="preserve"> </w:t>
      </w:r>
      <w:r w:rsidRPr="009E0760">
        <w:rPr>
          <w:rFonts w:ascii="Arial" w:eastAsia="Times New Roman" w:hAnsi="Arial" w:cs="Arial"/>
          <w:i/>
          <w:color w:val="000000"/>
          <w:sz w:val="20"/>
          <w:szCs w:val="24"/>
          <w:lang w:eastAsia="en-GB"/>
        </w:rPr>
        <w:t>JAMA</w:t>
      </w:r>
      <w:r w:rsidRPr="009E0760">
        <w:rPr>
          <w:rFonts w:ascii="Arial" w:eastAsia="Times New Roman" w:hAnsi="Arial" w:cs="Arial"/>
          <w:color w:val="000000"/>
          <w:sz w:val="20"/>
          <w:szCs w:val="24"/>
          <w:lang w:eastAsia="en-GB"/>
        </w:rPr>
        <w:t>. 2000;283(15):2008-2012. doi: 10.1001/jama.283.15.2008.</w:t>
      </w:r>
    </w:p>
    <w:p w14:paraId="610C3501" w14:textId="77777777" w:rsidR="007D57FB" w:rsidRPr="00D755FB" w:rsidRDefault="007D57FB" w:rsidP="005B3E6B"/>
    <w:p w14:paraId="610C3502" w14:textId="77777777" w:rsidR="007D57FB" w:rsidRDefault="007D57FB">
      <w:pPr>
        <w:rPr>
          <w:rFonts w:asciiTheme="majorHAnsi" w:eastAsiaTheme="majorEastAsia" w:hAnsiTheme="majorHAnsi" w:cstheme="majorBidi"/>
          <w:color w:val="2E74B5" w:themeColor="accent1" w:themeShade="BF"/>
          <w:sz w:val="32"/>
          <w:szCs w:val="32"/>
        </w:rPr>
      </w:pPr>
      <w:r>
        <w:br w:type="page"/>
      </w:r>
    </w:p>
    <w:p w14:paraId="1B57CC9E" w14:textId="77777777" w:rsidR="00964E5F" w:rsidRDefault="00964E5F" w:rsidP="005B3E6B">
      <w:pPr>
        <w:pStyle w:val="Heading1"/>
      </w:pPr>
      <w:bookmarkStart w:id="1" w:name="_Toc52396324"/>
      <w:r>
        <w:t>Methods</w:t>
      </w:r>
      <w:bookmarkEnd w:id="1"/>
      <w:r>
        <w:t xml:space="preserve"> </w:t>
      </w:r>
    </w:p>
    <w:p w14:paraId="610C3503" w14:textId="198841FA" w:rsidR="007D57FB" w:rsidRDefault="007D57FB" w:rsidP="008937F3">
      <w:pPr>
        <w:pStyle w:val="Heading2"/>
      </w:pPr>
      <w:bookmarkStart w:id="2" w:name="_Toc52396325"/>
      <w:r w:rsidRPr="002F57C6">
        <w:t>Search terms</w:t>
      </w:r>
      <w:bookmarkEnd w:id="2"/>
    </w:p>
    <w:p w14:paraId="610C3504" w14:textId="77777777" w:rsidR="007D57FB" w:rsidRPr="00363C48" w:rsidRDefault="007D57FB" w:rsidP="005B3E6B">
      <w:r>
        <w:t>A trained biomedical</w:t>
      </w:r>
      <w:r w:rsidRPr="00053D56">
        <w:t xml:space="preserve"> academic librarian </w:t>
      </w:r>
      <w:r>
        <w:t xml:space="preserve">assisted with the search strategy design. </w:t>
      </w:r>
      <w:r w:rsidRPr="00053D56">
        <w:t xml:space="preserve">Two </w:t>
      </w:r>
      <w:r>
        <w:t xml:space="preserve">clinically trained investigators </w:t>
      </w:r>
      <w:r w:rsidRPr="00053D56">
        <w:t xml:space="preserve">(EJ </w:t>
      </w:r>
      <w:r>
        <w:t xml:space="preserve">as a </w:t>
      </w:r>
      <w:r w:rsidRPr="00915EAD">
        <w:t>senior resident</w:t>
      </w:r>
      <w:r>
        <w:t xml:space="preserve"> </w:t>
      </w:r>
      <w:r w:rsidRPr="00915EAD">
        <w:t>in g</w:t>
      </w:r>
      <w:r>
        <w:t xml:space="preserve">eriatric medicine </w:t>
      </w:r>
      <w:r w:rsidRPr="00053D56">
        <w:t>and KM</w:t>
      </w:r>
      <w:r>
        <w:t xml:space="preserve"> as a pharmacist with expertise in geriatric pharmacotherapy</w:t>
      </w:r>
      <w:r w:rsidRPr="00053D56">
        <w:t xml:space="preserve">) </w:t>
      </w:r>
      <w:r>
        <w:t>screened papers identified from the search for inclusion, firstly by title and abstract, and then full-text screening of shortlisted papers.</w:t>
      </w:r>
    </w:p>
    <w:p w14:paraId="610C3505" w14:textId="77777777" w:rsidR="007D57FB" w:rsidRPr="00B00B11" w:rsidRDefault="007D57FB" w:rsidP="008937F3">
      <w:pPr>
        <w:pStyle w:val="Heading3"/>
      </w:pPr>
      <w:bookmarkStart w:id="3" w:name="_Toc52396326"/>
      <w:r w:rsidRPr="00B00B11">
        <w:t>PubMed</w:t>
      </w:r>
      <w:bookmarkEnd w:id="3"/>
    </w:p>
    <w:p w14:paraId="610C3506"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old* OR aged OR ageing OR aging OR elderly OR geriatric* OR "Aged"[Mesh] OR "Aged, 80 and over"[Majr] OR "Aged, 80 and over"[Mesh]</w:t>
      </w:r>
    </w:p>
    <w:p w14:paraId="610C3507"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08"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Adverse drug effect OR Adverse drug effects OR Adverse drug event OR Adverse drug events OR Adverse drug reaction OR Adverse drug reactions OR Drug induced disease OR Drug induced diseases OR Drug induced morbidity OR Drug induced injury Drug related morbidity OR Drug related problem OR Drug related problems OR Medication error OR Medication errors OR Medication related problem OR Medication related injury OR Medication related disease OR Medication related toxicity OR Toxicity OR Adverse event OR adverse reaction OR drug reaction OR drug event OR adverse outcome OR adverse drug outcome OR adverse drug outcomes OR adverse medication outcome OR adverse medication outcomes OR Side effect OR unintended effect OR unintended effects OR Unintended reaction OR Unintended reactions OR Unintended outcome OR Unintended outcomes OR Unintended event OR Unintended events OR Unintended morbidity OR Unintended problem OR Unintended injury OR Adverse drug OR "Drug-Related Side Effects and Adverse Reactions"[Mesh]</w:t>
      </w:r>
    </w:p>
    <w:p w14:paraId="610C3509"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0A"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admis* OR admit* OR inpatient OR in-patient OR ward OR Ward-based OR hospitali* OR Hospital OR In hospital OR In-hospital OR "Inpatients"[Mesh]</w:t>
      </w:r>
    </w:p>
    <w:p w14:paraId="610C350B"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0C"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Multimorbid OR Multi-morbid OR Multimorbidity OR Multi-morbidity OR Multimorbid* OR Comorbid OR co-morbid OR morbid* OR co-morbid* OR "Comorbidity"[Majr] OR "Comorbidity"[Mesh]</w:t>
      </w:r>
    </w:p>
    <w:p w14:paraId="610C350D"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0E"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Polypharmacy OR drug combinations OR multiple drugs OR multiple medications OR multiple medication OR multiple medicines OR "Polypharmacy"[Mesh]</w:t>
      </w:r>
    </w:p>
    <w:p w14:paraId="610C350F"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0"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Nosocomial OR Iatrogenic OR Hospital-acquired OR Hospital acquired OR Post-admission OR Post admission OR During admission OR During-admission OR Avoidable OR Avoided OR Avoid* OR Preventable OR prevented OR Prevent* OR "Iatrogenic Disease"[Mesh] OR "Secondary Prevention"[Mesh]</w:t>
      </w:r>
    </w:p>
    <w:p w14:paraId="610C3512" w14:textId="78D4E792" w:rsidR="007D57FB" w:rsidRPr="00B00B11" w:rsidRDefault="007D57FB" w:rsidP="008937F3">
      <w:pPr>
        <w:pStyle w:val="Heading3"/>
      </w:pPr>
      <w:r>
        <w:br w:type="page"/>
      </w:r>
      <w:bookmarkStart w:id="4" w:name="_Toc52396327"/>
      <w:r w:rsidRPr="00B00B11">
        <w:t>EMBASE</w:t>
      </w:r>
      <w:bookmarkEnd w:id="4"/>
    </w:p>
    <w:p w14:paraId="610C3513"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old OR aged OR ageing OR aging OR elderly OR geriatric OR 'aged'/exp OR Old*</w:t>
      </w:r>
    </w:p>
    <w:p w14:paraId="610C3514"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5"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adverse AND ('drug'/exp OR drug) AND effect OR adverse AND drug AND effects OR adverse AND drug AND event OR adverse AND drug AND events OR adverse AND drug AND reaction OR adverse AND drug AND reactions OR drug AND induced AND disease OR drug AND induced AND diseases OR drug AND induced AND morbidity OR drug AND induced AND injury OR drug AND related AND morbidity  OR drug AND related AND problem OR drug AND related AND problems OR medication AND error OR medication AND errors OR 'medication'/exp OR medication) AND related AND problem OR medication AND related AND injury OR medication AND related AND disease OR medication AND related AND toxicity OR Toxicity  OR adverse AND event OR adverse AND reaction OR drug AND reaction OR drug AND event OR adverse AND outcome OR adverse AND drug AND outcome OR adverse AND drug AND outcomes OR adverse AND medication AND outcome OR adverse AND medication AND outcomes OR side AND effect OR unintended AND effect OR unintended AND effects OR unintended AND reaction OR unintended AND reactions OR unintended AND outcome OR unintended AND outcomes OR unintended AND event OR unintended AND events OR unintended AND morbidity OR unintended AND problem OR unintended AND injury OR adverse AND drug OR 'adverse event'/exp OR 'adverse drug reaction'/exp</w:t>
      </w:r>
    </w:p>
    <w:p w14:paraId="610C3516"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7"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admis* OR admit* OR inpatient OR “In patient” OR Ward OR 'ward based' OR hospitali* OR Hospital OR In hospital OR 'in hospital' OR inpatient* OR 'hospital patient'/exp</w:t>
      </w:r>
    </w:p>
    <w:p w14:paraId="610C3518"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9"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Multimorbid OR 'multi morbid' OR Multimorbidity OR 'multi morbidity' OR Multimorbid* OR Comorbid OR 'co morbid' OR morbid* OR 'co morbid*' OR 'multiple chronic conditions'/exp OR 'comorbidity'/exp</w:t>
      </w:r>
    </w:p>
    <w:p w14:paraId="610C351A"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B"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Polypharmacy OR drug AND combinations OR multiple AND drugs OR multiple AND medications OR multiple AND medication OR multiple AND medicines OR 'polypharmacy'/exp</w:t>
      </w:r>
    </w:p>
    <w:p w14:paraId="610C351C"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1D"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Nosocomial OR Iatrogenic OR 'hospital acquired' OR hospital AND acquired OR 'post admission' OR post AND admission OR during AND admission OR 'during admission' OR Avoidable OR Avoided OR Avoid* OR Preventable OR prevented OR Prevent* OR 'iatrogenic disease'/exp OR 'secondary prevention'/exp</w:t>
      </w:r>
    </w:p>
    <w:p w14:paraId="610C351E" w14:textId="77777777" w:rsidR="007D57FB" w:rsidRDefault="007D57FB" w:rsidP="005B3E6B">
      <w:r>
        <w:br w:type="page"/>
      </w:r>
    </w:p>
    <w:p w14:paraId="610C351F" w14:textId="77777777" w:rsidR="007D57FB" w:rsidRPr="00B00B11" w:rsidRDefault="007D57FB" w:rsidP="008937F3">
      <w:pPr>
        <w:pStyle w:val="Heading3"/>
      </w:pPr>
      <w:bookmarkStart w:id="5" w:name="_Toc52396328"/>
      <w:r w:rsidRPr="00B00B11">
        <w:t>CINAHL</w:t>
      </w:r>
      <w:bookmarkEnd w:id="5"/>
    </w:p>
    <w:p w14:paraId="610C3520"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old* OR aged OR ageing OR aging OR elderly OR geriatric* OR (MH "Aged+")</w:t>
      </w:r>
    </w:p>
    <w:p w14:paraId="610C3521"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22"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Adverse drug effect OR Adverse drug effects OR Adverse drug event OR Adverse drug events OR Adverse drug reaction OR Adverse drug reactions OR Drug induced disease OR Drug induced diseases OR Drug induced morbidity OR Drug induced injury OR Drug related morbidity OR Drug related problem OR Drug related problems OR Medication error OR Medication errors OR Medication related problem OR Medication related injury OR Medication related disease OR Medication related toxicity OR Toxicity OR Adverse event OR adverse reaction OR drug reaction OR drug event OR adverse outcome OR adverse drug outcome OR adverse drug outcomes OR adverse medication outcome OR adverse medication outcomes OR Side effect OR unintended effect OR unintended effects OR Unintended reaction OR Unintended reactions OR Unintended outcome OR Unintended outcomes OR Unintended event OR Unintended events OR Unintended morbidity OR Unintended problem OR Unintended injury OR Adverse drug OR (MH "Adverse Drug Event+")</w:t>
      </w:r>
    </w:p>
    <w:p w14:paraId="610C3523"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24"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admis* OR admit* OR inpatient OR in-patient OR ward OR Ward-based OR Ward based OR hospitali* OR Hospital OR In hospital OR In-hospital OR (MH "Inpatients") OR (MH "Aged, Hospitalized")</w:t>
      </w:r>
    </w:p>
    <w:p w14:paraId="610C3525"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26"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Multimorbid OR Multi-morbid OR Multimorbidity OR Multi-morbidity OR Multimorbid* OR Comorbid OR co-morbid OR morbid* OR co-morbid* OR comorbid* OR  (MH "Comorbidity")</w:t>
      </w:r>
    </w:p>
    <w:p w14:paraId="610C3527"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28"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Polypharmacy OR drug combinations OR multiple drugs OR multiple medications OR multiple medication OR multiple medicines OR (MH "Polypharmacy")</w:t>
      </w:r>
    </w:p>
    <w:p w14:paraId="610C3529"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AND</w:t>
      </w:r>
    </w:p>
    <w:p w14:paraId="610C352A" w14:textId="77777777" w:rsidR="007D57FB" w:rsidRPr="00B00B11" w:rsidRDefault="007D57FB" w:rsidP="005B3E6B">
      <w:pPr>
        <w:pBdr>
          <w:top w:val="single" w:sz="4" w:space="1" w:color="auto"/>
          <w:left w:val="single" w:sz="4" w:space="4" w:color="auto"/>
          <w:bottom w:val="single" w:sz="4" w:space="1" w:color="auto"/>
          <w:right w:val="single" w:sz="4" w:space="4" w:color="auto"/>
        </w:pBdr>
        <w:spacing w:line="360" w:lineRule="auto"/>
        <w:jc w:val="center"/>
        <w:rPr>
          <w:sz w:val="20"/>
        </w:rPr>
      </w:pPr>
      <w:r w:rsidRPr="00B00B11">
        <w:rPr>
          <w:sz w:val="20"/>
        </w:rPr>
        <w:t>Nosocomial OR Iatrogenic OR Hospital-acquired OR Hospital acquired OR Post-admission OR Post admission OR During admission OR During-admission OR Avoidable OR Avoided OR Avoid* OR Preventable OR prevented OR Prevent* OR (MH "Iatrogenic Disease") OR (MH "Preventive Health Care+")</w:t>
      </w:r>
    </w:p>
    <w:p w14:paraId="610C352B" w14:textId="77777777" w:rsidR="007D57FB" w:rsidRPr="0068345E" w:rsidRDefault="007D57FB" w:rsidP="005B3E6B">
      <w:pPr>
        <w:sectPr w:rsidR="007D57FB" w:rsidRPr="0068345E" w:rsidSect="005B3E6B">
          <w:headerReference w:type="default" r:id="rId10"/>
          <w:footerReference w:type="default" r:id="rId11"/>
          <w:pgSz w:w="11906" w:h="16838"/>
          <w:pgMar w:top="1440" w:right="1440" w:bottom="1440" w:left="1440" w:header="708" w:footer="708" w:gutter="0"/>
          <w:cols w:space="708"/>
          <w:docGrid w:linePitch="360"/>
        </w:sectPr>
      </w:pPr>
      <w:r>
        <w:br w:type="page"/>
      </w:r>
    </w:p>
    <w:p w14:paraId="610C352C" w14:textId="77777777" w:rsidR="007D57FB" w:rsidRDefault="007D57FB" w:rsidP="008937F3">
      <w:pPr>
        <w:pStyle w:val="Heading2"/>
      </w:pPr>
      <w:bookmarkStart w:id="6" w:name="_Toc52396329"/>
      <w:r>
        <w:t>Study Eligibility Criteria</w:t>
      </w:r>
      <w:bookmarkEnd w:id="6"/>
      <w:r>
        <w:t xml:space="preserve"> </w:t>
      </w:r>
    </w:p>
    <w:p w14:paraId="610C352D" w14:textId="77777777" w:rsidR="007D57FB" w:rsidRPr="00053D56" w:rsidRDefault="007D57FB" w:rsidP="005B3E6B">
      <w:pPr>
        <w:spacing w:line="480" w:lineRule="auto"/>
      </w:pPr>
      <w:r>
        <w:t>Studies</w:t>
      </w:r>
      <w:r w:rsidRPr="00053D56">
        <w:t xml:space="preserve"> </w:t>
      </w:r>
      <w:r>
        <w:t>that</w:t>
      </w:r>
      <w:r w:rsidRPr="00053D56">
        <w:t xml:space="preserve"> </w:t>
      </w:r>
      <w:r>
        <w:t xml:space="preserve">examined </w:t>
      </w:r>
      <w:r w:rsidRPr="00053D56">
        <w:t xml:space="preserve">or as a subset reported on </w:t>
      </w:r>
      <w:r>
        <w:t>hospital-acquired ADRs/</w:t>
      </w:r>
      <w:r w:rsidRPr="00053D56">
        <w:t>ADEs were included.</w:t>
      </w:r>
      <w:r>
        <w:t xml:space="preserve"> If </w:t>
      </w:r>
      <w:r w:rsidRPr="00053D56">
        <w:t xml:space="preserve">ADR data </w:t>
      </w:r>
      <w:r>
        <w:t xml:space="preserve">could </w:t>
      </w:r>
      <w:r w:rsidRPr="00053D56">
        <w:t xml:space="preserve">not </w:t>
      </w:r>
      <w:r>
        <w:t>be extracted</w:t>
      </w:r>
      <w:r w:rsidRPr="00053D56">
        <w:t xml:space="preserve"> </w:t>
      </w:r>
      <w:r>
        <w:t xml:space="preserve">or </w:t>
      </w:r>
      <w:r w:rsidRPr="00053D56">
        <w:t xml:space="preserve">ambiguity </w:t>
      </w:r>
      <w:r>
        <w:t xml:space="preserve">existed </w:t>
      </w:r>
      <w:r w:rsidRPr="00053D56">
        <w:t xml:space="preserve">regarding </w:t>
      </w:r>
      <w:r>
        <w:t xml:space="preserve">methodologies the </w:t>
      </w:r>
      <w:r w:rsidRPr="00053D56">
        <w:t xml:space="preserve">author(s) were contacted for further clarification. </w:t>
      </w:r>
    </w:p>
    <w:p w14:paraId="610C352E" w14:textId="77777777" w:rsidR="007D57FB" w:rsidRDefault="007D57FB" w:rsidP="008937F3">
      <w:pPr>
        <w:spacing w:line="480" w:lineRule="auto"/>
      </w:pPr>
      <w:r w:rsidRPr="00053D56">
        <w:t xml:space="preserve">Studies were included if they reported on </w:t>
      </w:r>
      <w:r>
        <w:t>(a</w:t>
      </w:r>
      <w:r w:rsidRPr="00053D56">
        <w:t xml:space="preserve">) human participants </w:t>
      </w:r>
      <w:r>
        <w:t xml:space="preserve">aged </w:t>
      </w:r>
      <w:r w:rsidRPr="00053D56">
        <w:rPr>
          <w:rFonts w:cstheme="minorHAnsi"/>
        </w:rPr>
        <w:t>≥</w:t>
      </w:r>
      <w:r w:rsidRPr="00053D56">
        <w:t xml:space="preserve"> 65 years</w:t>
      </w:r>
      <w:r>
        <w:t>, (b</w:t>
      </w:r>
      <w:r w:rsidRPr="00053D56">
        <w:t>) ADR occurrence during</w:t>
      </w:r>
      <w:r>
        <w:t xml:space="preserve"> acute hospitalization, and (c</w:t>
      </w:r>
      <w:r w:rsidRPr="00053D56">
        <w:t xml:space="preserve">) </w:t>
      </w:r>
      <w:r>
        <w:t xml:space="preserve">the </w:t>
      </w:r>
      <w:r w:rsidRPr="00053D56">
        <w:t>methodology</w:t>
      </w:r>
      <w:r>
        <w:t xml:space="preserve"> used to </w:t>
      </w:r>
      <w:r w:rsidRPr="00053D56">
        <w:t>ide</w:t>
      </w:r>
      <w:r>
        <w:t xml:space="preserve">ntify the occurrence </w:t>
      </w:r>
      <w:r w:rsidRPr="00053D56">
        <w:t>of an ADR.</w:t>
      </w:r>
    </w:p>
    <w:p w14:paraId="610C352F" w14:textId="77777777" w:rsidR="007D57FB" w:rsidRDefault="007D57FB" w:rsidP="008937F3">
      <w:pPr>
        <w:spacing w:line="480" w:lineRule="auto"/>
      </w:pPr>
      <w:r w:rsidRPr="00053D56">
        <w:t xml:space="preserve">Studies were </w:t>
      </w:r>
      <w:r>
        <w:t>excluded if (i</w:t>
      </w:r>
      <w:r w:rsidRPr="00053D56">
        <w:t>) all participants were under 65 years</w:t>
      </w:r>
      <w:r>
        <w:t>, (ii</w:t>
      </w:r>
      <w:r w:rsidRPr="00053D56">
        <w:t>) ADRs occurred in outpatient, community or primary care setting</w:t>
      </w:r>
      <w:r>
        <w:t xml:space="preserve">s, (iii) the </w:t>
      </w:r>
      <w:r w:rsidRPr="00053D56">
        <w:t xml:space="preserve">setting of ADR occurrence was </w:t>
      </w:r>
      <w:r>
        <w:t xml:space="preserve">unclear, </w:t>
      </w:r>
      <w:r w:rsidRPr="00053D56">
        <w:t>(</w:t>
      </w:r>
      <w:r>
        <w:t>iv</w:t>
      </w:r>
      <w:r w:rsidRPr="00053D56">
        <w:t xml:space="preserve">) </w:t>
      </w:r>
      <w:r>
        <w:t xml:space="preserve">they described a single drug or particular ADR presentation in isolation </w:t>
      </w:r>
      <w:r w:rsidRPr="00053D56">
        <w:t>(</w:t>
      </w:r>
      <w:r>
        <w:t>as not representative of our cohort</w:t>
      </w:r>
      <w:r w:rsidRPr="00053D56">
        <w:t>)</w:t>
      </w:r>
      <w:r>
        <w:t>, (v</w:t>
      </w:r>
      <w:r w:rsidRPr="00053D56">
        <w:t>)</w:t>
      </w:r>
      <w:r>
        <w:t xml:space="preserve"> they were</w:t>
      </w:r>
      <w:r w:rsidRPr="00053D56">
        <w:t xml:space="preserve"> </w:t>
      </w:r>
      <w:r>
        <w:t>review publications or case reports</w:t>
      </w:r>
      <w:r w:rsidRPr="00053D56">
        <w:t xml:space="preserve"> (bibliographic hand search</w:t>
      </w:r>
      <w:r>
        <w:t xml:space="preserve"> undertaken</w:t>
      </w:r>
      <w:r w:rsidRPr="00053D56">
        <w:t>)</w:t>
      </w:r>
      <w:r>
        <w:t>,</w:t>
      </w:r>
      <w:r w:rsidRPr="00053D56">
        <w:t xml:space="preserve"> </w:t>
      </w:r>
      <w:r>
        <w:t>(vi</w:t>
      </w:r>
      <w:r w:rsidRPr="00053D56">
        <w:t xml:space="preserve">) </w:t>
      </w:r>
      <w:r>
        <w:t xml:space="preserve">they </w:t>
      </w:r>
      <w:r w:rsidRPr="00053D56">
        <w:t>related to medication errors (</w:t>
      </w:r>
      <w:r>
        <w:t>included if</w:t>
      </w:r>
      <w:r w:rsidRPr="00053D56">
        <w:t xml:space="preserve"> </w:t>
      </w:r>
      <w:r>
        <w:t>reported</w:t>
      </w:r>
      <w:r w:rsidRPr="00053D56">
        <w:t xml:space="preserve"> </w:t>
      </w:r>
      <w:r>
        <w:t>ADR subset</w:t>
      </w:r>
      <w:r w:rsidRPr="00053D56">
        <w:t>)</w:t>
      </w:r>
      <w:r>
        <w:t>,</w:t>
      </w:r>
      <w:r w:rsidRPr="00053D56">
        <w:t xml:space="preserve"> </w:t>
      </w:r>
      <w:r>
        <w:t>(vii</w:t>
      </w:r>
      <w:r w:rsidRPr="00053D56">
        <w:t xml:space="preserve">) </w:t>
      </w:r>
      <w:r>
        <w:t xml:space="preserve">they </w:t>
      </w:r>
      <w:r w:rsidRPr="00053D56">
        <w:t>related to intentional overdoses</w:t>
      </w:r>
      <w:r>
        <w:t>, or (viii</w:t>
      </w:r>
      <w:r w:rsidRPr="00053D56">
        <w:t>)</w:t>
      </w:r>
      <w:r>
        <w:t xml:space="preserve"> they</w:t>
      </w:r>
      <w:r w:rsidRPr="00053D56">
        <w:t xml:space="preserve"> solely related to ADRs/ADEs occurring prior to</w:t>
      </w:r>
      <w:r>
        <w:t>, or leading to hospitalisation</w:t>
      </w:r>
      <w:r w:rsidRPr="00053D56">
        <w:t>.</w:t>
      </w:r>
    </w:p>
    <w:p w14:paraId="610C3530" w14:textId="77777777" w:rsidR="007D57FB" w:rsidRPr="00681293" w:rsidRDefault="007D57FB" w:rsidP="005B3E6B"/>
    <w:p w14:paraId="610C3531" w14:textId="77777777" w:rsidR="007D57FB" w:rsidRDefault="007D57FB" w:rsidP="008937F3">
      <w:pPr>
        <w:pStyle w:val="Heading2"/>
      </w:pPr>
      <w:bookmarkStart w:id="7" w:name="_Toc52396330"/>
      <w:r>
        <w:t>Statistical analysis</w:t>
      </w:r>
      <w:bookmarkEnd w:id="7"/>
    </w:p>
    <w:p w14:paraId="5AE669B0" w14:textId="41F2791F" w:rsidR="00376DC2" w:rsidRPr="008937F3" w:rsidRDefault="00376DC2" w:rsidP="005B3E6B">
      <w:pPr>
        <w:spacing w:line="480" w:lineRule="auto"/>
      </w:pPr>
      <w:r w:rsidRPr="008937F3">
        <w:t>All analysis were conducted using the R Language for Statistical Programming.</w:t>
      </w:r>
      <w:r w:rsidR="00EB499D" w:rsidRPr="008937F3">
        <w:rPr>
          <w:noProof/>
          <w:vertAlign w:val="superscript"/>
        </w:rPr>
        <w:t>1</w:t>
      </w:r>
      <w:r w:rsidRPr="008937F3">
        <w:t xml:space="preserve"> Meta-analysis models and plots were pro</w:t>
      </w:r>
      <w:r w:rsidR="00973456" w:rsidRPr="008937F3">
        <w:t>duced using the M</w:t>
      </w:r>
      <w:r w:rsidRPr="008937F3">
        <w:t>etafor</w:t>
      </w:r>
      <w:r w:rsidR="00973456" w:rsidRPr="008937F3">
        <w:t>®</w:t>
      </w:r>
      <w:r w:rsidRPr="008937F3">
        <w:t xml:space="preserve"> package.</w:t>
      </w:r>
      <w:r w:rsidR="00EB499D" w:rsidRPr="008937F3">
        <w:rPr>
          <w:noProof/>
          <w:vertAlign w:val="superscript"/>
        </w:rPr>
        <w:t>2</w:t>
      </w:r>
      <w:r w:rsidRPr="008937F3">
        <w:t xml:space="preserve"> For meta-analysis models we used a generalized linear mixed effects model for logit transformed proportions (i.e. metafor::rms.glmm(measure = “PLO”)).</w:t>
      </w:r>
    </w:p>
    <w:p w14:paraId="610C3532" w14:textId="4B42C0AC" w:rsidR="007D57FB" w:rsidRPr="00121DC7" w:rsidRDefault="007D57FB" w:rsidP="005B3E6B">
      <w:pPr>
        <w:spacing w:line="480" w:lineRule="auto"/>
        <w:rPr>
          <w:b/>
        </w:rPr>
      </w:pPr>
      <w:r w:rsidRPr="00053D56">
        <w:rPr>
          <w:b/>
          <w:i/>
        </w:rPr>
        <w:t xml:space="preserve">ADR Prevalence </w:t>
      </w:r>
    </w:p>
    <w:p w14:paraId="610C3533" w14:textId="4CFA08F6" w:rsidR="007D57FB" w:rsidRPr="00053D56" w:rsidRDefault="007D57FB" w:rsidP="005B3E6B">
      <w:pPr>
        <w:spacing w:line="480" w:lineRule="auto"/>
        <w:ind w:firstLine="720"/>
      </w:pPr>
      <w:r w:rsidRPr="00053D56">
        <w:t xml:space="preserve">ADR prevalence </w:t>
      </w:r>
      <w:r>
        <w:t xml:space="preserve">was defined </w:t>
      </w:r>
      <w:r w:rsidRPr="00053D56">
        <w:t xml:space="preserve">as the proportion of </w:t>
      </w:r>
      <w:r>
        <w:t>participants</w:t>
      </w:r>
      <w:r w:rsidRPr="00053D56">
        <w:t xml:space="preserve"> </w:t>
      </w:r>
      <w:r>
        <w:t xml:space="preserve">aged </w:t>
      </w:r>
      <w:r w:rsidRPr="00053D56">
        <w:rPr>
          <w:rFonts w:cstheme="minorHAnsi"/>
        </w:rPr>
        <w:t xml:space="preserve">≥ </w:t>
      </w:r>
      <w:r w:rsidRPr="00053D56">
        <w:t xml:space="preserve">65 years </w:t>
      </w:r>
      <w:r>
        <w:t xml:space="preserve">experiencing </w:t>
      </w:r>
      <w:r>
        <w:rPr>
          <w:rFonts w:cstheme="minorHAnsi"/>
        </w:rPr>
        <w:t xml:space="preserve">≥ </w:t>
      </w:r>
      <w:r>
        <w:t xml:space="preserve">1 </w:t>
      </w:r>
      <w:r w:rsidRPr="00053D56">
        <w:t>ADR during hospitalisation.</w:t>
      </w:r>
      <w:r>
        <w:t xml:space="preserve"> Prevalence was chosen over incidence as details pertaining to the duration of </w:t>
      </w:r>
      <w:r w:rsidR="00AE2DC5">
        <w:t xml:space="preserve">each hospital </w:t>
      </w:r>
      <w:r>
        <w:t xml:space="preserve">admission was </w:t>
      </w:r>
      <w:r w:rsidR="00AE2DC5">
        <w:t xml:space="preserve">poorly </w:t>
      </w:r>
      <w:r>
        <w:t>reported in included studies</w:t>
      </w:r>
      <w:r w:rsidR="00AE2DC5">
        <w:t xml:space="preserve"> i.e. </w:t>
      </w:r>
      <w:r w:rsidR="00AE2DC5" w:rsidRPr="00AE2DC5">
        <w:t>prevalence is the proportion of cases in the population at a given time rather than rate of occurrence of new cases.</w:t>
      </w:r>
      <w:r>
        <w:t xml:space="preserve"> </w:t>
      </w:r>
      <w:r w:rsidR="00EB499D" w:rsidRPr="00EB499D">
        <w:t>As the admission durations were not comparable or standardised across studies (duration of hospitalisations poorly reported) we chose point prevalence as the most appropriate epidemiological measure to represent pooled proportions.</w:t>
      </w:r>
      <w:r w:rsidR="00EB499D">
        <w:t xml:space="preserve"> </w:t>
      </w:r>
      <w:r>
        <w:t>Pooled p</w:t>
      </w:r>
      <w:r w:rsidRPr="00053D56">
        <w:t>revalence estimates were calculated using the random-effects meta-analytic model</w:t>
      </w:r>
      <w:r w:rsidR="00EB499D">
        <w:t xml:space="preserve"> implying that studies come from different populations i.e. there is no one single “true” estimate.</w:t>
      </w:r>
      <w:r w:rsidRPr="00053D56">
        <w:t xml:space="preserve"> </w:t>
      </w:r>
      <w:r w:rsidR="00C65506">
        <w:t xml:space="preserve">Forest plots summarise </w:t>
      </w:r>
      <w:r>
        <w:t>w</w:t>
      </w:r>
      <w:r w:rsidRPr="00053D56">
        <w:t xml:space="preserve">eighted proportions and associated 95% CIs. </w:t>
      </w:r>
    </w:p>
    <w:p w14:paraId="610C3534" w14:textId="77777777" w:rsidR="007D57FB" w:rsidRDefault="007D57FB" w:rsidP="005B3E6B">
      <w:pPr>
        <w:spacing w:line="480" w:lineRule="auto"/>
        <w:rPr>
          <w:b/>
          <w:i/>
        </w:rPr>
      </w:pPr>
      <w:r w:rsidRPr="00053D56">
        <w:rPr>
          <w:b/>
          <w:i/>
        </w:rPr>
        <w:t>Culprit Drugs</w:t>
      </w:r>
    </w:p>
    <w:p w14:paraId="610C3535" w14:textId="24A3D137" w:rsidR="007D57FB" w:rsidRPr="00121DC7" w:rsidRDefault="007D57FB" w:rsidP="005B3E6B">
      <w:pPr>
        <w:spacing w:line="480" w:lineRule="auto"/>
        <w:ind w:firstLine="720"/>
        <w:rPr>
          <w:b/>
          <w:i/>
        </w:rPr>
      </w:pPr>
      <w:r>
        <w:t xml:space="preserve">Causative drugs </w:t>
      </w:r>
      <w:r w:rsidRPr="00053D56">
        <w:t xml:space="preserve">were classified </w:t>
      </w:r>
      <w:r>
        <w:t>according to</w:t>
      </w:r>
      <w:r w:rsidRPr="00053D56">
        <w:t xml:space="preserve"> the WHO Anatomical Therapeutic Chemical [ATC]</w:t>
      </w:r>
      <w:r>
        <w:t xml:space="preserve"> coding system.</w:t>
      </w:r>
      <w:r w:rsidR="00611059" w:rsidRPr="00611059">
        <w:rPr>
          <w:noProof/>
          <w:vertAlign w:val="superscript"/>
        </w:rPr>
        <w:t>3</w:t>
      </w:r>
      <w:r>
        <w:t xml:space="preserve"> When </w:t>
      </w:r>
      <w:r w:rsidRPr="00053D56">
        <w:t>more than one drug</w:t>
      </w:r>
      <w:r>
        <w:t xml:space="preserve"> was accountable per ADR,</w:t>
      </w:r>
      <w:r w:rsidRPr="00053D56">
        <w:t xml:space="preserve"> each drug was counted </w:t>
      </w:r>
      <w:r>
        <w:t>individually</w:t>
      </w:r>
      <w:r w:rsidRPr="00053D56">
        <w:t>.</w:t>
      </w:r>
      <w:r>
        <w:t xml:space="preserve"> Therapeutic subgroups were reported </w:t>
      </w:r>
      <w:r w:rsidRPr="00053D56">
        <w:t xml:space="preserve">as a proportion of </w:t>
      </w:r>
      <w:r>
        <w:t>the total count of all reported causative drugs</w:t>
      </w:r>
      <w:r w:rsidRPr="00053D56">
        <w:t xml:space="preserve">. This </w:t>
      </w:r>
      <w:r>
        <w:t>strategy allows</w:t>
      </w:r>
      <w:r w:rsidRPr="00053D56">
        <w:t xml:space="preserve"> </w:t>
      </w:r>
      <w:r>
        <w:t xml:space="preserve">for </w:t>
      </w:r>
      <w:r w:rsidRPr="00053D56">
        <w:t xml:space="preserve">comparison across studies given the lack of </w:t>
      </w:r>
      <w:r>
        <w:t xml:space="preserve">a </w:t>
      </w:r>
      <w:r w:rsidRPr="00053D56">
        <w:t xml:space="preserve">common reporting </w:t>
      </w:r>
      <w:r>
        <w:t xml:space="preserve">system </w:t>
      </w:r>
      <w:r w:rsidRPr="00053D56">
        <w:t xml:space="preserve">between studies.  </w:t>
      </w:r>
    </w:p>
    <w:p w14:paraId="610C3536" w14:textId="77777777" w:rsidR="007D57FB" w:rsidRPr="00053D56" w:rsidRDefault="007D57FB" w:rsidP="005B3E6B">
      <w:pPr>
        <w:spacing w:line="480" w:lineRule="auto"/>
        <w:rPr>
          <w:b/>
          <w:i/>
        </w:rPr>
      </w:pPr>
      <w:r w:rsidRPr="00053D56">
        <w:rPr>
          <w:b/>
          <w:i/>
        </w:rPr>
        <w:t>ADR Presentation</w:t>
      </w:r>
    </w:p>
    <w:p w14:paraId="610C3537" w14:textId="5DFB6AB1" w:rsidR="007D57FB" w:rsidRPr="00C65506" w:rsidRDefault="007D57FB" w:rsidP="00C65506">
      <w:pPr>
        <w:spacing w:line="480" w:lineRule="auto"/>
        <w:ind w:firstLine="720"/>
        <w:rPr>
          <w:noProof/>
          <w:vertAlign w:val="superscript"/>
        </w:rPr>
      </w:pPr>
      <w:r w:rsidRPr="00053D56">
        <w:t>ADR clinical p</w:t>
      </w:r>
      <w:r>
        <w:t>resentations were classified according to</w:t>
      </w:r>
      <w:r w:rsidRPr="00053D56">
        <w:t xml:space="preserve"> </w:t>
      </w:r>
      <w:r w:rsidRPr="000107FF">
        <w:t>the Medical Dictionary for Regulatory Activities</w:t>
      </w:r>
      <w:r w:rsidR="007927AA">
        <w:t xml:space="preserve"> (MedDRA)</w:t>
      </w:r>
      <w:r w:rsidRPr="000107FF">
        <w:t xml:space="preserve"> terminology</w:t>
      </w:r>
      <w:r w:rsidR="00611059" w:rsidRPr="00611059">
        <w:rPr>
          <w:noProof/>
          <w:vertAlign w:val="superscript"/>
        </w:rPr>
        <w:t>4</w:t>
      </w:r>
      <w:r>
        <w:t xml:space="preserve"> using BioPortal</w:t>
      </w:r>
      <w:r w:rsidRPr="00391066">
        <w:rPr>
          <w:vertAlign w:val="superscript"/>
        </w:rPr>
        <w:t>©</w:t>
      </w:r>
      <w:r>
        <w:t>.</w:t>
      </w:r>
      <w:r w:rsidR="00611059" w:rsidRPr="00611059">
        <w:rPr>
          <w:noProof/>
          <w:vertAlign w:val="superscript"/>
        </w:rPr>
        <w:t>5,6</w:t>
      </w:r>
      <w:r>
        <w:t xml:space="preserve"> When</w:t>
      </w:r>
      <w:r w:rsidRPr="00053D56">
        <w:t xml:space="preserve"> studies </w:t>
      </w:r>
      <w:r>
        <w:t>grouped</w:t>
      </w:r>
      <w:r w:rsidRPr="00053D56">
        <w:t xml:space="preserve"> ADRs</w:t>
      </w:r>
      <w:r>
        <w:t xml:space="preserve"> involving </w:t>
      </w:r>
      <w:r w:rsidRPr="00053D56">
        <w:t>multiple MedDRA</w:t>
      </w:r>
      <w:r>
        <w:t>®</w:t>
      </w:r>
      <w:r w:rsidR="00611059" w:rsidRPr="00611059">
        <w:rPr>
          <w:noProof/>
          <w:vertAlign w:val="superscript"/>
        </w:rPr>
        <w:t>4</w:t>
      </w:r>
      <w:r w:rsidRPr="00053D56">
        <w:t xml:space="preserve"> subgroups</w:t>
      </w:r>
      <w:r>
        <w:t xml:space="preserve">, equal weighting was applied to each subgroup and validated by sensitivity analysis to results when grouped ADRs were </w:t>
      </w:r>
      <w:r w:rsidRPr="00053D56">
        <w:t>excluded</w:t>
      </w:r>
      <w:r>
        <w:t xml:space="preserve"> </w:t>
      </w:r>
      <w:r w:rsidRPr="00445F79">
        <w:t>(see</w:t>
      </w:r>
      <w:r>
        <w:rPr>
          <w:b/>
          <w:i/>
        </w:rPr>
        <w:t xml:space="preserve"> eSupplement-</w:t>
      </w:r>
      <w:r w:rsidRPr="00C17DB6">
        <w:rPr>
          <w:b/>
          <w:i/>
        </w:rPr>
        <w:t>eTable</w:t>
      </w:r>
      <w:r>
        <w:rPr>
          <w:b/>
          <w:i/>
        </w:rPr>
        <w:t xml:space="preserve"> 2</w:t>
      </w:r>
      <w:r w:rsidRPr="00445F79">
        <w:t>).</w:t>
      </w:r>
    </w:p>
    <w:p w14:paraId="610C3539" w14:textId="1E28ED47" w:rsidR="007D57FB" w:rsidRPr="00BB1074" w:rsidRDefault="007D57FB" w:rsidP="008937F3">
      <w:pPr>
        <w:spacing w:line="480" w:lineRule="auto"/>
        <w:ind w:firstLine="720"/>
      </w:pPr>
      <w:r w:rsidRPr="00053D56">
        <w:t>The absolute number of</w:t>
      </w:r>
      <w:r>
        <w:t xml:space="preserve"> ADR presentations</w:t>
      </w:r>
      <w:r w:rsidRPr="00053D56">
        <w:t xml:space="preserve"> </w:t>
      </w:r>
      <w:r>
        <w:t xml:space="preserve">was indeterminable </w:t>
      </w:r>
      <w:r w:rsidRPr="00053D56">
        <w:t xml:space="preserve">as </w:t>
      </w:r>
      <w:r>
        <w:t>some studies only reported ADRs when a predetermined threshold was met</w:t>
      </w:r>
      <w:r w:rsidRPr="00053D56">
        <w:t xml:space="preserve">. </w:t>
      </w:r>
      <w:r>
        <w:t>P</w:t>
      </w:r>
      <w:r w:rsidRPr="00053D56">
        <w:t>roportions of ADR presentations</w:t>
      </w:r>
      <w:r>
        <w:t xml:space="preserve"> were</w:t>
      </w:r>
      <w:r w:rsidRPr="00053D56">
        <w:t xml:space="preserve"> </w:t>
      </w:r>
      <w:r>
        <w:t xml:space="preserve">calculated with </w:t>
      </w:r>
      <w:r w:rsidRPr="00053D56">
        <w:t>the number</w:t>
      </w:r>
      <w:r>
        <w:t xml:space="preserve"> of ADRs</w:t>
      </w:r>
      <w:r w:rsidRPr="00053D56">
        <w:t xml:space="preserve"> specific to the individual presentation as the numerator and overall number of reported ADR presentations as the denominator</w:t>
      </w:r>
      <w:r>
        <w:t>.</w:t>
      </w:r>
    </w:p>
    <w:p w14:paraId="55432C9A" w14:textId="77777777" w:rsidR="00A438D3" w:rsidRDefault="00A438D3" w:rsidP="005B3E6B">
      <w:pPr>
        <w:pStyle w:val="Heading1"/>
      </w:pPr>
    </w:p>
    <w:p w14:paraId="2BD5DC37" w14:textId="77777777" w:rsidR="00A438D3" w:rsidRDefault="00A438D3">
      <w:pPr>
        <w:rPr>
          <w:rFonts w:asciiTheme="majorHAnsi" w:eastAsiaTheme="majorEastAsia" w:hAnsiTheme="majorHAnsi" w:cstheme="majorBidi"/>
          <w:color w:val="2E74B5" w:themeColor="accent1" w:themeShade="BF"/>
          <w:sz w:val="32"/>
          <w:szCs w:val="32"/>
        </w:rPr>
      </w:pPr>
      <w:r>
        <w:br w:type="page"/>
      </w:r>
    </w:p>
    <w:p w14:paraId="610C353A" w14:textId="57E58A4B" w:rsidR="007D57FB" w:rsidRPr="00960B1B" w:rsidRDefault="00737863" w:rsidP="005B3E6B">
      <w:pPr>
        <w:pStyle w:val="Heading1"/>
      </w:pPr>
      <w:bookmarkStart w:id="8" w:name="_Toc52396331"/>
      <w:r>
        <w:t>Appendix 2.</w:t>
      </w:r>
      <w:r w:rsidR="007D57FB">
        <w:t xml:space="preserve"> Sensitivity Analysis of ADR Presentations</w:t>
      </w:r>
      <w:bookmarkEnd w:id="8"/>
      <w:r w:rsidR="007D57FB">
        <w:t xml:space="preserve">  </w:t>
      </w:r>
    </w:p>
    <w:tbl>
      <w:tblPr>
        <w:tblW w:w="10072" w:type="dxa"/>
        <w:tblLayout w:type="fixed"/>
        <w:tblLook w:val="04A0" w:firstRow="1" w:lastRow="0" w:firstColumn="1" w:lastColumn="0" w:noHBand="0" w:noVBand="1"/>
      </w:tblPr>
      <w:tblGrid>
        <w:gridCol w:w="704"/>
        <w:gridCol w:w="696"/>
        <w:gridCol w:w="3163"/>
        <w:gridCol w:w="772"/>
        <w:gridCol w:w="897"/>
        <w:gridCol w:w="954"/>
        <w:gridCol w:w="889"/>
        <w:gridCol w:w="1004"/>
        <w:gridCol w:w="993"/>
      </w:tblGrid>
      <w:tr w:rsidR="00411450" w:rsidRPr="00367D24" w14:paraId="610C3544" w14:textId="77777777" w:rsidTr="008937F3">
        <w:trPr>
          <w:trHeight w:val="580"/>
        </w:trPr>
        <w:tc>
          <w:tcPr>
            <w:tcW w:w="7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53B" w14:textId="77777777" w:rsidR="007D57FB" w:rsidRPr="00367D24" w:rsidRDefault="007D57FB" w:rsidP="005B3E6B">
            <w:pPr>
              <w:spacing w:after="0" w:line="240" w:lineRule="auto"/>
              <w:rPr>
                <w:rFonts w:ascii="Calibri" w:eastAsia="Times New Roman" w:hAnsi="Calibri" w:cs="Times New Roman"/>
                <w:b/>
                <w:bCs/>
                <w:color w:val="000000"/>
                <w:lang w:eastAsia="en-GB"/>
              </w:rPr>
            </w:pPr>
            <w:bookmarkStart w:id="9" w:name="RANGE!A1:I67"/>
            <w:r w:rsidRPr="00367D24">
              <w:rPr>
                <w:rFonts w:ascii="Calibri" w:eastAsia="Times New Roman" w:hAnsi="Calibri" w:cs="Times New Roman"/>
                <w:b/>
                <w:bCs/>
                <w:color w:val="000000"/>
                <w:lang w:eastAsia="en-GB"/>
              </w:rPr>
              <w:t>Rank</w:t>
            </w:r>
            <w:bookmarkEnd w:id="9"/>
          </w:p>
        </w:tc>
        <w:tc>
          <w:tcPr>
            <w:tcW w:w="696" w:type="dxa"/>
            <w:tcBorders>
              <w:top w:val="single" w:sz="4" w:space="0" w:color="auto"/>
              <w:left w:val="nil"/>
              <w:bottom w:val="single" w:sz="4" w:space="0" w:color="auto"/>
              <w:right w:val="single" w:sz="4" w:space="0" w:color="auto"/>
            </w:tcBorders>
            <w:shd w:val="clear" w:color="000000" w:fill="E7E6E6"/>
            <w:vAlign w:val="center"/>
            <w:hideMark/>
          </w:tcPr>
          <w:p w14:paraId="610C353C"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Sens. R</w:t>
            </w:r>
            <w:r w:rsidRPr="00367D24">
              <w:rPr>
                <w:rFonts w:ascii="Calibri" w:eastAsia="Times New Roman" w:hAnsi="Calibri" w:cs="Times New Roman"/>
                <w:b/>
                <w:bCs/>
                <w:color w:val="000000"/>
                <w:lang w:eastAsia="en-GB"/>
              </w:rPr>
              <w:t>ank</w:t>
            </w:r>
          </w:p>
        </w:tc>
        <w:tc>
          <w:tcPr>
            <w:tcW w:w="3163" w:type="dxa"/>
            <w:tcBorders>
              <w:top w:val="single" w:sz="4" w:space="0" w:color="auto"/>
              <w:left w:val="nil"/>
              <w:bottom w:val="single" w:sz="4" w:space="0" w:color="auto"/>
              <w:right w:val="single" w:sz="4" w:space="0" w:color="auto"/>
            </w:tcBorders>
            <w:shd w:val="clear" w:color="000000" w:fill="E7E6E6"/>
            <w:vAlign w:val="center"/>
            <w:hideMark/>
          </w:tcPr>
          <w:p w14:paraId="610C353D" w14:textId="77777777" w:rsidR="007D57FB" w:rsidRPr="00367D24" w:rsidRDefault="007D57FB" w:rsidP="005B3E6B">
            <w:pPr>
              <w:spacing w:after="0" w:line="240" w:lineRule="auto"/>
              <w:rPr>
                <w:rFonts w:ascii="Calibri" w:eastAsia="Times New Roman" w:hAnsi="Calibri" w:cs="Times New Roman"/>
                <w:b/>
                <w:bCs/>
                <w:color w:val="000000"/>
                <w:lang w:eastAsia="en-GB"/>
              </w:rPr>
            </w:pPr>
            <w:r w:rsidRPr="00367D24">
              <w:rPr>
                <w:rFonts w:ascii="Calibri" w:eastAsia="Times New Roman" w:hAnsi="Calibri" w:cs="Times New Roman"/>
                <w:b/>
                <w:bCs/>
                <w:color w:val="000000"/>
                <w:lang w:eastAsia="en-GB"/>
              </w:rPr>
              <w:t>ADR details</w:t>
            </w:r>
          </w:p>
        </w:tc>
        <w:tc>
          <w:tcPr>
            <w:tcW w:w="772" w:type="dxa"/>
            <w:tcBorders>
              <w:top w:val="single" w:sz="4" w:space="0" w:color="auto"/>
              <w:left w:val="nil"/>
              <w:bottom w:val="single" w:sz="4" w:space="0" w:color="auto"/>
              <w:right w:val="single" w:sz="4" w:space="0" w:color="auto"/>
            </w:tcBorders>
            <w:shd w:val="clear" w:color="000000" w:fill="E7E6E6"/>
            <w:vAlign w:val="center"/>
            <w:hideMark/>
          </w:tcPr>
          <w:p w14:paraId="610C353E"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Class.</w:t>
            </w:r>
            <w:r w:rsidRPr="00367D24">
              <w:rPr>
                <w:rFonts w:ascii="Calibri" w:eastAsia="Times New Roman" w:hAnsi="Calibri" w:cs="Times New Roman"/>
                <w:b/>
                <w:bCs/>
                <w:color w:val="000000"/>
                <w:lang w:eastAsia="en-GB"/>
              </w:rPr>
              <w:t xml:space="preserve"> n</w:t>
            </w:r>
          </w:p>
        </w:tc>
        <w:tc>
          <w:tcPr>
            <w:tcW w:w="897" w:type="dxa"/>
            <w:tcBorders>
              <w:top w:val="single" w:sz="4" w:space="0" w:color="auto"/>
              <w:left w:val="nil"/>
              <w:bottom w:val="single" w:sz="4" w:space="0" w:color="auto"/>
              <w:right w:val="single" w:sz="4" w:space="0" w:color="auto"/>
            </w:tcBorders>
            <w:shd w:val="clear" w:color="000000" w:fill="E7E6E6"/>
            <w:vAlign w:val="center"/>
            <w:hideMark/>
          </w:tcPr>
          <w:p w14:paraId="610C353F"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C</w:t>
            </w:r>
            <w:r w:rsidRPr="00367D24">
              <w:rPr>
                <w:rFonts w:ascii="Calibri" w:eastAsia="Times New Roman" w:hAnsi="Calibri" w:cs="Times New Roman"/>
                <w:b/>
                <w:bCs/>
                <w:color w:val="000000"/>
                <w:lang w:eastAsia="en-GB"/>
              </w:rPr>
              <w:t>lass.</w:t>
            </w:r>
          </w:p>
        </w:tc>
        <w:tc>
          <w:tcPr>
            <w:tcW w:w="954" w:type="dxa"/>
            <w:tcBorders>
              <w:top w:val="single" w:sz="4" w:space="0" w:color="auto"/>
              <w:left w:val="nil"/>
              <w:bottom w:val="single" w:sz="4" w:space="0" w:color="auto"/>
              <w:right w:val="single" w:sz="4" w:space="0" w:color="auto"/>
            </w:tcBorders>
            <w:shd w:val="clear" w:color="000000" w:fill="E7E6E6"/>
            <w:vAlign w:val="center"/>
            <w:hideMark/>
          </w:tcPr>
          <w:p w14:paraId="610C3540"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w:t>
            </w:r>
            <w:r>
              <w:rPr>
                <w:rFonts w:ascii="Calibri" w:eastAsia="Times New Roman" w:hAnsi="Calibri" w:cs="Times New Roman"/>
                <w:b/>
                <w:bCs/>
                <w:color w:val="000000"/>
                <w:lang w:eastAsia="en-GB"/>
              </w:rPr>
              <w:t xml:space="preserve"> C</w:t>
            </w:r>
            <w:r w:rsidRPr="00367D24">
              <w:rPr>
                <w:rFonts w:ascii="Calibri" w:eastAsia="Times New Roman" w:hAnsi="Calibri" w:cs="Times New Roman"/>
                <w:b/>
                <w:bCs/>
                <w:color w:val="000000"/>
                <w:lang w:eastAsia="en-GB"/>
              </w:rPr>
              <w:t>lass.</w:t>
            </w:r>
          </w:p>
        </w:tc>
        <w:tc>
          <w:tcPr>
            <w:tcW w:w="889" w:type="dxa"/>
            <w:tcBorders>
              <w:top w:val="single" w:sz="4" w:space="0" w:color="auto"/>
              <w:left w:val="nil"/>
              <w:bottom w:val="single" w:sz="4" w:space="0" w:color="auto"/>
              <w:right w:val="single" w:sz="4" w:space="0" w:color="auto"/>
            </w:tcBorders>
            <w:shd w:val="clear" w:color="000000" w:fill="E7E6E6"/>
            <w:vAlign w:val="center"/>
            <w:hideMark/>
          </w:tcPr>
          <w:p w14:paraId="610C3541" w14:textId="62E97DC8"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w:t>
            </w:r>
            <w:r w:rsidRPr="00367D24">
              <w:rPr>
                <w:rFonts w:ascii="Calibri" w:eastAsia="Times New Roman" w:hAnsi="Calibri" w:cs="Times New Roman"/>
                <w:b/>
                <w:bCs/>
                <w:color w:val="000000"/>
                <w:lang w:eastAsia="en-GB"/>
              </w:rPr>
              <w:t>ens</w:t>
            </w:r>
            <w:r w:rsidR="00411450">
              <w:rPr>
                <w:rFonts w:ascii="Calibri" w:eastAsia="Times New Roman" w:hAnsi="Calibri" w:cs="Times New Roman"/>
                <w:b/>
                <w:bCs/>
                <w:color w:val="000000"/>
                <w:lang w:eastAsia="en-GB"/>
              </w:rPr>
              <w:t xml:space="preserve">. </w:t>
            </w:r>
            <w:r w:rsidRPr="00367D24">
              <w:rPr>
                <w:rFonts w:ascii="Calibri" w:eastAsia="Times New Roman" w:hAnsi="Calibri" w:cs="Times New Roman"/>
                <w:b/>
                <w:bCs/>
                <w:color w:val="000000"/>
                <w:lang w:eastAsia="en-GB"/>
              </w:rPr>
              <w:t>n</w:t>
            </w:r>
          </w:p>
        </w:tc>
        <w:tc>
          <w:tcPr>
            <w:tcW w:w="1004" w:type="dxa"/>
            <w:tcBorders>
              <w:top w:val="single" w:sz="4" w:space="0" w:color="auto"/>
              <w:left w:val="nil"/>
              <w:bottom w:val="single" w:sz="4" w:space="0" w:color="auto"/>
              <w:right w:val="single" w:sz="4" w:space="0" w:color="auto"/>
            </w:tcBorders>
            <w:shd w:val="clear" w:color="000000" w:fill="E7E6E6"/>
            <w:vAlign w:val="center"/>
            <w:hideMark/>
          </w:tcPr>
          <w:p w14:paraId="610C3542"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S</w:t>
            </w:r>
            <w:r w:rsidRPr="00367D24">
              <w:rPr>
                <w:rFonts w:ascii="Calibri" w:eastAsia="Times New Roman" w:hAnsi="Calibri" w:cs="Times New Roman"/>
                <w:b/>
                <w:bCs/>
                <w:color w:val="000000"/>
                <w:lang w:eastAsia="en-GB"/>
              </w:rPr>
              <w:t>ens.</w:t>
            </w:r>
          </w:p>
        </w:tc>
        <w:tc>
          <w:tcPr>
            <w:tcW w:w="993" w:type="dxa"/>
            <w:tcBorders>
              <w:top w:val="single" w:sz="4" w:space="0" w:color="auto"/>
              <w:left w:val="nil"/>
              <w:bottom w:val="single" w:sz="4" w:space="0" w:color="auto"/>
              <w:right w:val="single" w:sz="4" w:space="0" w:color="auto"/>
            </w:tcBorders>
            <w:shd w:val="clear" w:color="000000" w:fill="E7E6E6"/>
            <w:vAlign w:val="center"/>
            <w:hideMark/>
          </w:tcPr>
          <w:p w14:paraId="610C3543" w14:textId="77777777" w:rsidR="007D57FB" w:rsidRPr="00367D24" w:rsidRDefault="007D57FB" w:rsidP="005B3E6B">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 sens.</w:t>
            </w:r>
          </w:p>
        </w:tc>
      </w:tr>
      <w:tr w:rsidR="00411450" w:rsidRPr="00367D24" w14:paraId="610C354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45" w14:textId="26D7D0A9"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696" w:type="dxa"/>
            <w:tcBorders>
              <w:top w:val="nil"/>
              <w:left w:val="nil"/>
              <w:bottom w:val="single" w:sz="4" w:space="0" w:color="auto"/>
              <w:right w:val="single" w:sz="4" w:space="0" w:color="auto"/>
            </w:tcBorders>
            <w:shd w:val="clear" w:color="auto" w:fill="auto"/>
            <w:noWrap/>
            <w:vAlign w:val="center"/>
            <w:hideMark/>
          </w:tcPr>
          <w:p w14:paraId="610C3546"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3163" w:type="dxa"/>
            <w:tcBorders>
              <w:top w:val="nil"/>
              <w:left w:val="nil"/>
              <w:bottom w:val="single" w:sz="4" w:space="0" w:color="auto"/>
              <w:right w:val="single" w:sz="4" w:space="0" w:color="auto"/>
            </w:tcBorders>
            <w:shd w:val="clear" w:color="000000" w:fill="E2EFDA"/>
            <w:vAlign w:val="center"/>
            <w:hideMark/>
          </w:tcPr>
          <w:p w14:paraId="610C3547"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Electrolyte and fluid balance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548"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461</w:t>
            </w:r>
          </w:p>
        </w:tc>
        <w:tc>
          <w:tcPr>
            <w:tcW w:w="897" w:type="dxa"/>
            <w:tcBorders>
              <w:top w:val="nil"/>
              <w:left w:val="nil"/>
              <w:bottom w:val="single" w:sz="4" w:space="0" w:color="auto"/>
              <w:right w:val="single" w:sz="4" w:space="0" w:color="auto"/>
            </w:tcBorders>
            <w:shd w:val="clear" w:color="auto" w:fill="auto"/>
            <w:noWrap/>
            <w:vAlign w:val="center"/>
            <w:hideMark/>
          </w:tcPr>
          <w:p w14:paraId="610C3549" w14:textId="328B59C4"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19.78%</w:t>
            </w:r>
          </w:p>
        </w:tc>
        <w:tc>
          <w:tcPr>
            <w:tcW w:w="954" w:type="dxa"/>
            <w:tcBorders>
              <w:top w:val="nil"/>
              <w:left w:val="nil"/>
              <w:bottom w:val="single" w:sz="4" w:space="0" w:color="auto"/>
              <w:right w:val="single" w:sz="4" w:space="0" w:color="auto"/>
            </w:tcBorders>
            <w:shd w:val="clear" w:color="auto" w:fill="auto"/>
            <w:noWrap/>
            <w:vAlign w:val="center"/>
            <w:hideMark/>
          </w:tcPr>
          <w:p w14:paraId="610C354A" w14:textId="26FF9490"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19.78%</w:t>
            </w:r>
          </w:p>
        </w:tc>
        <w:tc>
          <w:tcPr>
            <w:tcW w:w="889" w:type="dxa"/>
            <w:tcBorders>
              <w:top w:val="nil"/>
              <w:left w:val="nil"/>
              <w:bottom w:val="single" w:sz="4" w:space="0" w:color="auto"/>
              <w:right w:val="single" w:sz="4" w:space="0" w:color="auto"/>
            </w:tcBorders>
            <w:shd w:val="clear" w:color="auto" w:fill="auto"/>
            <w:noWrap/>
            <w:vAlign w:val="center"/>
            <w:hideMark/>
          </w:tcPr>
          <w:p w14:paraId="610C354B"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561</w:t>
            </w:r>
          </w:p>
        </w:tc>
        <w:tc>
          <w:tcPr>
            <w:tcW w:w="1004" w:type="dxa"/>
            <w:tcBorders>
              <w:top w:val="nil"/>
              <w:left w:val="nil"/>
              <w:bottom w:val="single" w:sz="4" w:space="0" w:color="auto"/>
              <w:right w:val="single" w:sz="4" w:space="0" w:color="auto"/>
            </w:tcBorders>
            <w:shd w:val="clear" w:color="auto" w:fill="auto"/>
            <w:noWrap/>
            <w:vAlign w:val="center"/>
            <w:hideMark/>
          </w:tcPr>
          <w:p w14:paraId="610C354C" w14:textId="35F3226B"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17.26%</w:t>
            </w:r>
          </w:p>
        </w:tc>
        <w:tc>
          <w:tcPr>
            <w:tcW w:w="993" w:type="dxa"/>
            <w:tcBorders>
              <w:top w:val="nil"/>
              <w:left w:val="nil"/>
              <w:bottom w:val="single" w:sz="4" w:space="0" w:color="auto"/>
              <w:right w:val="single" w:sz="4" w:space="0" w:color="auto"/>
            </w:tcBorders>
            <w:shd w:val="clear" w:color="auto" w:fill="auto"/>
            <w:noWrap/>
            <w:vAlign w:val="center"/>
            <w:hideMark/>
          </w:tcPr>
          <w:p w14:paraId="610C354D" w14:textId="4B7C2EFF"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17.26%</w:t>
            </w:r>
          </w:p>
        </w:tc>
      </w:tr>
      <w:tr w:rsidR="00411450" w:rsidRPr="00367D24" w14:paraId="610C355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4F" w14:textId="0D63F042"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696" w:type="dxa"/>
            <w:tcBorders>
              <w:top w:val="nil"/>
              <w:left w:val="nil"/>
              <w:bottom w:val="single" w:sz="4" w:space="0" w:color="auto"/>
              <w:right w:val="single" w:sz="4" w:space="0" w:color="auto"/>
            </w:tcBorders>
            <w:shd w:val="clear" w:color="auto" w:fill="auto"/>
            <w:noWrap/>
            <w:vAlign w:val="center"/>
            <w:hideMark/>
          </w:tcPr>
          <w:p w14:paraId="610C3550"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3163" w:type="dxa"/>
            <w:tcBorders>
              <w:top w:val="nil"/>
              <w:left w:val="nil"/>
              <w:bottom w:val="single" w:sz="4" w:space="0" w:color="auto"/>
              <w:right w:val="single" w:sz="4" w:space="0" w:color="auto"/>
            </w:tcBorders>
            <w:shd w:val="clear" w:color="000000" w:fill="E2EFDA"/>
            <w:vAlign w:val="center"/>
            <w:hideMark/>
          </w:tcPr>
          <w:p w14:paraId="610C3551"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Gastrointestinal motility and defaecation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552"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392</w:t>
            </w:r>
          </w:p>
        </w:tc>
        <w:tc>
          <w:tcPr>
            <w:tcW w:w="897" w:type="dxa"/>
            <w:tcBorders>
              <w:top w:val="nil"/>
              <w:left w:val="nil"/>
              <w:bottom w:val="single" w:sz="4" w:space="0" w:color="auto"/>
              <w:right w:val="single" w:sz="4" w:space="0" w:color="auto"/>
            </w:tcBorders>
            <w:shd w:val="clear" w:color="auto" w:fill="auto"/>
            <w:noWrap/>
            <w:vAlign w:val="center"/>
            <w:hideMark/>
          </w:tcPr>
          <w:p w14:paraId="610C3553" w14:textId="7623DB74"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16.82%</w:t>
            </w:r>
          </w:p>
        </w:tc>
        <w:tc>
          <w:tcPr>
            <w:tcW w:w="954" w:type="dxa"/>
            <w:tcBorders>
              <w:top w:val="nil"/>
              <w:left w:val="nil"/>
              <w:bottom w:val="single" w:sz="4" w:space="0" w:color="auto"/>
              <w:right w:val="single" w:sz="4" w:space="0" w:color="auto"/>
            </w:tcBorders>
            <w:shd w:val="clear" w:color="auto" w:fill="auto"/>
            <w:noWrap/>
            <w:vAlign w:val="center"/>
            <w:hideMark/>
          </w:tcPr>
          <w:p w14:paraId="610C3554" w14:textId="58A6E3C8"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36.59%</w:t>
            </w:r>
          </w:p>
        </w:tc>
        <w:tc>
          <w:tcPr>
            <w:tcW w:w="889" w:type="dxa"/>
            <w:tcBorders>
              <w:top w:val="nil"/>
              <w:left w:val="nil"/>
              <w:bottom w:val="single" w:sz="4" w:space="0" w:color="auto"/>
              <w:right w:val="single" w:sz="4" w:space="0" w:color="auto"/>
            </w:tcBorders>
            <w:shd w:val="clear" w:color="auto" w:fill="auto"/>
            <w:noWrap/>
            <w:vAlign w:val="center"/>
            <w:hideMark/>
          </w:tcPr>
          <w:p w14:paraId="610C3555"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432</w:t>
            </w:r>
          </w:p>
        </w:tc>
        <w:tc>
          <w:tcPr>
            <w:tcW w:w="1004" w:type="dxa"/>
            <w:tcBorders>
              <w:top w:val="nil"/>
              <w:left w:val="nil"/>
              <w:bottom w:val="single" w:sz="4" w:space="0" w:color="auto"/>
              <w:right w:val="single" w:sz="4" w:space="0" w:color="auto"/>
            </w:tcBorders>
            <w:shd w:val="clear" w:color="auto" w:fill="auto"/>
            <w:noWrap/>
            <w:vAlign w:val="center"/>
            <w:hideMark/>
          </w:tcPr>
          <w:p w14:paraId="610C3556" w14:textId="157D4634"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13.29%</w:t>
            </w:r>
          </w:p>
        </w:tc>
        <w:tc>
          <w:tcPr>
            <w:tcW w:w="993" w:type="dxa"/>
            <w:tcBorders>
              <w:top w:val="nil"/>
              <w:left w:val="nil"/>
              <w:bottom w:val="single" w:sz="4" w:space="0" w:color="auto"/>
              <w:right w:val="single" w:sz="4" w:space="0" w:color="auto"/>
            </w:tcBorders>
            <w:shd w:val="clear" w:color="auto" w:fill="auto"/>
            <w:noWrap/>
            <w:vAlign w:val="center"/>
            <w:hideMark/>
          </w:tcPr>
          <w:p w14:paraId="610C3557" w14:textId="01FAE481"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30.54%</w:t>
            </w:r>
          </w:p>
        </w:tc>
      </w:tr>
      <w:tr w:rsidR="00411450" w:rsidRPr="00367D24" w14:paraId="610C3562"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59" w14:textId="0FD9C9B4"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696" w:type="dxa"/>
            <w:tcBorders>
              <w:top w:val="nil"/>
              <w:left w:val="nil"/>
              <w:bottom w:val="single" w:sz="4" w:space="0" w:color="auto"/>
              <w:right w:val="single" w:sz="4" w:space="0" w:color="auto"/>
            </w:tcBorders>
            <w:shd w:val="clear" w:color="auto" w:fill="auto"/>
            <w:noWrap/>
            <w:vAlign w:val="center"/>
            <w:hideMark/>
          </w:tcPr>
          <w:p w14:paraId="610C355A"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3163" w:type="dxa"/>
            <w:tcBorders>
              <w:top w:val="nil"/>
              <w:left w:val="nil"/>
              <w:bottom w:val="single" w:sz="4" w:space="0" w:color="auto"/>
              <w:right w:val="single" w:sz="4" w:space="0" w:color="auto"/>
            </w:tcBorders>
            <w:shd w:val="clear" w:color="000000" w:fill="E2EFDA"/>
            <w:vAlign w:val="center"/>
            <w:hideMark/>
          </w:tcPr>
          <w:p w14:paraId="610C355B" w14:textId="77777777" w:rsidR="00C74E6C" w:rsidRPr="00367D24" w:rsidRDefault="00C74E6C" w:rsidP="00C74E6C">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Renal disorders (excl. </w:t>
            </w:r>
            <w:r w:rsidRPr="00367D24">
              <w:rPr>
                <w:rFonts w:ascii="Calibri" w:eastAsia="Times New Roman" w:hAnsi="Calibri" w:cs="Times New Roman"/>
                <w:color w:val="000000"/>
                <w:lang w:eastAsia="en-GB"/>
              </w:rPr>
              <w:t xml:space="preserve">nephropathies) </w:t>
            </w:r>
          </w:p>
        </w:tc>
        <w:tc>
          <w:tcPr>
            <w:tcW w:w="772" w:type="dxa"/>
            <w:tcBorders>
              <w:top w:val="nil"/>
              <w:left w:val="nil"/>
              <w:bottom w:val="single" w:sz="4" w:space="0" w:color="auto"/>
              <w:right w:val="single" w:sz="4" w:space="0" w:color="auto"/>
            </w:tcBorders>
            <w:shd w:val="clear" w:color="auto" w:fill="auto"/>
            <w:noWrap/>
            <w:vAlign w:val="center"/>
            <w:hideMark/>
          </w:tcPr>
          <w:p w14:paraId="610C355C"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150</w:t>
            </w:r>
          </w:p>
        </w:tc>
        <w:tc>
          <w:tcPr>
            <w:tcW w:w="897" w:type="dxa"/>
            <w:tcBorders>
              <w:top w:val="nil"/>
              <w:left w:val="nil"/>
              <w:bottom w:val="single" w:sz="4" w:space="0" w:color="auto"/>
              <w:right w:val="single" w:sz="4" w:space="0" w:color="auto"/>
            </w:tcBorders>
            <w:shd w:val="clear" w:color="auto" w:fill="auto"/>
            <w:noWrap/>
            <w:vAlign w:val="center"/>
            <w:hideMark/>
          </w:tcPr>
          <w:p w14:paraId="610C355D" w14:textId="111CD167"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6.44%</w:t>
            </w:r>
          </w:p>
        </w:tc>
        <w:tc>
          <w:tcPr>
            <w:tcW w:w="954" w:type="dxa"/>
            <w:tcBorders>
              <w:top w:val="nil"/>
              <w:left w:val="nil"/>
              <w:bottom w:val="single" w:sz="4" w:space="0" w:color="auto"/>
              <w:right w:val="single" w:sz="4" w:space="0" w:color="auto"/>
            </w:tcBorders>
            <w:shd w:val="clear" w:color="auto" w:fill="auto"/>
            <w:noWrap/>
            <w:vAlign w:val="center"/>
            <w:hideMark/>
          </w:tcPr>
          <w:p w14:paraId="610C355E" w14:textId="199A1A2A"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43.03%</w:t>
            </w:r>
          </w:p>
        </w:tc>
        <w:tc>
          <w:tcPr>
            <w:tcW w:w="889" w:type="dxa"/>
            <w:tcBorders>
              <w:top w:val="nil"/>
              <w:left w:val="nil"/>
              <w:bottom w:val="single" w:sz="4" w:space="0" w:color="auto"/>
              <w:right w:val="single" w:sz="4" w:space="0" w:color="auto"/>
            </w:tcBorders>
            <w:shd w:val="clear" w:color="auto" w:fill="auto"/>
            <w:noWrap/>
            <w:vAlign w:val="center"/>
            <w:hideMark/>
          </w:tcPr>
          <w:p w14:paraId="610C355F"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267</w:t>
            </w:r>
          </w:p>
        </w:tc>
        <w:tc>
          <w:tcPr>
            <w:tcW w:w="1004" w:type="dxa"/>
            <w:tcBorders>
              <w:top w:val="nil"/>
              <w:left w:val="nil"/>
              <w:bottom w:val="single" w:sz="4" w:space="0" w:color="auto"/>
              <w:right w:val="single" w:sz="4" w:space="0" w:color="auto"/>
            </w:tcBorders>
            <w:shd w:val="clear" w:color="auto" w:fill="auto"/>
            <w:noWrap/>
            <w:vAlign w:val="center"/>
            <w:hideMark/>
          </w:tcPr>
          <w:p w14:paraId="610C3560" w14:textId="47EA7B26"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8.21%</w:t>
            </w:r>
          </w:p>
        </w:tc>
        <w:tc>
          <w:tcPr>
            <w:tcW w:w="993" w:type="dxa"/>
            <w:tcBorders>
              <w:top w:val="nil"/>
              <w:left w:val="nil"/>
              <w:bottom w:val="single" w:sz="4" w:space="0" w:color="auto"/>
              <w:right w:val="single" w:sz="4" w:space="0" w:color="auto"/>
            </w:tcBorders>
            <w:shd w:val="clear" w:color="auto" w:fill="auto"/>
            <w:noWrap/>
            <w:vAlign w:val="center"/>
            <w:hideMark/>
          </w:tcPr>
          <w:p w14:paraId="610C3561" w14:textId="09833BFF"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38.76%</w:t>
            </w:r>
          </w:p>
        </w:tc>
      </w:tr>
      <w:tr w:rsidR="00411450" w:rsidRPr="00367D24" w14:paraId="610C356C"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63" w14:textId="225A046E"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w:t>
            </w:r>
          </w:p>
        </w:tc>
        <w:tc>
          <w:tcPr>
            <w:tcW w:w="696" w:type="dxa"/>
            <w:tcBorders>
              <w:top w:val="nil"/>
              <w:left w:val="nil"/>
              <w:bottom w:val="single" w:sz="4" w:space="0" w:color="auto"/>
              <w:right w:val="single" w:sz="4" w:space="0" w:color="auto"/>
            </w:tcBorders>
            <w:shd w:val="clear" w:color="auto" w:fill="auto"/>
            <w:noWrap/>
            <w:vAlign w:val="center"/>
            <w:hideMark/>
          </w:tcPr>
          <w:p w14:paraId="610C3564"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w:t>
            </w:r>
          </w:p>
        </w:tc>
        <w:tc>
          <w:tcPr>
            <w:tcW w:w="3163" w:type="dxa"/>
            <w:tcBorders>
              <w:top w:val="nil"/>
              <w:left w:val="nil"/>
              <w:bottom w:val="single" w:sz="4" w:space="0" w:color="auto"/>
              <w:right w:val="single" w:sz="4" w:space="0" w:color="auto"/>
            </w:tcBorders>
            <w:shd w:val="clear" w:color="000000" w:fill="E2EFDA"/>
            <w:vAlign w:val="center"/>
            <w:hideMark/>
          </w:tcPr>
          <w:p w14:paraId="610C3565"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Decreased and nonspecific blood pressure disorders and shock </w:t>
            </w:r>
          </w:p>
        </w:tc>
        <w:tc>
          <w:tcPr>
            <w:tcW w:w="772" w:type="dxa"/>
            <w:tcBorders>
              <w:top w:val="nil"/>
              <w:left w:val="nil"/>
              <w:bottom w:val="single" w:sz="4" w:space="0" w:color="auto"/>
              <w:right w:val="single" w:sz="4" w:space="0" w:color="auto"/>
            </w:tcBorders>
            <w:shd w:val="clear" w:color="auto" w:fill="auto"/>
            <w:noWrap/>
            <w:vAlign w:val="center"/>
            <w:hideMark/>
          </w:tcPr>
          <w:p w14:paraId="610C3566"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126</w:t>
            </w:r>
          </w:p>
        </w:tc>
        <w:tc>
          <w:tcPr>
            <w:tcW w:w="897" w:type="dxa"/>
            <w:tcBorders>
              <w:top w:val="nil"/>
              <w:left w:val="nil"/>
              <w:bottom w:val="single" w:sz="4" w:space="0" w:color="auto"/>
              <w:right w:val="single" w:sz="4" w:space="0" w:color="auto"/>
            </w:tcBorders>
            <w:shd w:val="clear" w:color="auto" w:fill="auto"/>
            <w:noWrap/>
            <w:vAlign w:val="center"/>
            <w:hideMark/>
          </w:tcPr>
          <w:p w14:paraId="610C3567" w14:textId="0AA15B4A"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5.41%</w:t>
            </w:r>
          </w:p>
        </w:tc>
        <w:tc>
          <w:tcPr>
            <w:tcW w:w="954" w:type="dxa"/>
            <w:tcBorders>
              <w:top w:val="nil"/>
              <w:left w:val="nil"/>
              <w:bottom w:val="single" w:sz="4" w:space="0" w:color="auto"/>
              <w:right w:val="single" w:sz="4" w:space="0" w:color="auto"/>
            </w:tcBorders>
            <w:shd w:val="clear" w:color="auto" w:fill="auto"/>
            <w:noWrap/>
            <w:vAlign w:val="center"/>
            <w:hideMark/>
          </w:tcPr>
          <w:p w14:paraId="610C3568" w14:textId="6B37DB74"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48.43%</w:t>
            </w:r>
          </w:p>
        </w:tc>
        <w:tc>
          <w:tcPr>
            <w:tcW w:w="889" w:type="dxa"/>
            <w:tcBorders>
              <w:top w:val="nil"/>
              <w:left w:val="nil"/>
              <w:bottom w:val="single" w:sz="4" w:space="0" w:color="auto"/>
              <w:right w:val="single" w:sz="4" w:space="0" w:color="auto"/>
            </w:tcBorders>
            <w:shd w:val="clear" w:color="auto" w:fill="auto"/>
            <w:noWrap/>
            <w:vAlign w:val="center"/>
            <w:hideMark/>
          </w:tcPr>
          <w:p w14:paraId="610C3569"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179</w:t>
            </w:r>
          </w:p>
        </w:tc>
        <w:tc>
          <w:tcPr>
            <w:tcW w:w="1004" w:type="dxa"/>
            <w:tcBorders>
              <w:top w:val="nil"/>
              <w:left w:val="nil"/>
              <w:bottom w:val="single" w:sz="4" w:space="0" w:color="auto"/>
              <w:right w:val="single" w:sz="4" w:space="0" w:color="auto"/>
            </w:tcBorders>
            <w:shd w:val="clear" w:color="auto" w:fill="auto"/>
            <w:noWrap/>
            <w:vAlign w:val="center"/>
            <w:hideMark/>
          </w:tcPr>
          <w:p w14:paraId="610C356A" w14:textId="58EAEC79"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5.51%</w:t>
            </w:r>
          </w:p>
        </w:tc>
        <w:tc>
          <w:tcPr>
            <w:tcW w:w="993" w:type="dxa"/>
            <w:tcBorders>
              <w:top w:val="nil"/>
              <w:left w:val="nil"/>
              <w:bottom w:val="single" w:sz="4" w:space="0" w:color="auto"/>
              <w:right w:val="single" w:sz="4" w:space="0" w:color="auto"/>
            </w:tcBorders>
            <w:shd w:val="clear" w:color="auto" w:fill="auto"/>
            <w:noWrap/>
            <w:vAlign w:val="center"/>
            <w:hideMark/>
          </w:tcPr>
          <w:p w14:paraId="610C356B" w14:textId="477EB732"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44.26%</w:t>
            </w:r>
          </w:p>
        </w:tc>
      </w:tr>
      <w:tr w:rsidR="00411450" w:rsidRPr="00367D24" w14:paraId="610C3576"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6D" w14:textId="6DAB0040"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15</w:t>
            </w:r>
          </w:p>
        </w:tc>
        <w:tc>
          <w:tcPr>
            <w:tcW w:w="696" w:type="dxa"/>
            <w:tcBorders>
              <w:top w:val="nil"/>
              <w:left w:val="nil"/>
              <w:bottom w:val="single" w:sz="4" w:space="0" w:color="auto"/>
              <w:right w:val="single" w:sz="4" w:space="0" w:color="auto"/>
            </w:tcBorders>
            <w:shd w:val="clear" w:color="auto" w:fill="auto"/>
            <w:noWrap/>
            <w:vAlign w:val="center"/>
            <w:hideMark/>
          </w:tcPr>
          <w:p w14:paraId="610C356E"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3163" w:type="dxa"/>
            <w:tcBorders>
              <w:top w:val="nil"/>
              <w:left w:val="nil"/>
              <w:bottom w:val="single" w:sz="4" w:space="0" w:color="auto"/>
              <w:right w:val="single" w:sz="4" w:space="0" w:color="auto"/>
            </w:tcBorders>
            <w:shd w:val="clear" w:color="000000" w:fill="FFF2CC"/>
            <w:vAlign w:val="center"/>
            <w:hideMark/>
          </w:tcPr>
          <w:p w14:paraId="610C356F"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Deliria (incl</w:t>
            </w:r>
            <w:r>
              <w:rPr>
                <w:rFonts w:ascii="Calibri" w:eastAsia="Times New Roman" w:hAnsi="Calibri" w:cs="Times New Roman"/>
                <w:color w:val="000000"/>
                <w:lang w:eastAsia="en-GB"/>
              </w:rPr>
              <w:t>.</w:t>
            </w:r>
            <w:r w:rsidRPr="00367D24">
              <w:rPr>
                <w:rFonts w:ascii="Calibri" w:eastAsia="Times New Roman" w:hAnsi="Calibri" w:cs="Times New Roman"/>
                <w:color w:val="000000"/>
                <w:lang w:eastAsia="en-GB"/>
              </w:rPr>
              <w:t xml:space="preserve"> confusion) </w:t>
            </w:r>
          </w:p>
        </w:tc>
        <w:tc>
          <w:tcPr>
            <w:tcW w:w="772" w:type="dxa"/>
            <w:tcBorders>
              <w:top w:val="nil"/>
              <w:left w:val="nil"/>
              <w:bottom w:val="single" w:sz="4" w:space="0" w:color="auto"/>
              <w:right w:val="single" w:sz="4" w:space="0" w:color="auto"/>
            </w:tcBorders>
            <w:shd w:val="clear" w:color="auto" w:fill="auto"/>
            <w:noWrap/>
            <w:vAlign w:val="center"/>
            <w:hideMark/>
          </w:tcPr>
          <w:p w14:paraId="610C3570"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52</w:t>
            </w:r>
          </w:p>
        </w:tc>
        <w:tc>
          <w:tcPr>
            <w:tcW w:w="897" w:type="dxa"/>
            <w:tcBorders>
              <w:top w:val="nil"/>
              <w:left w:val="nil"/>
              <w:bottom w:val="single" w:sz="4" w:space="0" w:color="auto"/>
              <w:right w:val="single" w:sz="4" w:space="0" w:color="auto"/>
            </w:tcBorders>
            <w:shd w:val="clear" w:color="auto" w:fill="auto"/>
            <w:noWrap/>
            <w:vAlign w:val="center"/>
            <w:hideMark/>
          </w:tcPr>
          <w:p w14:paraId="610C3571" w14:textId="6346DFD0"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2.23%</w:t>
            </w:r>
          </w:p>
        </w:tc>
        <w:tc>
          <w:tcPr>
            <w:tcW w:w="954" w:type="dxa"/>
            <w:tcBorders>
              <w:top w:val="nil"/>
              <w:left w:val="nil"/>
              <w:bottom w:val="single" w:sz="4" w:space="0" w:color="auto"/>
              <w:right w:val="single" w:sz="4" w:space="0" w:color="auto"/>
            </w:tcBorders>
            <w:shd w:val="clear" w:color="auto" w:fill="auto"/>
            <w:noWrap/>
            <w:vAlign w:val="center"/>
            <w:hideMark/>
          </w:tcPr>
          <w:p w14:paraId="610C3572" w14:textId="310528EC"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50.66%</w:t>
            </w:r>
          </w:p>
        </w:tc>
        <w:tc>
          <w:tcPr>
            <w:tcW w:w="889" w:type="dxa"/>
            <w:tcBorders>
              <w:top w:val="nil"/>
              <w:left w:val="nil"/>
              <w:bottom w:val="single" w:sz="4" w:space="0" w:color="auto"/>
              <w:right w:val="single" w:sz="4" w:space="0" w:color="auto"/>
            </w:tcBorders>
            <w:shd w:val="clear" w:color="auto" w:fill="auto"/>
            <w:noWrap/>
            <w:vAlign w:val="center"/>
            <w:hideMark/>
          </w:tcPr>
          <w:p w14:paraId="610C3573"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132</w:t>
            </w:r>
          </w:p>
        </w:tc>
        <w:tc>
          <w:tcPr>
            <w:tcW w:w="1004" w:type="dxa"/>
            <w:tcBorders>
              <w:top w:val="nil"/>
              <w:left w:val="nil"/>
              <w:bottom w:val="single" w:sz="4" w:space="0" w:color="auto"/>
              <w:right w:val="single" w:sz="4" w:space="0" w:color="auto"/>
            </w:tcBorders>
            <w:shd w:val="clear" w:color="auto" w:fill="auto"/>
            <w:noWrap/>
            <w:vAlign w:val="center"/>
            <w:hideMark/>
          </w:tcPr>
          <w:p w14:paraId="610C3574" w14:textId="2DFFB0F7"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4.06%</w:t>
            </w:r>
          </w:p>
        </w:tc>
        <w:tc>
          <w:tcPr>
            <w:tcW w:w="993" w:type="dxa"/>
            <w:tcBorders>
              <w:top w:val="nil"/>
              <w:left w:val="nil"/>
              <w:bottom w:val="single" w:sz="4" w:space="0" w:color="auto"/>
              <w:right w:val="single" w:sz="4" w:space="0" w:color="auto"/>
            </w:tcBorders>
            <w:shd w:val="clear" w:color="auto" w:fill="auto"/>
            <w:noWrap/>
            <w:vAlign w:val="center"/>
            <w:hideMark/>
          </w:tcPr>
          <w:p w14:paraId="610C3575" w14:textId="4534B54B"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48.32%</w:t>
            </w:r>
          </w:p>
        </w:tc>
      </w:tr>
      <w:tr w:rsidR="00411450" w:rsidRPr="00367D24" w14:paraId="610C3580"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77" w14:textId="68DBD639"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696" w:type="dxa"/>
            <w:tcBorders>
              <w:top w:val="nil"/>
              <w:left w:val="nil"/>
              <w:bottom w:val="single" w:sz="4" w:space="0" w:color="auto"/>
              <w:right w:val="single" w:sz="4" w:space="0" w:color="auto"/>
            </w:tcBorders>
            <w:shd w:val="clear" w:color="auto" w:fill="auto"/>
            <w:noWrap/>
            <w:vAlign w:val="center"/>
            <w:hideMark/>
          </w:tcPr>
          <w:p w14:paraId="610C3578"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3163" w:type="dxa"/>
            <w:tcBorders>
              <w:top w:val="nil"/>
              <w:left w:val="nil"/>
              <w:bottom w:val="single" w:sz="4" w:space="0" w:color="auto"/>
              <w:right w:val="single" w:sz="4" w:space="0" w:color="auto"/>
            </w:tcBorders>
            <w:shd w:val="clear" w:color="000000" w:fill="FFF2CC"/>
            <w:vAlign w:val="center"/>
            <w:hideMark/>
          </w:tcPr>
          <w:p w14:paraId="610C3579"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Injuries NEC</w:t>
            </w:r>
          </w:p>
        </w:tc>
        <w:tc>
          <w:tcPr>
            <w:tcW w:w="772" w:type="dxa"/>
            <w:tcBorders>
              <w:top w:val="nil"/>
              <w:left w:val="nil"/>
              <w:bottom w:val="single" w:sz="4" w:space="0" w:color="auto"/>
              <w:right w:val="single" w:sz="4" w:space="0" w:color="auto"/>
            </w:tcBorders>
            <w:shd w:val="clear" w:color="auto" w:fill="auto"/>
            <w:noWrap/>
            <w:vAlign w:val="center"/>
            <w:hideMark/>
          </w:tcPr>
          <w:p w14:paraId="610C357A"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34</w:t>
            </w:r>
          </w:p>
        </w:tc>
        <w:tc>
          <w:tcPr>
            <w:tcW w:w="897" w:type="dxa"/>
            <w:tcBorders>
              <w:top w:val="nil"/>
              <w:left w:val="nil"/>
              <w:bottom w:val="single" w:sz="4" w:space="0" w:color="auto"/>
              <w:right w:val="single" w:sz="4" w:space="0" w:color="auto"/>
            </w:tcBorders>
            <w:shd w:val="clear" w:color="auto" w:fill="auto"/>
            <w:noWrap/>
            <w:vAlign w:val="center"/>
            <w:hideMark/>
          </w:tcPr>
          <w:p w14:paraId="610C357B" w14:textId="121BD59E"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1.46%</w:t>
            </w:r>
          </w:p>
        </w:tc>
        <w:tc>
          <w:tcPr>
            <w:tcW w:w="954" w:type="dxa"/>
            <w:tcBorders>
              <w:top w:val="nil"/>
              <w:left w:val="nil"/>
              <w:bottom w:val="single" w:sz="4" w:space="0" w:color="auto"/>
              <w:right w:val="single" w:sz="4" w:space="0" w:color="auto"/>
            </w:tcBorders>
            <w:shd w:val="clear" w:color="auto" w:fill="auto"/>
            <w:noWrap/>
            <w:vAlign w:val="center"/>
            <w:hideMark/>
          </w:tcPr>
          <w:p w14:paraId="610C357C" w14:textId="50DEB9EE"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52.12%</w:t>
            </w:r>
          </w:p>
        </w:tc>
        <w:tc>
          <w:tcPr>
            <w:tcW w:w="889" w:type="dxa"/>
            <w:tcBorders>
              <w:top w:val="nil"/>
              <w:left w:val="nil"/>
              <w:bottom w:val="single" w:sz="4" w:space="0" w:color="auto"/>
              <w:right w:val="single" w:sz="4" w:space="0" w:color="auto"/>
            </w:tcBorders>
            <w:shd w:val="clear" w:color="auto" w:fill="auto"/>
            <w:noWrap/>
            <w:vAlign w:val="center"/>
            <w:hideMark/>
          </w:tcPr>
          <w:p w14:paraId="610C357D"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123</w:t>
            </w:r>
          </w:p>
        </w:tc>
        <w:tc>
          <w:tcPr>
            <w:tcW w:w="1004" w:type="dxa"/>
            <w:tcBorders>
              <w:top w:val="nil"/>
              <w:left w:val="nil"/>
              <w:bottom w:val="single" w:sz="4" w:space="0" w:color="auto"/>
              <w:right w:val="single" w:sz="4" w:space="0" w:color="auto"/>
            </w:tcBorders>
            <w:shd w:val="clear" w:color="auto" w:fill="auto"/>
            <w:noWrap/>
            <w:vAlign w:val="center"/>
            <w:hideMark/>
          </w:tcPr>
          <w:p w14:paraId="610C357E" w14:textId="0B8FCDC2"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3.78%</w:t>
            </w:r>
          </w:p>
        </w:tc>
        <w:tc>
          <w:tcPr>
            <w:tcW w:w="993" w:type="dxa"/>
            <w:tcBorders>
              <w:top w:val="nil"/>
              <w:left w:val="nil"/>
              <w:bottom w:val="single" w:sz="4" w:space="0" w:color="auto"/>
              <w:right w:val="single" w:sz="4" w:space="0" w:color="auto"/>
            </w:tcBorders>
            <w:shd w:val="clear" w:color="auto" w:fill="auto"/>
            <w:noWrap/>
            <w:vAlign w:val="center"/>
            <w:hideMark/>
          </w:tcPr>
          <w:p w14:paraId="610C357F" w14:textId="26D54D57"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52.11%</w:t>
            </w:r>
          </w:p>
        </w:tc>
      </w:tr>
      <w:tr w:rsidR="00411450" w:rsidRPr="00367D24" w14:paraId="610C358A"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81" w14:textId="4F7BEE5D"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w:t>
            </w:r>
          </w:p>
        </w:tc>
        <w:tc>
          <w:tcPr>
            <w:tcW w:w="696" w:type="dxa"/>
            <w:tcBorders>
              <w:top w:val="nil"/>
              <w:left w:val="nil"/>
              <w:bottom w:val="single" w:sz="4" w:space="0" w:color="auto"/>
              <w:right w:val="single" w:sz="4" w:space="0" w:color="auto"/>
            </w:tcBorders>
            <w:shd w:val="clear" w:color="auto" w:fill="auto"/>
            <w:noWrap/>
            <w:vAlign w:val="center"/>
            <w:hideMark/>
          </w:tcPr>
          <w:p w14:paraId="610C3582"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w:t>
            </w:r>
          </w:p>
        </w:tc>
        <w:tc>
          <w:tcPr>
            <w:tcW w:w="3163" w:type="dxa"/>
            <w:tcBorders>
              <w:top w:val="nil"/>
              <w:left w:val="nil"/>
              <w:bottom w:val="single" w:sz="4" w:space="0" w:color="auto"/>
              <w:right w:val="single" w:sz="4" w:space="0" w:color="auto"/>
            </w:tcBorders>
            <w:shd w:val="clear" w:color="000000" w:fill="FFF2CC"/>
            <w:vAlign w:val="center"/>
            <w:hideMark/>
          </w:tcPr>
          <w:p w14:paraId="610C3583"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Rate and rhythm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584"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74</w:t>
            </w:r>
          </w:p>
        </w:tc>
        <w:tc>
          <w:tcPr>
            <w:tcW w:w="897" w:type="dxa"/>
            <w:tcBorders>
              <w:top w:val="nil"/>
              <w:left w:val="nil"/>
              <w:bottom w:val="single" w:sz="4" w:space="0" w:color="auto"/>
              <w:right w:val="single" w:sz="4" w:space="0" w:color="auto"/>
            </w:tcBorders>
            <w:shd w:val="clear" w:color="auto" w:fill="auto"/>
            <w:noWrap/>
            <w:vAlign w:val="center"/>
            <w:hideMark/>
          </w:tcPr>
          <w:p w14:paraId="610C3585" w14:textId="6004CF7B"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3.17%</w:t>
            </w:r>
          </w:p>
        </w:tc>
        <w:tc>
          <w:tcPr>
            <w:tcW w:w="954" w:type="dxa"/>
            <w:tcBorders>
              <w:top w:val="nil"/>
              <w:left w:val="nil"/>
              <w:bottom w:val="single" w:sz="4" w:space="0" w:color="auto"/>
              <w:right w:val="single" w:sz="4" w:space="0" w:color="auto"/>
            </w:tcBorders>
            <w:shd w:val="clear" w:color="auto" w:fill="auto"/>
            <w:noWrap/>
            <w:vAlign w:val="center"/>
            <w:hideMark/>
          </w:tcPr>
          <w:p w14:paraId="610C3586" w14:textId="33988976"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55.30%</w:t>
            </w:r>
          </w:p>
        </w:tc>
        <w:tc>
          <w:tcPr>
            <w:tcW w:w="889" w:type="dxa"/>
            <w:tcBorders>
              <w:top w:val="nil"/>
              <w:left w:val="nil"/>
              <w:bottom w:val="single" w:sz="4" w:space="0" w:color="auto"/>
              <w:right w:val="single" w:sz="4" w:space="0" w:color="auto"/>
            </w:tcBorders>
            <w:shd w:val="clear" w:color="auto" w:fill="auto"/>
            <w:noWrap/>
            <w:vAlign w:val="center"/>
            <w:hideMark/>
          </w:tcPr>
          <w:p w14:paraId="610C3587" w14:textId="77777777" w:rsidR="00C74E6C" w:rsidRPr="00367D24" w:rsidRDefault="00C74E6C" w:rsidP="00C74E6C">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122</w:t>
            </w:r>
          </w:p>
        </w:tc>
        <w:tc>
          <w:tcPr>
            <w:tcW w:w="1004" w:type="dxa"/>
            <w:tcBorders>
              <w:top w:val="nil"/>
              <w:left w:val="nil"/>
              <w:bottom w:val="single" w:sz="4" w:space="0" w:color="auto"/>
              <w:right w:val="single" w:sz="4" w:space="0" w:color="auto"/>
            </w:tcBorders>
            <w:shd w:val="clear" w:color="auto" w:fill="auto"/>
            <w:noWrap/>
            <w:vAlign w:val="center"/>
            <w:hideMark/>
          </w:tcPr>
          <w:p w14:paraId="610C3588" w14:textId="7DDE3D4B"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3.75%</w:t>
            </w:r>
          </w:p>
        </w:tc>
        <w:tc>
          <w:tcPr>
            <w:tcW w:w="993" w:type="dxa"/>
            <w:tcBorders>
              <w:top w:val="nil"/>
              <w:left w:val="nil"/>
              <w:bottom w:val="single" w:sz="4" w:space="0" w:color="auto"/>
              <w:right w:val="single" w:sz="4" w:space="0" w:color="auto"/>
            </w:tcBorders>
            <w:shd w:val="clear" w:color="auto" w:fill="auto"/>
            <w:noWrap/>
            <w:vAlign w:val="center"/>
            <w:hideMark/>
          </w:tcPr>
          <w:p w14:paraId="610C3589" w14:textId="51E266BF" w:rsidR="00C74E6C" w:rsidRPr="00367D24" w:rsidRDefault="00C74E6C" w:rsidP="00C74E6C">
            <w:pPr>
              <w:spacing w:after="0" w:line="240" w:lineRule="auto"/>
              <w:jc w:val="right"/>
              <w:rPr>
                <w:rFonts w:ascii="Calibri" w:eastAsia="Times New Roman" w:hAnsi="Calibri" w:cs="Times New Roman"/>
                <w:color w:val="000000"/>
                <w:lang w:eastAsia="en-GB"/>
              </w:rPr>
            </w:pPr>
            <w:r>
              <w:rPr>
                <w:rFonts w:ascii="Calibri" w:hAnsi="Calibri" w:cs="Calibri"/>
                <w:color w:val="000000"/>
              </w:rPr>
              <w:t>55.86%</w:t>
            </w:r>
          </w:p>
        </w:tc>
      </w:tr>
      <w:tr w:rsidR="00411450" w:rsidRPr="00367D24" w14:paraId="610C359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95" w14:textId="0A1413F9"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w:t>
            </w:r>
          </w:p>
        </w:tc>
        <w:tc>
          <w:tcPr>
            <w:tcW w:w="696" w:type="dxa"/>
            <w:tcBorders>
              <w:top w:val="nil"/>
              <w:left w:val="nil"/>
              <w:bottom w:val="single" w:sz="4" w:space="0" w:color="auto"/>
              <w:right w:val="single" w:sz="4" w:space="0" w:color="auto"/>
            </w:tcBorders>
            <w:shd w:val="clear" w:color="auto" w:fill="auto"/>
            <w:noWrap/>
            <w:vAlign w:val="center"/>
            <w:hideMark/>
          </w:tcPr>
          <w:p w14:paraId="610C359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3163" w:type="dxa"/>
            <w:tcBorders>
              <w:top w:val="nil"/>
              <w:left w:val="nil"/>
              <w:bottom w:val="single" w:sz="4" w:space="0" w:color="auto"/>
              <w:right w:val="single" w:sz="4" w:space="0" w:color="auto"/>
            </w:tcBorders>
            <w:shd w:val="clear" w:color="000000" w:fill="FFF2CC"/>
            <w:vAlign w:val="center"/>
            <w:hideMark/>
          </w:tcPr>
          <w:p w14:paraId="610C359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Epidermal and dermal conditions</w:t>
            </w:r>
          </w:p>
        </w:tc>
        <w:tc>
          <w:tcPr>
            <w:tcW w:w="772" w:type="dxa"/>
            <w:tcBorders>
              <w:top w:val="nil"/>
              <w:left w:val="nil"/>
              <w:bottom w:val="single" w:sz="4" w:space="0" w:color="auto"/>
              <w:right w:val="single" w:sz="4" w:space="0" w:color="auto"/>
            </w:tcBorders>
            <w:shd w:val="clear" w:color="auto" w:fill="auto"/>
            <w:noWrap/>
            <w:vAlign w:val="center"/>
            <w:hideMark/>
          </w:tcPr>
          <w:p w14:paraId="610C359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72</w:t>
            </w:r>
          </w:p>
        </w:tc>
        <w:tc>
          <w:tcPr>
            <w:tcW w:w="897" w:type="dxa"/>
            <w:tcBorders>
              <w:top w:val="nil"/>
              <w:left w:val="nil"/>
              <w:bottom w:val="single" w:sz="4" w:space="0" w:color="auto"/>
              <w:right w:val="single" w:sz="4" w:space="0" w:color="auto"/>
            </w:tcBorders>
            <w:shd w:val="clear" w:color="auto" w:fill="auto"/>
            <w:noWrap/>
            <w:vAlign w:val="center"/>
            <w:hideMark/>
          </w:tcPr>
          <w:p w14:paraId="610C3599" w14:textId="12E9234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1.07%</w:t>
            </w:r>
          </w:p>
        </w:tc>
        <w:tc>
          <w:tcPr>
            <w:tcW w:w="954" w:type="dxa"/>
            <w:tcBorders>
              <w:top w:val="nil"/>
              <w:left w:val="nil"/>
              <w:bottom w:val="single" w:sz="4" w:space="0" w:color="auto"/>
              <w:right w:val="single" w:sz="4" w:space="0" w:color="auto"/>
            </w:tcBorders>
            <w:shd w:val="clear" w:color="auto" w:fill="auto"/>
            <w:noWrap/>
            <w:vAlign w:val="center"/>
            <w:hideMark/>
          </w:tcPr>
          <w:p w14:paraId="610C359A" w14:textId="14FBCC5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59.46%</w:t>
            </w:r>
          </w:p>
        </w:tc>
        <w:tc>
          <w:tcPr>
            <w:tcW w:w="889" w:type="dxa"/>
            <w:tcBorders>
              <w:top w:val="nil"/>
              <w:left w:val="nil"/>
              <w:bottom w:val="single" w:sz="4" w:space="0" w:color="auto"/>
              <w:right w:val="single" w:sz="4" w:space="0" w:color="auto"/>
            </w:tcBorders>
            <w:shd w:val="clear" w:color="auto" w:fill="auto"/>
            <w:noWrap/>
            <w:vAlign w:val="center"/>
            <w:hideMark/>
          </w:tcPr>
          <w:p w14:paraId="610C359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118</w:t>
            </w:r>
          </w:p>
        </w:tc>
        <w:tc>
          <w:tcPr>
            <w:tcW w:w="1004" w:type="dxa"/>
            <w:tcBorders>
              <w:top w:val="nil"/>
              <w:left w:val="nil"/>
              <w:bottom w:val="single" w:sz="4" w:space="0" w:color="auto"/>
              <w:right w:val="single" w:sz="4" w:space="0" w:color="auto"/>
            </w:tcBorders>
            <w:shd w:val="clear" w:color="auto" w:fill="auto"/>
            <w:noWrap/>
            <w:vAlign w:val="center"/>
          </w:tcPr>
          <w:p w14:paraId="610C359C" w14:textId="1ADBD6A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3.63%</w:t>
            </w:r>
          </w:p>
        </w:tc>
        <w:tc>
          <w:tcPr>
            <w:tcW w:w="993" w:type="dxa"/>
            <w:tcBorders>
              <w:top w:val="nil"/>
              <w:left w:val="nil"/>
              <w:bottom w:val="single" w:sz="4" w:space="0" w:color="auto"/>
              <w:right w:val="single" w:sz="4" w:space="0" w:color="auto"/>
            </w:tcBorders>
            <w:shd w:val="clear" w:color="auto" w:fill="auto"/>
            <w:noWrap/>
            <w:vAlign w:val="center"/>
          </w:tcPr>
          <w:p w14:paraId="610C359D" w14:textId="7EC616A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59.49%</w:t>
            </w:r>
          </w:p>
        </w:tc>
      </w:tr>
      <w:tr w:rsidR="00411450" w:rsidRPr="00367D24" w14:paraId="610C35A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9F" w14:textId="5A28AEF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19</w:t>
            </w:r>
          </w:p>
        </w:tc>
        <w:tc>
          <w:tcPr>
            <w:tcW w:w="696" w:type="dxa"/>
            <w:tcBorders>
              <w:top w:val="nil"/>
              <w:left w:val="nil"/>
              <w:bottom w:val="single" w:sz="4" w:space="0" w:color="auto"/>
              <w:right w:val="single" w:sz="4" w:space="0" w:color="auto"/>
            </w:tcBorders>
            <w:shd w:val="clear" w:color="auto" w:fill="auto"/>
            <w:noWrap/>
            <w:vAlign w:val="center"/>
            <w:hideMark/>
          </w:tcPr>
          <w:p w14:paraId="610C35A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w:t>
            </w:r>
          </w:p>
        </w:tc>
        <w:tc>
          <w:tcPr>
            <w:tcW w:w="3163" w:type="dxa"/>
            <w:tcBorders>
              <w:top w:val="nil"/>
              <w:left w:val="nil"/>
              <w:bottom w:val="single" w:sz="4" w:space="0" w:color="auto"/>
              <w:right w:val="single" w:sz="4" w:space="0" w:color="auto"/>
            </w:tcBorders>
            <w:shd w:val="clear" w:color="000000" w:fill="FFF2CC"/>
            <w:vAlign w:val="center"/>
            <w:hideMark/>
          </w:tcPr>
          <w:p w14:paraId="610C35A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Neurological disorders NEC</w:t>
            </w:r>
          </w:p>
        </w:tc>
        <w:tc>
          <w:tcPr>
            <w:tcW w:w="772" w:type="dxa"/>
            <w:tcBorders>
              <w:top w:val="nil"/>
              <w:left w:val="nil"/>
              <w:bottom w:val="single" w:sz="4" w:space="0" w:color="auto"/>
              <w:right w:val="single" w:sz="4" w:space="0" w:color="auto"/>
            </w:tcBorders>
            <w:shd w:val="clear" w:color="auto" w:fill="auto"/>
            <w:noWrap/>
            <w:vAlign w:val="center"/>
            <w:hideMark/>
          </w:tcPr>
          <w:p w14:paraId="610C35A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25</w:t>
            </w:r>
          </w:p>
        </w:tc>
        <w:tc>
          <w:tcPr>
            <w:tcW w:w="897" w:type="dxa"/>
            <w:tcBorders>
              <w:top w:val="nil"/>
              <w:left w:val="nil"/>
              <w:bottom w:val="single" w:sz="4" w:space="0" w:color="auto"/>
              <w:right w:val="single" w:sz="4" w:space="0" w:color="auto"/>
            </w:tcBorders>
            <w:shd w:val="clear" w:color="auto" w:fill="auto"/>
            <w:noWrap/>
            <w:vAlign w:val="center"/>
            <w:hideMark/>
          </w:tcPr>
          <w:p w14:paraId="610C35A3" w14:textId="10603D5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4.72%</w:t>
            </w:r>
          </w:p>
        </w:tc>
        <w:tc>
          <w:tcPr>
            <w:tcW w:w="954" w:type="dxa"/>
            <w:tcBorders>
              <w:top w:val="nil"/>
              <w:left w:val="nil"/>
              <w:bottom w:val="single" w:sz="4" w:space="0" w:color="auto"/>
              <w:right w:val="single" w:sz="4" w:space="0" w:color="auto"/>
            </w:tcBorders>
            <w:shd w:val="clear" w:color="auto" w:fill="auto"/>
            <w:noWrap/>
            <w:vAlign w:val="center"/>
            <w:hideMark/>
          </w:tcPr>
          <w:p w14:paraId="610C35A4" w14:textId="571F0F3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64.18%</w:t>
            </w:r>
          </w:p>
        </w:tc>
        <w:tc>
          <w:tcPr>
            <w:tcW w:w="889" w:type="dxa"/>
            <w:tcBorders>
              <w:top w:val="nil"/>
              <w:left w:val="nil"/>
              <w:bottom w:val="single" w:sz="4" w:space="0" w:color="auto"/>
              <w:right w:val="single" w:sz="4" w:space="0" w:color="auto"/>
            </w:tcBorders>
            <w:shd w:val="clear" w:color="auto" w:fill="auto"/>
            <w:noWrap/>
            <w:vAlign w:val="center"/>
            <w:hideMark/>
          </w:tcPr>
          <w:p w14:paraId="610C35A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111</w:t>
            </w:r>
          </w:p>
        </w:tc>
        <w:tc>
          <w:tcPr>
            <w:tcW w:w="1004" w:type="dxa"/>
            <w:tcBorders>
              <w:top w:val="nil"/>
              <w:left w:val="nil"/>
              <w:bottom w:val="single" w:sz="4" w:space="0" w:color="auto"/>
              <w:right w:val="single" w:sz="4" w:space="0" w:color="auto"/>
            </w:tcBorders>
            <w:shd w:val="clear" w:color="auto" w:fill="auto"/>
            <w:noWrap/>
            <w:vAlign w:val="center"/>
          </w:tcPr>
          <w:p w14:paraId="610C35A6" w14:textId="5D98C46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3.41%</w:t>
            </w:r>
          </w:p>
        </w:tc>
        <w:tc>
          <w:tcPr>
            <w:tcW w:w="993" w:type="dxa"/>
            <w:tcBorders>
              <w:top w:val="nil"/>
              <w:left w:val="nil"/>
              <w:bottom w:val="single" w:sz="4" w:space="0" w:color="auto"/>
              <w:right w:val="single" w:sz="4" w:space="0" w:color="auto"/>
            </w:tcBorders>
            <w:shd w:val="clear" w:color="auto" w:fill="auto"/>
            <w:noWrap/>
            <w:vAlign w:val="center"/>
          </w:tcPr>
          <w:p w14:paraId="610C35A7" w14:textId="48B32EB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62.90%</w:t>
            </w:r>
          </w:p>
        </w:tc>
      </w:tr>
      <w:tr w:rsidR="00411450" w:rsidRPr="00367D24" w14:paraId="610C35B2"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A9" w14:textId="62104970"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696" w:type="dxa"/>
            <w:tcBorders>
              <w:top w:val="nil"/>
              <w:left w:val="nil"/>
              <w:bottom w:val="single" w:sz="4" w:space="0" w:color="auto"/>
              <w:right w:val="single" w:sz="4" w:space="0" w:color="auto"/>
            </w:tcBorders>
            <w:shd w:val="clear" w:color="auto" w:fill="auto"/>
            <w:noWrap/>
            <w:vAlign w:val="center"/>
            <w:hideMark/>
          </w:tcPr>
          <w:p w14:paraId="610C35A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w:t>
            </w:r>
          </w:p>
        </w:tc>
        <w:tc>
          <w:tcPr>
            <w:tcW w:w="3163" w:type="dxa"/>
            <w:tcBorders>
              <w:top w:val="nil"/>
              <w:left w:val="nil"/>
              <w:bottom w:val="single" w:sz="4" w:space="0" w:color="auto"/>
              <w:right w:val="single" w:sz="4" w:space="0" w:color="auto"/>
            </w:tcBorders>
            <w:shd w:val="clear" w:color="000000" w:fill="FFF2CC"/>
            <w:vAlign w:val="center"/>
            <w:hideMark/>
          </w:tcPr>
          <w:p w14:paraId="610C35A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Cardiovascular</w:t>
            </w:r>
          </w:p>
        </w:tc>
        <w:tc>
          <w:tcPr>
            <w:tcW w:w="772" w:type="dxa"/>
            <w:tcBorders>
              <w:top w:val="nil"/>
              <w:left w:val="nil"/>
              <w:bottom w:val="single" w:sz="4" w:space="0" w:color="auto"/>
              <w:right w:val="single" w:sz="4" w:space="0" w:color="auto"/>
            </w:tcBorders>
            <w:shd w:val="clear" w:color="auto" w:fill="auto"/>
            <w:noWrap/>
            <w:vAlign w:val="center"/>
            <w:hideMark/>
          </w:tcPr>
          <w:p w14:paraId="610C35A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110</w:t>
            </w:r>
          </w:p>
        </w:tc>
        <w:tc>
          <w:tcPr>
            <w:tcW w:w="897" w:type="dxa"/>
            <w:tcBorders>
              <w:top w:val="nil"/>
              <w:left w:val="nil"/>
              <w:bottom w:val="single" w:sz="4" w:space="0" w:color="auto"/>
              <w:right w:val="single" w:sz="4" w:space="0" w:color="auto"/>
            </w:tcBorders>
            <w:shd w:val="clear" w:color="auto" w:fill="auto"/>
            <w:noWrap/>
            <w:vAlign w:val="center"/>
            <w:hideMark/>
          </w:tcPr>
          <w:p w14:paraId="610C35AD" w14:textId="1D14A62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4.20%</w:t>
            </w:r>
          </w:p>
        </w:tc>
        <w:tc>
          <w:tcPr>
            <w:tcW w:w="954" w:type="dxa"/>
            <w:tcBorders>
              <w:top w:val="nil"/>
              <w:left w:val="nil"/>
              <w:bottom w:val="single" w:sz="4" w:space="0" w:color="auto"/>
              <w:right w:val="single" w:sz="4" w:space="0" w:color="auto"/>
            </w:tcBorders>
            <w:shd w:val="clear" w:color="auto" w:fill="auto"/>
            <w:noWrap/>
            <w:vAlign w:val="center"/>
            <w:hideMark/>
          </w:tcPr>
          <w:p w14:paraId="610C35AE" w14:textId="3C38224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68.38%</w:t>
            </w:r>
          </w:p>
        </w:tc>
        <w:tc>
          <w:tcPr>
            <w:tcW w:w="889" w:type="dxa"/>
            <w:tcBorders>
              <w:top w:val="nil"/>
              <w:left w:val="nil"/>
              <w:bottom w:val="single" w:sz="4" w:space="0" w:color="auto"/>
              <w:right w:val="single" w:sz="4" w:space="0" w:color="auto"/>
            </w:tcBorders>
            <w:shd w:val="clear" w:color="auto" w:fill="auto"/>
            <w:noWrap/>
            <w:vAlign w:val="center"/>
            <w:hideMark/>
          </w:tcPr>
          <w:p w14:paraId="610C35A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110</w:t>
            </w:r>
          </w:p>
        </w:tc>
        <w:tc>
          <w:tcPr>
            <w:tcW w:w="1004" w:type="dxa"/>
            <w:tcBorders>
              <w:top w:val="nil"/>
              <w:left w:val="nil"/>
              <w:bottom w:val="single" w:sz="4" w:space="0" w:color="auto"/>
              <w:right w:val="single" w:sz="4" w:space="0" w:color="auto"/>
            </w:tcBorders>
            <w:shd w:val="clear" w:color="auto" w:fill="auto"/>
            <w:noWrap/>
            <w:vAlign w:val="center"/>
          </w:tcPr>
          <w:p w14:paraId="610C35B0" w14:textId="5087E96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3.38%</w:t>
            </w:r>
          </w:p>
        </w:tc>
        <w:tc>
          <w:tcPr>
            <w:tcW w:w="993" w:type="dxa"/>
            <w:tcBorders>
              <w:top w:val="nil"/>
              <w:left w:val="nil"/>
              <w:bottom w:val="single" w:sz="4" w:space="0" w:color="auto"/>
              <w:right w:val="single" w:sz="4" w:space="0" w:color="auto"/>
            </w:tcBorders>
            <w:shd w:val="clear" w:color="auto" w:fill="auto"/>
            <w:noWrap/>
            <w:vAlign w:val="center"/>
          </w:tcPr>
          <w:p w14:paraId="610C35B1" w14:textId="091174E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66.29%</w:t>
            </w:r>
          </w:p>
        </w:tc>
      </w:tr>
      <w:tr w:rsidR="00411450" w:rsidRPr="00367D24" w14:paraId="610C35BC"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B3" w14:textId="7122B544"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696" w:type="dxa"/>
            <w:tcBorders>
              <w:top w:val="nil"/>
              <w:left w:val="nil"/>
              <w:bottom w:val="single" w:sz="4" w:space="0" w:color="auto"/>
              <w:right w:val="single" w:sz="4" w:space="0" w:color="auto"/>
            </w:tcBorders>
            <w:shd w:val="clear" w:color="auto" w:fill="auto"/>
            <w:noWrap/>
            <w:vAlign w:val="center"/>
            <w:hideMark/>
          </w:tcPr>
          <w:p w14:paraId="610C35B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w:t>
            </w:r>
          </w:p>
        </w:tc>
        <w:tc>
          <w:tcPr>
            <w:tcW w:w="3163" w:type="dxa"/>
            <w:tcBorders>
              <w:top w:val="nil"/>
              <w:left w:val="nil"/>
              <w:bottom w:val="single" w:sz="4" w:space="0" w:color="auto"/>
              <w:right w:val="single" w:sz="4" w:space="0" w:color="auto"/>
            </w:tcBorders>
            <w:shd w:val="clear" w:color="000000" w:fill="FFF2CC"/>
            <w:vAlign w:val="center"/>
            <w:hideMark/>
          </w:tcPr>
          <w:p w14:paraId="610C35B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Haematology investigations - Coagulation and bleeding analyses </w:t>
            </w:r>
          </w:p>
        </w:tc>
        <w:tc>
          <w:tcPr>
            <w:tcW w:w="772" w:type="dxa"/>
            <w:tcBorders>
              <w:top w:val="nil"/>
              <w:left w:val="nil"/>
              <w:bottom w:val="single" w:sz="4" w:space="0" w:color="auto"/>
              <w:right w:val="single" w:sz="4" w:space="0" w:color="auto"/>
            </w:tcBorders>
            <w:shd w:val="clear" w:color="auto" w:fill="auto"/>
            <w:noWrap/>
            <w:vAlign w:val="center"/>
            <w:hideMark/>
          </w:tcPr>
          <w:p w14:paraId="610C35B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98</w:t>
            </w:r>
          </w:p>
        </w:tc>
        <w:tc>
          <w:tcPr>
            <w:tcW w:w="897" w:type="dxa"/>
            <w:tcBorders>
              <w:top w:val="nil"/>
              <w:left w:val="nil"/>
              <w:bottom w:val="single" w:sz="4" w:space="0" w:color="auto"/>
              <w:right w:val="single" w:sz="4" w:space="0" w:color="auto"/>
            </w:tcBorders>
            <w:shd w:val="clear" w:color="auto" w:fill="auto"/>
            <w:noWrap/>
            <w:vAlign w:val="center"/>
            <w:hideMark/>
          </w:tcPr>
          <w:p w14:paraId="610C35B7" w14:textId="7DBD7D2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3.86%</w:t>
            </w:r>
          </w:p>
        </w:tc>
        <w:tc>
          <w:tcPr>
            <w:tcW w:w="954" w:type="dxa"/>
            <w:tcBorders>
              <w:top w:val="nil"/>
              <w:left w:val="nil"/>
              <w:bottom w:val="single" w:sz="4" w:space="0" w:color="auto"/>
              <w:right w:val="single" w:sz="4" w:space="0" w:color="auto"/>
            </w:tcBorders>
            <w:shd w:val="clear" w:color="auto" w:fill="auto"/>
            <w:noWrap/>
            <w:vAlign w:val="center"/>
            <w:hideMark/>
          </w:tcPr>
          <w:p w14:paraId="610C35B8" w14:textId="697741D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72.24%</w:t>
            </w:r>
          </w:p>
        </w:tc>
        <w:tc>
          <w:tcPr>
            <w:tcW w:w="889" w:type="dxa"/>
            <w:tcBorders>
              <w:top w:val="nil"/>
              <w:left w:val="nil"/>
              <w:bottom w:val="single" w:sz="4" w:space="0" w:color="auto"/>
              <w:right w:val="single" w:sz="4" w:space="0" w:color="auto"/>
            </w:tcBorders>
            <w:shd w:val="clear" w:color="auto" w:fill="auto"/>
            <w:noWrap/>
            <w:vAlign w:val="center"/>
            <w:hideMark/>
          </w:tcPr>
          <w:p w14:paraId="610C35B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98</w:t>
            </w:r>
          </w:p>
        </w:tc>
        <w:tc>
          <w:tcPr>
            <w:tcW w:w="1004" w:type="dxa"/>
            <w:tcBorders>
              <w:top w:val="nil"/>
              <w:left w:val="nil"/>
              <w:bottom w:val="single" w:sz="4" w:space="0" w:color="auto"/>
              <w:right w:val="single" w:sz="4" w:space="0" w:color="auto"/>
            </w:tcBorders>
            <w:shd w:val="clear" w:color="auto" w:fill="auto"/>
            <w:noWrap/>
            <w:vAlign w:val="center"/>
          </w:tcPr>
          <w:p w14:paraId="610C35BA" w14:textId="1F24EA7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3.01%</w:t>
            </w:r>
          </w:p>
        </w:tc>
        <w:tc>
          <w:tcPr>
            <w:tcW w:w="993" w:type="dxa"/>
            <w:tcBorders>
              <w:top w:val="nil"/>
              <w:left w:val="nil"/>
              <w:bottom w:val="single" w:sz="4" w:space="0" w:color="auto"/>
              <w:right w:val="single" w:sz="4" w:space="0" w:color="auto"/>
            </w:tcBorders>
            <w:shd w:val="clear" w:color="auto" w:fill="auto"/>
            <w:noWrap/>
            <w:vAlign w:val="center"/>
          </w:tcPr>
          <w:p w14:paraId="610C35BB" w14:textId="66445EA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69.30%</w:t>
            </w:r>
          </w:p>
        </w:tc>
      </w:tr>
      <w:tr w:rsidR="00411450" w:rsidRPr="00367D24" w14:paraId="610C35C6"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BD" w14:textId="2BA8C6B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w:t>
            </w:r>
          </w:p>
        </w:tc>
        <w:tc>
          <w:tcPr>
            <w:tcW w:w="696" w:type="dxa"/>
            <w:tcBorders>
              <w:top w:val="nil"/>
              <w:left w:val="nil"/>
              <w:bottom w:val="single" w:sz="4" w:space="0" w:color="auto"/>
              <w:right w:val="single" w:sz="4" w:space="0" w:color="auto"/>
            </w:tcBorders>
            <w:shd w:val="clear" w:color="auto" w:fill="auto"/>
            <w:noWrap/>
            <w:vAlign w:val="center"/>
            <w:hideMark/>
          </w:tcPr>
          <w:p w14:paraId="610C35B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12</w:t>
            </w:r>
          </w:p>
        </w:tc>
        <w:tc>
          <w:tcPr>
            <w:tcW w:w="3163" w:type="dxa"/>
            <w:tcBorders>
              <w:top w:val="nil"/>
              <w:left w:val="nil"/>
              <w:bottom w:val="single" w:sz="4" w:space="0" w:color="auto"/>
              <w:right w:val="single" w:sz="4" w:space="0" w:color="auto"/>
            </w:tcBorders>
            <w:shd w:val="clear" w:color="000000" w:fill="FFF2CC"/>
            <w:vAlign w:val="center"/>
            <w:hideMark/>
          </w:tcPr>
          <w:p w14:paraId="610C35B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Gastrointestinal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5C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90</w:t>
            </w:r>
          </w:p>
        </w:tc>
        <w:tc>
          <w:tcPr>
            <w:tcW w:w="897" w:type="dxa"/>
            <w:tcBorders>
              <w:top w:val="nil"/>
              <w:left w:val="nil"/>
              <w:bottom w:val="single" w:sz="4" w:space="0" w:color="auto"/>
              <w:right w:val="single" w:sz="4" w:space="0" w:color="auto"/>
            </w:tcBorders>
            <w:shd w:val="clear" w:color="auto" w:fill="auto"/>
            <w:noWrap/>
            <w:vAlign w:val="center"/>
            <w:hideMark/>
          </w:tcPr>
          <w:p w14:paraId="610C35C1" w14:textId="67F1059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3.82%</w:t>
            </w:r>
          </w:p>
        </w:tc>
        <w:tc>
          <w:tcPr>
            <w:tcW w:w="954" w:type="dxa"/>
            <w:tcBorders>
              <w:top w:val="nil"/>
              <w:left w:val="nil"/>
              <w:bottom w:val="single" w:sz="4" w:space="0" w:color="auto"/>
              <w:right w:val="single" w:sz="4" w:space="0" w:color="auto"/>
            </w:tcBorders>
            <w:shd w:val="clear" w:color="auto" w:fill="auto"/>
            <w:noWrap/>
            <w:vAlign w:val="center"/>
            <w:hideMark/>
          </w:tcPr>
          <w:p w14:paraId="610C35C2" w14:textId="246F42A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76.06%</w:t>
            </w:r>
          </w:p>
        </w:tc>
        <w:tc>
          <w:tcPr>
            <w:tcW w:w="889" w:type="dxa"/>
            <w:tcBorders>
              <w:top w:val="nil"/>
              <w:left w:val="nil"/>
              <w:bottom w:val="single" w:sz="4" w:space="0" w:color="auto"/>
              <w:right w:val="single" w:sz="4" w:space="0" w:color="auto"/>
            </w:tcBorders>
            <w:shd w:val="clear" w:color="auto" w:fill="auto"/>
            <w:noWrap/>
            <w:vAlign w:val="center"/>
            <w:hideMark/>
          </w:tcPr>
          <w:p w14:paraId="610C35C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90</w:t>
            </w:r>
          </w:p>
        </w:tc>
        <w:tc>
          <w:tcPr>
            <w:tcW w:w="1004" w:type="dxa"/>
            <w:tcBorders>
              <w:top w:val="nil"/>
              <w:left w:val="nil"/>
              <w:bottom w:val="single" w:sz="4" w:space="0" w:color="auto"/>
              <w:right w:val="single" w:sz="4" w:space="0" w:color="auto"/>
            </w:tcBorders>
            <w:shd w:val="clear" w:color="auto" w:fill="auto"/>
            <w:noWrap/>
            <w:vAlign w:val="center"/>
          </w:tcPr>
          <w:p w14:paraId="610C35C4" w14:textId="5B5DA6C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2.77%</w:t>
            </w:r>
          </w:p>
        </w:tc>
        <w:tc>
          <w:tcPr>
            <w:tcW w:w="993" w:type="dxa"/>
            <w:tcBorders>
              <w:top w:val="nil"/>
              <w:left w:val="nil"/>
              <w:bottom w:val="single" w:sz="4" w:space="0" w:color="auto"/>
              <w:right w:val="single" w:sz="4" w:space="0" w:color="auto"/>
            </w:tcBorders>
            <w:shd w:val="clear" w:color="auto" w:fill="auto"/>
            <w:noWrap/>
            <w:vAlign w:val="center"/>
          </w:tcPr>
          <w:p w14:paraId="610C35C5" w14:textId="32D35E5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72.07%</w:t>
            </w:r>
          </w:p>
        </w:tc>
      </w:tr>
      <w:tr w:rsidR="00411450" w:rsidRPr="00367D24" w14:paraId="610C35D0"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C7" w14:textId="2FF0B583"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696" w:type="dxa"/>
            <w:tcBorders>
              <w:top w:val="nil"/>
              <w:left w:val="nil"/>
              <w:bottom w:val="single" w:sz="4" w:space="0" w:color="auto"/>
              <w:right w:val="single" w:sz="4" w:space="0" w:color="auto"/>
            </w:tcBorders>
            <w:shd w:val="clear" w:color="auto" w:fill="auto"/>
            <w:noWrap/>
            <w:vAlign w:val="center"/>
            <w:hideMark/>
          </w:tcPr>
          <w:p w14:paraId="610C35C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13</w:t>
            </w:r>
          </w:p>
        </w:tc>
        <w:tc>
          <w:tcPr>
            <w:tcW w:w="3163" w:type="dxa"/>
            <w:tcBorders>
              <w:top w:val="nil"/>
              <w:left w:val="nil"/>
              <w:bottom w:val="single" w:sz="4" w:space="0" w:color="auto"/>
              <w:right w:val="single" w:sz="4" w:space="0" w:color="auto"/>
            </w:tcBorders>
            <w:shd w:val="clear" w:color="000000" w:fill="FFF2CC"/>
            <w:vAlign w:val="center"/>
            <w:hideMark/>
          </w:tcPr>
          <w:p w14:paraId="610C35C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Vascular haemorrhagic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5C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89</w:t>
            </w:r>
          </w:p>
        </w:tc>
        <w:tc>
          <w:tcPr>
            <w:tcW w:w="897" w:type="dxa"/>
            <w:tcBorders>
              <w:top w:val="nil"/>
              <w:left w:val="nil"/>
              <w:bottom w:val="single" w:sz="4" w:space="0" w:color="auto"/>
              <w:right w:val="single" w:sz="4" w:space="0" w:color="auto"/>
            </w:tcBorders>
            <w:shd w:val="clear" w:color="auto" w:fill="auto"/>
            <w:noWrap/>
            <w:vAlign w:val="center"/>
            <w:hideMark/>
          </w:tcPr>
          <w:p w14:paraId="610C35CB" w14:textId="71D7A8E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2.87%</w:t>
            </w:r>
          </w:p>
        </w:tc>
        <w:tc>
          <w:tcPr>
            <w:tcW w:w="954" w:type="dxa"/>
            <w:tcBorders>
              <w:top w:val="nil"/>
              <w:left w:val="nil"/>
              <w:bottom w:val="single" w:sz="4" w:space="0" w:color="auto"/>
              <w:right w:val="single" w:sz="4" w:space="0" w:color="auto"/>
            </w:tcBorders>
            <w:shd w:val="clear" w:color="auto" w:fill="auto"/>
            <w:noWrap/>
            <w:vAlign w:val="center"/>
            <w:hideMark/>
          </w:tcPr>
          <w:p w14:paraId="610C35CC" w14:textId="797718E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78.94%</w:t>
            </w:r>
          </w:p>
        </w:tc>
        <w:tc>
          <w:tcPr>
            <w:tcW w:w="889" w:type="dxa"/>
            <w:tcBorders>
              <w:top w:val="nil"/>
              <w:left w:val="nil"/>
              <w:bottom w:val="single" w:sz="4" w:space="0" w:color="auto"/>
              <w:right w:val="single" w:sz="4" w:space="0" w:color="auto"/>
            </w:tcBorders>
            <w:shd w:val="clear" w:color="auto" w:fill="auto"/>
            <w:noWrap/>
            <w:vAlign w:val="center"/>
            <w:hideMark/>
          </w:tcPr>
          <w:p w14:paraId="610C35C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89</w:t>
            </w:r>
          </w:p>
        </w:tc>
        <w:tc>
          <w:tcPr>
            <w:tcW w:w="1004" w:type="dxa"/>
            <w:tcBorders>
              <w:top w:val="nil"/>
              <w:left w:val="nil"/>
              <w:bottom w:val="single" w:sz="4" w:space="0" w:color="auto"/>
              <w:right w:val="single" w:sz="4" w:space="0" w:color="auto"/>
            </w:tcBorders>
            <w:shd w:val="clear" w:color="auto" w:fill="auto"/>
            <w:noWrap/>
            <w:vAlign w:val="center"/>
          </w:tcPr>
          <w:p w14:paraId="610C35CE" w14:textId="690258D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2.74%</w:t>
            </w:r>
          </w:p>
        </w:tc>
        <w:tc>
          <w:tcPr>
            <w:tcW w:w="993" w:type="dxa"/>
            <w:tcBorders>
              <w:top w:val="nil"/>
              <w:left w:val="nil"/>
              <w:bottom w:val="single" w:sz="4" w:space="0" w:color="auto"/>
              <w:right w:val="single" w:sz="4" w:space="0" w:color="auto"/>
            </w:tcBorders>
            <w:shd w:val="clear" w:color="auto" w:fill="auto"/>
            <w:noWrap/>
            <w:vAlign w:val="center"/>
          </w:tcPr>
          <w:p w14:paraId="610C35CF" w14:textId="1A17EA2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74.81%</w:t>
            </w:r>
          </w:p>
        </w:tc>
      </w:tr>
      <w:tr w:rsidR="00411450" w:rsidRPr="00367D24" w14:paraId="610C35DA"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D1" w14:textId="07534FFD"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13</w:t>
            </w:r>
          </w:p>
        </w:tc>
        <w:tc>
          <w:tcPr>
            <w:tcW w:w="696" w:type="dxa"/>
            <w:tcBorders>
              <w:top w:val="nil"/>
              <w:left w:val="nil"/>
              <w:bottom w:val="single" w:sz="4" w:space="0" w:color="auto"/>
              <w:right w:val="single" w:sz="4" w:space="0" w:color="auto"/>
            </w:tcBorders>
            <w:shd w:val="clear" w:color="auto" w:fill="auto"/>
            <w:noWrap/>
            <w:vAlign w:val="center"/>
            <w:hideMark/>
          </w:tcPr>
          <w:p w14:paraId="610C35D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14</w:t>
            </w:r>
          </w:p>
        </w:tc>
        <w:tc>
          <w:tcPr>
            <w:tcW w:w="3163" w:type="dxa"/>
            <w:tcBorders>
              <w:top w:val="nil"/>
              <w:left w:val="nil"/>
              <w:bottom w:val="single" w:sz="4" w:space="0" w:color="auto"/>
              <w:right w:val="single" w:sz="4" w:space="0" w:color="auto"/>
            </w:tcBorders>
            <w:shd w:val="clear" w:color="000000" w:fill="FCE4D6"/>
            <w:vAlign w:val="center"/>
            <w:hideMark/>
          </w:tcPr>
          <w:p w14:paraId="610C35D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Gastrointestinal haemorrhages NEC </w:t>
            </w:r>
          </w:p>
        </w:tc>
        <w:tc>
          <w:tcPr>
            <w:tcW w:w="772" w:type="dxa"/>
            <w:tcBorders>
              <w:top w:val="nil"/>
              <w:left w:val="nil"/>
              <w:bottom w:val="single" w:sz="4" w:space="0" w:color="auto"/>
              <w:right w:val="single" w:sz="4" w:space="0" w:color="auto"/>
            </w:tcBorders>
            <w:shd w:val="clear" w:color="auto" w:fill="auto"/>
            <w:noWrap/>
            <w:vAlign w:val="center"/>
            <w:hideMark/>
          </w:tcPr>
          <w:p w14:paraId="610C35D4" w14:textId="227DD7A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r>
              <w:rPr>
                <w:rFonts w:ascii="Calibri" w:eastAsia="Times New Roman" w:hAnsi="Calibri" w:cs="Times New Roman"/>
                <w:color w:val="000000"/>
                <w:lang w:eastAsia="en-GB"/>
              </w:rPr>
              <w:t>7</w:t>
            </w:r>
          </w:p>
        </w:tc>
        <w:tc>
          <w:tcPr>
            <w:tcW w:w="897" w:type="dxa"/>
            <w:tcBorders>
              <w:top w:val="nil"/>
              <w:left w:val="nil"/>
              <w:bottom w:val="single" w:sz="4" w:space="0" w:color="auto"/>
              <w:right w:val="single" w:sz="4" w:space="0" w:color="auto"/>
            </w:tcBorders>
            <w:shd w:val="clear" w:color="auto" w:fill="auto"/>
            <w:noWrap/>
            <w:vAlign w:val="center"/>
            <w:hideMark/>
          </w:tcPr>
          <w:p w14:paraId="610C35D5" w14:textId="50C69EB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0.47%</w:t>
            </w:r>
          </w:p>
        </w:tc>
        <w:tc>
          <w:tcPr>
            <w:tcW w:w="954" w:type="dxa"/>
            <w:tcBorders>
              <w:top w:val="nil"/>
              <w:left w:val="nil"/>
              <w:bottom w:val="single" w:sz="4" w:space="0" w:color="auto"/>
              <w:right w:val="single" w:sz="4" w:space="0" w:color="auto"/>
            </w:tcBorders>
            <w:shd w:val="clear" w:color="auto" w:fill="auto"/>
            <w:noWrap/>
            <w:vAlign w:val="center"/>
            <w:hideMark/>
          </w:tcPr>
          <w:p w14:paraId="610C35D6" w14:textId="6EC4DC0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79.41%</w:t>
            </w:r>
          </w:p>
        </w:tc>
        <w:tc>
          <w:tcPr>
            <w:tcW w:w="889" w:type="dxa"/>
            <w:tcBorders>
              <w:top w:val="nil"/>
              <w:left w:val="nil"/>
              <w:bottom w:val="single" w:sz="4" w:space="0" w:color="auto"/>
              <w:right w:val="single" w:sz="4" w:space="0" w:color="auto"/>
            </w:tcBorders>
            <w:shd w:val="clear" w:color="auto" w:fill="auto"/>
            <w:noWrap/>
            <w:vAlign w:val="center"/>
            <w:hideMark/>
          </w:tcPr>
          <w:p w14:paraId="610C35D7" w14:textId="1138EB4E"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r>
              <w:rPr>
                <w:rFonts w:ascii="Calibri" w:eastAsia="Times New Roman" w:hAnsi="Calibri" w:cs="Times New Roman"/>
                <w:color w:val="000000"/>
                <w:lang w:eastAsia="en-GB"/>
              </w:rPr>
              <w:t>5</w:t>
            </w:r>
          </w:p>
        </w:tc>
        <w:tc>
          <w:tcPr>
            <w:tcW w:w="1004" w:type="dxa"/>
            <w:tcBorders>
              <w:top w:val="nil"/>
              <w:left w:val="nil"/>
              <w:bottom w:val="single" w:sz="4" w:space="0" w:color="auto"/>
              <w:right w:val="single" w:sz="4" w:space="0" w:color="auto"/>
            </w:tcBorders>
            <w:shd w:val="clear" w:color="auto" w:fill="auto"/>
            <w:noWrap/>
            <w:vAlign w:val="center"/>
          </w:tcPr>
          <w:p w14:paraId="610C35D8" w14:textId="4FA7DA3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2.61%</w:t>
            </w:r>
          </w:p>
        </w:tc>
        <w:tc>
          <w:tcPr>
            <w:tcW w:w="993" w:type="dxa"/>
            <w:tcBorders>
              <w:top w:val="nil"/>
              <w:left w:val="nil"/>
              <w:bottom w:val="single" w:sz="4" w:space="0" w:color="auto"/>
              <w:right w:val="single" w:sz="4" w:space="0" w:color="auto"/>
            </w:tcBorders>
            <w:shd w:val="clear" w:color="auto" w:fill="auto"/>
            <w:noWrap/>
            <w:vAlign w:val="center"/>
          </w:tcPr>
          <w:p w14:paraId="610C35D9" w14:textId="756A4EE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77.42%</w:t>
            </w:r>
          </w:p>
        </w:tc>
      </w:tr>
      <w:tr w:rsidR="00411450" w:rsidRPr="00367D24" w14:paraId="610C35E4"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DB" w14:textId="18120923"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26</w:t>
            </w:r>
          </w:p>
        </w:tc>
        <w:tc>
          <w:tcPr>
            <w:tcW w:w="696" w:type="dxa"/>
            <w:tcBorders>
              <w:top w:val="nil"/>
              <w:left w:val="nil"/>
              <w:bottom w:val="single" w:sz="4" w:space="0" w:color="auto"/>
              <w:right w:val="single" w:sz="4" w:space="0" w:color="auto"/>
            </w:tcBorders>
            <w:shd w:val="clear" w:color="auto" w:fill="auto"/>
            <w:noWrap/>
            <w:vAlign w:val="center"/>
            <w:hideMark/>
          </w:tcPr>
          <w:p w14:paraId="610C35D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15</w:t>
            </w:r>
          </w:p>
        </w:tc>
        <w:tc>
          <w:tcPr>
            <w:tcW w:w="3163" w:type="dxa"/>
            <w:tcBorders>
              <w:top w:val="nil"/>
              <w:left w:val="nil"/>
              <w:bottom w:val="single" w:sz="4" w:space="0" w:color="auto"/>
              <w:right w:val="single" w:sz="4" w:space="0" w:color="auto"/>
            </w:tcBorders>
            <w:shd w:val="clear" w:color="000000" w:fill="FCE4D6"/>
            <w:vAlign w:val="center"/>
            <w:hideMark/>
          </w:tcPr>
          <w:p w14:paraId="610C35D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nervous system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5D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11</w:t>
            </w:r>
          </w:p>
        </w:tc>
        <w:tc>
          <w:tcPr>
            <w:tcW w:w="897" w:type="dxa"/>
            <w:tcBorders>
              <w:top w:val="nil"/>
              <w:left w:val="nil"/>
              <w:bottom w:val="single" w:sz="4" w:space="0" w:color="auto"/>
              <w:right w:val="single" w:sz="4" w:space="0" w:color="auto"/>
            </w:tcBorders>
            <w:shd w:val="clear" w:color="auto" w:fill="auto"/>
            <w:noWrap/>
            <w:vAlign w:val="center"/>
            <w:hideMark/>
          </w:tcPr>
          <w:p w14:paraId="610C35DF" w14:textId="0A61201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3.17%</w:t>
            </w:r>
          </w:p>
        </w:tc>
        <w:tc>
          <w:tcPr>
            <w:tcW w:w="954" w:type="dxa"/>
            <w:tcBorders>
              <w:top w:val="nil"/>
              <w:left w:val="nil"/>
              <w:bottom w:val="single" w:sz="4" w:space="0" w:color="auto"/>
              <w:right w:val="single" w:sz="4" w:space="0" w:color="auto"/>
            </w:tcBorders>
            <w:shd w:val="clear" w:color="auto" w:fill="auto"/>
            <w:noWrap/>
            <w:vAlign w:val="center"/>
            <w:hideMark/>
          </w:tcPr>
          <w:p w14:paraId="610C35E0" w14:textId="4B18490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82.58%</w:t>
            </w:r>
          </w:p>
        </w:tc>
        <w:tc>
          <w:tcPr>
            <w:tcW w:w="889" w:type="dxa"/>
            <w:tcBorders>
              <w:top w:val="nil"/>
              <w:left w:val="nil"/>
              <w:bottom w:val="single" w:sz="4" w:space="0" w:color="auto"/>
              <w:right w:val="single" w:sz="4" w:space="0" w:color="auto"/>
            </w:tcBorders>
            <w:shd w:val="clear" w:color="auto" w:fill="auto"/>
            <w:noWrap/>
            <w:vAlign w:val="center"/>
            <w:hideMark/>
          </w:tcPr>
          <w:p w14:paraId="610C35E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80</w:t>
            </w:r>
          </w:p>
        </w:tc>
        <w:tc>
          <w:tcPr>
            <w:tcW w:w="1004" w:type="dxa"/>
            <w:tcBorders>
              <w:top w:val="nil"/>
              <w:left w:val="nil"/>
              <w:bottom w:val="single" w:sz="4" w:space="0" w:color="auto"/>
              <w:right w:val="single" w:sz="4" w:space="0" w:color="auto"/>
            </w:tcBorders>
            <w:shd w:val="clear" w:color="auto" w:fill="auto"/>
            <w:noWrap/>
            <w:vAlign w:val="center"/>
          </w:tcPr>
          <w:p w14:paraId="610C35E2" w14:textId="7DB5658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2.46%</w:t>
            </w:r>
          </w:p>
        </w:tc>
        <w:tc>
          <w:tcPr>
            <w:tcW w:w="993" w:type="dxa"/>
            <w:tcBorders>
              <w:top w:val="nil"/>
              <w:left w:val="nil"/>
              <w:bottom w:val="single" w:sz="4" w:space="0" w:color="auto"/>
              <w:right w:val="single" w:sz="4" w:space="0" w:color="auto"/>
            </w:tcBorders>
            <w:shd w:val="clear" w:color="auto" w:fill="auto"/>
            <w:noWrap/>
            <w:vAlign w:val="center"/>
          </w:tcPr>
          <w:p w14:paraId="610C35E3" w14:textId="3304044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79.88%</w:t>
            </w:r>
          </w:p>
        </w:tc>
      </w:tr>
      <w:tr w:rsidR="00411450" w:rsidRPr="00367D24" w14:paraId="610C35E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E5" w14:textId="33FB0BAE"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w:t>
            </w:r>
          </w:p>
        </w:tc>
        <w:tc>
          <w:tcPr>
            <w:tcW w:w="696" w:type="dxa"/>
            <w:tcBorders>
              <w:top w:val="nil"/>
              <w:left w:val="nil"/>
              <w:bottom w:val="single" w:sz="4" w:space="0" w:color="auto"/>
              <w:right w:val="single" w:sz="4" w:space="0" w:color="auto"/>
            </w:tcBorders>
            <w:shd w:val="clear" w:color="auto" w:fill="auto"/>
            <w:noWrap/>
            <w:vAlign w:val="center"/>
            <w:hideMark/>
          </w:tcPr>
          <w:p w14:paraId="610C35E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3163" w:type="dxa"/>
            <w:tcBorders>
              <w:top w:val="nil"/>
              <w:left w:val="nil"/>
              <w:bottom w:val="single" w:sz="4" w:space="0" w:color="auto"/>
              <w:right w:val="single" w:sz="4" w:space="0" w:color="auto"/>
            </w:tcBorders>
            <w:shd w:val="clear" w:color="000000" w:fill="FFF2CC"/>
            <w:vAlign w:val="center"/>
            <w:hideMark/>
          </w:tcPr>
          <w:p w14:paraId="610C35E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Glucose metabolism disorders (incl</w:t>
            </w:r>
            <w:r>
              <w:rPr>
                <w:rFonts w:ascii="Calibri" w:eastAsia="Times New Roman" w:hAnsi="Calibri" w:cs="Times New Roman"/>
                <w:color w:val="000000"/>
                <w:lang w:eastAsia="en-GB"/>
              </w:rPr>
              <w:t>.</w:t>
            </w:r>
            <w:r w:rsidRPr="00367D24">
              <w:rPr>
                <w:rFonts w:ascii="Calibri" w:eastAsia="Times New Roman" w:hAnsi="Calibri" w:cs="Times New Roman"/>
                <w:color w:val="000000"/>
                <w:lang w:eastAsia="en-GB"/>
              </w:rPr>
              <w:t xml:space="preserve"> diabetes mellitus) </w:t>
            </w:r>
          </w:p>
        </w:tc>
        <w:tc>
          <w:tcPr>
            <w:tcW w:w="772" w:type="dxa"/>
            <w:tcBorders>
              <w:top w:val="nil"/>
              <w:left w:val="nil"/>
              <w:bottom w:val="single" w:sz="4" w:space="0" w:color="auto"/>
              <w:right w:val="single" w:sz="4" w:space="0" w:color="auto"/>
            </w:tcBorders>
            <w:shd w:val="clear" w:color="auto" w:fill="auto"/>
            <w:noWrap/>
            <w:vAlign w:val="center"/>
            <w:hideMark/>
          </w:tcPr>
          <w:p w14:paraId="610C35E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74</w:t>
            </w:r>
          </w:p>
        </w:tc>
        <w:tc>
          <w:tcPr>
            <w:tcW w:w="897" w:type="dxa"/>
            <w:tcBorders>
              <w:top w:val="nil"/>
              <w:left w:val="nil"/>
              <w:bottom w:val="single" w:sz="4" w:space="0" w:color="auto"/>
              <w:right w:val="single" w:sz="4" w:space="0" w:color="auto"/>
            </w:tcBorders>
            <w:shd w:val="clear" w:color="auto" w:fill="auto"/>
            <w:noWrap/>
            <w:vAlign w:val="center"/>
            <w:hideMark/>
          </w:tcPr>
          <w:p w14:paraId="610C35E9" w14:textId="3C248F0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2.62%</w:t>
            </w:r>
          </w:p>
        </w:tc>
        <w:tc>
          <w:tcPr>
            <w:tcW w:w="954" w:type="dxa"/>
            <w:tcBorders>
              <w:top w:val="nil"/>
              <w:left w:val="nil"/>
              <w:bottom w:val="single" w:sz="4" w:space="0" w:color="auto"/>
              <w:right w:val="single" w:sz="4" w:space="0" w:color="auto"/>
            </w:tcBorders>
            <w:shd w:val="clear" w:color="auto" w:fill="auto"/>
            <w:noWrap/>
            <w:vAlign w:val="center"/>
            <w:hideMark/>
          </w:tcPr>
          <w:p w14:paraId="610C35EA" w14:textId="618FCFB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85.20%</w:t>
            </w:r>
          </w:p>
        </w:tc>
        <w:tc>
          <w:tcPr>
            <w:tcW w:w="889" w:type="dxa"/>
            <w:tcBorders>
              <w:top w:val="nil"/>
              <w:left w:val="nil"/>
              <w:bottom w:val="single" w:sz="4" w:space="0" w:color="auto"/>
              <w:right w:val="single" w:sz="4" w:space="0" w:color="auto"/>
            </w:tcBorders>
            <w:shd w:val="clear" w:color="auto" w:fill="auto"/>
            <w:noWrap/>
            <w:vAlign w:val="center"/>
            <w:hideMark/>
          </w:tcPr>
          <w:p w14:paraId="610C35E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74</w:t>
            </w:r>
          </w:p>
        </w:tc>
        <w:tc>
          <w:tcPr>
            <w:tcW w:w="1004" w:type="dxa"/>
            <w:tcBorders>
              <w:top w:val="nil"/>
              <w:left w:val="nil"/>
              <w:bottom w:val="single" w:sz="4" w:space="0" w:color="auto"/>
              <w:right w:val="single" w:sz="4" w:space="0" w:color="auto"/>
            </w:tcBorders>
            <w:shd w:val="clear" w:color="auto" w:fill="auto"/>
            <w:noWrap/>
            <w:vAlign w:val="center"/>
          </w:tcPr>
          <w:p w14:paraId="610C35EC" w14:textId="652086F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2.28%</w:t>
            </w:r>
          </w:p>
        </w:tc>
        <w:tc>
          <w:tcPr>
            <w:tcW w:w="993" w:type="dxa"/>
            <w:tcBorders>
              <w:top w:val="nil"/>
              <w:left w:val="nil"/>
              <w:bottom w:val="single" w:sz="4" w:space="0" w:color="auto"/>
              <w:right w:val="single" w:sz="4" w:space="0" w:color="auto"/>
            </w:tcBorders>
            <w:shd w:val="clear" w:color="auto" w:fill="auto"/>
            <w:noWrap/>
            <w:vAlign w:val="center"/>
          </w:tcPr>
          <w:p w14:paraId="610C35ED" w14:textId="2BE638E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82.16%</w:t>
            </w:r>
          </w:p>
        </w:tc>
      </w:tr>
      <w:tr w:rsidR="00411450" w:rsidRPr="00367D24" w14:paraId="610C35F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EF" w14:textId="41CB6D78"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14</w:t>
            </w:r>
          </w:p>
        </w:tc>
        <w:tc>
          <w:tcPr>
            <w:tcW w:w="696" w:type="dxa"/>
            <w:tcBorders>
              <w:top w:val="nil"/>
              <w:left w:val="nil"/>
              <w:bottom w:val="single" w:sz="4" w:space="0" w:color="auto"/>
              <w:right w:val="single" w:sz="4" w:space="0" w:color="auto"/>
            </w:tcBorders>
            <w:shd w:val="clear" w:color="auto" w:fill="auto"/>
            <w:noWrap/>
            <w:vAlign w:val="center"/>
            <w:hideMark/>
          </w:tcPr>
          <w:p w14:paraId="610C35F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17</w:t>
            </w:r>
          </w:p>
        </w:tc>
        <w:tc>
          <w:tcPr>
            <w:tcW w:w="3163" w:type="dxa"/>
            <w:tcBorders>
              <w:top w:val="nil"/>
              <w:left w:val="nil"/>
              <w:bottom w:val="single" w:sz="4" w:space="0" w:color="auto"/>
              <w:right w:val="single" w:sz="4" w:space="0" w:color="auto"/>
            </w:tcBorders>
            <w:shd w:val="clear" w:color="000000" w:fill="FCE4D6"/>
            <w:vAlign w:val="center"/>
            <w:hideMark/>
          </w:tcPr>
          <w:p w14:paraId="610C35F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Gastrointestinal signs and symptoms </w:t>
            </w:r>
          </w:p>
        </w:tc>
        <w:tc>
          <w:tcPr>
            <w:tcW w:w="772" w:type="dxa"/>
            <w:tcBorders>
              <w:top w:val="nil"/>
              <w:left w:val="nil"/>
              <w:bottom w:val="single" w:sz="4" w:space="0" w:color="auto"/>
              <w:right w:val="single" w:sz="4" w:space="0" w:color="auto"/>
            </w:tcBorders>
            <w:shd w:val="clear" w:color="auto" w:fill="auto"/>
            <w:noWrap/>
            <w:vAlign w:val="center"/>
            <w:hideMark/>
          </w:tcPr>
          <w:p w14:paraId="610C35F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61</w:t>
            </w:r>
          </w:p>
        </w:tc>
        <w:tc>
          <w:tcPr>
            <w:tcW w:w="897" w:type="dxa"/>
            <w:tcBorders>
              <w:top w:val="nil"/>
              <w:left w:val="nil"/>
              <w:bottom w:val="single" w:sz="4" w:space="0" w:color="auto"/>
              <w:right w:val="single" w:sz="4" w:space="0" w:color="auto"/>
            </w:tcBorders>
            <w:shd w:val="clear" w:color="auto" w:fill="auto"/>
            <w:noWrap/>
            <w:vAlign w:val="center"/>
            <w:hideMark/>
          </w:tcPr>
          <w:p w14:paraId="610C35F3" w14:textId="5D6EAF1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5F4" w14:textId="7A4075C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85.20%</w:t>
            </w:r>
          </w:p>
        </w:tc>
        <w:tc>
          <w:tcPr>
            <w:tcW w:w="889" w:type="dxa"/>
            <w:tcBorders>
              <w:top w:val="nil"/>
              <w:left w:val="nil"/>
              <w:bottom w:val="single" w:sz="4" w:space="0" w:color="auto"/>
              <w:right w:val="single" w:sz="4" w:space="0" w:color="auto"/>
            </w:tcBorders>
            <w:shd w:val="clear" w:color="auto" w:fill="auto"/>
            <w:noWrap/>
            <w:vAlign w:val="center"/>
            <w:hideMark/>
          </w:tcPr>
          <w:p w14:paraId="610C35F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71</w:t>
            </w:r>
          </w:p>
        </w:tc>
        <w:tc>
          <w:tcPr>
            <w:tcW w:w="1004" w:type="dxa"/>
            <w:tcBorders>
              <w:top w:val="nil"/>
              <w:left w:val="nil"/>
              <w:bottom w:val="single" w:sz="4" w:space="0" w:color="auto"/>
              <w:right w:val="single" w:sz="4" w:space="0" w:color="auto"/>
            </w:tcBorders>
            <w:shd w:val="clear" w:color="auto" w:fill="auto"/>
            <w:noWrap/>
            <w:vAlign w:val="center"/>
          </w:tcPr>
          <w:p w14:paraId="610C35F6" w14:textId="15F40EE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2.18%</w:t>
            </w:r>
          </w:p>
        </w:tc>
        <w:tc>
          <w:tcPr>
            <w:tcW w:w="993" w:type="dxa"/>
            <w:tcBorders>
              <w:top w:val="nil"/>
              <w:left w:val="nil"/>
              <w:bottom w:val="single" w:sz="4" w:space="0" w:color="auto"/>
              <w:right w:val="single" w:sz="4" w:space="0" w:color="auto"/>
            </w:tcBorders>
            <w:shd w:val="clear" w:color="auto" w:fill="auto"/>
            <w:noWrap/>
            <w:vAlign w:val="center"/>
          </w:tcPr>
          <w:p w14:paraId="610C35F7" w14:textId="4EEC1D5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84.34%</w:t>
            </w:r>
          </w:p>
        </w:tc>
      </w:tr>
      <w:tr w:rsidR="00411450" w:rsidRPr="00367D24" w14:paraId="610C3602"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5F9" w14:textId="1D64BF6E"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63</w:t>
            </w:r>
          </w:p>
        </w:tc>
        <w:tc>
          <w:tcPr>
            <w:tcW w:w="696" w:type="dxa"/>
            <w:tcBorders>
              <w:top w:val="nil"/>
              <w:left w:val="nil"/>
              <w:bottom w:val="single" w:sz="4" w:space="0" w:color="auto"/>
              <w:right w:val="single" w:sz="4" w:space="0" w:color="auto"/>
            </w:tcBorders>
            <w:shd w:val="clear" w:color="auto" w:fill="auto"/>
            <w:noWrap/>
            <w:vAlign w:val="center"/>
            <w:hideMark/>
          </w:tcPr>
          <w:p w14:paraId="610C35F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18</w:t>
            </w:r>
          </w:p>
        </w:tc>
        <w:tc>
          <w:tcPr>
            <w:tcW w:w="3163" w:type="dxa"/>
            <w:tcBorders>
              <w:top w:val="nil"/>
              <w:left w:val="nil"/>
              <w:bottom w:val="single" w:sz="4" w:space="0" w:color="auto"/>
              <w:right w:val="single" w:sz="4" w:space="0" w:color="auto"/>
            </w:tcBorders>
            <w:shd w:val="clear" w:color="auto" w:fill="auto"/>
            <w:noWrap/>
            <w:vAlign w:val="center"/>
            <w:hideMark/>
          </w:tcPr>
          <w:p w14:paraId="610C35F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neuropsychiatric disorder</w:t>
            </w:r>
          </w:p>
        </w:tc>
        <w:tc>
          <w:tcPr>
            <w:tcW w:w="772" w:type="dxa"/>
            <w:tcBorders>
              <w:top w:val="nil"/>
              <w:left w:val="nil"/>
              <w:bottom w:val="single" w:sz="4" w:space="0" w:color="auto"/>
              <w:right w:val="single" w:sz="4" w:space="0" w:color="auto"/>
            </w:tcBorders>
            <w:shd w:val="clear" w:color="auto" w:fill="auto"/>
            <w:noWrap/>
            <w:vAlign w:val="center"/>
            <w:hideMark/>
          </w:tcPr>
          <w:p w14:paraId="610C35F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0</w:t>
            </w:r>
          </w:p>
        </w:tc>
        <w:tc>
          <w:tcPr>
            <w:tcW w:w="897" w:type="dxa"/>
            <w:tcBorders>
              <w:top w:val="nil"/>
              <w:left w:val="nil"/>
              <w:bottom w:val="single" w:sz="4" w:space="0" w:color="auto"/>
              <w:right w:val="single" w:sz="4" w:space="0" w:color="auto"/>
            </w:tcBorders>
            <w:shd w:val="clear" w:color="auto" w:fill="auto"/>
            <w:noWrap/>
            <w:vAlign w:val="center"/>
            <w:hideMark/>
          </w:tcPr>
          <w:p w14:paraId="610C35FD" w14:textId="532F5F2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2.87%</w:t>
            </w:r>
          </w:p>
        </w:tc>
        <w:tc>
          <w:tcPr>
            <w:tcW w:w="954" w:type="dxa"/>
            <w:tcBorders>
              <w:top w:val="nil"/>
              <w:left w:val="nil"/>
              <w:bottom w:val="single" w:sz="4" w:space="0" w:color="auto"/>
              <w:right w:val="single" w:sz="4" w:space="0" w:color="auto"/>
            </w:tcBorders>
            <w:shd w:val="clear" w:color="auto" w:fill="auto"/>
            <w:noWrap/>
            <w:vAlign w:val="center"/>
            <w:hideMark/>
          </w:tcPr>
          <w:p w14:paraId="610C35FE" w14:textId="5B61A03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88.07%</w:t>
            </w:r>
          </w:p>
        </w:tc>
        <w:tc>
          <w:tcPr>
            <w:tcW w:w="889" w:type="dxa"/>
            <w:tcBorders>
              <w:top w:val="nil"/>
              <w:left w:val="nil"/>
              <w:bottom w:val="single" w:sz="4" w:space="0" w:color="auto"/>
              <w:right w:val="single" w:sz="4" w:space="0" w:color="auto"/>
            </w:tcBorders>
            <w:shd w:val="clear" w:color="auto" w:fill="auto"/>
            <w:noWrap/>
            <w:vAlign w:val="center"/>
            <w:hideMark/>
          </w:tcPr>
          <w:p w14:paraId="610C35F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68</w:t>
            </w:r>
          </w:p>
        </w:tc>
        <w:tc>
          <w:tcPr>
            <w:tcW w:w="1004" w:type="dxa"/>
            <w:tcBorders>
              <w:top w:val="nil"/>
              <w:left w:val="nil"/>
              <w:bottom w:val="single" w:sz="4" w:space="0" w:color="auto"/>
              <w:right w:val="single" w:sz="4" w:space="0" w:color="auto"/>
            </w:tcBorders>
            <w:shd w:val="clear" w:color="auto" w:fill="auto"/>
            <w:noWrap/>
            <w:vAlign w:val="center"/>
          </w:tcPr>
          <w:p w14:paraId="610C3600" w14:textId="4B4BA03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2.09%</w:t>
            </w:r>
          </w:p>
        </w:tc>
        <w:tc>
          <w:tcPr>
            <w:tcW w:w="993" w:type="dxa"/>
            <w:tcBorders>
              <w:top w:val="nil"/>
              <w:left w:val="nil"/>
              <w:bottom w:val="single" w:sz="4" w:space="0" w:color="auto"/>
              <w:right w:val="single" w:sz="4" w:space="0" w:color="auto"/>
            </w:tcBorders>
            <w:shd w:val="clear" w:color="auto" w:fill="auto"/>
            <w:noWrap/>
            <w:vAlign w:val="center"/>
          </w:tcPr>
          <w:p w14:paraId="610C3601" w14:textId="2F4F2A9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86.43%</w:t>
            </w:r>
          </w:p>
        </w:tc>
      </w:tr>
      <w:tr w:rsidR="00411450" w:rsidRPr="00367D24" w14:paraId="610C360C"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03" w14:textId="202F55FC"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12</w:t>
            </w:r>
          </w:p>
        </w:tc>
        <w:tc>
          <w:tcPr>
            <w:tcW w:w="696" w:type="dxa"/>
            <w:tcBorders>
              <w:top w:val="nil"/>
              <w:left w:val="nil"/>
              <w:bottom w:val="single" w:sz="4" w:space="0" w:color="auto"/>
              <w:right w:val="single" w:sz="4" w:space="0" w:color="auto"/>
            </w:tcBorders>
            <w:shd w:val="clear" w:color="auto" w:fill="auto"/>
            <w:noWrap/>
            <w:vAlign w:val="center"/>
            <w:hideMark/>
          </w:tcPr>
          <w:p w14:paraId="610C360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19</w:t>
            </w:r>
          </w:p>
        </w:tc>
        <w:tc>
          <w:tcPr>
            <w:tcW w:w="3163" w:type="dxa"/>
            <w:tcBorders>
              <w:top w:val="nil"/>
              <w:left w:val="nil"/>
              <w:bottom w:val="single" w:sz="4" w:space="0" w:color="auto"/>
              <w:right w:val="single" w:sz="4" w:space="0" w:color="auto"/>
            </w:tcBorders>
            <w:shd w:val="clear" w:color="000000" w:fill="FCE4D6"/>
            <w:vAlign w:val="center"/>
            <w:hideMark/>
          </w:tcPr>
          <w:p w14:paraId="610C3605" w14:textId="77777777" w:rsidR="00411450" w:rsidRPr="00367D24" w:rsidRDefault="00411450" w:rsidP="00411450">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Fungal infection</w:t>
            </w:r>
            <w:r w:rsidRPr="00367D24">
              <w:rPr>
                <w:rFonts w:ascii="Calibri" w:eastAsia="Times New Roman" w:hAnsi="Calibri" w:cs="Times New Roman"/>
                <w:color w:val="000000"/>
                <w:lang w:eastAsia="en-GB"/>
              </w:rPr>
              <w:t xml:space="preserve">s disorders - Candida infections </w:t>
            </w:r>
          </w:p>
        </w:tc>
        <w:tc>
          <w:tcPr>
            <w:tcW w:w="772" w:type="dxa"/>
            <w:tcBorders>
              <w:top w:val="nil"/>
              <w:left w:val="nil"/>
              <w:bottom w:val="single" w:sz="4" w:space="0" w:color="auto"/>
              <w:right w:val="single" w:sz="4" w:space="0" w:color="auto"/>
            </w:tcBorders>
            <w:shd w:val="clear" w:color="auto" w:fill="auto"/>
            <w:noWrap/>
            <w:vAlign w:val="center"/>
            <w:hideMark/>
          </w:tcPr>
          <w:p w14:paraId="610C360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67</w:t>
            </w:r>
          </w:p>
        </w:tc>
        <w:tc>
          <w:tcPr>
            <w:tcW w:w="897" w:type="dxa"/>
            <w:tcBorders>
              <w:top w:val="nil"/>
              <w:left w:val="nil"/>
              <w:bottom w:val="single" w:sz="4" w:space="0" w:color="auto"/>
              <w:right w:val="single" w:sz="4" w:space="0" w:color="auto"/>
            </w:tcBorders>
            <w:shd w:val="clear" w:color="auto" w:fill="auto"/>
            <w:noWrap/>
            <w:vAlign w:val="center"/>
            <w:hideMark/>
          </w:tcPr>
          <w:p w14:paraId="610C3607" w14:textId="0B21A1F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0.34%</w:t>
            </w:r>
          </w:p>
        </w:tc>
        <w:tc>
          <w:tcPr>
            <w:tcW w:w="954" w:type="dxa"/>
            <w:tcBorders>
              <w:top w:val="nil"/>
              <w:left w:val="nil"/>
              <w:bottom w:val="single" w:sz="4" w:space="0" w:color="auto"/>
              <w:right w:val="single" w:sz="4" w:space="0" w:color="auto"/>
            </w:tcBorders>
            <w:shd w:val="clear" w:color="auto" w:fill="auto"/>
            <w:noWrap/>
            <w:vAlign w:val="center"/>
            <w:hideMark/>
          </w:tcPr>
          <w:p w14:paraId="610C3608" w14:textId="244E988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88.42%</w:t>
            </w:r>
          </w:p>
        </w:tc>
        <w:tc>
          <w:tcPr>
            <w:tcW w:w="889" w:type="dxa"/>
            <w:tcBorders>
              <w:top w:val="nil"/>
              <w:left w:val="nil"/>
              <w:bottom w:val="single" w:sz="4" w:space="0" w:color="auto"/>
              <w:right w:val="single" w:sz="4" w:space="0" w:color="auto"/>
            </w:tcBorders>
            <w:shd w:val="clear" w:color="auto" w:fill="auto"/>
            <w:noWrap/>
            <w:vAlign w:val="center"/>
            <w:hideMark/>
          </w:tcPr>
          <w:p w14:paraId="610C360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67</w:t>
            </w:r>
          </w:p>
        </w:tc>
        <w:tc>
          <w:tcPr>
            <w:tcW w:w="1004" w:type="dxa"/>
            <w:tcBorders>
              <w:top w:val="nil"/>
              <w:left w:val="nil"/>
              <w:bottom w:val="single" w:sz="4" w:space="0" w:color="auto"/>
              <w:right w:val="single" w:sz="4" w:space="0" w:color="auto"/>
            </w:tcBorders>
            <w:shd w:val="clear" w:color="auto" w:fill="auto"/>
            <w:noWrap/>
            <w:vAlign w:val="center"/>
          </w:tcPr>
          <w:p w14:paraId="610C360A" w14:textId="763D73A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2.06%</w:t>
            </w:r>
          </w:p>
        </w:tc>
        <w:tc>
          <w:tcPr>
            <w:tcW w:w="993" w:type="dxa"/>
            <w:tcBorders>
              <w:top w:val="nil"/>
              <w:left w:val="nil"/>
              <w:bottom w:val="single" w:sz="4" w:space="0" w:color="auto"/>
              <w:right w:val="single" w:sz="4" w:space="0" w:color="auto"/>
            </w:tcBorders>
            <w:shd w:val="clear" w:color="auto" w:fill="auto"/>
            <w:noWrap/>
            <w:vAlign w:val="center"/>
          </w:tcPr>
          <w:p w14:paraId="610C360B" w14:textId="2E8B22B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88.50%</w:t>
            </w:r>
          </w:p>
        </w:tc>
      </w:tr>
      <w:tr w:rsidR="00411450" w:rsidRPr="00367D24" w14:paraId="610C3616"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0D" w14:textId="1DB5C60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29</w:t>
            </w:r>
          </w:p>
        </w:tc>
        <w:tc>
          <w:tcPr>
            <w:tcW w:w="696" w:type="dxa"/>
            <w:tcBorders>
              <w:top w:val="nil"/>
              <w:left w:val="nil"/>
              <w:bottom w:val="single" w:sz="4" w:space="0" w:color="auto"/>
              <w:right w:val="single" w:sz="4" w:space="0" w:color="auto"/>
            </w:tcBorders>
            <w:shd w:val="clear" w:color="auto" w:fill="auto"/>
            <w:noWrap/>
            <w:vAlign w:val="center"/>
            <w:hideMark/>
          </w:tcPr>
          <w:p w14:paraId="610C360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20</w:t>
            </w:r>
          </w:p>
        </w:tc>
        <w:tc>
          <w:tcPr>
            <w:tcW w:w="3163" w:type="dxa"/>
            <w:tcBorders>
              <w:top w:val="nil"/>
              <w:left w:val="nil"/>
              <w:bottom w:val="single" w:sz="4" w:space="0" w:color="auto"/>
              <w:right w:val="single" w:sz="4" w:space="0" w:color="auto"/>
            </w:tcBorders>
            <w:shd w:val="clear" w:color="auto" w:fill="auto"/>
            <w:vAlign w:val="center"/>
            <w:hideMark/>
          </w:tcPr>
          <w:p w14:paraId="610C360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Allergic conditions</w:t>
            </w:r>
          </w:p>
        </w:tc>
        <w:tc>
          <w:tcPr>
            <w:tcW w:w="772" w:type="dxa"/>
            <w:tcBorders>
              <w:top w:val="nil"/>
              <w:left w:val="nil"/>
              <w:bottom w:val="single" w:sz="4" w:space="0" w:color="auto"/>
              <w:right w:val="single" w:sz="4" w:space="0" w:color="auto"/>
            </w:tcBorders>
            <w:shd w:val="clear" w:color="auto" w:fill="auto"/>
            <w:noWrap/>
            <w:vAlign w:val="center"/>
            <w:hideMark/>
          </w:tcPr>
          <w:p w14:paraId="610C361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897" w:type="dxa"/>
            <w:tcBorders>
              <w:top w:val="nil"/>
              <w:left w:val="nil"/>
              <w:bottom w:val="single" w:sz="4" w:space="0" w:color="auto"/>
              <w:right w:val="single" w:sz="4" w:space="0" w:color="auto"/>
            </w:tcBorders>
            <w:shd w:val="clear" w:color="auto" w:fill="auto"/>
            <w:noWrap/>
            <w:vAlign w:val="center"/>
            <w:hideMark/>
          </w:tcPr>
          <w:p w14:paraId="610C3611" w14:textId="2ABEA35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1.16%</w:t>
            </w:r>
          </w:p>
        </w:tc>
        <w:tc>
          <w:tcPr>
            <w:tcW w:w="954" w:type="dxa"/>
            <w:tcBorders>
              <w:top w:val="nil"/>
              <w:left w:val="nil"/>
              <w:bottom w:val="single" w:sz="4" w:space="0" w:color="auto"/>
              <w:right w:val="single" w:sz="4" w:space="0" w:color="auto"/>
            </w:tcBorders>
            <w:shd w:val="clear" w:color="auto" w:fill="auto"/>
            <w:noWrap/>
            <w:vAlign w:val="center"/>
            <w:hideMark/>
          </w:tcPr>
          <w:p w14:paraId="610C3612" w14:textId="6E8DF01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89.58%</w:t>
            </w:r>
          </w:p>
        </w:tc>
        <w:tc>
          <w:tcPr>
            <w:tcW w:w="889" w:type="dxa"/>
            <w:tcBorders>
              <w:top w:val="nil"/>
              <w:left w:val="nil"/>
              <w:bottom w:val="single" w:sz="4" w:space="0" w:color="auto"/>
              <w:right w:val="single" w:sz="4" w:space="0" w:color="auto"/>
            </w:tcBorders>
            <w:shd w:val="clear" w:color="auto" w:fill="auto"/>
            <w:noWrap/>
            <w:vAlign w:val="center"/>
            <w:hideMark/>
          </w:tcPr>
          <w:p w14:paraId="610C361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54</w:t>
            </w:r>
          </w:p>
        </w:tc>
        <w:tc>
          <w:tcPr>
            <w:tcW w:w="1004" w:type="dxa"/>
            <w:tcBorders>
              <w:top w:val="nil"/>
              <w:left w:val="nil"/>
              <w:bottom w:val="single" w:sz="4" w:space="0" w:color="auto"/>
              <w:right w:val="single" w:sz="4" w:space="0" w:color="auto"/>
            </w:tcBorders>
            <w:shd w:val="clear" w:color="auto" w:fill="auto"/>
            <w:noWrap/>
            <w:vAlign w:val="center"/>
          </w:tcPr>
          <w:p w14:paraId="610C3614" w14:textId="563F886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1.66%</w:t>
            </w:r>
          </w:p>
        </w:tc>
        <w:tc>
          <w:tcPr>
            <w:tcW w:w="993" w:type="dxa"/>
            <w:tcBorders>
              <w:top w:val="nil"/>
              <w:left w:val="nil"/>
              <w:bottom w:val="single" w:sz="4" w:space="0" w:color="auto"/>
              <w:right w:val="single" w:sz="4" w:space="0" w:color="auto"/>
            </w:tcBorders>
            <w:shd w:val="clear" w:color="auto" w:fill="auto"/>
            <w:noWrap/>
            <w:vAlign w:val="center"/>
          </w:tcPr>
          <w:p w14:paraId="610C3615" w14:textId="5E5FC0B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90.16%</w:t>
            </w:r>
          </w:p>
        </w:tc>
      </w:tr>
      <w:tr w:rsidR="00411450" w:rsidRPr="00367D24" w14:paraId="610C3620"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17" w14:textId="60B03241"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17</w:t>
            </w:r>
          </w:p>
        </w:tc>
        <w:tc>
          <w:tcPr>
            <w:tcW w:w="696" w:type="dxa"/>
            <w:tcBorders>
              <w:top w:val="nil"/>
              <w:left w:val="nil"/>
              <w:bottom w:val="single" w:sz="4" w:space="0" w:color="auto"/>
              <w:right w:val="single" w:sz="4" w:space="0" w:color="auto"/>
            </w:tcBorders>
            <w:shd w:val="clear" w:color="auto" w:fill="auto"/>
            <w:noWrap/>
            <w:vAlign w:val="center"/>
            <w:hideMark/>
          </w:tcPr>
          <w:p w14:paraId="610C361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21</w:t>
            </w:r>
          </w:p>
        </w:tc>
        <w:tc>
          <w:tcPr>
            <w:tcW w:w="3163" w:type="dxa"/>
            <w:tcBorders>
              <w:top w:val="nil"/>
              <w:left w:val="nil"/>
              <w:bottom w:val="single" w:sz="4" w:space="0" w:color="auto"/>
              <w:right w:val="single" w:sz="4" w:space="0" w:color="auto"/>
            </w:tcBorders>
            <w:shd w:val="clear" w:color="auto" w:fill="auto"/>
            <w:vAlign w:val="center"/>
            <w:hideMark/>
          </w:tcPr>
          <w:p w14:paraId="610C361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Anaemias nonhaemolytic and marrow depression</w:t>
            </w:r>
          </w:p>
        </w:tc>
        <w:tc>
          <w:tcPr>
            <w:tcW w:w="772" w:type="dxa"/>
            <w:tcBorders>
              <w:top w:val="nil"/>
              <w:left w:val="nil"/>
              <w:bottom w:val="single" w:sz="4" w:space="0" w:color="auto"/>
              <w:right w:val="single" w:sz="4" w:space="0" w:color="auto"/>
            </w:tcBorders>
            <w:shd w:val="clear" w:color="auto" w:fill="auto"/>
            <w:noWrap/>
            <w:vAlign w:val="center"/>
            <w:hideMark/>
          </w:tcPr>
          <w:p w14:paraId="610C361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27</w:t>
            </w:r>
          </w:p>
        </w:tc>
        <w:tc>
          <w:tcPr>
            <w:tcW w:w="897" w:type="dxa"/>
            <w:tcBorders>
              <w:top w:val="nil"/>
              <w:left w:val="nil"/>
              <w:bottom w:val="single" w:sz="4" w:space="0" w:color="auto"/>
              <w:right w:val="single" w:sz="4" w:space="0" w:color="auto"/>
            </w:tcBorders>
            <w:shd w:val="clear" w:color="auto" w:fill="auto"/>
            <w:noWrap/>
            <w:vAlign w:val="center"/>
            <w:hideMark/>
          </w:tcPr>
          <w:p w14:paraId="610C361B" w14:textId="1A71E1C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1.12%</w:t>
            </w:r>
          </w:p>
        </w:tc>
        <w:tc>
          <w:tcPr>
            <w:tcW w:w="954" w:type="dxa"/>
            <w:tcBorders>
              <w:top w:val="nil"/>
              <w:left w:val="nil"/>
              <w:bottom w:val="single" w:sz="4" w:space="0" w:color="auto"/>
              <w:right w:val="single" w:sz="4" w:space="0" w:color="auto"/>
            </w:tcBorders>
            <w:shd w:val="clear" w:color="auto" w:fill="auto"/>
            <w:noWrap/>
            <w:vAlign w:val="center"/>
            <w:hideMark/>
          </w:tcPr>
          <w:p w14:paraId="610C361C" w14:textId="1DEFAEA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90.69%</w:t>
            </w:r>
          </w:p>
        </w:tc>
        <w:tc>
          <w:tcPr>
            <w:tcW w:w="889" w:type="dxa"/>
            <w:tcBorders>
              <w:top w:val="nil"/>
              <w:left w:val="nil"/>
              <w:bottom w:val="single" w:sz="4" w:space="0" w:color="auto"/>
              <w:right w:val="single" w:sz="4" w:space="0" w:color="auto"/>
            </w:tcBorders>
            <w:shd w:val="clear" w:color="auto" w:fill="auto"/>
            <w:noWrap/>
            <w:vAlign w:val="center"/>
            <w:hideMark/>
          </w:tcPr>
          <w:p w14:paraId="610C361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27</w:t>
            </w:r>
          </w:p>
        </w:tc>
        <w:tc>
          <w:tcPr>
            <w:tcW w:w="1004" w:type="dxa"/>
            <w:tcBorders>
              <w:top w:val="nil"/>
              <w:left w:val="nil"/>
              <w:bottom w:val="single" w:sz="4" w:space="0" w:color="auto"/>
              <w:right w:val="single" w:sz="4" w:space="0" w:color="auto"/>
            </w:tcBorders>
            <w:shd w:val="clear" w:color="auto" w:fill="auto"/>
            <w:noWrap/>
            <w:vAlign w:val="center"/>
          </w:tcPr>
          <w:p w14:paraId="610C361E" w14:textId="0F0C970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0.83%</w:t>
            </w:r>
          </w:p>
        </w:tc>
        <w:tc>
          <w:tcPr>
            <w:tcW w:w="993" w:type="dxa"/>
            <w:tcBorders>
              <w:top w:val="nil"/>
              <w:left w:val="nil"/>
              <w:bottom w:val="single" w:sz="4" w:space="0" w:color="auto"/>
              <w:right w:val="single" w:sz="4" w:space="0" w:color="auto"/>
            </w:tcBorders>
            <w:shd w:val="clear" w:color="auto" w:fill="auto"/>
            <w:noWrap/>
            <w:vAlign w:val="center"/>
          </w:tcPr>
          <w:p w14:paraId="610C361F" w14:textId="710A0D1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90.99%</w:t>
            </w:r>
          </w:p>
        </w:tc>
      </w:tr>
      <w:tr w:rsidR="00411450" w:rsidRPr="00367D24" w14:paraId="610C362A"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21" w14:textId="1E1F2550"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18</w:t>
            </w:r>
          </w:p>
        </w:tc>
        <w:tc>
          <w:tcPr>
            <w:tcW w:w="696" w:type="dxa"/>
            <w:tcBorders>
              <w:top w:val="nil"/>
              <w:left w:val="nil"/>
              <w:bottom w:val="single" w:sz="4" w:space="0" w:color="auto"/>
              <w:right w:val="single" w:sz="4" w:space="0" w:color="auto"/>
            </w:tcBorders>
            <w:shd w:val="clear" w:color="auto" w:fill="auto"/>
            <w:noWrap/>
            <w:vAlign w:val="center"/>
            <w:hideMark/>
          </w:tcPr>
          <w:p w14:paraId="610C362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22</w:t>
            </w:r>
          </w:p>
        </w:tc>
        <w:tc>
          <w:tcPr>
            <w:tcW w:w="3163" w:type="dxa"/>
            <w:tcBorders>
              <w:top w:val="nil"/>
              <w:left w:val="nil"/>
              <w:bottom w:val="single" w:sz="4" w:space="0" w:color="auto"/>
              <w:right w:val="single" w:sz="4" w:space="0" w:color="auto"/>
            </w:tcBorders>
            <w:shd w:val="clear" w:color="auto" w:fill="auto"/>
            <w:vAlign w:val="center"/>
            <w:hideMark/>
          </w:tcPr>
          <w:p w14:paraId="610C362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Unspecifed / unclassifiable - Metabolism and nutrition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62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26</w:t>
            </w:r>
          </w:p>
        </w:tc>
        <w:tc>
          <w:tcPr>
            <w:tcW w:w="897" w:type="dxa"/>
            <w:tcBorders>
              <w:top w:val="nil"/>
              <w:left w:val="nil"/>
              <w:bottom w:val="single" w:sz="4" w:space="0" w:color="auto"/>
              <w:right w:val="single" w:sz="4" w:space="0" w:color="auto"/>
            </w:tcBorders>
            <w:shd w:val="clear" w:color="auto" w:fill="auto"/>
            <w:noWrap/>
            <w:vAlign w:val="center"/>
            <w:hideMark/>
          </w:tcPr>
          <w:p w14:paraId="610C3625" w14:textId="29A5956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5.41%</w:t>
            </w:r>
          </w:p>
        </w:tc>
        <w:tc>
          <w:tcPr>
            <w:tcW w:w="954" w:type="dxa"/>
            <w:tcBorders>
              <w:top w:val="nil"/>
              <w:left w:val="nil"/>
              <w:bottom w:val="single" w:sz="4" w:space="0" w:color="auto"/>
              <w:right w:val="single" w:sz="4" w:space="0" w:color="auto"/>
            </w:tcBorders>
            <w:shd w:val="clear" w:color="auto" w:fill="auto"/>
            <w:noWrap/>
            <w:vAlign w:val="center"/>
            <w:hideMark/>
          </w:tcPr>
          <w:p w14:paraId="610C3626" w14:textId="506287E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48.43%</w:t>
            </w:r>
          </w:p>
        </w:tc>
        <w:tc>
          <w:tcPr>
            <w:tcW w:w="889" w:type="dxa"/>
            <w:tcBorders>
              <w:top w:val="nil"/>
              <w:left w:val="nil"/>
              <w:bottom w:val="single" w:sz="4" w:space="0" w:color="auto"/>
              <w:right w:val="single" w:sz="4" w:space="0" w:color="auto"/>
            </w:tcBorders>
            <w:shd w:val="clear" w:color="auto" w:fill="auto"/>
            <w:noWrap/>
            <w:vAlign w:val="center"/>
            <w:hideMark/>
          </w:tcPr>
          <w:p w14:paraId="610C362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26</w:t>
            </w:r>
          </w:p>
        </w:tc>
        <w:tc>
          <w:tcPr>
            <w:tcW w:w="1004" w:type="dxa"/>
            <w:tcBorders>
              <w:top w:val="nil"/>
              <w:left w:val="nil"/>
              <w:bottom w:val="single" w:sz="4" w:space="0" w:color="auto"/>
              <w:right w:val="single" w:sz="4" w:space="0" w:color="auto"/>
            </w:tcBorders>
            <w:shd w:val="clear" w:color="auto" w:fill="auto"/>
            <w:noWrap/>
            <w:vAlign w:val="center"/>
            <w:hideMark/>
          </w:tcPr>
          <w:p w14:paraId="610C3628" w14:textId="6F03CAA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0.80%</w:t>
            </w:r>
          </w:p>
        </w:tc>
        <w:tc>
          <w:tcPr>
            <w:tcW w:w="993" w:type="dxa"/>
            <w:tcBorders>
              <w:top w:val="nil"/>
              <w:left w:val="nil"/>
              <w:bottom w:val="single" w:sz="4" w:space="0" w:color="auto"/>
              <w:right w:val="single" w:sz="4" w:space="0" w:color="auto"/>
            </w:tcBorders>
            <w:shd w:val="clear" w:color="auto" w:fill="auto"/>
            <w:noWrap/>
            <w:vAlign w:val="center"/>
            <w:hideMark/>
          </w:tcPr>
          <w:p w14:paraId="610C3629" w14:textId="7F827BE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91.79%</w:t>
            </w:r>
          </w:p>
        </w:tc>
      </w:tr>
      <w:tr w:rsidR="00411450" w:rsidRPr="00367D24" w14:paraId="610C3634"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2B" w14:textId="5045D401"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65</w:t>
            </w:r>
          </w:p>
        </w:tc>
        <w:tc>
          <w:tcPr>
            <w:tcW w:w="696" w:type="dxa"/>
            <w:tcBorders>
              <w:top w:val="nil"/>
              <w:left w:val="nil"/>
              <w:bottom w:val="single" w:sz="4" w:space="0" w:color="auto"/>
              <w:right w:val="single" w:sz="4" w:space="0" w:color="auto"/>
            </w:tcBorders>
            <w:shd w:val="clear" w:color="auto" w:fill="auto"/>
            <w:noWrap/>
            <w:vAlign w:val="center"/>
            <w:hideMark/>
          </w:tcPr>
          <w:p w14:paraId="610C362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23</w:t>
            </w:r>
          </w:p>
        </w:tc>
        <w:tc>
          <w:tcPr>
            <w:tcW w:w="3163" w:type="dxa"/>
            <w:tcBorders>
              <w:top w:val="nil"/>
              <w:left w:val="nil"/>
              <w:bottom w:val="single" w:sz="4" w:space="0" w:color="auto"/>
              <w:right w:val="single" w:sz="4" w:space="0" w:color="auto"/>
            </w:tcBorders>
            <w:shd w:val="clear" w:color="auto" w:fill="auto"/>
            <w:vAlign w:val="center"/>
            <w:hideMark/>
          </w:tcPr>
          <w:p w14:paraId="610C362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"Other"</w:t>
            </w:r>
          </w:p>
        </w:tc>
        <w:tc>
          <w:tcPr>
            <w:tcW w:w="772" w:type="dxa"/>
            <w:tcBorders>
              <w:top w:val="nil"/>
              <w:left w:val="nil"/>
              <w:bottom w:val="single" w:sz="4" w:space="0" w:color="auto"/>
              <w:right w:val="single" w:sz="4" w:space="0" w:color="auto"/>
            </w:tcBorders>
            <w:shd w:val="clear" w:color="auto" w:fill="auto"/>
            <w:noWrap/>
            <w:vAlign w:val="center"/>
            <w:hideMark/>
          </w:tcPr>
          <w:p w14:paraId="610C362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0</w:t>
            </w:r>
          </w:p>
        </w:tc>
        <w:tc>
          <w:tcPr>
            <w:tcW w:w="897" w:type="dxa"/>
            <w:tcBorders>
              <w:top w:val="nil"/>
              <w:left w:val="nil"/>
              <w:bottom w:val="single" w:sz="4" w:space="0" w:color="auto"/>
              <w:right w:val="single" w:sz="4" w:space="0" w:color="auto"/>
            </w:tcBorders>
            <w:shd w:val="clear" w:color="auto" w:fill="auto"/>
            <w:noWrap/>
            <w:vAlign w:val="center"/>
            <w:hideMark/>
          </w:tcPr>
          <w:p w14:paraId="610C362F" w14:textId="4BD823E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630" w14:textId="3DE6772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90.69%</w:t>
            </w:r>
          </w:p>
        </w:tc>
        <w:tc>
          <w:tcPr>
            <w:tcW w:w="889" w:type="dxa"/>
            <w:tcBorders>
              <w:top w:val="nil"/>
              <w:left w:val="nil"/>
              <w:bottom w:val="single" w:sz="4" w:space="0" w:color="auto"/>
              <w:right w:val="single" w:sz="4" w:space="0" w:color="auto"/>
            </w:tcBorders>
            <w:shd w:val="clear" w:color="auto" w:fill="auto"/>
            <w:noWrap/>
            <w:vAlign w:val="center"/>
            <w:hideMark/>
          </w:tcPr>
          <w:p w14:paraId="610C363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23</w:t>
            </w:r>
          </w:p>
        </w:tc>
        <w:tc>
          <w:tcPr>
            <w:tcW w:w="1004" w:type="dxa"/>
            <w:tcBorders>
              <w:top w:val="nil"/>
              <w:left w:val="nil"/>
              <w:bottom w:val="single" w:sz="4" w:space="0" w:color="auto"/>
              <w:right w:val="single" w:sz="4" w:space="0" w:color="auto"/>
            </w:tcBorders>
            <w:shd w:val="clear" w:color="auto" w:fill="auto"/>
            <w:noWrap/>
            <w:vAlign w:val="center"/>
            <w:hideMark/>
          </w:tcPr>
          <w:p w14:paraId="610C3632" w14:textId="4D755D3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0.71%</w:t>
            </w:r>
          </w:p>
        </w:tc>
        <w:tc>
          <w:tcPr>
            <w:tcW w:w="993" w:type="dxa"/>
            <w:tcBorders>
              <w:top w:val="nil"/>
              <w:left w:val="nil"/>
              <w:bottom w:val="single" w:sz="4" w:space="0" w:color="auto"/>
              <w:right w:val="single" w:sz="4" w:space="0" w:color="auto"/>
            </w:tcBorders>
            <w:shd w:val="clear" w:color="auto" w:fill="auto"/>
            <w:noWrap/>
            <w:vAlign w:val="center"/>
            <w:hideMark/>
          </w:tcPr>
          <w:p w14:paraId="610C3633" w14:textId="2A860F9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92.49%</w:t>
            </w:r>
          </w:p>
        </w:tc>
      </w:tr>
      <w:tr w:rsidR="00411450" w:rsidRPr="00367D24" w14:paraId="610C363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35" w14:textId="753EE27F"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20</w:t>
            </w:r>
          </w:p>
        </w:tc>
        <w:tc>
          <w:tcPr>
            <w:tcW w:w="696" w:type="dxa"/>
            <w:tcBorders>
              <w:top w:val="nil"/>
              <w:left w:val="nil"/>
              <w:bottom w:val="single" w:sz="4" w:space="0" w:color="auto"/>
              <w:right w:val="single" w:sz="4" w:space="0" w:color="auto"/>
            </w:tcBorders>
            <w:shd w:val="clear" w:color="auto" w:fill="auto"/>
            <w:noWrap/>
            <w:vAlign w:val="center"/>
            <w:hideMark/>
          </w:tcPr>
          <w:p w14:paraId="610C363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24</w:t>
            </w:r>
          </w:p>
        </w:tc>
        <w:tc>
          <w:tcPr>
            <w:tcW w:w="3163" w:type="dxa"/>
            <w:tcBorders>
              <w:top w:val="nil"/>
              <w:left w:val="nil"/>
              <w:bottom w:val="single" w:sz="4" w:space="0" w:color="auto"/>
              <w:right w:val="single" w:sz="4" w:space="0" w:color="auto"/>
            </w:tcBorders>
            <w:shd w:val="clear" w:color="auto" w:fill="auto"/>
            <w:vAlign w:val="center"/>
            <w:hideMark/>
          </w:tcPr>
          <w:p w14:paraId="610C363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Urinary tract signs and symptoms</w:t>
            </w:r>
          </w:p>
        </w:tc>
        <w:tc>
          <w:tcPr>
            <w:tcW w:w="772" w:type="dxa"/>
            <w:tcBorders>
              <w:top w:val="nil"/>
              <w:left w:val="nil"/>
              <w:bottom w:val="single" w:sz="4" w:space="0" w:color="auto"/>
              <w:right w:val="single" w:sz="4" w:space="0" w:color="auto"/>
            </w:tcBorders>
            <w:shd w:val="clear" w:color="auto" w:fill="auto"/>
            <w:noWrap/>
            <w:vAlign w:val="center"/>
            <w:hideMark/>
          </w:tcPr>
          <w:p w14:paraId="610C363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22</w:t>
            </w:r>
          </w:p>
        </w:tc>
        <w:tc>
          <w:tcPr>
            <w:tcW w:w="897" w:type="dxa"/>
            <w:tcBorders>
              <w:top w:val="nil"/>
              <w:left w:val="nil"/>
              <w:bottom w:val="single" w:sz="4" w:space="0" w:color="auto"/>
              <w:right w:val="single" w:sz="4" w:space="0" w:color="auto"/>
            </w:tcBorders>
            <w:shd w:val="clear" w:color="auto" w:fill="auto"/>
            <w:noWrap/>
            <w:vAlign w:val="center"/>
            <w:hideMark/>
          </w:tcPr>
          <w:p w14:paraId="610C3639" w14:textId="7410594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0.94%</w:t>
            </w:r>
          </w:p>
        </w:tc>
        <w:tc>
          <w:tcPr>
            <w:tcW w:w="954" w:type="dxa"/>
            <w:tcBorders>
              <w:top w:val="nil"/>
              <w:left w:val="nil"/>
              <w:bottom w:val="single" w:sz="4" w:space="0" w:color="auto"/>
              <w:right w:val="single" w:sz="4" w:space="0" w:color="auto"/>
            </w:tcBorders>
            <w:shd w:val="clear" w:color="auto" w:fill="auto"/>
            <w:noWrap/>
            <w:vAlign w:val="center"/>
            <w:hideMark/>
          </w:tcPr>
          <w:p w14:paraId="610C363A" w14:textId="323D378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91.63%</w:t>
            </w:r>
          </w:p>
        </w:tc>
        <w:tc>
          <w:tcPr>
            <w:tcW w:w="889" w:type="dxa"/>
            <w:tcBorders>
              <w:top w:val="nil"/>
              <w:left w:val="nil"/>
              <w:bottom w:val="single" w:sz="4" w:space="0" w:color="auto"/>
              <w:right w:val="single" w:sz="4" w:space="0" w:color="auto"/>
            </w:tcBorders>
            <w:shd w:val="clear" w:color="auto" w:fill="auto"/>
            <w:noWrap/>
            <w:vAlign w:val="center"/>
            <w:hideMark/>
          </w:tcPr>
          <w:p w14:paraId="610C363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22</w:t>
            </w:r>
          </w:p>
        </w:tc>
        <w:tc>
          <w:tcPr>
            <w:tcW w:w="1004" w:type="dxa"/>
            <w:tcBorders>
              <w:top w:val="nil"/>
              <w:left w:val="nil"/>
              <w:bottom w:val="single" w:sz="4" w:space="0" w:color="auto"/>
              <w:right w:val="single" w:sz="4" w:space="0" w:color="auto"/>
            </w:tcBorders>
            <w:shd w:val="clear" w:color="auto" w:fill="auto"/>
            <w:noWrap/>
            <w:vAlign w:val="center"/>
            <w:hideMark/>
          </w:tcPr>
          <w:p w14:paraId="610C363C" w14:textId="71882E4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0.68%</w:t>
            </w:r>
          </w:p>
        </w:tc>
        <w:tc>
          <w:tcPr>
            <w:tcW w:w="993" w:type="dxa"/>
            <w:tcBorders>
              <w:top w:val="nil"/>
              <w:left w:val="nil"/>
              <w:bottom w:val="single" w:sz="4" w:space="0" w:color="auto"/>
              <w:right w:val="single" w:sz="4" w:space="0" w:color="auto"/>
            </w:tcBorders>
            <w:shd w:val="clear" w:color="auto" w:fill="auto"/>
            <w:noWrap/>
            <w:vAlign w:val="center"/>
            <w:hideMark/>
          </w:tcPr>
          <w:p w14:paraId="610C363D" w14:textId="10652E4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93.17%</w:t>
            </w:r>
          </w:p>
        </w:tc>
      </w:tr>
      <w:tr w:rsidR="00411450" w:rsidRPr="00367D24" w14:paraId="610C364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3F" w14:textId="7CABD16C"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21</w:t>
            </w:r>
          </w:p>
        </w:tc>
        <w:tc>
          <w:tcPr>
            <w:tcW w:w="696" w:type="dxa"/>
            <w:tcBorders>
              <w:top w:val="nil"/>
              <w:left w:val="nil"/>
              <w:bottom w:val="single" w:sz="4" w:space="0" w:color="auto"/>
              <w:right w:val="single" w:sz="4" w:space="0" w:color="auto"/>
            </w:tcBorders>
            <w:shd w:val="clear" w:color="auto" w:fill="auto"/>
            <w:noWrap/>
            <w:vAlign w:val="center"/>
            <w:hideMark/>
          </w:tcPr>
          <w:p w14:paraId="610C364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25</w:t>
            </w:r>
          </w:p>
        </w:tc>
        <w:tc>
          <w:tcPr>
            <w:tcW w:w="3163" w:type="dxa"/>
            <w:tcBorders>
              <w:top w:val="nil"/>
              <w:left w:val="nil"/>
              <w:bottom w:val="single" w:sz="4" w:space="0" w:color="auto"/>
              <w:right w:val="single" w:sz="4" w:space="0" w:color="auto"/>
            </w:tcBorders>
            <w:shd w:val="clear" w:color="auto" w:fill="auto"/>
            <w:vAlign w:val="center"/>
            <w:hideMark/>
          </w:tcPr>
          <w:p w14:paraId="610C364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Respiratory disorders NEC </w:t>
            </w:r>
          </w:p>
        </w:tc>
        <w:tc>
          <w:tcPr>
            <w:tcW w:w="772" w:type="dxa"/>
            <w:tcBorders>
              <w:top w:val="nil"/>
              <w:left w:val="nil"/>
              <w:bottom w:val="single" w:sz="4" w:space="0" w:color="auto"/>
              <w:right w:val="single" w:sz="4" w:space="0" w:color="auto"/>
            </w:tcBorders>
            <w:shd w:val="clear" w:color="auto" w:fill="auto"/>
            <w:noWrap/>
            <w:vAlign w:val="center"/>
            <w:hideMark/>
          </w:tcPr>
          <w:p w14:paraId="610C364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20</w:t>
            </w:r>
          </w:p>
        </w:tc>
        <w:tc>
          <w:tcPr>
            <w:tcW w:w="897" w:type="dxa"/>
            <w:tcBorders>
              <w:top w:val="nil"/>
              <w:left w:val="nil"/>
              <w:bottom w:val="single" w:sz="4" w:space="0" w:color="auto"/>
              <w:right w:val="single" w:sz="4" w:space="0" w:color="auto"/>
            </w:tcBorders>
            <w:shd w:val="clear" w:color="auto" w:fill="auto"/>
            <w:noWrap/>
            <w:vAlign w:val="center"/>
            <w:hideMark/>
          </w:tcPr>
          <w:p w14:paraId="610C3643" w14:textId="14ACCEE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0.86%</w:t>
            </w:r>
          </w:p>
        </w:tc>
        <w:tc>
          <w:tcPr>
            <w:tcW w:w="954" w:type="dxa"/>
            <w:tcBorders>
              <w:top w:val="nil"/>
              <w:left w:val="nil"/>
              <w:bottom w:val="single" w:sz="4" w:space="0" w:color="auto"/>
              <w:right w:val="single" w:sz="4" w:space="0" w:color="auto"/>
            </w:tcBorders>
            <w:shd w:val="clear" w:color="auto" w:fill="auto"/>
            <w:noWrap/>
            <w:vAlign w:val="center"/>
            <w:hideMark/>
          </w:tcPr>
          <w:p w14:paraId="610C3644" w14:textId="448B4D5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92.49%</w:t>
            </w:r>
          </w:p>
        </w:tc>
        <w:tc>
          <w:tcPr>
            <w:tcW w:w="889" w:type="dxa"/>
            <w:tcBorders>
              <w:top w:val="nil"/>
              <w:left w:val="nil"/>
              <w:bottom w:val="single" w:sz="4" w:space="0" w:color="auto"/>
              <w:right w:val="single" w:sz="4" w:space="0" w:color="auto"/>
            </w:tcBorders>
            <w:shd w:val="clear" w:color="auto" w:fill="auto"/>
            <w:noWrap/>
            <w:vAlign w:val="center"/>
            <w:hideMark/>
          </w:tcPr>
          <w:p w14:paraId="610C364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20</w:t>
            </w:r>
          </w:p>
        </w:tc>
        <w:tc>
          <w:tcPr>
            <w:tcW w:w="1004" w:type="dxa"/>
            <w:tcBorders>
              <w:top w:val="nil"/>
              <w:left w:val="nil"/>
              <w:bottom w:val="single" w:sz="4" w:space="0" w:color="auto"/>
              <w:right w:val="single" w:sz="4" w:space="0" w:color="auto"/>
            </w:tcBorders>
            <w:shd w:val="clear" w:color="auto" w:fill="auto"/>
            <w:noWrap/>
            <w:vAlign w:val="center"/>
            <w:hideMark/>
          </w:tcPr>
          <w:p w14:paraId="610C3646" w14:textId="2F22C40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0.62%</w:t>
            </w:r>
          </w:p>
        </w:tc>
        <w:tc>
          <w:tcPr>
            <w:tcW w:w="993" w:type="dxa"/>
            <w:tcBorders>
              <w:top w:val="nil"/>
              <w:left w:val="nil"/>
              <w:bottom w:val="single" w:sz="4" w:space="0" w:color="auto"/>
              <w:right w:val="single" w:sz="4" w:space="0" w:color="auto"/>
            </w:tcBorders>
            <w:shd w:val="clear" w:color="auto" w:fill="auto"/>
            <w:noWrap/>
            <w:vAlign w:val="center"/>
            <w:hideMark/>
          </w:tcPr>
          <w:p w14:paraId="610C3647" w14:textId="63C6BD3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93.79%</w:t>
            </w:r>
          </w:p>
        </w:tc>
      </w:tr>
      <w:tr w:rsidR="00AC167B" w:rsidRPr="00367D24" w14:paraId="5719F464" w14:textId="77777777" w:rsidTr="006A7A6F">
        <w:trPr>
          <w:trHeight w:val="580"/>
        </w:trPr>
        <w:tc>
          <w:tcPr>
            <w:tcW w:w="7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47C48C6" w14:textId="4864E055" w:rsidR="00AC167B" w:rsidRDefault="00F478FC"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Contd.</w:t>
            </w:r>
          </w:p>
          <w:p w14:paraId="29931705" w14:textId="4FDFB700" w:rsidR="00AC167B" w:rsidRPr="00367D24" w:rsidRDefault="00AC167B" w:rsidP="006A7A6F">
            <w:pPr>
              <w:spacing w:after="0" w:line="240" w:lineRule="auto"/>
              <w:rPr>
                <w:rFonts w:ascii="Calibri" w:eastAsia="Times New Roman" w:hAnsi="Calibri" w:cs="Times New Roman"/>
                <w:b/>
                <w:bCs/>
                <w:color w:val="000000"/>
                <w:lang w:eastAsia="en-GB"/>
              </w:rPr>
            </w:pPr>
            <w:r w:rsidRPr="00367D24">
              <w:rPr>
                <w:rFonts w:ascii="Calibri" w:eastAsia="Times New Roman" w:hAnsi="Calibri" w:cs="Times New Roman"/>
                <w:b/>
                <w:bCs/>
                <w:color w:val="000000"/>
                <w:lang w:eastAsia="en-GB"/>
              </w:rPr>
              <w:t>Rank</w:t>
            </w:r>
          </w:p>
        </w:tc>
        <w:tc>
          <w:tcPr>
            <w:tcW w:w="696" w:type="dxa"/>
            <w:tcBorders>
              <w:top w:val="single" w:sz="4" w:space="0" w:color="auto"/>
              <w:left w:val="nil"/>
              <w:bottom w:val="single" w:sz="4" w:space="0" w:color="auto"/>
              <w:right w:val="single" w:sz="4" w:space="0" w:color="auto"/>
            </w:tcBorders>
            <w:shd w:val="clear" w:color="000000" w:fill="E7E6E6"/>
            <w:vAlign w:val="center"/>
            <w:hideMark/>
          </w:tcPr>
          <w:p w14:paraId="0AE6DC15"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Sens. R</w:t>
            </w:r>
            <w:r w:rsidRPr="00367D24">
              <w:rPr>
                <w:rFonts w:ascii="Calibri" w:eastAsia="Times New Roman" w:hAnsi="Calibri" w:cs="Times New Roman"/>
                <w:b/>
                <w:bCs/>
                <w:color w:val="000000"/>
                <w:lang w:eastAsia="en-GB"/>
              </w:rPr>
              <w:t>ank</w:t>
            </w:r>
          </w:p>
        </w:tc>
        <w:tc>
          <w:tcPr>
            <w:tcW w:w="3163" w:type="dxa"/>
            <w:tcBorders>
              <w:top w:val="single" w:sz="4" w:space="0" w:color="auto"/>
              <w:left w:val="nil"/>
              <w:bottom w:val="single" w:sz="4" w:space="0" w:color="auto"/>
              <w:right w:val="single" w:sz="4" w:space="0" w:color="auto"/>
            </w:tcBorders>
            <w:shd w:val="clear" w:color="000000" w:fill="E7E6E6"/>
            <w:vAlign w:val="center"/>
            <w:hideMark/>
          </w:tcPr>
          <w:p w14:paraId="5595CD1F" w14:textId="77777777" w:rsidR="00AC167B" w:rsidRPr="00367D24" w:rsidRDefault="00AC167B" w:rsidP="006A7A6F">
            <w:pPr>
              <w:spacing w:after="0" w:line="240" w:lineRule="auto"/>
              <w:rPr>
                <w:rFonts w:ascii="Calibri" w:eastAsia="Times New Roman" w:hAnsi="Calibri" w:cs="Times New Roman"/>
                <w:b/>
                <w:bCs/>
                <w:color w:val="000000"/>
                <w:lang w:eastAsia="en-GB"/>
              </w:rPr>
            </w:pPr>
            <w:r w:rsidRPr="00367D24">
              <w:rPr>
                <w:rFonts w:ascii="Calibri" w:eastAsia="Times New Roman" w:hAnsi="Calibri" w:cs="Times New Roman"/>
                <w:b/>
                <w:bCs/>
                <w:color w:val="000000"/>
                <w:lang w:eastAsia="en-GB"/>
              </w:rPr>
              <w:t>ADR details</w:t>
            </w:r>
          </w:p>
        </w:tc>
        <w:tc>
          <w:tcPr>
            <w:tcW w:w="772" w:type="dxa"/>
            <w:tcBorders>
              <w:top w:val="single" w:sz="4" w:space="0" w:color="auto"/>
              <w:left w:val="nil"/>
              <w:bottom w:val="single" w:sz="4" w:space="0" w:color="auto"/>
              <w:right w:val="single" w:sz="4" w:space="0" w:color="auto"/>
            </w:tcBorders>
            <w:shd w:val="clear" w:color="000000" w:fill="E7E6E6"/>
            <w:vAlign w:val="center"/>
            <w:hideMark/>
          </w:tcPr>
          <w:p w14:paraId="6EEB00A4"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Class.</w:t>
            </w:r>
            <w:r w:rsidRPr="00367D24">
              <w:rPr>
                <w:rFonts w:ascii="Calibri" w:eastAsia="Times New Roman" w:hAnsi="Calibri" w:cs="Times New Roman"/>
                <w:b/>
                <w:bCs/>
                <w:color w:val="000000"/>
                <w:lang w:eastAsia="en-GB"/>
              </w:rPr>
              <w:t xml:space="preserve"> n</w:t>
            </w:r>
          </w:p>
        </w:tc>
        <w:tc>
          <w:tcPr>
            <w:tcW w:w="897" w:type="dxa"/>
            <w:tcBorders>
              <w:top w:val="single" w:sz="4" w:space="0" w:color="auto"/>
              <w:left w:val="nil"/>
              <w:bottom w:val="single" w:sz="4" w:space="0" w:color="auto"/>
              <w:right w:val="single" w:sz="4" w:space="0" w:color="auto"/>
            </w:tcBorders>
            <w:shd w:val="clear" w:color="000000" w:fill="E7E6E6"/>
            <w:vAlign w:val="center"/>
            <w:hideMark/>
          </w:tcPr>
          <w:p w14:paraId="48848060"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C</w:t>
            </w:r>
            <w:r w:rsidRPr="00367D24">
              <w:rPr>
                <w:rFonts w:ascii="Calibri" w:eastAsia="Times New Roman" w:hAnsi="Calibri" w:cs="Times New Roman"/>
                <w:b/>
                <w:bCs/>
                <w:color w:val="000000"/>
                <w:lang w:eastAsia="en-GB"/>
              </w:rPr>
              <w:t>lass.</w:t>
            </w:r>
          </w:p>
        </w:tc>
        <w:tc>
          <w:tcPr>
            <w:tcW w:w="954" w:type="dxa"/>
            <w:tcBorders>
              <w:top w:val="single" w:sz="4" w:space="0" w:color="auto"/>
              <w:left w:val="nil"/>
              <w:bottom w:val="single" w:sz="4" w:space="0" w:color="auto"/>
              <w:right w:val="single" w:sz="4" w:space="0" w:color="auto"/>
            </w:tcBorders>
            <w:shd w:val="clear" w:color="000000" w:fill="E7E6E6"/>
            <w:vAlign w:val="center"/>
            <w:hideMark/>
          </w:tcPr>
          <w:p w14:paraId="1E3DB2D3"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w:t>
            </w:r>
            <w:r>
              <w:rPr>
                <w:rFonts w:ascii="Calibri" w:eastAsia="Times New Roman" w:hAnsi="Calibri" w:cs="Times New Roman"/>
                <w:b/>
                <w:bCs/>
                <w:color w:val="000000"/>
                <w:lang w:eastAsia="en-GB"/>
              </w:rPr>
              <w:t xml:space="preserve"> C</w:t>
            </w:r>
            <w:r w:rsidRPr="00367D24">
              <w:rPr>
                <w:rFonts w:ascii="Calibri" w:eastAsia="Times New Roman" w:hAnsi="Calibri" w:cs="Times New Roman"/>
                <w:b/>
                <w:bCs/>
                <w:color w:val="000000"/>
                <w:lang w:eastAsia="en-GB"/>
              </w:rPr>
              <w:t>lass.</w:t>
            </w:r>
          </w:p>
        </w:tc>
        <w:tc>
          <w:tcPr>
            <w:tcW w:w="889" w:type="dxa"/>
            <w:tcBorders>
              <w:top w:val="single" w:sz="4" w:space="0" w:color="auto"/>
              <w:left w:val="nil"/>
              <w:bottom w:val="single" w:sz="4" w:space="0" w:color="auto"/>
              <w:right w:val="single" w:sz="4" w:space="0" w:color="auto"/>
            </w:tcBorders>
            <w:shd w:val="clear" w:color="000000" w:fill="E7E6E6"/>
            <w:vAlign w:val="center"/>
            <w:hideMark/>
          </w:tcPr>
          <w:p w14:paraId="40021B39"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w:t>
            </w:r>
            <w:r w:rsidRPr="00367D24">
              <w:rPr>
                <w:rFonts w:ascii="Calibri" w:eastAsia="Times New Roman" w:hAnsi="Calibri" w:cs="Times New Roman"/>
                <w:b/>
                <w:bCs/>
                <w:color w:val="000000"/>
                <w:lang w:eastAsia="en-GB"/>
              </w:rPr>
              <w:t>ens</w:t>
            </w:r>
            <w:r>
              <w:rPr>
                <w:rFonts w:ascii="Calibri" w:eastAsia="Times New Roman" w:hAnsi="Calibri" w:cs="Times New Roman"/>
                <w:b/>
                <w:bCs/>
                <w:color w:val="000000"/>
                <w:lang w:eastAsia="en-GB"/>
              </w:rPr>
              <w:t xml:space="preserve">. </w:t>
            </w:r>
            <w:r w:rsidRPr="00367D24">
              <w:rPr>
                <w:rFonts w:ascii="Calibri" w:eastAsia="Times New Roman" w:hAnsi="Calibri" w:cs="Times New Roman"/>
                <w:b/>
                <w:bCs/>
                <w:color w:val="000000"/>
                <w:lang w:eastAsia="en-GB"/>
              </w:rPr>
              <w:t>n</w:t>
            </w:r>
          </w:p>
        </w:tc>
        <w:tc>
          <w:tcPr>
            <w:tcW w:w="1004" w:type="dxa"/>
            <w:tcBorders>
              <w:top w:val="single" w:sz="4" w:space="0" w:color="auto"/>
              <w:left w:val="nil"/>
              <w:bottom w:val="single" w:sz="4" w:space="0" w:color="auto"/>
              <w:right w:val="single" w:sz="4" w:space="0" w:color="auto"/>
            </w:tcBorders>
            <w:shd w:val="clear" w:color="000000" w:fill="E7E6E6"/>
            <w:vAlign w:val="center"/>
            <w:hideMark/>
          </w:tcPr>
          <w:p w14:paraId="2BDB39FE"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S</w:t>
            </w:r>
            <w:r w:rsidRPr="00367D24">
              <w:rPr>
                <w:rFonts w:ascii="Calibri" w:eastAsia="Times New Roman" w:hAnsi="Calibri" w:cs="Times New Roman"/>
                <w:b/>
                <w:bCs/>
                <w:color w:val="000000"/>
                <w:lang w:eastAsia="en-GB"/>
              </w:rPr>
              <w:t>ens.</w:t>
            </w:r>
          </w:p>
        </w:tc>
        <w:tc>
          <w:tcPr>
            <w:tcW w:w="993" w:type="dxa"/>
            <w:tcBorders>
              <w:top w:val="single" w:sz="4" w:space="0" w:color="auto"/>
              <w:left w:val="nil"/>
              <w:bottom w:val="single" w:sz="4" w:space="0" w:color="auto"/>
              <w:right w:val="single" w:sz="4" w:space="0" w:color="auto"/>
            </w:tcBorders>
            <w:shd w:val="clear" w:color="000000" w:fill="E7E6E6"/>
            <w:vAlign w:val="center"/>
            <w:hideMark/>
          </w:tcPr>
          <w:p w14:paraId="144C886A" w14:textId="77777777" w:rsidR="00AC167B" w:rsidRPr="00367D24" w:rsidRDefault="00AC167B"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 sens.</w:t>
            </w:r>
          </w:p>
        </w:tc>
      </w:tr>
      <w:tr w:rsidR="00411450" w:rsidRPr="00367D24" w14:paraId="610C365C"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53" w14:textId="119E7A03"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22</w:t>
            </w:r>
          </w:p>
        </w:tc>
        <w:tc>
          <w:tcPr>
            <w:tcW w:w="696" w:type="dxa"/>
            <w:tcBorders>
              <w:top w:val="nil"/>
              <w:left w:val="nil"/>
              <w:bottom w:val="single" w:sz="4" w:space="0" w:color="auto"/>
              <w:right w:val="single" w:sz="4" w:space="0" w:color="auto"/>
            </w:tcBorders>
            <w:shd w:val="clear" w:color="auto" w:fill="auto"/>
            <w:noWrap/>
            <w:vAlign w:val="center"/>
            <w:hideMark/>
          </w:tcPr>
          <w:p w14:paraId="610C365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26</w:t>
            </w:r>
          </w:p>
        </w:tc>
        <w:tc>
          <w:tcPr>
            <w:tcW w:w="3163" w:type="dxa"/>
            <w:tcBorders>
              <w:top w:val="nil"/>
              <w:left w:val="nil"/>
              <w:bottom w:val="single" w:sz="4" w:space="0" w:color="auto"/>
              <w:right w:val="single" w:sz="4" w:space="0" w:color="auto"/>
            </w:tcBorders>
            <w:shd w:val="clear" w:color="auto" w:fill="auto"/>
            <w:vAlign w:val="center"/>
            <w:hideMark/>
          </w:tcPr>
          <w:p w14:paraId="610C365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Bacterial infectious disorders - Clostridia infections </w:t>
            </w:r>
          </w:p>
        </w:tc>
        <w:tc>
          <w:tcPr>
            <w:tcW w:w="772" w:type="dxa"/>
            <w:tcBorders>
              <w:top w:val="nil"/>
              <w:left w:val="nil"/>
              <w:bottom w:val="single" w:sz="4" w:space="0" w:color="auto"/>
              <w:right w:val="single" w:sz="4" w:space="0" w:color="auto"/>
            </w:tcBorders>
            <w:shd w:val="clear" w:color="auto" w:fill="auto"/>
            <w:noWrap/>
            <w:vAlign w:val="center"/>
            <w:hideMark/>
          </w:tcPr>
          <w:p w14:paraId="610C365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19</w:t>
            </w:r>
          </w:p>
        </w:tc>
        <w:tc>
          <w:tcPr>
            <w:tcW w:w="897" w:type="dxa"/>
            <w:tcBorders>
              <w:top w:val="nil"/>
              <w:left w:val="nil"/>
              <w:bottom w:val="single" w:sz="4" w:space="0" w:color="auto"/>
              <w:right w:val="single" w:sz="4" w:space="0" w:color="auto"/>
            </w:tcBorders>
            <w:shd w:val="clear" w:color="auto" w:fill="auto"/>
            <w:noWrap/>
            <w:vAlign w:val="center"/>
            <w:hideMark/>
          </w:tcPr>
          <w:p w14:paraId="610C3657" w14:textId="34954F1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0.30%</w:t>
            </w:r>
          </w:p>
        </w:tc>
        <w:tc>
          <w:tcPr>
            <w:tcW w:w="954" w:type="dxa"/>
            <w:tcBorders>
              <w:top w:val="nil"/>
              <w:left w:val="nil"/>
              <w:bottom w:val="single" w:sz="4" w:space="0" w:color="auto"/>
              <w:right w:val="single" w:sz="4" w:space="0" w:color="auto"/>
            </w:tcBorders>
            <w:shd w:val="clear" w:color="auto" w:fill="auto"/>
            <w:noWrap/>
            <w:vAlign w:val="center"/>
            <w:hideMark/>
          </w:tcPr>
          <w:p w14:paraId="610C3658" w14:textId="5F08618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93.61%</w:t>
            </w:r>
          </w:p>
        </w:tc>
        <w:tc>
          <w:tcPr>
            <w:tcW w:w="889" w:type="dxa"/>
            <w:tcBorders>
              <w:top w:val="nil"/>
              <w:left w:val="nil"/>
              <w:bottom w:val="single" w:sz="4" w:space="0" w:color="auto"/>
              <w:right w:val="single" w:sz="4" w:space="0" w:color="auto"/>
            </w:tcBorders>
            <w:shd w:val="clear" w:color="auto" w:fill="auto"/>
            <w:noWrap/>
            <w:vAlign w:val="center"/>
            <w:hideMark/>
          </w:tcPr>
          <w:p w14:paraId="610C365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19</w:t>
            </w:r>
          </w:p>
        </w:tc>
        <w:tc>
          <w:tcPr>
            <w:tcW w:w="1004" w:type="dxa"/>
            <w:tcBorders>
              <w:top w:val="nil"/>
              <w:left w:val="nil"/>
              <w:bottom w:val="single" w:sz="4" w:space="0" w:color="auto"/>
              <w:right w:val="single" w:sz="4" w:space="0" w:color="auto"/>
            </w:tcBorders>
            <w:shd w:val="clear" w:color="auto" w:fill="auto"/>
            <w:noWrap/>
            <w:vAlign w:val="center"/>
          </w:tcPr>
          <w:p w14:paraId="610C365A" w14:textId="5F91492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0.58%</w:t>
            </w:r>
          </w:p>
        </w:tc>
        <w:tc>
          <w:tcPr>
            <w:tcW w:w="993" w:type="dxa"/>
            <w:tcBorders>
              <w:top w:val="nil"/>
              <w:left w:val="nil"/>
              <w:bottom w:val="single" w:sz="4" w:space="0" w:color="auto"/>
              <w:right w:val="single" w:sz="4" w:space="0" w:color="auto"/>
            </w:tcBorders>
            <w:shd w:val="clear" w:color="auto" w:fill="auto"/>
            <w:noWrap/>
            <w:vAlign w:val="center"/>
          </w:tcPr>
          <w:p w14:paraId="610C365B" w14:textId="63B085A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94.37%</w:t>
            </w:r>
          </w:p>
        </w:tc>
      </w:tr>
      <w:tr w:rsidR="00411450" w:rsidRPr="00367D24" w14:paraId="610C3666"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5D" w14:textId="4E36684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32</w:t>
            </w:r>
          </w:p>
        </w:tc>
        <w:tc>
          <w:tcPr>
            <w:tcW w:w="696" w:type="dxa"/>
            <w:tcBorders>
              <w:top w:val="nil"/>
              <w:left w:val="nil"/>
              <w:bottom w:val="single" w:sz="4" w:space="0" w:color="auto"/>
              <w:right w:val="single" w:sz="4" w:space="0" w:color="auto"/>
            </w:tcBorders>
            <w:shd w:val="clear" w:color="auto" w:fill="auto"/>
            <w:noWrap/>
            <w:vAlign w:val="center"/>
            <w:hideMark/>
          </w:tcPr>
          <w:p w14:paraId="610C365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27</w:t>
            </w:r>
          </w:p>
        </w:tc>
        <w:tc>
          <w:tcPr>
            <w:tcW w:w="3163" w:type="dxa"/>
            <w:tcBorders>
              <w:top w:val="nil"/>
              <w:left w:val="nil"/>
              <w:bottom w:val="single" w:sz="4" w:space="0" w:color="auto"/>
              <w:right w:val="single" w:sz="4" w:space="0" w:color="auto"/>
            </w:tcBorders>
            <w:shd w:val="clear" w:color="auto" w:fill="auto"/>
            <w:vAlign w:val="center"/>
            <w:hideMark/>
          </w:tcPr>
          <w:p w14:paraId="610C365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Gastrointestinal inflammatory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66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7</w:t>
            </w:r>
          </w:p>
        </w:tc>
        <w:tc>
          <w:tcPr>
            <w:tcW w:w="897" w:type="dxa"/>
            <w:tcBorders>
              <w:top w:val="nil"/>
              <w:left w:val="nil"/>
              <w:bottom w:val="single" w:sz="4" w:space="0" w:color="auto"/>
              <w:right w:val="single" w:sz="4" w:space="0" w:color="auto"/>
            </w:tcBorders>
            <w:shd w:val="clear" w:color="auto" w:fill="auto"/>
            <w:noWrap/>
            <w:vAlign w:val="center"/>
            <w:hideMark/>
          </w:tcPr>
          <w:p w14:paraId="610C3661" w14:textId="0605519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0.69%</w:t>
            </w:r>
          </w:p>
        </w:tc>
        <w:tc>
          <w:tcPr>
            <w:tcW w:w="954" w:type="dxa"/>
            <w:tcBorders>
              <w:top w:val="nil"/>
              <w:left w:val="nil"/>
              <w:bottom w:val="single" w:sz="4" w:space="0" w:color="auto"/>
              <w:right w:val="single" w:sz="4" w:space="0" w:color="auto"/>
            </w:tcBorders>
            <w:shd w:val="clear" w:color="auto" w:fill="auto"/>
            <w:noWrap/>
            <w:vAlign w:val="center"/>
            <w:hideMark/>
          </w:tcPr>
          <w:p w14:paraId="610C3662" w14:textId="151888A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94.29%</w:t>
            </w:r>
          </w:p>
        </w:tc>
        <w:tc>
          <w:tcPr>
            <w:tcW w:w="889" w:type="dxa"/>
            <w:tcBorders>
              <w:top w:val="nil"/>
              <w:left w:val="nil"/>
              <w:bottom w:val="single" w:sz="4" w:space="0" w:color="auto"/>
              <w:right w:val="single" w:sz="4" w:space="0" w:color="auto"/>
            </w:tcBorders>
            <w:shd w:val="clear" w:color="auto" w:fill="auto"/>
            <w:noWrap/>
            <w:vAlign w:val="center"/>
            <w:hideMark/>
          </w:tcPr>
          <w:p w14:paraId="610C366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17</w:t>
            </w:r>
          </w:p>
        </w:tc>
        <w:tc>
          <w:tcPr>
            <w:tcW w:w="1004" w:type="dxa"/>
            <w:tcBorders>
              <w:top w:val="nil"/>
              <w:left w:val="nil"/>
              <w:bottom w:val="single" w:sz="4" w:space="0" w:color="auto"/>
              <w:right w:val="single" w:sz="4" w:space="0" w:color="auto"/>
            </w:tcBorders>
            <w:shd w:val="clear" w:color="auto" w:fill="auto"/>
            <w:noWrap/>
            <w:vAlign w:val="center"/>
          </w:tcPr>
          <w:p w14:paraId="610C3664" w14:textId="693ED38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0.52%</w:t>
            </w:r>
          </w:p>
        </w:tc>
        <w:tc>
          <w:tcPr>
            <w:tcW w:w="993" w:type="dxa"/>
            <w:tcBorders>
              <w:top w:val="nil"/>
              <w:left w:val="nil"/>
              <w:bottom w:val="single" w:sz="4" w:space="0" w:color="auto"/>
              <w:right w:val="single" w:sz="4" w:space="0" w:color="auto"/>
            </w:tcBorders>
            <w:shd w:val="clear" w:color="auto" w:fill="auto"/>
            <w:noWrap/>
            <w:vAlign w:val="center"/>
          </w:tcPr>
          <w:p w14:paraId="610C3665" w14:textId="2A465EC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94.89%</w:t>
            </w:r>
          </w:p>
        </w:tc>
      </w:tr>
      <w:tr w:rsidR="00411450" w:rsidRPr="00367D24" w14:paraId="610C3670"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67" w14:textId="5E9F5E11"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23</w:t>
            </w:r>
          </w:p>
        </w:tc>
        <w:tc>
          <w:tcPr>
            <w:tcW w:w="696" w:type="dxa"/>
            <w:tcBorders>
              <w:top w:val="nil"/>
              <w:left w:val="nil"/>
              <w:bottom w:val="single" w:sz="4" w:space="0" w:color="auto"/>
              <w:right w:val="single" w:sz="4" w:space="0" w:color="auto"/>
            </w:tcBorders>
            <w:shd w:val="clear" w:color="auto" w:fill="auto"/>
            <w:noWrap/>
            <w:vAlign w:val="center"/>
            <w:hideMark/>
          </w:tcPr>
          <w:p w14:paraId="610C366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28</w:t>
            </w:r>
          </w:p>
        </w:tc>
        <w:tc>
          <w:tcPr>
            <w:tcW w:w="3163" w:type="dxa"/>
            <w:tcBorders>
              <w:top w:val="nil"/>
              <w:left w:val="nil"/>
              <w:bottom w:val="single" w:sz="4" w:space="0" w:color="auto"/>
              <w:right w:val="single" w:sz="4" w:space="0" w:color="auto"/>
            </w:tcBorders>
            <w:shd w:val="clear" w:color="auto" w:fill="auto"/>
            <w:vAlign w:val="center"/>
            <w:hideMark/>
          </w:tcPr>
          <w:p w14:paraId="610C366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Hepatobiliary investigations - liver function analyses</w:t>
            </w:r>
          </w:p>
        </w:tc>
        <w:tc>
          <w:tcPr>
            <w:tcW w:w="772" w:type="dxa"/>
            <w:tcBorders>
              <w:top w:val="nil"/>
              <w:left w:val="nil"/>
              <w:bottom w:val="single" w:sz="4" w:space="0" w:color="auto"/>
              <w:right w:val="single" w:sz="4" w:space="0" w:color="auto"/>
            </w:tcBorders>
            <w:shd w:val="clear" w:color="auto" w:fill="auto"/>
            <w:noWrap/>
            <w:vAlign w:val="center"/>
            <w:hideMark/>
          </w:tcPr>
          <w:p w14:paraId="610C366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897" w:type="dxa"/>
            <w:tcBorders>
              <w:top w:val="nil"/>
              <w:left w:val="nil"/>
              <w:bottom w:val="single" w:sz="4" w:space="0" w:color="auto"/>
              <w:right w:val="single" w:sz="4" w:space="0" w:color="auto"/>
            </w:tcBorders>
            <w:shd w:val="clear" w:color="auto" w:fill="auto"/>
            <w:noWrap/>
            <w:vAlign w:val="center"/>
            <w:hideMark/>
          </w:tcPr>
          <w:p w14:paraId="610C366B" w14:textId="68AEC59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0.69%</w:t>
            </w:r>
          </w:p>
        </w:tc>
        <w:tc>
          <w:tcPr>
            <w:tcW w:w="954" w:type="dxa"/>
            <w:tcBorders>
              <w:top w:val="nil"/>
              <w:left w:val="nil"/>
              <w:bottom w:val="single" w:sz="4" w:space="0" w:color="auto"/>
              <w:right w:val="single" w:sz="4" w:space="0" w:color="auto"/>
            </w:tcBorders>
            <w:shd w:val="clear" w:color="auto" w:fill="auto"/>
            <w:noWrap/>
            <w:vAlign w:val="center"/>
            <w:hideMark/>
          </w:tcPr>
          <w:p w14:paraId="610C366C" w14:textId="13E029A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94.98%</w:t>
            </w:r>
          </w:p>
        </w:tc>
        <w:tc>
          <w:tcPr>
            <w:tcW w:w="889" w:type="dxa"/>
            <w:tcBorders>
              <w:top w:val="nil"/>
              <w:left w:val="nil"/>
              <w:bottom w:val="single" w:sz="4" w:space="0" w:color="auto"/>
              <w:right w:val="single" w:sz="4" w:space="0" w:color="auto"/>
            </w:tcBorders>
            <w:shd w:val="clear" w:color="auto" w:fill="auto"/>
            <w:noWrap/>
            <w:vAlign w:val="center"/>
            <w:hideMark/>
          </w:tcPr>
          <w:p w14:paraId="610C366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1004" w:type="dxa"/>
            <w:tcBorders>
              <w:top w:val="nil"/>
              <w:left w:val="nil"/>
              <w:bottom w:val="single" w:sz="4" w:space="0" w:color="auto"/>
              <w:right w:val="single" w:sz="4" w:space="0" w:color="auto"/>
            </w:tcBorders>
            <w:shd w:val="clear" w:color="auto" w:fill="auto"/>
            <w:noWrap/>
            <w:vAlign w:val="center"/>
          </w:tcPr>
          <w:p w14:paraId="610C366E" w14:textId="19A98FD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0.49%</w:t>
            </w:r>
          </w:p>
        </w:tc>
        <w:tc>
          <w:tcPr>
            <w:tcW w:w="993" w:type="dxa"/>
            <w:tcBorders>
              <w:top w:val="nil"/>
              <w:left w:val="nil"/>
              <w:bottom w:val="single" w:sz="4" w:space="0" w:color="auto"/>
              <w:right w:val="single" w:sz="4" w:space="0" w:color="auto"/>
            </w:tcBorders>
            <w:shd w:val="clear" w:color="auto" w:fill="auto"/>
            <w:noWrap/>
            <w:vAlign w:val="center"/>
          </w:tcPr>
          <w:p w14:paraId="610C366F" w14:textId="18FF946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95.39%</w:t>
            </w:r>
          </w:p>
        </w:tc>
      </w:tr>
      <w:tr w:rsidR="00411450" w:rsidRPr="00367D24" w14:paraId="610C367A"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71" w14:textId="5F76B99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24</w:t>
            </w:r>
          </w:p>
        </w:tc>
        <w:tc>
          <w:tcPr>
            <w:tcW w:w="696" w:type="dxa"/>
            <w:tcBorders>
              <w:top w:val="nil"/>
              <w:left w:val="nil"/>
              <w:bottom w:val="single" w:sz="4" w:space="0" w:color="auto"/>
              <w:right w:val="single" w:sz="4" w:space="0" w:color="auto"/>
            </w:tcBorders>
            <w:shd w:val="clear" w:color="auto" w:fill="auto"/>
            <w:noWrap/>
            <w:vAlign w:val="center"/>
            <w:hideMark/>
          </w:tcPr>
          <w:p w14:paraId="610C367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29</w:t>
            </w:r>
          </w:p>
        </w:tc>
        <w:tc>
          <w:tcPr>
            <w:tcW w:w="3163" w:type="dxa"/>
            <w:tcBorders>
              <w:top w:val="nil"/>
              <w:left w:val="nil"/>
              <w:bottom w:val="single" w:sz="4" w:space="0" w:color="auto"/>
              <w:right w:val="single" w:sz="4" w:space="0" w:color="auto"/>
            </w:tcBorders>
            <w:shd w:val="clear" w:color="auto" w:fill="auto"/>
            <w:vAlign w:val="center"/>
            <w:hideMark/>
          </w:tcPr>
          <w:p w14:paraId="610C367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Platelet disorders </w:t>
            </w:r>
          </w:p>
        </w:tc>
        <w:tc>
          <w:tcPr>
            <w:tcW w:w="772" w:type="dxa"/>
            <w:tcBorders>
              <w:top w:val="nil"/>
              <w:left w:val="nil"/>
              <w:bottom w:val="single" w:sz="4" w:space="0" w:color="auto"/>
              <w:right w:val="single" w:sz="4" w:space="0" w:color="auto"/>
            </w:tcBorders>
            <w:shd w:val="clear" w:color="auto" w:fill="auto"/>
            <w:noWrap/>
            <w:vAlign w:val="center"/>
            <w:hideMark/>
          </w:tcPr>
          <w:p w14:paraId="610C367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897" w:type="dxa"/>
            <w:tcBorders>
              <w:top w:val="nil"/>
              <w:left w:val="nil"/>
              <w:bottom w:val="single" w:sz="4" w:space="0" w:color="auto"/>
              <w:right w:val="single" w:sz="4" w:space="0" w:color="auto"/>
            </w:tcBorders>
            <w:shd w:val="clear" w:color="auto" w:fill="auto"/>
            <w:noWrap/>
            <w:vAlign w:val="center"/>
            <w:hideMark/>
          </w:tcPr>
          <w:p w14:paraId="610C3675" w14:textId="1FED0BD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0.64%</w:t>
            </w:r>
          </w:p>
        </w:tc>
        <w:tc>
          <w:tcPr>
            <w:tcW w:w="954" w:type="dxa"/>
            <w:tcBorders>
              <w:top w:val="nil"/>
              <w:left w:val="nil"/>
              <w:bottom w:val="single" w:sz="4" w:space="0" w:color="auto"/>
              <w:right w:val="single" w:sz="4" w:space="0" w:color="auto"/>
            </w:tcBorders>
            <w:shd w:val="clear" w:color="auto" w:fill="auto"/>
            <w:noWrap/>
            <w:vAlign w:val="center"/>
            <w:hideMark/>
          </w:tcPr>
          <w:p w14:paraId="610C3676" w14:textId="63EBD11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95.62%</w:t>
            </w:r>
          </w:p>
        </w:tc>
        <w:tc>
          <w:tcPr>
            <w:tcW w:w="889" w:type="dxa"/>
            <w:tcBorders>
              <w:top w:val="nil"/>
              <w:left w:val="nil"/>
              <w:bottom w:val="single" w:sz="4" w:space="0" w:color="auto"/>
              <w:right w:val="single" w:sz="4" w:space="0" w:color="auto"/>
            </w:tcBorders>
            <w:shd w:val="clear" w:color="auto" w:fill="auto"/>
            <w:noWrap/>
            <w:vAlign w:val="center"/>
            <w:hideMark/>
          </w:tcPr>
          <w:p w14:paraId="610C367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1004" w:type="dxa"/>
            <w:tcBorders>
              <w:top w:val="nil"/>
              <w:left w:val="nil"/>
              <w:bottom w:val="single" w:sz="4" w:space="0" w:color="auto"/>
              <w:right w:val="single" w:sz="4" w:space="0" w:color="auto"/>
            </w:tcBorders>
            <w:shd w:val="clear" w:color="auto" w:fill="auto"/>
            <w:noWrap/>
            <w:vAlign w:val="center"/>
          </w:tcPr>
          <w:p w14:paraId="610C3678" w14:textId="68C1D3C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0.49%</w:t>
            </w:r>
          </w:p>
        </w:tc>
        <w:tc>
          <w:tcPr>
            <w:tcW w:w="993" w:type="dxa"/>
            <w:tcBorders>
              <w:top w:val="nil"/>
              <w:left w:val="nil"/>
              <w:bottom w:val="single" w:sz="4" w:space="0" w:color="auto"/>
              <w:right w:val="single" w:sz="4" w:space="0" w:color="auto"/>
            </w:tcBorders>
            <w:shd w:val="clear" w:color="auto" w:fill="auto"/>
            <w:noWrap/>
            <w:vAlign w:val="center"/>
          </w:tcPr>
          <w:p w14:paraId="610C3679" w14:textId="6EE61A0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95.88%</w:t>
            </w:r>
          </w:p>
        </w:tc>
      </w:tr>
      <w:tr w:rsidR="00411450" w:rsidRPr="00367D24" w14:paraId="610C3684"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7B" w14:textId="50ADD2E6"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25</w:t>
            </w:r>
          </w:p>
        </w:tc>
        <w:tc>
          <w:tcPr>
            <w:tcW w:w="696" w:type="dxa"/>
            <w:tcBorders>
              <w:top w:val="nil"/>
              <w:left w:val="nil"/>
              <w:bottom w:val="single" w:sz="4" w:space="0" w:color="auto"/>
              <w:right w:val="single" w:sz="4" w:space="0" w:color="auto"/>
            </w:tcBorders>
            <w:shd w:val="clear" w:color="auto" w:fill="auto"/>
            <w:noWrap/>
            <w:vAlign w:val="center"/>
            <w:hideMark/>
          </w:tcPr>
          <w:p w14:paraId="610C367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30</w:t>
            </w:r>
          </w:p>
        </w:tc>
        <w:tc>
          <w:tcPr>
            <w:tcW w:w="3163" w:type="dxa"/>
            <w:tcBorders>
              <w:top w:val="nil"/>
              <w:left w:val="nil"/>
              <w:bottom w:val="single" w:sz="4" w:space="0" w:color="auto"/>
              <w:right w:val="single" w:sz="4" w:space="0" w:color="auto"/>
            </w:tcBorders>
            <w:shd w:val="clear" w:color="auto" w:fill="auto"/>
            <w:vAlign w:val="center"/>
            <w:hideMark/>
          </w:tcPr>
          <w:p w14:paraId="610C367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Blood and lymphatic system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67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15</w:t>
            </w:r>
          </w:p>
        </w:tc>
        <w:tc>
          <w:tcPr>
            <w:tcW w:w="897" w:type="dxa"/>
            <w:tcBorders>
              <w:top w:val="nil"/>
              <w:left w:val="nil"/>
              <w:bottom w:val="single" w:sz="4" w:space="0" w:color="auto"/>
              <w:right w:val="single" w:sz="4" w:space="0" w:color="auto"/>
            </w:tcBorders>
            <w:shd w:val="clear" w:color="auto" w:fill="auto"/>
            <w:noWrap/>
            <w:vAlign w:val="center"/>
            <w:hideMark/>
          </w:tcPr>
          <w:p w14:paraId="610C367F" w14:textId="0C81B39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0.43%</w:t>
            </w:r>
          </w:p>
        </w:tc>
        <w:tc>
          <w:tcPr>
            <w:tcW w:w="954" w:type="dxa"/>
            <w:tcBorders>
              <w:top w:val="nil"/>
              <w:left w:val="nil"/>
              <w:bottom w:val="single" w:sz="4" w:space="0" w:color="auto"/>
              <w:right w:val="single" w:sz="4" w:space="0" w:color="auto"/>
            </w:tcBorders>
            <w:shd w:val="clear" w:color="auto" w:fill="auto"/>
            <w:noWrap/>
            <w:vAlign w:val="center"/>
            <w:hideMark/>
          </w:tcPr>
          <w:p w14:paraId="610C3680" w14:textId="66D2BBE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96.05%</w:t>
            </w:r>
          </w:p>
        </w:tc>
        <w:tc>
          <w:tcPr>
            <w:tcW w:w="889" w:type="dxa"/>
            <w:tcBorders>
              <w:top w:val="nil"/>
              <w:left w:val="nil"/>
              <w:bottom w:val="single" w:sz="4" w:space="0" w:color="auto"/>
              <w:right w:val="single" w:sz="4" w:space="0" w:color="auto"/>
            </w:tcBorders>
            <w:shd w:val="clear" w:color="auto" w:fill="auto"/>
            <w:noWrap/>
            <w:vAlign w:val="center"/>
            <w:hideMark/>
          </w:tcPr>
          <w:p w14:paraId="610C368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16</w:t>
            </w:r>
          </w:p>
        </w:tc>
        <w:tc>
          <w:tcPr>
            <w:tcW w:w="1004" w:type="dxa"/>
            <w:tcBorders>
              <w:top w:val="nil"/>
              <w:left w:val="nil"/>
              <w:bottom w:val="single" w:sz="4" w:space="0" w:color="auto"/>
              <w:right w:val="single" w:sz="4" w:space="0" w:color="auto"/>
            </w:tcBorders>
            <w:shd w:val="clear" w:color="auto" w:fill="auto"/>
            <w:noWrap/>
            <w:vAlign w:val="center"/>
          </w:tcPr>
          <w:p w14:paraId="610C3682" w14:textId="3D7EB0C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0.49%</w:t>
            </w:r>
          </w:p>
        </w:tc>
        <w:tc>
          <w:tcPr>
            <w:tcW w:w="993" w:type="dxa"/>
            <w:tcBorders>
              <w:top w:val="nil"/>
              <w:left w:val="nil"/>
              <w:bottom w:val="single" w:sz="4" w:space="0" w:color="auto"/>
              <w:right w:val="single" w:sz="4" w:space="0" w:color="auto"/>
            </w:tcBorders>
            <w:shd w:val="clear" w:color="auto" w:fill="auto"/>
            <w:noWrap/>
            <w:vAlign w:val="center"/>
          </w:tcPr>
          <w:p w14:paraId="610C3683" w14:textId="404FCC4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96.37%</w:t>
            </w:r>
          </w:p>
        </w:tc>
      </w:tr>
      <w:tr w:rsidR="00411450" w:rsidRPr="00367D24" w14:paraId="610C368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85" w14:textId="2DBDC39B"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27</w:t>
            </w:r>
          </w:p>
        </w:tc>
        <w:tc>
          <w:tcPr>
            <w:tcW w:w="696" w:type="dxa"/>
            <w:tcBorders>
              <w:top w:val="nil"/>
              <w:left w:val="nil"/>
              <w:bottom w:val="single" w:sz="4" w:space="0" w:color="auto"/>
              <w:right w:val="single" w:sz="4" w:space="0" w:color="auto"/>
            </w:tcBorders>
            <w:shd w:val="clear" w:color="auto" w:fill="auto"/>
            <w:noWrap/>
            <w:vAlign w:val="center"/>
            <w:hideMark/>
          </w:tcPr>
          <w:p w14:paraId="610C368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31</w:t>
            </w:r>
          </w:p>
        </w:tc>
        <w:tc>
          <w:tcPr>
            <w:tcW w:w="3163" w:type="dxa"/>
            <w:tcBorders>
              <w:top w:val="nil"/>
              <w:left w:val="nil"/>
              <w:bottom w:val="single" w:sz="4" w:space="0" w:color="auto"/>
              <w:right w:val="single" w:sz="4" w:space="0" w:color="auto"/>
            </w:tcBorders>
            <w:shd w:val="clear" w:color="auto" w:fill="auto"/>
            <w:vAlign w:val="center"/>
            <w:hideMark/>
          </w:tcPr>
          <w:p w14:paraId="610C368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Gastrointestinal stenosis and obstruction </w:t>
            </w:r>
          </w:p>
        </w:tc>
        <w:tc>
          <w:tcPr>
            <w:tcW w:w="772" w:type="dxa"/>
            <w:tcBorders>
              <w:top w:val="nil"/>
              <w:left w:val="nil"/>
              <w:bottom w:val="single" w:sz="4" w:space="0" w:color="auto"/>
              <w:right w:val="single" w:sz="4" w:space="0" w:color="auto"/>
            </w:tcBorders>
            <w:shd w:val="clear" w:color="auto" w:fill="auto"/>
            <w:noWrap/>
            <w:vAlign w:val="center"/>
            <w:hideMark/>
          </w:tcPr>
          <w:p w14:paraId="610C368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w:t>
            </w:r>
          </w:p>
        </w:tc>
        <w:tc>
          <w:tcPr>
            <w:tcW w:w="897" w:type="dxa"/>
            <w:tcBorders>
              <w:top w:val="nil"/>
              <w:left w:val="nil"/>
              <w:bottom w:val="single" w:sz="4" w:space="0" w:color="auto"/>
              <w:right w:val="single" w:sz="4" w:space="0" w:color="auto"/>
            </w:tcBorders>
            <w:shd w:val="clear" w:color="auto" w:fill="auto"/>
            <w:noWrap/>
            <w:vAlign w:val="center"/>
            <w:hideMark/>
          </w:tcPr>
          <w:p w14:paraId="610C3689" w14:textId="505CBCC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0.39%</w:t>
            </w:r>
          </w:p>
        </w:tc>
        <w:tc>
          <w:tcPr>
            <w:tcW w:w="954" w:type="dxa"/>
            <w:tcBorders>
              <w:top w:val="nil"/>
              <w:left w:val="nil"/>
              <w:bottom w:val="single" w:sz="4" w:space="0" w:color="auto"/>
              <w:right w:val="single" w:sz="4" w:space="0" w:color="auto"/>
            </w:tcBorders>
            <w:shd w:val="clear" w:color="auto" w:fill="auto"/>
            <w:noWrap/>
            <w:vAlign w:val="center"/>
            <w:hideMark/>
          </w:tcPr>
          <w:p w14:paraId="610C368A" w14:textId="10C2D0D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96.44%</w:t>
            </w:r>
          </w:p>
        </w:tc>
        <w:tc>
          <w:tcPr>
            <w:tcW w:w="889" w:type="dxa"/>
            <w:tcBorders>
              <w:top w:val="nil"/>
              <w:left w:val="nil"/>
              <w:bottom w:val="single" w:sz="4" w:space="0" w:color="auto"/>
              <w:right w:val="single" w:sz="4" w:space="0" w:color="auto"/>
            </w:tcBorders>
            <w:shd w:val="clear" w:color="auto" w:fill="auto"/>
            <w:noWrap/>
            <w:vAlign w:val="center"/>
            <w:hideMark/>
          </w:tcPr>
          <w:p w14:paraId="610C368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w:t>
            </w:r>
          </w:p>
        </w:tc>
        <w:tc>
          <w:tcPr>
            <w:tcW w:w="1004" w:type="dxa"/>
            <w:tcBorders>
              <w:top w:val="nil"/>
              <w:left w:val="nil"/>
              <w:bottom w:val="single" w:sz="4" w:space="0" w:color="auto"/>
              <w:right w:val="single" w:sz="4" w:space="0" w:color="auto"/>
            </w:tcBorders>
            <w:shd w:val="clear" w:color="auto" w:fill="auto"/>
            <w:noWrap/>
            <w:vAlign w:val="center"/>
          </w:tcPr>
          <w:p w14:paraId="610C368C" w14:textId="1CD3C5C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0.31%</w:t>
            </w:r>
          </w:p>
        </w:tc>
        <w:tc>
          <w:tcPr>
            <w:tcW w:w="993" w:type="dxa"/>
            <w:tcBorders>
              <w:top w:val="nil"/>
              <w:left w:val="nil"/>
              <w:bottom w:val="single" w:sz="4" w:space="0" w:color="auto"/>
              <w:right w:val="single" w:sz="4" w:space="0" w:color="auto"/>
            </w:tcBorders>
            <w:shd w:val="clear" w:color="auto" w:fill="auto"/>
            <w:noWrap/>
            <w:vAlign w:val="center"/>
          </w:tcPr>
          <w:p w14:paraId="610C368D" w14:textId="0357BAD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96.68%</w:t>
            </w:r>
          </w:p>
        </w:tc>
      </w:tr>
      <w:tr w:rsidR="00411450" w:rsidRPr="00367D24" w14:paraId="610C369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8F" w14:textId="2290BB5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28</w:t>
            </w:r>
          </w:p>
        </w:tc>
        <w:tc>
          <w:tcPr>
            <w:tcW w:w="696" w:type="dxa"/>
            <w:tcBorders>
              <w:top w:val="nil"/>
              <w:left w:val="nil"/>
              <w:bottom w:val="single" w:sz="4" w:space="0" w:color="auto"/>
              <w:right w:val="single" w:sz="4" w:space="0" w:color="auto"/>
            </w:tcBorders>
            <w:shd w:val="clear" w:color="auto" w:fill="auto"/>
            <w:noWrap/>
            <w:vAlign w:val="center"/>
            <w:hideMark/>
          </w:tcPr>
          <w:p w14:paraId="610C369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32</w:t>
            </w:r>
          </w:p>
        </w:tc>
        <w:tc>
          <w:tcPr>
            <w:tcW w:w="3163" w:type="dxa"/>
            <w:tcBorders>
              <w:top w:val="nil"/>
              <w:left w:val="nil"/>
              <w:bottom w:val="single" w:sz="4" w:space="0" w:color="auto"/>
              <w:right w:val="single" w:sz="4" w:space="0" w:color="auto"/>
            </w:tcBorders>
            <w:shd w:val="clear" w:color="auto" w:fill="auto"/>
            <w:vAlign w:val="center"/>
            <w:hideMark/>
          </w:tcPr>
          <w:p w14:paraId="610C3691" w14:textId="583CC268" w:rsidR="00411450" w:rsidRPr="00367D24" w:rsidRDefault="00C65506"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H</w:t>
            </w:r>
            <w:r w:rsidR="00411450" w:rsidRPr="00367D24">
              <w:rPr>
                <w:rFonts w:ascii="Calibri" w:eastAsia="Times New Roman" w:hAnsi="Calibri" w:cs="Times New Roman"/>
                <w:color w:val="000000"/>
                <w:lang w:eastAsia="en-GB"/>
              </w:rPr>
              <w:t>eadaches</w:t>
            </w:r>
          </w:p>
        </w:tc>
        <w:tc>
          <w:tcPr>
            <w:tcW w:w="772" w:type="dxa"/>
            <w:tcBorders>
              <w:top w:val="nil"/>
              <w:left w:val="nil"/>
              <w:bottom w:val="single" w:sz="4" w:space="0" w:color="auto"/>
              <w:right w:val="single" w:sz="4" w:space="0" w:color="auto"/>
            </w:tcBorders>
            <w:shd w:val="clear" w:color="auto" w:fill="auto"/>
            <w:noWrap/>
            <w:vAlign w:val="center"/>
            <w:hideMark/>
          </w:tcPr>
          <w:p w14:paraId="610C369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w:t>
            </w:r>
          </w:p>
        </w:tc>
        <w:tc>
          <w:tcPr>
            <w:tcW w:w="897" w:type="dxa"/>
            <w:tcBorders>
              <w:top w:val="nil"/>
              <w:left w:val="nil"/>
              <w:bottom w:val="single" w:sz="4" w:space="0" w:color="auto"/>
              <w:right w:val="single" w:sz="4" w:space="0" w:color="auto"/>
            </w:tcBorders>
            <w:shd w:val="clear" w:color="auto" w:fill="auto"/>
            <w:noWrap/>
            <w:vAlign w:val="center"/>
            <w:hideMark/>
          </w:tcPr>
          <w:p w14:paraId="610C3693" w14:textId="57A87A0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0.34%</w:t>
            </w:r>
          </w:p>
        </w:tc>
        <w:tc>
          <w:tcPr>
            <w:tcW w:w="954" w:type="dxa"/>
            <w:tcBorders>
              <w:top w:val="nil"/>
              <w:left w:val="nil"/>
              <w:bottom w:val="single" w:sz="4" w:space="0" w:color="auto"/>
              <w:right w:val="single" w:sz="4" w:space="0" w:color="auto"/>
            </w:tcBorders>
            <w:shd w:val="clear" w:color="auto" w:fill="auto"/>
            <w:noWrap/>
            <w:vAlign w:val="center"/>
            <w:hideMark/>
          </w:tcPr>
          <w:p w14:paraId="610C3694" w14:textId="755DBB1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96.78%</w:t>
            </w:r>
          </w:p>
        </w:tc>
        <w:tc>
          <w:tcPr>
            <w:tcW w:w="889" w:type="dxa"/>
            <w:tcBorders>
              <w:top w:val="nil"/>
              <w:left w:val="nil"/>
              <w:bottom w:val="single" w:sz="4" w:space="0" w:color="auto"/>
              <w:right w:val="single" w:sz="4" w:space="0" w:color="auto"/>
            </w:tcBorders>
            <w:shd w:val="clear" w:color="auto" w:fill="auto"/>
            <w:noWrap/>
            <w:vAlign w:val="center"/>
            <w:hideMark/>
          </w:tcPr>
          <w:p w14:paraId="610C369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9</w:t>
            </w:r>
          </w:p>
        </w:tc>
        <w:tc>
          <w:tcPr>
            <w:tcW w:w="1004" w:type="dxa"/>
            <w:tcBorders>
              <w:top w:val="nil"/>
              <w:left w:val="nil"/>
              <w:bottom w:val="single" w:sz="4" w:space="0" w:color="auto"/>
              <w:right w:val="single" w:sz="4" w:space="0" w:color="auto"/>
            </w:tcBorders>
            <w:shd w:val="clear" w:color="auto" w:fill="auto"/>
            <w:noWrap/>
            <w:vAlign w:val="center"/>
          </w:tcPr>
          <w:p w14:paraId="610C3696" w14:textId="27DFB18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0.28%</w:t>
            </w:r>
          </w:p>
        </w:tc>
        <w:tc>
          <w:tcPr>
            <w:tcW w:w="993" w:type="dxa"/>
            <w:tcBorders>
              <w:top w:val="nil"/>
              <w:left w:val="nil"/>
              <w:bottom w:val="single" w:sz="4" w:space="0" w:color="auto"/>
              <w:right w:val="single" w:sz="4" w:space="0" w:color="auto"/>
            </w:tcBorders>
            <w:shd w:val="clear" w:color="auto" w:fill="auto"/>
            <w:noWrap/>
            <w:vAlign w:val="center"/>
          </w:tcPr>
          <w:p w14:paraId="610C3697" w14:textId="4BA992C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96.95%</w:t>
            </w:r>
          </w:p>
        </w:tc>
      </w:tr>
      <w:tr w:rsidR="00411450" w:rsidRPr="00367D24" w14:paraId="610C36A2"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99" w14:textId="4B02289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30</w:t>
            </w:r>
          </w:p>
        </w:tc>
        <w:tc>
          <w:tcPr>
            <w:tcW w:w="696" w:type="dxa"/>
            <w:tcBorders>
              <w:top w:val="nil"/>
              <w:left w:val="nil"/>
              <w:bottom w:val="single" w:sz="4" w:space="0" w:color="auto"/>
              <w:right w:val="single" w:sz="4" w:space="0" w:color="auto"/>
            </w:tcBorders>
            <w:shd w:val="clear" w:color="auto" w:fill="auto"/>
            <w:noWrap/>
            <w:vAlign w:val="center"/>
            <w:hideMark/>
          </w:tcPr>
          <w:p w14:paraId="610C369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33</w:t>
            </w:r>
          </w:p>
        </w:tc>
        <w:tc>
          <w:tcPr>
            <w:tcW w:w="3163" w:type="dxa"/>
            <w:tcBorders>
              <w:top w:val="nil"/>
              <w:left w:val="nil"/>
              <w:bottom w:val="single" w:sz="4" w:space="0" w:color="auto"/>
              <w:right w:val="single" w:sz="4" w:space="0" w:color="auto"/>
            </w:tcBorders>
            <w:shd w:val="clear" w:color="auto" w:fill="auto"/>
            <w:vAlign w:val="center"/>
            <w:hideMark/>
          </w:tcPr>
          <w:p w14:paraId="610C369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Joint disorders - Crystal arthropathic disorders </w:t>
            </w:r>
          </w:p>
        </w:tc>
        <w:tc>
          <w:tcPr>
            <w:tcW w:w="772" w:type="dxa"/>
            <w:tcBorders>
              <w:top w:val="nil"/>
              <w:left w:val="nil"/>
              <w:bottom w:val="single" w:sz="4" w:space="0" w:color="auto"/>
              <w:right w:val="single" w:sz="4" w:space="0" w:color="auto"/>
            </w:tcBorders>
            <w:shd w:val="clear" w:color="auto" w:fill="auto"/>
            <w:noWrap/>
            <w:vAlign w:val="center"/>
            <w:hideMark/>
          </w:tcPr>
          <w:p w14:paraId="610C369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897" w:type="dxa"/>
            <w:tcBorders>
              <w:top w:val="nil"/>
              <w:left w:val="nil"/>
              <w:bottom w:val="single" w:sz="4" w:space="0" w:color="auto"/>
              <w:right w:val="single" w:sz="4" w:space="0" w:color="auto"/>
            </w:tcBorders>
            <w:shd w:val="clear" w:color="auto" w:fill="auto"/>
            <w:noWrap/>
            <w:vAlign w:val="center"/>
            <w:hideMark/>
          </w:tcPr>
          <w:p w14:paraId="610C369D" w14:textId="4370D23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0.34%</w:t>
            </w:r>
          </w:p>
        </w:tc>
        <w:tc>
          <w:tcPr>
            <w:tcW w:w="954" w:type="dxa"/>
            <w:tcBorders>
              <w:top w:val="nil"/>
              <w:left w:val="nil"/>
              <w:bottom w:val="single" w:sz="4" w:space="0" w:color="auto"/>
              <w:right w:val="single" w:sz="4" w:space="0" w:color="auto"/>
            </w:tcBorders>
            <w:shd w:val="clear" w:color="auto" w:fill="auto"/>
            <w:noWrap/>
            <w:vAlign w:val="center"/>
            <w:hideMark/>
          </w:tcPr>
          <w:p w14:paraId="610C369E" w14:textId="5A3DF78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97.13%</w:t>
            </w:r>
          </w:p>
        </w:tc>
        <w:tc>
          <w:tcPr>
            <w:tcW w:w="889" w:type="dxa"/>
            <w:tcBorders>
              <w:top w:val="nil"/>
              <w:left w:val="nil"/>
              <w:bottom w:val="single" w:sz="4" w:space="0" w:color="auto"/>
              <w:right w:val="single" w:sz="4" w:space="0" w:color="auto"/>
            </w:tcBorders>
            <w:shd w:val="clear" w:color="auto" w:fill="auto"/>
            <w:noWrap/>
            <w:vAlign w:val="center"/>
            <w:hideMark/>
          </w:tcPr>
          <w:p w14:paraId="610C369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1004" w:type="dxa"/>
            <w:tcBorders>
              <w:top w:val="nil"/>
              <w:left w:val="nil"/>
              <w:bottom w:val="single" w:sz="4" w:space="0" w:color="auto"/>
              <w:right w:val="single" w:sz="4" w:space="0" w:color="auto"/>
            </w:tcBorders>
            <w:shd w:val="clear" w:color="auto" w:fill="auto"/>
            <w:noWrap/>
            <w:vAlign w:val="center"/>
          </w:tcPr>
          <w:p w14:paraId="610C36A0" w14:textId="164DC49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0.25%</w:t>
            </w:r>
          </w:p>
        </w:tc>
        <w:tc>
          <w:tcPr>
            <w:tcW w:w="993" w:type="dxa"/>
            <w:tcBorders>
              <w:top w:val="nil"/>
              <w:left w:val="nil"/>
              <w:bottom w:val="single" w:sz="4" w:space="0" w:color="auto"/>
              <w:right w:val="single" w:sz="4" w:space="0" w:color="auto"/>
            </w:tcBorders>
            <w:shd w:val="clear" w:color="auto" w:fill="auto"/>
            <w:noWrap/>
            <w:vAlign w:val="center"/>
          </w:tcPr>
          <w:p w14:paraId="610C36A1" w14:textId="407AD64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97.20%</w:t>
            </w:r>
          </w:p>
        </w:tc>
      </w:tr>
      <w:tr w:rsidR="00411450" w:rsidRPr="00367D24" w14:paraId="610C36AC"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A3" w14:textId="71656178"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31</w:t>
            </w:r>
          </w:p>
        </w:tc>
        <w:tc>
          <w:tcPr>
            <w:tcW w:w="696" w:type="dxa"/>
            <w:tcBorders>
              <w:top w:val="nil"/>
              <w:left w:val="nil"/>
              <w:bottom w:val="single" w:sz="4" w:space="0" w:color="auto"/>
              <w:right w:val="single" w:sz="4" w:space="0" w:color="auto"/>
            </w:tcBorders>
            <w:shd w:val="clear" w:color="auto" w:fill="auto"/>
            <w:noWrap/>
            <w:vAlign w:val="center"/>
            <w:hideMark/>
          </w:tcPr>
          <w:p w14:paraId="610C36A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34</w:t>
            </w:r>
          </w:p>
        </w:tc>
        <w:tc>
          <w:tcPr>
            <w:tcW w:w="3163" w:type="dxa"/>
            <w:tcBorders>
              <w:top w:val="nil"/>
              <w:left w:val="nil"/>
              <w:bottom w:val="single" w:sz="4" w:space="0" w:color="auto"/>
              <w:right w:val="single" w:sz="4" w:space="0" w:color="auto"/>
            </w:tcBorders>
            <w:shd w:val="clear" w:color="auto" w:fill="auto"/>
            <w:vAlign w:val="center"/>
            <w:hideMark/>
          </w:tcPr>
          <w:p w14:paraId="610C36A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Toxicity to various agents </w:t>
            </w:r>
          </w:p>
        </w:tc>
        <w:tc>
          <w:tcPr>
            <w:tcW w:w="772" w:type="dxa"/>
            <w:tcBorders>
              <w:top w:val="nil"/>
              <w:left w:val="nil"/>
              <w:bottom w:val="single" w:sz="4" w:space="0" w:color="auto"/>
              <w:right w:val="single" w:sz="4" w:space="0" w:color="auto"/>
            </w:tcBorders>
            <w:shd w:val="clear" w:color="auto" w:fill="auto"/>
            <w:noWrap/>
            <w:vAlign w:val="center"/>
            <w:hideMark/>
          </w:tcPr>
          <w:p w14:paraId="610C36A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897" w:type="dxa"/>
            <w:tcBorders>
              <w:top w:val="nil"/>
              <w:left w:val="nil"/>
              <w:bottom w:val="single" w:sz="4" w:space="0" w:color="auto"/>
              <w:right w:val="single" w:sz="4" w:space="0" w:color="auto"/>
            </w:tcBorders>
            <w:shd w:val="clear" w:color="auto" w:fill="auto"/>
            <w:noWrap/>
            <w:vAlign w:val="center"/>
            <w:hideMark/>
          </w:tcPr>
          <w:p w14:paraId="610C36A7" w14:textId="437C29D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0.26%</w:t>
            </w:r>
          </w:p>
        </w:tc>
        <w:tc>
          <w:tcPr>
            <w:tcW w:w="954" w:type="dxa"/>
            <w:tcBorders>
              <w:top w:val="nil"/>
              <w:left w:val="nil"/>
              <w:bottom w:val="single" w:sz="4" w:space="0" w:color="auto"/>
              <w:right w:val="single" w:sz="4" w:space="0" w:color="auto"/>
            </w:tcBorders>
            <w:shd w:val="clear" w:color="auto" w:fill="auto"/>
            <w:noWrap/>
            <w:vAlign w:val="center"/>
            <w:hideMark/>
          </w:tcPr>
          <w:p w14:paraId="610C36A8" w14:textId="0D5D8C6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97.38%</w:t>
            </w:r>
          </w:p>
        </w:tc>
        <w:tc>
          <w:tcPr>
            <w:tcW w:w="889" w:type="dxa"/>
            <w:tcBorders>
              <w:top w:val="nil"/>
              <w:left w:val="nil"/>
              <w:bottom w:val="single" w:sz="4" w:space="0" w:color="auto"/>
              <w:right w:val="single" w:sz="4" w:space="0" w:color="auto"/>
            </w:tcBorders>
            <w:shd w:val="clear" w:color="auto" w:fill="auto"/>
            <w:noWrap/>
            <w:vAlign w:val="center"/>
            <w:hideMark/>
          </w:tcPr>
          <w:p w14:paraId="610C36A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8</w:t>
            </w:r>
          </w:p>
        </w:tc>
        <w:tc>
          <w:tcPr>
            <w:tcW w:w="1004" w:type="dxa"/>
            <w:tcBorders>
              <w:top w:val="nil"/>
              <w:left w:val="nil"/>
              <w:bottom w:val="single" w:sz="4" w:space="0" w:color="auto"/>
              <w:right w:val="single" w:sz="4" w:space="0" w:color="auto"/>
            </w:tcBorders>
            <w:shd w:val="clear" w:color="auto" w:fill="auto"/>
            <w:noWrap/>
            <w:vAlign w:val="center"/>
          </w:tcPr>
          <w:p w14:paraId="610C36AA" w14:textId="58DFEB7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0.25%</w:t>
            </w:r>
          </w:p>
        </w:tc>
        <w:tc>
          <w:tcPr>
            <w:tcW w:w="993" w:type="dxa"/>
            <w:tcBorders>
              <w:top w:val="nil"/>
              <w:left w:val="nil"/>
              <w:bottom w:val="single" w:sz="4" w:space="0" w:color="auto"/>
              <w:right w:val="single" w:sz="4" w:space="0" w:color="auto"/>
            </w:tcBorders>
            <w:shd w:val="clear" w:color="auto" w:fill="auto"/>
            <w:noWrap/>
            <w:vAlign w:val="center"/>
          </w:tcPr>
          <w:p w14:paraId="610C36AB" w14:textId="2159EA5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97.45%</w:t>
            </w:r>
          </w:p>
        </w:tc>
      </w:tr>
      <w:tr w:rsidR="00411450" w:rsidRPr="00367D24" w14:paraId="610C36B6"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AD" w14:textId="5FB4FD19"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33</w:t>
            </w:r>
          </w:p>
        </w:tc>
        <w:tc>
          <w:tcPr>
            <w:tcW w:w="696" w:type="dxa"/>
            <w:tcBorders>
              <w:top w:val="nil"/>
              <w:left w:val="nil"/>
              <w:bottom w:val="single" w:sz="4" w:space="0" w:color="auto"/>
              <w:right w:val="single" w:sz="4" w:space="0" w:color="auto"/>
            </w:tcBorders>
            <w:shd w:val="clear" w:color="auto" w:fill="auto"/>
            <w:noWrap/>
            <w:vAlign w:val="center"/>
            <w:hideMark/>
          </w:tcPr>
          <w:p w14:paraId="610C36A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35</w:t>
            </w:r>
          </w:p>
        </w:tc>
        <w:tc>
          <w:tcPr>
            <w:tcW w:w="3163" w:type="dxa"/>
            <w:tcBorders>
              <w:top w:val="nil"/>
              <w:left w:val="nil"/>
              <w:bottom w:val="single" w:sz="4" w:space="0" w:color="auto"/>
              <w:right w:val="single" w:sz="4" w:space="0" w:color="auto"/>
            </w:tcBorders>
            <w:shd w:val="clear" w:color="auto" w:fill="auto"/>
            <w:vAlign w:val="center"/>
            <w:hideMark/>
          </w:tcPr>
          <w:p w14:paraId="610C36A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Disturbances in thinking and perception </w:t>
            </w:r>
          </w:p>
        </w:tc>
        <w:tc>
          <w:tcPr>
            <w:tcW w:w="772" w:type="dxa"/>
            <w:tcBorders>
              <w:top w:val="nil"/>
              <w:left w:val="nil"/>
              <w:bottom w:val="single" w:sz="4" w:space="0" w:color="auto"/>
              <w:right w:val="single" w:sz="4" w:space="0" w:color="auto"/>
            </w:tcBorders>
            <w:shd w:val="clear" w:color="auto" w:fill="auto"/>
            <w:noWrap/>
            <w:vAlign w:val="center"/>
            <w:hideMark/>
          </w:tcPr>
          <w:p w14:paraId="610C36B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897" w:type="dxa"/>
            <w:tcBorders>
              <w:top w:val="nil"/>
              <w:left w:val="nil"/>
              <w:bottom w:val="single" w:sz="4" w:space="0" w:color="auto"/>
              <w:right w:val="single" w:sz="4" w:space="0" w:color="auto"/>
            </w:tcBorders>
            <w:shd w:val="clear" w:color="auto" w:fill="auto"/>
            <w:noWrap/>
            <w:vAlign w:val="center"/>
            <w:hideMark/>
          </w:tcPr>
          <w:p w14:paraId="610C36B1" w14:textId="11809DF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6B2" w14:textId="0E39F98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97.51%</w:t>
            </w:r>
          </w:p>
        </w:tc>
        <w:tc>
          <w:tcPr>
            <w:tcW w:w="889" w:type="dxa"/>
            <w:tcBorders>
              <w:top w:val="nil"/>
              <w:left w:val="nil"/>
              <w:bottom w:val="single" w:sz="4" w:space="0" w:color="auto"/>
              <w:right w:val="single" w:sz="4" w:space="0" w:color="auto"/>
            </w:tcBorders>
            <w:shd w:val="clear" w:color="auto" w:fill="auto"/>
            <w:noWrap/>
            <w:vAlign w:val="center"/>
            <w:hideMark/>
          </w:tcPr>
          <w:p w14:paraId="610C36B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1004" w:type="dxa"/>
            <w:tcBorders>
              <w:top w:val="nil"/>
              <w:left w:val="nil"/>
              <w:bottom w:val="single" w:sz="4" w:space="0" w:color="auto"/>
              <w:right w:val="single" w:sz="4" w:space="0" w:color="auto"/>
            </w:tcBorders>
            <w:shd w:val="clear" w:color="auto" w:fill="auto"/>
            <w:noWrap/>
            <w:vAlign w:val="center"/>
          </w:tcPr>
          <w:p w14:paraId="610C36B4" w14:textId="491B6A3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0.18%</w:t>
            </w:r>
          </w:p>
        </w:tc>
        <w:tc>
          <w:tcPr>
            <w:tcW w:w="993" w:type="dxa"/>
            <w:tcBorders>
              <w:top w:val="nil"/>
              <w:left w:val="nil"/>
              <w:bottom w:val="single" w:sz="4" w:space="0" w:color="auto"/>
              <w:right w:val="single" w:sz="4" w:space="0" w:color="auto"/>
            </w:tcBorders>
            <w:shd w:val="clear" w:color="auto" w:fill="auto"/>
            <w:noWrap/>
            <w:vAlign w:val="center"/>
          </w:tcPr>
          <w:p w14:paraId="610C36B5" w14:textId="3BC7949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97.63%</w:t>
            </w:r>
          </w:p>
        </w:tc>
      </w:tr>
      <w:tr w:rsidR="00411450" w:rsidRPr="00367D24" w14:paraId="610C36C0"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B7" w14:textId="2CB5B2DE"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39</w:t>
            </w:r>
          </w:p>
        </w:tc>
        <w:tc>
          <w:tcPr>
            <w:tcW w:w="696" w:type="dxa"/>
            <w:tcBorders>
              <w:top w:val="nil"/>
              <w:left w:val="nil"/>
              <w:bottom w:val="single" w:sz="4" w:space="0" w:color="auto"/>
              <w:right w:val="single" w:sz="4" w:space="0" w:color="auto"/>
            </w:tcBorders>
            <w:shd w:val="clear" w:color="auto" w:fill="auto"/>
            <w:noWrap/>
            <w:vAlign w:val="center"/>
            <w:hideMark/>
          </w:tcPr>
          <w:p w14:paraId="610C36B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36</w:t>
            </w:r>
          </w:p>
        </w:tc>
        <w:tc>
          <w:tcPr>
            <w:tcW w:w="3163" w:type="dxa"/>
            <w:tcBorders>
              <w:top w:val="nil"/>
              <w:left w:val="nil"/>
              <w:bottom w:val="single" w:sz="4" w:space="0" w:color="auto"/>
              <w:right w:val="single" w:sz="4" w:space="0" w:color="auto"/>
            </w:tcBorders>
            <w:shd w:val="clear" w:color="auto" w:fill="auto"/>
            <w:vAlign w:val="center"/>
            <w:hideMark/>
          </w:tcPr>
          <w:p w14:paraId="610C36B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Movement disorders (incl parkinsonism) </w:t>
            </w:r>
          </w:p>
        </w:tc>
        <w:tc>
          <w:tcPr>
            <w:tcW w:w="772" w:type="dxa"/>
            <w:tcBorders>
              <w:top w:val="nil"/>
              <w:left w:val="nil"/>
              <w:bottom w:val="single" w:sz="4" w:space="0" w:color="auto"/>
              <w:right w:val="single" w:sz="4" w:space="0" w:color="auto"/>
            </w:tcBorders>
            <w:shd w:val="clear" w:color="auto" w:fill="auto"/>
            <w:noWrap/>
            <w:vAlign w:val="center"/>
            <w:hideMark/>
          </w:tcPr>
          <w:p w14:paraId="610C36B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6BB" w14:textId="729CCE1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6BC" w14:textId="049BCCC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97.51%</w:t>
            </w:r>
          </w:p>
        </w:tc>
        <w:tc>
          <w:tcPr>
            <w:tcW w:w="889" w:type="dxa"/>
            <w:tcBorders>
              <w:top w:val="nil"/>
              <w:left w:val="nil"/>
              <w:bottom w:val="single" w:sz="4" w:space="0" w:color="auto"/>
              <w:right w:val="single" w:sz="4" w:space="0" w:color="auto"/>
            </w:tcBorders>
            <w:shd w:val="clear" w:color="auto" w:fill="auto"/>
            <w:noWrap/>
            <w:vAlign w:val="center"/>
            <w:hideMark/>
          </w:tcPr>
          <w:p w14:paraId="610C36B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1004" w:type="dxa"/>
            <w:tcBorders>
              <w:top w:val="nil"/>
              <w:left w:val="nil"/>
              <w:bottom w:val="single" w:sz="4" w:space="0" w:color="auto"/>
              <w:right w:val="single" w:sz="4" w:space="0" w:color="auto"/>
            </w:tcBorders>
            <w:shd w:val="clear" w:color="auto" w:fill="auto"/>
            <w:noWrap/>
            <w:vAlign w:val="center"/>
          </w:tcPr>
          <w:p w14:paraId="610C36BE" w14:textId="680CE35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0.18%</w:t>
            </w:r>
          </w:p>
        </w:tc>
        <w:tc>
          <w:tcPr>
            <w:tcW w:w="993" w:type="dxa"/>
            <w:tcBorders>
              <w:top w:val="nil"/>
              <w:left w:val="nil"/>
              <w:bottom w:val="single" w:sz="4" w:space="0" w:color="auto"/>
              <w:right w:val="single" w:sz="4" w:space="0" w:color="auto"/>
            </w:tcBorders>
            <w:shd w:val="clear" w:color="auto" w:fill="auto"/>
            <w:noWrap/>
            <w:vAlign w:val="center"/>
          </w:tcPr>
          <w:p w14:paraId="610C36BF" w14:textId="517B292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97.82%</w:t>
            </w:r>
          </w:p>
        </w:tc>
      </w:tr>
      <w:tr w:rsidR="00411450" w:rsidRPr="00367D24" w14:paraId="610C36CA"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C1" w14:textId="4967810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62</w:t>
            </w:r>
          </w:p>
        </w:tc>
        <w:tc>
          <w:tcPr>
            <w:tcW w:w="696" w:type="dxa"/>
            <w:tcBorders>
              <w:top w:val="nil"/>
              <w:left w:val="nil"/>
              <w:bottom w:val="single" w:sz="4" w:space="0" w:color="auto"/>
              <w:right w:val="single" w:sz="4" w:space="0" w:color="auto"/>
            </w:tcBorders>
            <w:shd w:val="clear" w:color="auto" w:fill="auto"/>
            <w:noWrap/>
            <w:vAlign w:val="center"/>
            <w:hideMark/>
          </w:tcPr>
          <w:p w14:paraId="610C36C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37</w:t>
            </w:r>
          </w:p>
        </w:tc>
        <w:tc>
          <w:tcPr>
            <w:tcW w:w="3163" w:type="dxa"/>
            <w:tcBorders>
              <w:top w:val="nil"/>
              <w:left w:val="nil"/>
              <w:bottom w:val="single" w:sz="4" w:space="0" w:color="auto"/>
              <w:right w:val="single" w:sz="4" w:space="0" w:color="auto"/>
            </w:tcBorders>
            <w:shd w:val="clear" w:color="auto" w:fill="auto"/>
            <w:noWrap/>
            <w:vAlign w:val="center"/>
            <w:hideMark/>
          </w:tcPr>
          <w:p w14:paraId="610C36C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Cognitive and attention disorders and disturbances NEC</w:t>
            </w:r>
          </w:p>
        </w:tc>
        <w:tc>
          <w:tcPr>
            <w:tcW w:w="772" w:type="dxa"/>
            <w:tcBorders>
              <w:top w:val="nil"/>
              <w:left w:val="nil"/>
              <w:bottom w:val="single" w:sz="4" w:space="0" w:color="auto"/>
              <w:right w:val="single" w:sz="4" w:space="0" w:color="auto"/>
            </w:tcBorders>
            <w:shd w:val="clear" w:color="auto" w:fill="auto"/>
            <w:noWrap/>
            <w:vAlign w:val="center"/>
            <w:hideMark/>
          </w:tcPr>
          <w:p w14:paraId="610C36C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0</w:t>
            </w:r>
          </w:p>
        </w:tc>
        <w:tc>
          <w:tcPr>
            <w:tcW w:w="897" w:type="dxa"/>
            <w:tcBorders>
              <w:top w:val="nil"/>
              <w:left w:val="nil"/>
              <w:bottom w:val="single" w:sz="4" w:space="0" w:color="auto"/>
              <w:right w:val="single" w:sz="4" w:space="0" w:color="auto"/>
            </w:tcBorders>
            <w:shd w:val="clear" w:color="auto" w:fill="auto"/>
            <w:noWrap/>
            <w:vAlign w:val="center"/>
            <w:hideMark/>
          </w:tcPr>
          <w:p w14:paraId="610C36C5" w14:textId="7CE7544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0.21%</w:t>
            </w:r>
          </w:p>
        </w:tc>
        <w:tc>
          <w:tcPr>
            <w:tcW w:w="954" w:type="dxa"/>
            <w:tcBorders>
              <w:top w:val="nil"/>
              <w:left w:val="nil"/>
              <w:bottom w:val="single" w:sz="4" w:space="0" w:color="auto"/>
              <w:right w:val="single" w:sz="4" w:space="0" w:color="auto"/>
            </w:tcBorders>
            <w:shd w:val="clear" w:color="auto" w:fill="auto"/>
            <w:noWrap/>
            <w:vAlign w:val="center"/>
            <w:hideMark/>
          </w:tcPr>
          <w:p w14:paraId="610C36C6" w14:textId="5198F2B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97.73%</w:t>
            </w:r>
          </w:p>
        </w:tc>
        <w:tc>
          <w:tcPr>
            <w:tcW w:w="889" w:type="dxa"/>
            <w:tcBorders>
              <w:top w:val="nil"/>
              <w:left w:val="nil"/>
              <w:bottom w:val="single" w:sz="4" w:space="0" w:color="auto"/>
              <w:right w:val="single" w:sz="4" w:space="0" w:color="auto"/>
            </w:tcBorders>
            <w:shd w:val="clear" w:color="auto" w:fill="auto"/>
            <w:noWrap/>
            <w:vAlign w:val="center"/>
            <w:hideMark/>
          </w:tcPr>
          <w:p w14:paraId="610C36C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w:t>
            </w:r>
          </w:p>
        </w:tc>
        <w:tc>
          <w:tcPr>
            <w:tcW w:w="1004" w:type="dxa"/>
            <w:tcBorders>
              <w:top w:val="nil"/>
              <w:left w:val="nil"/>
              <w:bottom w:val="single" w:sz="4" w:space="0" w:color="auto"/>
              <w:right w:val="single" w:sz="4" w:space="0" w:color="auto"/>
            </w:tcBorders>
            <w:shd w:val="clear" w:color="auto" w:fill="auto"/>
            <w:noWrap/>
            <w:vAlign w:val="center"/>
          </w:tcPr>
          <w:p w14:paraId="610C36C8" w14:textId="73A46F4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0.18%</w:t>
            </w:r>
          </w:p>
        </w:tc>
        <w:tc>
          <w:tcPr>
            <w:tcW w:w="993" w:type="dxa"/>
            <w:tcBorders>
              <w:top w:val="nil"/>
              <w:left w:val="nil"/>
              <w:bottom w:val="single" w:sz="4" w:space="0" w:color="auto"/>
              <w:right w:val="single" w:sz="4" w:space="0" w:color="auto"/>
            </w:tcBorders>
            <w:shd w:val="clear" w:color="auto" w:fill="auto"/>
            <w:noWrap/>
            <w:vAlign w:val="center"/>
          </w:tcPr>
          <w:p w14:paraId="610C36C9" w14:textId="064D1ED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98.00%</w:t>
            </w:r>
          </w:p>
        </w:tc>
      </w:tr>
      <w:tr w:rsidR="00411450" w:rsidRPr="00367D24" w14:paraId="610C36D4"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CB" w14:textId="2895133D"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34</w:t>
            </w:r>
          </w:p>
        </w:tc>
        <w:tc>
          <w:tcPr>
            <w:tcW w:w="696" w:type="dxa"/>
            <w:tcBorders>
              <w:top w:val="nil"/>
              <w:left w:val="nil"/>
              <w:bottom w:val="single" w:sz="4" w:space="0" w:color="auto"/>
              <w:right w:val="single" w:sz="4" w:space="0" w:color="auto"/>
            </w:tcBorders>
            <w:shd w:val="clear" w:color="auto" w:fill="auto"/>
            <w:noWrap/>
            <w:vAlign w:val="center"/>
            <w:hideMark/>
          </w:tcPr>
          <w:p w14:paraId="610C36C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38</w:t>
            </w:r>
          </w:p>
        </w:tc>
        <w:tc>
          <w:tcPr>
            <w:tcW w:w="3163" w:type="dxa"/>
            <w:tcBorders>
              <w:top w:val="nil"/>
              <w:left w:val="nil"/>
              <w:bottom w:val="single" w:sz="4" w:space="0" w:color="auto"/>
              <w:right w:val="single" w:sz="4" w:space="0" w:color="auto"/>
            </w:tcBorders>
            <w:shd w:val="clear" w:color="auto" w:fill="auto"/>
            <w:vAlign w:val="center"/>
            <w:hideMark/>
          </w:tcPr>
          <w:p w14:paraId="610C36C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Neurological signs and symptoms NEC</w:t>
            </w:r>
          </w:p>
        </w:tc>
        <w:tc>
          <w:tcPr>
            <w:tcW w:w="772" w:type="dxa"/>
            <w:tcBorders>
              <w:top w:val="nil"/>
              <w:left w:val="nil"/>
              <w:bottom w:val="single" w:sz="4" w:space="0" w:color="auto"/>
              <w:right w:val="single" w:sz="4" w:space="0" w:color="auto"/>
            </w:tcBorders>
            <w:shd w:val="clear" w:color="auto" w:fill="auto"/>
            <w:noWrap/>
            <w:vAlign w:val="center"/>
            <w:hideMark/>
          </w:tcPr>
          <w:p w14:paraId="610C36C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897" w:type="dxa"/>
            <w:tcBorders>
              <w:top w:val="nil"/>
              <w:left w:val="nil"/>
              <w:bottom w:val="single" w:sz="4" w:space="0" w:color="auto"/>
              <w:right w:val="single" w:sz="4" w:space="0" w:color="auto"/>
            </w:tcBorders>
            <w:shd w:val="clear" w:color="auto" w:fill="auto"/>
            <w:noWrap/>
            <w:vAlign w:val="center"/>
            <w:hideMark/>
          </w:tcPr>
          <w:p w14:paraId="610C36CF" w14:textId="57A47B9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0.21%</w:t>
            </w:r>
          </w:p>
        </w:tc>
        <w:tc>
          <w:tcPr>
            <w:tcW w:w="954" w:type="dxa"/>
            <w:tcBorders>
              <w:top w:val="nil"/>
              <w:left w:val="nil"/>
              <w:bottom w:val="single" w:sz="4" w:space="0" w:color="auto"/>
              <w:right w:val="single" w:sz="4" w:space="0" w:color="auto"/>
            </w:tcBorders>
            <w:shd w:val="clear" w:color="auto" w:fill="auto"/>
            <w:noWrap/>
            <w:vAlign w:val="center"/>
            <w:hideMark/>
          </w:tcPr>
          <w:p w14:paraId="610C36D0" w14:textId="5C25274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97.94%</w:t>
            </w:r>
          </w:p>
        </w:tc>
        <w:tc>
          <w:tcPr>
            <w:tcW w:w="889" w:type="dxa"/>
            <w:tcBorders>
              <w:top w:val="nil"/>
              <w:left w:val="nil"/>
              <w:bottom w:val="single" w:sz="4" w:space="0" w:color="auto"/>
              <w:right w:val="single" w:sz="4" w:space="0" w:color="auto"/>
            </w:tcBorders>
            <w:shd w:val="clear" w:color="auto" w:fill="auto"/>
            <w:noWrap/>
            <w:vAlign w:val="center"/>
            <w:hideMark/>
          </w:tcPr>
          <w:p w14:paraId="610C36D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1004" w:type="dxa"/>
            <w:tcBorders>
              <w:top w:val="nil"/>
              <w:left w:val="nil"/>
              <w:bottom w:val="single" w:sz="4" w:space="0" w:color="auto"/>
              <w:right w:val="single" w:sz="4" w:space="0" w:color="auto"/>
            </w:tcBorders>
            <w:shd w:val="clear" w:color="auto" w:fill="auto"/>
            <w:noWrap/>
            <w:vAlign w:val="center"/>
          </w:tcPr>
          <w:p w14:paraId="610C36D2" w14:textId="1860416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0.15%</w:t>
            </w:r>
          </w:p>
        </w:tc>
        <w:tc>
          <w:tcPr>
            <w:tcW w:w="993" w:type="dxa"/>
            <w:tcBorders>
              <w:top w:val="nil"/>
              <w:left w:val="nil"/>
              <w:bottom w:val="single" w:sz="4" w:space="0" w:color="auto"/>
              <w:right w:val="single" w:sz="4" w:space="0" w:color="auto"/>
            </w:tcBorders>
            <w:shd w:val="clear" w:color="auto" w:fill="auto"/>
            <w:noWrap/>
            <w:vAlign w:val="center"/>
          </w:tcPr>
          <w:p w14:paraId="610C36D3" w14:textId="3FB912B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98.15%</w:t>
            </w:r>
          </w:p>
        </w:tc>
      </w:tr>
      <w:tr w:rsidR="00411450" w:rsidRPr="00367D24" w14:paraId="610C36DE"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D5" w14:textId="62258BED"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35</w:t>
            </w:r>
          </w:p>
        </w:tc>
        <w:tc>
          <w:tcPr>
            <w:tcW w:w="696" w:type="dxa"/>
            <w:tcBorders>
              <w:top w:val="nil"/>
              <w:left w:val="nil"/>
              <w:bottom w:val="single" w:sz="4" w:space="0" w:color="auto"/>
              <w:right w:val="single" w:sz="4" w:space="0" w:color="auto"/>
            </w:tcBorders>
            <w:shd w:val="clear" w:color="auto" w:fill="auto"/>
            <w:noWrap/>
            <w:vAlign w:val="center"/>
            <w:hideMark/>
          </w:tcPr>
          <w:p w14:paraId="610C36D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39</w:t>
            </w:r>
          </w:p>
        </w:tc>
        <w:tc>
          <w:tcPr>
            <w:tcW w:w="3163" w:type="dxa"/>
            <w:tcBorders>
              <w:top w:val="nil"/>
              <w:left w:val="nil"/>
              <w:bottom w:val="single" w:sz="4" w:space="0" w:color="auto"/>
              <w:right w:val="single" w:sz="4" w:space="0" w:color="auto"/>
            </w:tcBorders>
            <w:shd w:val="clear" w:color="auto" w:fill="auto"/>
            <w:vAlign w:val="center"/>
            <w:hideMark/>
          </w:tcPr>
          <w:p w14:paraId="610C36D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Unspecified / unclassifiable Hepatobiliary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6D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897" w:type="dxa"/>
            <w:tcBorders>
              <w:top w:val="nil"/>
              <w:left w:val="nil"/>
              <w:bottom w:val="single" w:sz="4" w:space="0" w:color="auto"/>
              <w:right w:val="single" w:sz="4" w:space="0" w:color="auto"/>
            </w:tcBorders>
            <w:shd w:val="clear" w:color="auto" w:fill="auto"/>
            <w:noWrap/>
            <w:vAlign w:val="center"/>
            <w:hideMark/>
          </w:tcPr>
          <w:p w14:paraId="610C36D9" w14:textId="3A1090B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6DA" w14:textId="288D5F5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98.07%</w:t>
            </w:r>
          </w:p>
        </w:tc>
        <w:tc>
          <w:tcPr>
            <w:tcW w:w="889" w:type="dxa"/>
            <w:tcBorders>
              <w:top w:val="nil"/>
              <w:left w:val="nil"/>
              <w:bottom w:val="single" w:sz="4" w:space="0" w:color="auto"/>
              <w:right w:val="single" w:sz="4" w:space="0" w:color="auto"/>
            </w:tcBorders>
            <w:shd w:val="clear" w:color="auto" w:fill="auto"/>
            <w:noWrap/>
            <w:vAlign w:val="center"/>
            <w:hideMark/>
          </w:tcPr>
          <w:p w14:paraId="610C36D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w:t>
            </w:r>
          </w:p>
        </w:tc>
        <w:tc>
          <w:tcPr>
            <w:tcW w:w="1004" w:type="dxa"/>
            <w:tcBorders>
              <w:top w:val="nil"/>
              <w:left w:val="nil"/>
              <w:bottom w:val="single" w:sz="4" w:space="0" w:color="auto"/>
              <w:right w:val="single" w:sz="4" w:space="0" w:color="auto"/>
            </w:tcBorders>
            <w:shd w:val="clear" w:color="auto" w:fill="auto"/>
            <w:noWrap/>
            <w:vAlign w:val="center"/>
          </w:tcPr>
          <w:p w14:paraId="610C36DC" w14:textId="528FDE7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0.15%</w:t>
            </w:r>
          </w:p>
        </w:tc>
        <w:tc>
          <w:tcPr>
            <w:tcW w:w="993" w:type="dxa"/>
            <w:tcBorders>
              <w:top w:val="nil"/>
              <w:left w:val="nil"/>
              <w:bottom w:val="single" w:sz="4" w:space="0" w:color="auto"/>
              <w:right w:val="single" w:sz="4" w:space="0" w:color="auto"/>
            </w:tcBorders>
            <w:shd w:val="clear" w:color="auto" w:fill="auto"/>
            <w:noWrap/>
            <w:vAlign w:val="center"/>
          </w:tcPr>
          <w:p w14:paraId="610C36DD" w14:textId="7456E5E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98.31%</w:t>
            </w:r>
          </w:p>
        </w:tc>
      </w:tr>
      <w:tr w:rsidR="00411450" w:rsidRPr="00367D24" w14:paraId="610C36E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DF" w14:textId="091CDBD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36</w:t>
            </w:r>
          </w:p>
        </w:tc>
        <w:tc>
          <w:tcPr>
            <w:tcW w:w="696" w:type="dxa"/>
            <w:tcBorders>
              <w:top w:val="nil"/>
              <w:left w:val="nil"/>
              <w:bottom w:val="single" w:sz="4" w:space="0" w:color="auto"/>
              <w:right w:val="single" w:sz="4" w:space="0" w:color="auto"/>
            </w:tcBorders>
            <w:shd w:val="clear" w:color="auto" w:fill="auto"/>
            <w:noWrap/>
            <w:vAlign w:val="center"/>
            <w:hideMark/>
          </w:tcPr>
          <w:p w14:paraId="610C36E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40</w:t>
            </w:r>
          </w:p>
        </w:tc>
        <w:tc>
          <w:tcPr>
            <w:tcW w:w="3163" w:type="dxa"/>
            <w:tcBorders>
              <w:top w:val="nil"/>
              <w:left w:val="nil"/>
              <w:bottom w:val="single" w:sz="4" w:space="0" w:color="auto"/>
              <w:right w:val="single" w:sz="4" w:space="0" w:color="auto"/>
            </w:tcBorders>
            <w:shd w:val="clear" w:color="auto" w:fill="auto"/>
            <w:vAlign w:val="center"/>
            <w:hideMark/>
          </w:tcPr>
          <w:p w14:paraId="610C36E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Body temperature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6E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6E3" w14:textId="44BECB3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6E4" w14:textId="668730B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98.20%</w:t>
            </w:r>
          </w:p>
        </w:tc>
        <w:tc>
          <w:tcPr>
            <w:tcW w:w="889" w:type="dxa"/>
            <w:tcBorders>
              <w:top w:val="nil"/>
              <w:left w:val="nil"/>
              <w:bottom w:val="single" w:sz="4" w:space="0" w:color="auto"/>
              <w:right w:val="single" w:sz="4" w:space="0" w:color="auto"/>
            </w:tcBorders>
            <w:shd w:val="clear" w:color="auto" w:fill="auto"/>
            <w:noWrap/>
            <w:vAlign w:val="center"/>
            <w:hideMark/>
          </w:tcPr>
          <w:p w14:paraId="610C36E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w:t>
            </w:r>
          </w:p>
        </w:tc>
        <w:tc>
          <w:tcPr>
            <w:tcW w:w="1004" w:type="dxa"/>
            <w:tcBorders>
              <w:top w:val="nil"/>
              <w:left w:val="nil"/>
              <w:bottom w:val="single" w:sz="4" w:space="0" w:color="auto"/>
              <w:right w:val="single" w:sz="4" w:space="0" w:color="auto"/>
            </w:tcBorders>
            <w:shd w:val="clear" w:color="auto" w:fill="auto"/>
            <w:noWrap/>
            <w:vAlign w:val="center"/>
          </w:tcPr>
          <w:p w14:paraId="610C36E6" w14:textId="6B656CC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0.12%</w:t>
            </w:r>
          </w:p>
        </w:tc>
        <w:tc>
          <w:tcPr>
            <w:tcW w:w="993" w:type="dxa"/>
            <w:tcBorders>
              <w:top w:val="nil"/>
              <w:left w:val="nil"/>
              <w:bottom w:val="single" w:sz="4" w:space="0" w:color="auto"/>
              <w:right w:val="single" w:sz="4" w:space="0" w:color="auto"/>
            </w:tcBorders>
            <w:shd w:val="clear" w:color="auto" w:fill="auto"/>
            <w:noWrap/>
            <w:vAlign w:val="center"/>
          </w:tcPr>
          <w:p w14:paraId="610C36E7" w14:textId="2D0A9E8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98.43%</w:t>
            </w:r>
          </w:p>
        </w:tc>
      </w:tr>
      <w:tr w:rsidR="00411450" w:rsidRPr="00367D24" w14:paraId="610C36F2"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E9" w14:textId="5A7B742B"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42</w:t>
            </w:r>
          </w:p>
        </w:tc>
        <w:tc>
          <w:tcPr>
            <w:tcW w:w="696" w:type="dxa"/>
            <w:tcBorders>
              <w:top w:val="nil"/>
              <w:left w:val="nil"/>
              <w:bottom w:val="single" w:sz="4" w:space="0" w:color="auto"/>
              <w:right w:val="single" w:sz="4" w:space="0" w:color="auto"/>
            </w:tcBorders>
            <w:shd w:val="clear" w:color="auto" w:fill="auto"/>
            <w:noWrap/>
            <w:vAlign w:val="center"/>
            <w:hideMark/>
          </w:tcPr>
          <w:p w14:paraId="610C36E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41</w:t>
            </w:r>
          </w:p>
        </w:tc>
        <w:tc>
          <w:tcPr>
            <w:tcW w:w="3163" w:type="dxa"/>
            <w:tcBorders>
              <w:top w:val="nil"/>
              <w:left w:val="nil"/>
              <w:bottom w:val="single" w:sz="4" w:space="0" w:color="auto"/>
              <w:right w:val="single" w:sz="4" w:space="0" w:color="auto"/>
            </w:tcBorders>
            <w:shd w:val="clear" w:color="auto" w:fill="auto"/>
            <w:vAlign w:val="center"/>
            <w:hideMark/>
          </w:tcPr>
          <w:p w14:paraId="610C36E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unspecified / unclassifiable respiratory system </w:t>
            </w:r>
          </w:p>
        </w:tc>
        <w:tc>
          <w:tcPr>
            <w:tcW w:w="772" w:type="dxa"/>
            <w:tcBorders>
              <w:top w:val="nil"/>
              <w:left w:val="nil"/>
              <w:bottom w:val="single" w:sz="4" w:space="0" w:color="auto"/>
              <w:right w:val="single" w:sz="4" w:space="0" w:color="auto"/>
            </w:tcBorders>
            <w:shd w:val="clear" w:color="auto" w:fill="auto"/>
            <w:noWrap/>
            <w:vAlign w:val="center"/>
            <w:hideMark/>
          </w:tcPr>
          <w:p w14:paraId="610C36E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6ED" w14:textId="0B71711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6EE" w14:textId="1A0C98D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90.69%</w:t>
            </w:r>
          </w:p>
        </w:tc>
        <w:tc>
          <w:tcPr>
            <w:tcW w:w="889" w:type="dxa"/>
            <w:tcBorders>
              <w:top w:val="nil"/>
              <w:left w:val="nil"/>
              <w:bottom w:val="single" w:sz="4" w:space="0" w:color="auto"/>
              <w:right w:val="single" w:sz="4" w:space="0" w:color="auto"/>
            </w:tcBorders>
            <w:shd w:val="clear" w:color="auto" w:fill="auto"/>
            <w:noWrap/>
            <w:vAlign w:val="center"/>
            <w:hideMark/>
          </w:tcPr>
          <w:p w14:paraId="610C36E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w:t>
            </w:r>
          </w:p>
        </w:tc>
        <w:tc>
          <w:tcPr>
            <w:tcW w:w="1004" w:type="dxa"/>
            <w:tcBorders>
              <w:top w:val="nil"/>
              <w:left w:val="nil"/>
              <w:bottom w:val="single" w:sz="4" w:space="0" w:color="auto"/>
              <w:right w:val="single" w:sz="4" w:space="0" w:color="auto"/>
            </w:tcBorders>
            <w:shd w:val="clear" w:color="auto" w:fill="auto"/>
            <w:noWrap/>
            <w:vAlign w:val="center"/>
            <w:hideMark/>
          </w:tcPr>
          <w:p w14:paraId="610C36F0" w14:textId="704F170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0.12%</w:t>
            </w:r>
          </w:p>
        </w:tc>
        <w:tc>
          <w:tcPr>
            <w:tcW w:w="993" w:type="dxa"/>
            <w:tcBorders>
              <w:top w:val="nil"/>
              <w:left w:val="nil"/>
              <w:bottom w:val="single" w:sz="4" w:space="0" w:color="auto"/>
              <w:right w:val="single" w:sz="4" w:space="0" w:color="auto"/>
            </w:tcBorders>
            <w:shd w:val="clear" w:color="auto" w:fill="auto"/>
            <w:noWrap/>
            <w:vAlign w:val="center"/>
            <w:hideMark/>
          </w:tcPr>
          <w:p w14:paraId="610C36F1" w14:textId="2533AC4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98.55%</w:t>
            </w:r>
          </w:p>
        </w:tc>
      </w:tr>
      <w:tr w:rsidR="00411450" w:rsidRPr="00367D24" w14:paraId="610C36FC"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F3" w14:textId="5C7D6956"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37</w:t>
            </w:r>
          </w:p>
        </w:tc>
        <w:tc>
          <w:tcPr>
            <w:tcW w:w="696" w:type="dxa"/>
            <w:tcBorders>
              <w:top w:val="nil"/>
              <w:left w:val="nil"/>
              <w:bottom w:val="single" w:sz="4" w:space="0" w:color="auto"/>
              <w:right w:val="single" w:sz="4" w:space="0" w:color="auto"/>
            </w:tcBorders>
            <w:shd w:val="clear" w:color="auto" w:fill="auto"/>
            <w:noWrap/>
            <w:vAlign w:val="center"/>
            <w:hideMark/>
          </w:tcPr>
          <w:p w14:paraId="610C36F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42</w:t>
            </w:r>
          </w:p>
        </w:tc>
        <w:tc>
          <w:tcPr>
            <w:tcW w:w="3163" w:type="dxa"/>
            <w:tcBorders>
              <w:top w:val="nil"/>
              <w:left w:val="nil"/>
              <w:bottom w:val="single" w:sz="4" w:space="0" w:color="auto"/>
              <w:right w:val="single" w:sz="4" w:space="0" w:color="auto"/>
            </w:tcBorders>
            <w:shd w:val="clear" w:color="auto" w:fill="auto"/>
            <w:vAlign w:val="center"/>
            <w:hideMark/>
          </w:tcPr>
          <w:p w14:paraId="610C36F5" w14:textId="77777777" w:rsidR="00411450" w:rsidRPr="00367D24" w:rsidRDefault="00411450" w:rsidP="00411450">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Bone disorders (excl. </w:t>
            </w:r>
            <w:r w:rsidRPr="00367D24">
              <w:rPr>
                <w:rFonts w:ascii="Calibri" w:eastAsia="Times New Roman" w:hAnsi="Calibri" w:cs="Times New Roman"/>
                <w:color w:val="000000"/>
                <w:lang w:eastAsia="en-GB"/>
              </w:rPr>
              <w:t>congenital and fractures) - metabolic bone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6F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6F7" w14:textId="4A6605E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6F8" w14:textId="46FC3E8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98.33%</w:t>
            </w:r>
          </w:p>
        </w:tc>
        <w:tc>
          <w:tcPr>
            <w:tcW w:w="889" w:type="dxa"/>
            <w:tcBorders>
              <w:top w:val="nil"/>
              <w:left w:val="nil"/>
              <w:bottom w:val="single" w:sz="4" w:space="0" w:color="auto"/>
              <w:right w:val="single" w:sz="4" w:space="0" w:color="auto"/>
            </w:tcBorders>
            <w:shd w:val="clear" w:color="auto" w:fill="auto"/>
            <w:noWrap/>
            <w:vAlign w:val="center"/>
            <w:hideMark/>
          </w:tcPr>
          <w:p w14:paraId="610C36F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6FA" w14:textId="55F7F7A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6FB" w14:textId="24E441A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98.65%</w:t>
            </w:r>
          </w:p>
        </w:tc>
      </w:tr>
      <w:tr w:rsidR="00411450" w:rsidRPr="00367D24" w14:paraId="610C3706"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6FD" w14:textId="117946B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38</w:t>
            </w:r>
          </w:p>
        </w:tc>
        <w:tc>
          <w:tcPr>
            <w:tcW w:w="696" w:type="dxa"/>
            <w:tcBorders>
              <w:top w:val="nil"/>
              <w:left w:val="nil"/>
              <w:bottom w:val="single" w:sz="4" w:space="0" w:color="auto"/>
              <w:right w:val="single" w:sz="4" w:space="0" w:color="auto"/>
            </w:tcBorders>
            <w:shd w:val="clear" w:color="auto" w:fill="auto"/>
            <w:noWrap/>
            <w:vAlign w:val="center"/>
            <w:hideMark/>
          </w:tcPr>
          <w:p w14:paraId="610C36F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43</w:t>
            </w:r>
          </w:p>
        </w:tc>
        <w:tc>
          <w:tcPr>
            <w:tcW w:w="3163" w:type="dxa"/>
            <w:tcBorders>
              <w:top w:val="nil"/>
              <w:left w:val="nil"/>
              <w:bottom w:val="single" w:sz="4" w:space="0" w:color="auto"/>
              <w:right w:val="single" w:sz="4" w:space="0" w:color="auto"/>
            </w:tcBorders>
            <w:shd w:val="clear" w:color="auto" w:fill="auto"/>
            <w:vAlign w:val="center"/>
            <w:hideMark/>
          </w:tcPr>
          <w:p w14:paraId="610C36F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Bone, calcium, magnesium and phosphorus metabolism disorders </w:t>
            </w:r>
          </w:p>
        </w:tc>
        <w:tc>
          <w:tcPr>
            <w:tcW w:w="772" w:type="dxa"/>
            <w:tcBorders>
              <w:top w:val="nil"/>
              <w:left w:val="nil"/>
              <w:bottom w:val="single" w:sz="4" w:space="0" w:color="auto"/>
              <w:right w:val="single" w:sz="4" w:space="0" w:color="auto"/>
            </w:tcBorders>
            <w:shd w:val="clear" w:color="auto" w:fill="auto"/>
            <w:noWrap/>
            <w:vAlign w:val="center"/>
            <w:hideMark/>
          </w:tcPr>
          <w:p w14:paraId="610C370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701" w14:textId="63B816F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702" w14:textId="2855AD0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98.46%</w:t>
            </w:r>
          </w:p>
        </w:tc>
        <w:tc>
          <w:tcPr>
            <w:tcW w:w="889" w:type="dxa"/>
            <w:tcBorders>
              <w:top w:val="nil"/>
              <w:left w:val="nil"/>
              <w:bottom w:val="single" w:sz="4" w:space="0" w:color="auto"/>
              <w:right w:val="single" w:sz="4" w:space="0" w:color="auto"/>
            </w:tcBorders>
            <w:shd w:val="clear" w:color="auto" w:fill="auto"/>
            <w:noWrap/>
            <w:vAlign w:val="center"/>
            <w:hideMark/>
          </w:tcPr>
          <w:p w14:paraId="610C370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704" w14:textId="79DC320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705" w14:textId="0F77DE6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98.74%</w:t>
            </w:r>
          </w:p>
        </w:tc>
      </w:tr>
      <w:tr w:rsidR="00411450" w:rsidRPr="00367D24" w14:paraId="610C371B"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12" w14:textId="70B5E1A0"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40</w:t>
            </w:r>
          </w:p>
        </w:tc>
        <w:tc>
          <w:tcPr>
            <w:tcW w:w="696" w:type="dxa"/>
            <w:tcBorders>
              <w:top w:val="nil"/>
              <w:left w:val="nil"/>
              <w:bottom w:val="single" w:sz="4" w:space="0" w:color="auto"/>
              <w:right w:val="single" w:sz="4" w:space="0" w:color="auto"/>
            </w:tcBorders>
            <w:shd w:val="clear" w:color="auto" w:fill="auto"/>
            <w:noWrap/>
            <w:vAlign w:val="center"/>
            <w:hideMark/>
          </w:tcPr>
          <w:p w14:paraId="610C371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44</w:t>
            </w:r>
          </w:p>
        </w:tc>
        <w:tc>
          <w:tcPr>
            <w:tcW w:w="3163" w:type="dxa"/>
            <w:tcBorders>
              <w:top w:val="nil"/>
              <w:left w:val="nil"/>
              <w:bottom w:val="single" w:sz="4" w:space="0" w:color="auto"/>
              <w:right w:val="single" w:sz="4" w:space="0" w:color="auto"/>
            </w:tcBorders>
            <w:shd w:val="clear" w:color="auto" w:fill="auto"/>
            <w:vAlign w:val="center"/>
            <w:hideMark/>
          </w:tcPr>
          <w:p w14:paraId="610C371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Nephropathies </w:t>
            </w:r>
          </w:p>
        </w:tc>
        <w:tc>
          <w:tcPr>
            <w:tcW w:w="772" w:type="dxa"/>
            <w:tcBorders>
              <w:top w:val="nil"/>
              <w:left w:val="nil"/>
              <w:bottom w:val="single" w:sz="4" w:space="0" w:color="auto"/>
              <w:right w:val="single" w:sz="4" w:space="0" w:color="auto"/>
            </w:tcBorders>
            <w:shd w:val="clear" w:color="auto" w:fill="auto"/>
            <w:noWrap/>
            <w:vAlign w:val="center"/>
            <w:hideMark/>
          </w:tcPr>
          <w:p w14:paraId="610C371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716" w14:textId="009203D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717" w14:textId="7CA9396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98.71%</w:t>
            </w:r>
          </w:p>
        </w:tc>
        <w:tc>
          <w:tcPr>
            <w:tcW w:w="889" w:type="dxa"/>
            <w:tcBorders>
              <w:top w:val="nil"/>
              <w:left w:val="nil"/>
              <w:bottom w:val="single" w:sz="4" w:space="0" w:color="auto"/>
              <w:right w:val="single" w:sz="4" w:space="0" w:color="auto"/>
            </w:tcBorders>
            <w:shd w:val="clear" w:color="auto" w:fill="auto"/>
            <w:noWrap/>
            <w:vAlign w:val="center"/>
            <w:hideMark/>
          </w:tcPr>
          <w:p w14:paraId="610C371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719" w14:textId="030BDB0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71A" w14:textId="78DF040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98.92%</w:t>
            </w:r>
          </w:p>
        </w:tc>
      </w:tr>
      <w:tr w:rsidR="00411450" w:rsidRPr="00367D24" w14:paraId="610C3725"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1C" w14:textId="3D9FE47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41</w:t>
            </w:r>
          </w:p>
        </w:tc>
        <w:tc>
          <w:tcPr>
            <w:tcW w:w="696" w:type="dxa"/>
            <w:tcBorders>
              <w:top w:val="nil"/>
              <w:left w:val="nil"/>
              <w:bottom w:val="single" w:sz="4" w:space="0" w:color="auto"/>
              <w:right w:val="single" w:sz="4" w:space="0" w:color="auto"/>
            </w:tcBorders>
            <w:shd w:val="clear" w:color="auto" w:fill="auto"/>
            <w:noWrap/>
            <w:vAlign w:val="center"/>
            <w:hideMark/>
          </w:tcPr>
          <w:p w14:paraId="610C371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45</w:t>
            </w:r>
          </w:p>
        </w:tc>
        <w:tc>
          <w:tcPr>
            <w:tcW w:w="3163" w:type="dxa"/>
            <w:tcBorders>
              <w:top w:val="nil"/>
              <w:left w:val="nil"/>
              <w:bottom w:val="single" w:sz="4" w:space="0" w:color="auto"/>
              <w:right w:val="single" w:sz="4" w:space="0" w:color="auto"/>
            </w:tcBorders>
            <w:shd w:val="clear" w:color="auto" w:fill="auto"/>
            <w:vAlign w:val="center"/>
            <w:hideMark/>
          </w:tcPr>
          <w:p w14:paraId="610C371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Procedural related injuries and complications NEC - Cardiac and vascular procedural complications</w:t>
            </w:r>
          </w:p>
        </w:tc>
        <w:tc>
          <w:tcPr>
            <w:tcW w:w="772" w:type="dxa"/>
            <w:tcBorders>
              <w:top w:val="nil"/>
              <w:left w:val="nil"/>
              <w:bottom w:val="single" w:sz="4" w:space="0" w:color="auto"/>
              <w:right w:val="single" w:sz="4" w:space="0" w:color="auto"/>
            </w:tcBorders>
            <w:shd w:val="clear" w:color="auto" w:fill="auto"/>
            <w:noWrap/>
            <w:vAlign w:val="center"/>
            <w:hideMark/>
          </w:tcPr>
          <w:p w14:paraId="610C371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720" w14:textId="1EAB0C0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721" w14:textId="22F9B7B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98.84%</w:t>
            </w:r>
          </w:p>
        </w:tc>
        <w:tc>
          <w:tcPr>
            <w:tcW w:w="889" w:type="dxa"/>
            <w:tcBorders>
              <w:top w:val="nil"/>
              <w:left w:val="nil"/>
              <w:bottom w:val="single" w:sz="4" w:space="0" w:color="auto"/>
              <w:right w:val="single" w:sz="4" w:space="0" w:color="auto"/>
            </w:tcBorders>
            <w:shd w:val="clear" w:color="auto" w:fill="auto"/>
            <w:noWrap/>
            <w:vAlign w:val="center"/>
            <w:hideMark/>
          </w:tcPr>
          <w:p w14:paraId="610C372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723" w14:textId="6109F0B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724" w14:textId="5565C69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99.02%</w:t>
            </w:r>
          </w:p>
        </w:tc>
      </w:tr>
      <w:tr w:rsidR="00411450" w:rsidRPr="00367D24" w14:paraId="610C372F"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26" w14:textId="18F1873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43</w:t>
            </w:r>
          </w:p>
        </w:tc>
        <w:tc>
          <w:tcPr>
            <w:tcW w:w="696" w:type="dxa"/>
            <w:tcBorders>
              <w:top w:val="nil"/>
              <w:left w:val="nil"/>
              <w:bottom w:val="single" w:sz="4" w:space="0" w:color="auto"/>
              <w:right w:val="single" w:sz="4" w:space="0" w:color="auto"/>
            </w:tcBorders>
            <w:shd w:val="clear" w:color="auto" w:fill="auto"/>
            <w:noWrap/>
            <w:vAlign w:val="center"/>
            <w:hideMark/>
          </w:tcPr>
          <w:p w14:paraId="610C372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46</w:t>
            </w:r>
          </w:p>
        </w:tc>
        <w:tc>
          <w:tcPr>
            <w:tcW w:w="3163" w:type="dxa"/>
            <w:tcBorders>
              <w:top w:val="nil"/>
              <w:left w:val="nil"/>
              <w:bottom w:val="single" w:sz="4" w:space="0" w:color="auto"/>
              <w:right w:val="single" w:sz="4" w:space="0" w:color="auto"/>
            </w:tcBorders>
            <w:shd w:val="clear" w:color="auto" w:fill="auto"/>
            <w:vAlign w:val="center"/>
            <w:hideMark/>
          </w:tcPr>
          <w:p w14:paraId="610C372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White blood cell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72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897" w:type="dxa"/>
            <w:tcBorders>
              <w:top w:val="nil"/>
              <w:left w:val="nil"/>
              <w:bottom w:val="single" w:sz="4" w:space="0" w:color="auto"/>
              <w:right w:val="single" w:sz="4" w:space="0" w:color="auto"/>
            </w:tcBorders>
            <w:shd w:val="clear" w:color="auto" w:fill="auto"/>
            <w:noWrap/>
            <w:vAlign w:val="center"/>
            <w:hideMark/>
          </w:tcPr>
          <w:p w14:paraId="610C372A" w14:textId="3C80B50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72B" w14:textId="30AE628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98.84%</w:t>
            </w:r>
          </w:p>
        </w:tc>
        <w:tc>
          <w:tcPr>
            <w:tcW w:w="889" w:type="dxa"/>
            <w:tcBorders>
              <w:top w:val="nil"/>
              <w:left w:val="nil"/>
              <w:bottom w:val="single" w:sz="4" w:space="0" w:color="auto"/>
              <w:right w:val="single" w:sz="4" w:space="0" w:color="auto"/>
            </w:tcBorders>
            <w:shd w:val="clear" w:color="auto" w:fill="auto"/>
            <w:noWrap/>
            <w:vAlign w:val="center"/>
            <w:hideMark/>
          </w:tcPr>
          <w:p w14:paraId="610C372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72D" w14:textId="2D07A93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72E" w14:textId="19F395B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99.11%</w:t>
            </w:r>
          </w:p>
        </w:tc>
      </w:tr>
      <w:tr w:rsidR="00411450" w:rsidRPr="00367D24" w14:paraId="610C3739"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30" w14:textId="3106071B"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64</w:t>
            </w:r>
          </w:p>
        </w:tc>
        <w:tc>
          <w:tcPr>
            <w:tcW w:w="696" w:type="dxa"/>
            <w:tcBorders>
              <w:top w:val="nil"/>
              <w:left w:val="nil"/>
              <w:bottom w:val="single" w:sz="4" w:space="0" w:color="auto"/>
              <w:right w:val="single" w:sz="4" w:space="0" w:color="auto"/>
            </w:tcBorders>
            <w:shd w:val="clear" w:color="auto" w:fill="auto"/>
            <w:noWrap/>
            <w:vAlign w:val="center"/>
            <w:hideMark/>
          </w:tcPr>
          <w:p w14:paraId="610C373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47</w:t>
            </w:r>
          </w:p>
        </w:tc>
        <w:tc>
          <w:tcPr>
            <w:tcW w:w="3163" w:type="dxa"/>
            <w:tcBorders>
              <w:top w:val="nil"/>
              <w:left w:val="nil"/>
              <w:bottom w:val="single" w:sz="4" w:space="0" w:color="auto"/>
              <w:right w:val="single" w:sz="4" w:space="0" w:color="auto"/>
            </w:tcBorders>
            <w:shd w:val="clear" w:color="auto" w:fill="auto"/>
            <w:vAlign w:val="center"/>
            <w:hideMark/>
          </w:tcPr>
          <w:p w14:paraId="610C373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Missing</w:t>
            </w:r>
          </w:p>
        </w:tc>
        <w:tc>
          <w:tcPr>
            <w:tcW w:w="772" w:type="dxa"/>
            <w:tcBorders>
              <w:top w:val="nil"/>
              <w:left w:val="nil"/>
              <w:bottom w:val="single" w:sz="4" w:space="0" w:color="auto"/>
              <w:right w:val="single" w:sz="4" w:space="0" w:color="auto"/>
            </w:tcBorders>
            <w:shd w:val="clear" w:color="auto" w:fill="auto"/>
            <w:noWrap/>
            <w:vAlign w:val="center"/>
            <w:hideMark/>
          </w:tcPr>
          <w:p w14:paraId="610C373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0</w:t>
            </w:r>
          </w:p>
        </w:tc>
        <w:tc>
          <w:tcPr>
            <w:tcW w:w="897" w:type="dxa"/>
            <w:tcBorders>
              <w:top w:val="nil"/>
              <w:left w:val="nil"/>
              <w:bottom w:val="single" w:sz="4" w:space="0" w:color="auto"/>
              <w:right w:val="single" w:sz="4" w:space="0" w:color="auto"/>
            </w:tcBorders>
            <w:shd w:val="clear" w:color="auto" w:fill="auto"/>
            <w:noWrap/>
            <w:vAlign w:val="center"/>
            <w:hideMark/>
          </w:tcPr>
          <w:p w14:paraId="610C3734" w14:textId="30C2AB0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35" w14:textId="3727EB7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98.93%</w:t>
            </w:r>
          </w:p>
        </w:tc>
        <w:tc>
          <w:tcPr>
            <w:tcW w:w="889" w:type="dxa"/>
            <w:tcBorders>
              <w:top w:val="nil"/>
              <w:left w:val="nil"/>
              <w:bottom w:val="single" w:sz="4" w:space="0" w:color="auto"/>
              <w:right w:val="single" w:sz="4" w:space="0" w:color="auto"/>
            </w:tcBorders>
            <w:shd w:val="clear" w:color="auto" w:fill="auto"/>
            <w:noWrap/>
            <w:vAlign w:val="center"/>
            <w:hideMark/>
          </w:tcPr>
          <w:p w14:paraId="610C373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w:t>
            </w:r>
          </w:p>
        </w:tc>
        <w:tc>
          <w:tcPr>
            <w:tcW w:w="1004" w:type="dxa"/>
            <w:tcBorders>
              <w:top w:val="nil"/>
              <w:left w:val="nil"/>
              <w:bottom w:val="single" w:sz="4" w:space="0" w:color="auto"/>
              <w:right w:val="single" w:sz="4" w:space="0" w:color="auto"/>
            </w:tcBorders>
            <w:shd w:val="clear" w:color="auto" w:fill="auto"/>
            <w:noWrap/>
            <w:vAlign w:val="center"/>
            <w:hideMark/>
          </w:tcPr>
          <w:p w14:paraId="610C3737" w14:textId="1180BF0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38" w14:textId="132D02A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99.17%</w:t>
            </w:r>
          </w:p>
        </w:tc>
      </w:tr>
      <w:tr w:rsidR="00411450" w:rsidRPr="00367D24" w14:paraId="610C3743"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3A" w14:textId="5256AB7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44</w:t>
            </w:r>
          </w:p>
        </w:tc>
        <w:tc>
          <w:tcPr>
            <w:tcW w:w="696" w:type="dxa"/>
            <w:tcBorders>
              <w:top w:val="nil"/>
              <w:left w:val="nil"/>
              <w:bottom w:val="single" w:sz="4" w:space="0" w:color="auto"/>
              <w:right w:val="single" w:sz="4" w:space="0" w:color="auto"/>
            </w:tcBorders>
            <w:shd w:val="clear" w:color="auto" w:fill="auto"/>
            <w:noWrap/>
            <w:vAlign w:val="center"/>
            <w:hideMark/>
          </w:tcPr>
          <w:p w14:paraId="610C373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48</w:t>
            </w:r>
          </w:p>
        </w:tc>
        <w:tc>
          <w:tcPr>
            <w:tcW w:w="3163" w:type="dxa"/>
            <w:tcBorders>
              <w:top w:val="nil"/>
              <w:left w:val="nil"/>
              <w:bottom w:val="single" w:sz="4" w:space="0" w:color="auto"/>
              <w:right w:val="single" w:sz="4" w:space="0" w:color="auto"/>
            </w:tcBorders>
            <w:shd w:val="clear" w:color="auto" w:fill="auto"/>
            <w:vAlign w:val="center"/>
            <w:hideMark/>
          </w:tcPr>
          <w:p w14:paraId="610C373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Anterior eye structural change, deposit and degeneration</w:t>
            </w:r>
          </w:p>
        </w:tc>
        <w:tc>
          <w:tcPr>
            <w:tcW w:w="772" w:type="dxa"/>
            <w:tcBorders>
              <w:top w:val="nil"/>
              <w:left w:val="nil"/>
              <w:bottom w:val="single" w:sz="4" w:space="0" w:color="auto"/>
              <w:right w:val="single" w:sz="4" w:space="0" w:color="auto"/>
            </w:tcBorders>
            <w:shd w:val="clear" w:color="auto" w:fill="auto"/>
            <w:noWrap/>
            <w:vAlign w:val="center"/>
            <w:hideMark/>
          </w:tcPr>
          <w:p w14:paraId="610C373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3E" w14:textId="40CB805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3F" w14:textId="5A080C0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99.01%</w:t>
            </w:r>
          </w:p>
        </w:tc>
        <w:tc>
          <w:tcPr>
            <w:tcW w:w="889" w:type="dxa"/>
            <w:tcBorders>
              <w:top w:val="nil"/>
              <w:left w:val="nil"/>
              <w:bottom w:val="single" w:sz="4" w:space="0" w:color="auto"/>
              <w:right w:val="single" w:sz="4" w:space="0" w:color="auto"/>
            </w:tcBorders>
            <w:shd w:val="clear" w:color="auto" w:fill="auto"/>
            <w:noWrap/>
            <w:vAlign w:val="center"/>
            <w:hideMark/>
          </w:tcPr>
          <w:p w14:paraId="610C374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41" w14:textId="01C27B1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42" w14:textId="1CF9796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99.23%</w:t>
            </w:r>
          </w:p>
        </w:tc>
      </w:tr>
      <w:tr w:rsidR="00411450" w:rsidRPr="00367D24" w14:paraId="610C374D"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44" w14:textId="56E1091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45</w:t>
            </w:r>
          </w:p>
        </w:tc>
        <w:tc>
          <w:tcPr>
            <w:tcW w:w="696" w:type="dxa"/>
            <w:tcBorders>
              <w:top w:val="nil"/>
              <w:left w:val="nil"/>
              <w:bottom w:val="single" w:sz="4" w:space="0" w:color="auto"/>
              <w:right w:val="single" w:sz="4" w:space="0" w:color="auto"/>
            </w:tcBorders>
            <w:shd w:val="clear" w:color="auto" w:fill="auto"/>
            <w:noWrap/>
            <w:vAlign w:val="center"/>
            <w:hideMark/>
          </w:tcPr>
          <w:p w14:paraId="610C374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49</w:t>
            </w:r>
          </w:p>
        </w:tc>
        <w:tc>
          <w:tcPr>
            <w:tcW w:w="3163" w:type="dxa"/>
            <w:tcBorders>
              <w:top w:val="nil"/>
              <w:left w:val="nil"/>
              <w:bottom w:val="single" w:sz="4" w:space="0" w:color="auto"/>
              <w:right w:val="single" w:sz="4" w:space="0" w:color="auto"/>
            </w:tcBorders>
            <w:shd w:val="clear" w:color="auto" w:fill="auto"/>
            <w:vAlign w:val="center"/>
            <w:hideMark/>
          </w:tcPr>
          <w:p w14:paraId="610C374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Bone and joint injuries </w:t>
            </w:r>
          </w:p>
        </w:tc>
        <w:tc>
          <w:tcPr>
            <w:tcW w:w="772" w:type="dxa"/>
            <w:tcBorders>
              <w:top w:val="nil"/>
              <w:left w:val="nil"/>
              <w:bottom w:val="single" w:sz="4" w:space="0" w:color="auto"/>
              <w:right w:val="single" w:sz="4" w:space="0" w:color="auto"/>
            </w:tcBorders>
            <w:shd w:val="clear" w:color="auto" w:fill="auto"/>
            <w:noWrap/>
            <w:vAlign w:val="center"/>
            <w:hideMark/>
          </w:tcPr>
          <w:p w14:paraId="610C374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48" w14:textId="29B2250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49" w14:textId="3244580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99.10%</w:t>
            </w:r>
          </w:p>
        </w:tc>
        <w:tc>
          <w:tcPr>
            <w:tcW w:w="889" w:type="dxa"/>
            <w:tcBorders>
              <w:top w:val="nil"/>
              <w:left w:val="nil"/>
              <w:bottom w:val="single" w:sz="4" w:space="0" w:color="auto"/>
              <w:right w:val="single" w:sz="4" w:space="0" w:color="auto"/>
            </w:tcBorders>
            <w:shd w:val="clear" w:color="auto" w:fill="auto"/>
            <w:noWrap/>
            <w:vAlign w:val="center"/>
            <w:hideMark/>
          </w:tcPr>
          <w:p w14:paraId="610C374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4B" w14:textId="02F1415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4C" w14:textId="7C64365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99.29%</w:t>
            </w:r>
          </w:p>
        </w:tc>
      </w:tr>
      <w:tr w:rsidR="00411450" w:rsidRPr="00367D24" w14:paraId="610C3757"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4E" w14:textId="364D03D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46</w:t>
            </w:r>
          </w:p>
        </w:tc>
        <w:tc>
          <w:tcPr>
            <w:tcW w:w="696" w:type="dxa"/>
            <w:tcBorders>
              <w:top w:val="nil"/>
              <w:left w:val="nil"/>
              <w:bottom w:val="single" w:sz="4" w:space="0" w:color="auto"/>
              <w:right w:val="single" w:sz="4" w:space="0" w:color="auto"/>
            </w:tcBorders>
            <w:shd w:val="clear" w:color="auto" w:fill="auto"/>
            <w:noWrap/>
            <w:vAlign w:val="center"/>
            <w:hideMark/>
          </w:tcPr>
          <w:p w14:paraId="610C374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50</w:t>
            </w:r>
          </w:p>
        </w:tc>
        <w:tc>
          <w:tcPr>
            <w:tcW w:w="3163" w:type="dxa"/>
            <w:tcBorders>
              <w:top w:val="nil"/>
              <w:left w:val="nil"/>
              <w:bottom w:val="single" w:sz="4" w:space="0" w:color="auto"/>
              <w:right w:val="single" w:sz="4" w:space="0" w:color="auto"/>
            </w:tcBorders>
            <w:shd w:val="clear" w:color="auto" w:fill="auto"/>
            <w:vAlign w:val="center"/>
            <w:hideMark/>
          </w:tcPr>
          <w:p w14:paraId="610C375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Cardiac failure</w:t>
            </w:r>
          </w:p>
        </w:tc>
        <w:tc>
          <w:tcPr>
            <w:tcW w:w="772" w:type="dxa"/>
            <w:tcBorders>
              <w:top w:val="nil"/>
              <w:left w:val="nil"/>
              <w:bottom w:val="single" w:sz="4" w:space="0" w:color="auto"/>
              <w:right w:val="single" w:sz="4" w:space="0" w:color="auto"/>
            </w:tcBorders>
            <w:shd w:val="clear" w:color="auto" w:fill="auto"/>
            <w:vAlign w:val="center"/>
            <w:hideMark/>
          </w:tcPr>
          <w:p w14:paraId="610C375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52" w14:textId="2B8586F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53" w14:textId="3C98918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99.18%</w:t>
            </w:r>
          </w:p>
        </w:tc>
        <w:tc>
          <w:tcPr>
            <w:tcW w:w="889" w:type="dxa"/>
            <w:tcBorders>
              <w:top w:val="nil"/>
              <w:left w:val="nil"/>
              <w:bottom w:val="single" w:sz="4" w:space="0" w:color="auto"/>
              <w:right w:val="single" w:sz="4" w:space="0" w:color="auto"/>
            </w:tcBorders>
            <w:shd w:val="clear" w:color="auto" w:fill="auto"/>
            <w:noWrap/>
            <w:vAlign w:val="center"/>
            <w:hideMark/>
          </w:tcPr>
          <w:p w14:paraId="610C375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55" w14:textId="44136D9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56" w14:textId="385FFE4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99.35%</w:t>
            </w:r>
          </w:p>
        </w:tc>
      </w:tr>
      <w:tr w:rsidR="00411450" w:rsidRPr="00367D24" w14:paraId="610C3761"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58" w14:textId="2D51DAE8"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47</w:t>
            </w:r>
          </w:p>
        </w:tc>
        <w:tc>
          <w:tcPr>
            <w:tcW w:w="696" w:type="dxa"/>
            <w:tcBorders>
              <w:top w:val="nil"/>
              <w:left w:val="nil"/>
              <w:bottom w:val="single" w:sz="4" w:space="0" w:color="auto"/>
              <w:right w:val="single" w:sz="4" w:space="0" w:color="auto"/>
            </w:tcBorders>
            <w:shd w:val="clear" w:color="auto" w:fill="auto"/>
            <w:noWrap/>
            <w:vAlign w:val="center"/>
            <w:hideMark/>
          </w:tcPr>
          <w:p w14:paraId="610C375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51</w:t>
            </w:r>
          </w:p>
        </w:tc>
        <w:tc>
          <w:tcPr>
            <w:tcW w:w="3163" w:type="dxa"/>
            <w:tcBorders>
              <w:top w:val="nil"/>
              <w:left w:val="nil"/>
              <w:bottom w:val="single" w:sz="4" w:space="0" w:color="auto"/>
              <w:right w:val="single" w:sz="4" w:space="0" w:color="auto"/>
            </w:tcBorders>
            <w:shd w:val="clear" w:color="auto" w:fill="auto"/>
            <w:vAlign w:val="center"/>
            <w:hideMark/>
          </w:tcPr>
          <w:p w14:paraId="610C375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General system disorders NEC</w:t>
            </w:r>
          </w:p>
        </w:tc>
        <w:tc>
          <w:tcPr>
            <w:tcW w:w="772" w:type="dxa"/>
            <w:tcBorders>
              <w:top w:val="nil"/>
              <w:left w:val="nil"/>
              <w:bottom w:val="single" w:sz="4" w:space="0" w:color="auto"/>
              <w:right w:val="single" w:sz="4" w:space="0" w:color="auto"/>
            </w:tcBorders>
            <w:shd w:val="clear" w:color="auto" w:fill="auto"/>
            <w:noWrap/>
            <w:vAlign w:val="center"/>
            <w:hideMark/>
          </w:tcPr>
          <w:p w14:paraId="610C375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5C" w14:textId="55AA4A5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5D" w14:textId="00F220E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99.27%</w:t>
            </w:r>
          </w:p>
        </w:tc>
        <w:tc>
          <w:tcPr>
            <w:tcW w:w="889" w:type="dxa"/>
            <w:tcBorders>
              <w:top w:val="nil"/>
              <w:left w:val="nil"/>
              <w:bottom w:val="single" w:sz="4" w:space="0" w:color="auto"/>
              <w:right w:val="single" w:sz="4" w:space="0" w:color="auto"/>
            </w:tcBorders>
            <w:shd w:val="clear" w:color="auto" w:fill="auto"/>
            <w:noWrap/>
            <w:vAlign w:val="center"/>
            <w:hideMark/>
          </w:tcPr>
          <w:p w14:paraId="610C375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5F" w14:textId="63E5141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60" w14:textId="6640657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99.42%</w:t>
            </w:r>
          </w:p>
        </w:tc>
      </w:tr>
      <w:tr w:rsidR="00A64576" w:rsidRPr="00367D24" w14:paraId="00170486" w14:textId="77777777" w:rsidTr="006A7A6F">
        <w:trPr>
          <w:trHeight w:val="580"/>
        </w:trPr>
        <w:tc>
          <w:tcPr>
            <w:tcW w:w="7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483EA42" w14:textId="5856FC56" w:rsidR="00A64576" w:rsidRPr="00367D24" w:rsidRDefault="00F478FC"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Contd.</w:t>
            </w:r>
            <w:r w:rsidR="00A64576">
              <w:rPr>
                <w:rFonts w:ascii="Calibri" w:eastAsia="Times New Roman" w:hAnsi="Calibri" w:cs="Times New Roman"/>
                <w:b/>
                <w:bCs/>
                <w:color w:val="000000"/>
                <w:lang w:eastAsia="en-GB"/>
              </w:rPr>
              <w:t xml:space="preserve"> </w:t>
            </w:r>
            <w:r w:rsidR="00A64576" w:rsidRPr="00367D24">
              <w:rPr>
                <w:rFonts w:ascii="Calibri" w:eastAsia="Times New Roman" w:hAnsi="Calibri" w:cs="Times New Roman"/>
                <w:b/>
                <w:bCs/>
                <w:color w:val="000000"/>
                <w:lang w:eastAsia="en-GB"/>
              </w:rPr>
              <w:t>Rank</w:t>
            </w:r>
          </w:p>
        </w:tc>
        <w:tc>
          <w:tcPr>
            <w:tcW w:w="696" w:type="dxa"/>
            <w:tcBorders>
              <w:top w:val="single" w:sz="4" w:space="0" w:color="auto"/>
              <w:left w:val="nil"/>
              <w:bottom w:val="single" w:sz="4" w:space="0" w:color="auto"/>
              <w:right w:val="single" w:sz="4" w:space="0" w:color="auto"/>
            </w:tcBorders>
            <w:shd w:val="clear" w:color="000000" w:fill="E7E6E6"/>
            <w:vAlign w:val="center"/>
            <w:hideMark/>
          </w:tcPr>
          <w:p w14:paraId="33BEE08F"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Sens. R</w:t>
            </w:r>
            <w:r w:rsidRPr="00367D24">
              <w:rPr>
                <w:rFonts w:ascii="Calibri" w:eastAsia="Times New Roman" w:hAnsi="Calibri" w:cs="Times New Roman"/>
                <w:b/>
                <w:bCs/>
                <w:color w:val="000000"/>
                <w:lang w:eastAsia="en-GB"/>
              </w:rPr>
              <w:t>ank</w:t>
            </w:r>
          </w:p>
        </w:tc>
        <w:tc>
          <w:tcPr>
            <w:tcW w:w="3163" w:type="dxa"/>
            <w:tcBorders>
              <w:top w:val="single" w:sz="4" w:space="0" w:color="auto"/>
              <w:left w:val="nil"/>
              <w:bottom w:val="single" w:sz="4" w:space="0" w:color="auto"/>
              <w:right w:val="single" w:sz="4" w:space="0" w:color="auto"/>
            </w:tcBorders>
            <w:shd w:val="clear" w:color="000000" w:fill="E7E6E6"/>
            <w:vAlign w:val="center"/>
            <w:hideMark/>
          </w:tcPr>
          <w:p w14:paraId="3CB9AE15" w14:textId="77777777" w:rsidR="00A64576" w:rsidRPr="00367D24" w:rsidRDefault="00A64576" w:rsidP="006A7A6F">
            <w:pPr>
              <w:spacing w:after="0" w:line="240" w:lineRule="auto"/>
              <w:rPr>
                <w:rFonts w:ascii="Calibri" w:eastAsia="Times New Roman" w:hAnsi="Calibri" w:cs="Times New Roman"/>
                <w:b/>
                <w:bCs/>
                <w:color w:val="000000"/>
                <w:lang w:eastAsia="en-GB"/>
              </w:rPr>
            </w:pPr>
            <w:r w:rsidRPr="00367D24">
              <w:rPr>
                <w:rFonts w:ascii="Calibri" w:eastAsia="Times New Roman" w:hAnsi="Calibri" w:cs="Times New Roman"/>
                <w:b/>
                <w:bCs/>
                <w:color w:val="000000"/>
                <w:lang w:eastAsia="en-GB"/>
              </w:rPr>
              <w:t>ADR details</w:t>
            </w:r>
          </w:p>
        </w:tc>
        <w:tc>
          <w:tcPr>
            <w:tcW w:w="772" w:type="dxa"/>
            <w:tcBorders>
              <w:top w:val="single" w:sz="4" w:space="0" w:color="auto"/>
              <w:left w:val="nil"/>
              <w:bottom w:val="single" w:sz="4" w:space="0" w:color="auto"/>
              <w:right w:val="single" w:sz="4" w:space="0" w:color="auto"/>
            </w:tcBorders>
            <w:shd w:val="clear" w:color="000000" w:fill="E7E6E6"/>
            <w:vAlign w:val="center"/>
            <w:hideMark/>
          </w:tcPr>
          <w:p w14:paraId="3A583731"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Class.</w:t>
            </w:r>
            <w:r w:rsidRPr="00367D24">
              <w:rPr>
                <w:rFonts w:ascii="Calibri" w:eastAsia="Times New Roman" w:hAnsi="Calibri" w:cs="Times New Roman"/>
                <w:b/>
                <w:bCs/>
                <w:color w:val="000000"/>
                <w:lang w:eastAsia="en-GB"/>
              </w:rPr>
              <w:t xml:space="preserve"> n</w:t>
            </w:r>
          </w:p>
        </w:tc>
        <w:tc>
          <w:tcPr>
            <w:tcW w:w="897" w:type="dxa"/>
            <w:tcBorders>
              <w:top w:val="single" w:sz="4" w:space="0" w:color="auto"/>
              <w:left w:val="nil"/>
              <w:bottom w:val="single" w:sz="4" w:space="0" w:color="auto"/>
              <w:right w:val="single" w:sz="4" w:space="0" w:color="auto"/>
            </w:tcBorders>
            <w:shd w:val="clear" w:color="000000" w:fill="E7E6E6"/>
            <w:vAlign w:val="center"/>
            <w:hideMark/>
          </w:tcPr>
          <w:p w14:paraId="654A2B4A"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C</w:t>
            </w:r>
            <w:r w:rsidRPr="00367D24">
              <w:rPr>
                <w:rFonts w:ascii="Calibri" w:eastAsia="Times New Roman" w:hAnsi="Calibri" w:cs="Times New Roman"/>
                <w:b/>
                <w:bCs/>
                <w:color w:val="000000"/>
                <w:lang w:eastAsia="en-GB"/>
              </w:rPr>
              <w:t>lass.</w:t>
            </w:r>
          </w:p>
        </w:tc>
        <w:tc>
          <w:tcPr>
            <w:tcW w:w="954" w:type="dxa"/>
            <w:tcBorders>
              <w:top w:val="single" w:sz="4" w:space="0" w:color="auto"/>
              <w:left w:val="nil"/>
              <w:bottom w:val="single" w:sz="4" w:space="0" w:color="auto"/>
              <w:right w:val="single" w:sz="4" w:space="0" w:color="auto"/>
            </w:tcBorders>
            <w:shd w:val="clear" w:color="000000" w:fill="E7E6E6"/>
            <w:vAlign w:val="center"/>
            <w:hideMark/>
          </w:tcPr>
          <w:p w14:paraId="696BA393"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w:t>
            </w:r>
            <w:r>
              <w:rPr>
                <w:rFonts w:ascii="Calibri" w:eastAsia="Times New Roman" w:hAnsi="Calibri" w:cs="Times New Roman"/>
                <w:b/>
                <w:bCs/>
                <w:color w:val="000000"/>
                <w:lang w:eastAsia="en-GB"/>
              </w:rPr>
              <w:t xml:space="preserve"> C</w:t>
            </w:r>
            <w:r w:rsidRPr="00367D24">
              <w:rPr>
                <w:rFonts w:ascii="Calibri" w:eastAsia="Times New Roman" w:hAnsi="Calibri" w:cs="Times New Roman"/>
                <w:b/>
                <w:bCs/>
                <w:color w:val="000000"/>
                <w:lang w:eastAsia="en-GB"/>
              </w:rPr>
              <w:t>lass.</w:t>
            </w:r>
          </w:p>
        </w:tc>
        <w:tc>
          <w:tcPr>
            <w:tcW w:w="889" w:type="dxa"/>
            <w:tcBorders>
              <w:top w:val="single" w:sz="4" w:space="0" w:color="auto"/>
              <w:left w:val="nil"/>
              <w:bottom w:val="single" w:sz="4" w:space="0" w:color="auto"/>
              <w:right w:val="single" w:sz="4" w:space="0" w:color="auto"/>
            </w:tcBorders>
            <w:shd w:val="clear" w:color="000000" w:fill="E7E6E6"/>
            <w:vAlign w:val="center"/>
            <w:hideMark/>
          </w:tcPr>
          <w:p w14:paraId="616F3B9B"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w:t>
            </w:r>
            <w:r w:rsidRPr="00367D24">
              <w:rPr>
                <w:rFonts w:ascii="Calibri" w:eastAsia="Times New Roman" w:hAnsi="Calibri" w:cs="Times New Roman"/>
                <w:b/>
                <w:bCs/>
                <w:color w:val="000000"/>
                <w:lang w:eastAsia="en-GB"/>
              </w:rPr>
              <w:t>ens</w:t>
            </w:r>
            <w:r>
              <w:rPr>
                <w:rFonts w:ascii="Calibri" w:eastAsia="Times New Roman" w:hAnsi="Calibri" w:cs="Times New Roman"/>
                <w:b/>
                <w:bCs/>
                <w:color w:val="000000"/>
                <w:lang w:eastAsia="en-GB"/>
              </w:rPr>
              <w:t xml:space="preserve">. </w:t>
            </w:r>
            <w:r w:rsidRPr="00367D24">
              <w:rPr>
                <w:rFonts w:ascii="Calibri" w:eastAsia="Times New Roman" w:hAnsi="Calibri" w:cs="Times New Roman"/>
                <w:b/>
                <w:bCs/>
                <w:color w:val="000000"/>
                <w:lang w:eastAsia="en-GB"/>
              </w:rPr>
              <w:t>n</w:t>
            </w:r>
          </w:p>
        </w:tc>
        <w:tc>
          <w:tcPr>
            <w:tcW w:w="1004" w:type="dxa"/>
            <w:tcBorders>
              <w:top w:val="single" w:sz="4" w:space="0" w:color="auto"/>
              <w:left w:val="nil"/>
              <w:bottom w:val="single" w:sz="4" w:space="0" w:color="auto"/>
              <w:right w:val="single" w:sz="4" w:space="0" w:color="auto"/>
            </w:tcBorders>
            <w:shd w:val="clear" w:color="000000" w:fill="E7E6E6"/>
            <w:vAlign w:val="center"/>
            <w:hideMark/>
          </w:tcPr>
          <w:p w14:paraId="034E9728"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 S</w:t>
            </w:r>
            <w:r w:rsidRPr="00367D24">
              <w:rPr>
                <w:rFonts w:ascii="Calibri" w:eastAsia="Times New Roman" w:hAnsi="Calibri" w:cs="Times New Roman"/>
                <w:b/>
                <w:bCs/>
                <w:color w:val="000000"/>
                <w:lang w:eastAsia="en-GB"/>
              </w:rPr>
              <w:t>ens.</w:t>
            </w:r>
          </w:p>
        </w:tc>
        <w:tc>
          <w:tcPr>
            <w:tcW w:w="993" w:type="dxa"/>
            <w:tcBorders>
              <w:top w:val="single" w:sz="4" w:space="0" w:color="auto"/>
              <w:left w:val="nil"/>
              <w:bottom w:val="single" w:sz="4" w:space="0" w:color="auto"/>
              <w:right w:val="single" w:sz="4" w:space="0" w:color="auto"/>
            </w:tcBorders>
            <w:shd w:val="clear" w:color="000000" w:fill="E7E6E6"/>
            <w:vAlign w:val="center"/>
            <w:hideMark/>
          </w:tcPr>
          <w:p w14:paraId="790997F2" w14:textId="77777777" w:rsidR="00A64576" w:rsidRPr="00367D24" w:rsidRDefault="00A64576" w:rsidP="006A7A6F">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C</w:t>
            </w:r>
            <w:r w:rsidRPr="00367D24">
              <w:rPr>
                <w:rFonts w:ascii="Calibri" w:eastAsia="Times New Roman" w:hAnsi="Calibri" w:cs="Times New Roman"/>
                <w:b/>
                <w:bCs/>
                <w:color w:val="000000"/>
                <w:lang w:eastAsia="en-GB"/>
              </w:rPr>
              <w:t>umul. sens.</w:t>
            </w:r>
          </w:p>
        </w:tc>
      </w:tr>
      <w:tr w:rsidR="00411450" w:rsidRPr="00367D24" w14:paraId="610C376B"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62" w14:textId="14B9B5F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48</w:t>
            </w:r>
          </w:p>
        </w:tc>
        <w:tc>
          <w:tcPr>
            <w:tcW w:w="696" w:type="dxa"/>
            <w:tcBorders>
              <w:top w:val="nil"/>
              <w:left w:val="nil"/>
              <w:bottom w:val="single" w:sz="4" w:space="0" w:color="auto"/>
              <w:right w:val="single" w:sz="4" w:space="0" w:color="auto"/>
            </w:tcBorders>
            <w:shd w:val="clear" w:color="auto" w:fill="auto"/>
            <w:noWrap/>
            <w:vAlign w:val="center"/>
            <w:hideMark/>
          </w:tcPr>
          <w:p w14:paraId="610C376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52</w:t>
            </w:r>
          </w:p>
        </w:tc>
        <w:tc>
          <w:tcPr>
            <w:tcW w:w="3163" w:type="dxa"/>
            <w:tcBorders>
              <w:top w:val="nil"/>
              <w:left w:val="nil"/>
              <w:bottom w:val="single" w:sz="4" w:space="0" w:color="auto"/>
              <w:right w:val="single" w:sz="4" w:space="0" w:color="auto"/>
            </w:tcBorders>
            <w:shd w:val="clear" w:color="auto" w:fill="auto"/>
            <w:vAlign w:val="center"/>
            <w:hideMark/>
          </w:tcPr>
          <w:p w14:paraId="610C376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Glaucoma and ocular hypertension </w:t>
            </w:r>
          </w:p>
        </w:tc>
        <w:tc>
          <w:tcPr>
            <w:tcW w:w="772" w:type="dxa"/>
            <w:tcBorders>
              <w:top w:val="nil"/>
              <w:left w:val="nil"/>
              <w:bottom w:val="single" w:sz="4" w:space="0" w:color="auto"/>
              <w:right w:val="single" w:sz="4" w:space="0" w:color="auto"/>
            </w:tcBorders>
            <w:shd w:val="clear" w:color="auto" w:fill="auto"/>
            <w:noWrap/>
            <w:vAlign w:val="center"/>
            <w:hideMark/>
          </w:tcPr>
          <w:p w14:paraId="610C376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66" w14:textId="6771EA1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67" w14:textId="182DE1C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99.31%</w:t>
            </w:r>
          </w:p>
        </w:tc>
        <w:tc>
          <w:tcPr>
            <w:tcW w:w="889" w:type="dxa"/>
            <w:tcBorders>
              <w:top w:val="nil"/>
              <w:left w:val="nil"/>
              <w:bottom w:val="single" w:sz="4" w:space="0" w:color="auto"/>
              <w:right w:val="single" w:sz="4" w:space="0" w:color="auto"/>
            </w:tcBorders>
            <w:shd w:val="clear" w:color="auto" w:fill="auto"/>
            <w:noWrap/>
            <w:vAlign w:val="center"/>
            <w:hideMark/>
          </w:tcPr>
          <w:p w14:paraId="610C376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69" w14:textId="333B40F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6A" w14:textId="0338545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99.48%</w:t>
            </w:r>
          </w:p>
        </w:tc>
      </w:tr>
      <w:tr w:rsidR="00411450" w:rsidRPr="00367D24" w14:paraId="610C3775"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6C" w14:textId="0060B84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56</w:t>
            </w:r>
          </w:p>
        </w:tc>
        <w:tc>
          <w:tcPr>
            <w:tcW w:w="696" w:type="dxa"/>
            <w:tcBorders>
              <w:top w:val="nil"/>
              <w:left w:val="nil"/>
              <w:bottom w:val="single" w:sz="4" w:space="0" w:color="auto"/>
              <w:right w:val="single" w:sz="4" w:space="0" w:color="auto"/>
            </w:tcBorders>
            <w:shd w:val="clear" w:color="auto" w:fill="auto"/>
            <w:noWrap/>
            <w:vAlign w:val="center"/>
            <w:hideMark/>
          </w:tcPr>
          <w:p w14:paraId="610C376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53</w:t>
            </w:r>
          </w:p>
        </w:tc>
        <w:tc>
          <w:tcPr>
            <w:tcW w:w="3163" w:type="dxa"/>
            <w:tcBorders>
              <w:top w:val="nil"/>
              <w:left w:val="nil"/>
              <w:bottom w:val="single" w:sz="4" w:space="0" w:color="auto"/>
              <w:right w:val="single" w:sz="4" w:space="0" w:color="auto"/>
            </w:tcBorders>
            <w:shd w:val="clear" w:color="auto" w:fill="auto"/>
            <w:vAlign w:val="center"/>
            <w:hideMark/>
          </w:tcPr>
          <w:p w14:paraId="610C376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Muscle disorders</w:t>
            </w:r>
          </w:p>
        </w:tc>
        <w:tc>
          <w:tcPr>
            <w:tcW w:w="772" w:type="dxa"/>
            <w:tcBorders>
              <w:top w:val="nil"/>
              <w:left w:val="nil"/>
              <w:bottom w:val="single" w:sz="4" w:space="0" w:color="auto"/>
              <w:right w:val="single" w:sz="4" w:space="0" w:color="auto"/>
            </w:tcBorders>
            <w:shd w:val="clear" w:color="auto" w:fill="auto"/>
            <w:noWrap/>
            <w:vAlign w:val="center"/>
            <w:hideMark/>
          </w:tcPr>
          <w:p w14:paraId="610C376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70" w14:textId="23087D2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71" w14:textId="17B6EC9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99.40%</w:t>
            </w:r>
          </w:p>
        </w:tc>
        <w:tc>
          <w:tcPr>
            <w:tcW w:w="889" w:type="dxa"/>
            <w:tcBorders>
              <w:top w:val="nil"/>
              <w:left w:val="nil"/>
              <w:bottom w:val="single" w:sz="4" w:space="0" w:color="auto"/>
              <w:right w:val="single" w:sz="4" w:space="0" w:color="auto"/>
            </w:tcBorders>
            <w:shd w:val="clear" w:color="auto" w:fill="auto"/>
            <w:noWrap/>
            <w:vAlign w:val="center"/>
            <w:hideMark/>
          </w:tcPr>
          <w:p w14:paraId="610C377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73" w14:textId="5F9EFAA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74" w14:textId="7103A3E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99.54%</w:t>
            </w:r>
          </w:p>
        </w:tc>
      </w:tr>
      <w:tr w:rsidR="00411450" w:rsidRPr="00367D24" w14:paraId="610C377F"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76" w14:textId="6FC3C68B"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49</w:t>
            </w:r>
          </w:p>
        </w:tc>
        <w:tc>
          <w:tcPr>
            <w:tcW w:w="696" w:type="dxa"/>
            <w:tcBorders>
              <w:top w:val="nil"/>
              <w:left w:val="nil"/>
              <w:bottom w:val="single" w:sz="4" w:space="0" w:color="auto"/>
              <w:right w:val="single" w:sz="4" w:space="0" w:color="auto"/>
            </w:tcBorders>
            <w:shd w:val="clear" w:color="auto" w:fill="auto"/>
            <w:noWrap/>
            <w:vAlign w:val="center"/>
            <w:hideMark/>
          </w:tcPr>
          <w:p w14:paraId="610C377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54</w:t>
            </w:r>
          </w:p>
        </w:tc>
        <w:tc>
          <w:tcPr>
            <w:tcW w:w="3163" w:type="dxa"/>
            <w:tcBorders>
              <w:top w:val="nil"/>
              <w:left w:val="nil"/>
              <w:bottom w:val="single" w:sz="4" w:space="0" w:color="auto"/>
              <w:right w:val="single" w:sz="4" w:space="0" w:color="auto"/>
            </w:tcBorders>
            <w:shd w:val="clear" w:color="auto" w:fill="auto"/>
            <w:vAlign w:val="center"/>
            <w:hideMark/>
          </w:tcPr>
          <w:p w14:paraId="610C377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Oral soft tissue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77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7A" w14:textId="33B4963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7B" w14:textId="31F36AA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99.49%</w:t>
            </w:r>
          </w:p>
        </w:tc>
        <w:tc>
          <w:tcPr>
            <w:tcW w:w="889" w:type="dxa"/>
            <w:tcBorders>
              <w:top w:val="nil"/>
              <w:left w:val="nil"/>
              <w:bottom w:val="single" w:sz="4" w:space="0" w:color="auto"/>
              <w:right w:val="single" w:sz="4" w:space="0" w:color="auto"/>
            </w:tcBorders>
            <w:shd w:val="clear" w:color="auto" w:fill="auto"/>
            <w:noWrap/>
            <w:vAlign w:val="center"/>
            <w:hideMark/>
          </w:tcPr>
          <w:p w14:paraId="610C377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7D" w14:textId="624FB57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7E" w14:textId="26F0F7B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99.60%</w:t>
            </w:r>
          </w:p>
        </w:tc>
      </w:tr>
      <w:tr w:rsidR="00411450" w:rsidRPr="00367D24" w14:paraId="610C3789"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80" w14:textId="7AD0A770"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50</w:t>
            </w:r>
          </w:p>
        </w:tc>
        <w:tc>
          <w:tcPr>
            <w:tcW w:w="696" w:type="dxa"/>
            <w:tcBorders>
              <w:top w:val="nil"/>
              <w:left w:val="nil"/>
              <w:bottom w:val="single" w:sz="4" w:space="0" w:color="auto"/>
              <w:right w:val="single" w:sz="4" w:space="0" w:color="auto"/>
            </w:tcBorders>
            <w:shd w:val="clear" w:color="auto" w:fill="auto"/>
            <w:noWrap/>
            <w:vAlign w:val="center"/>
            <w:hideMark/>
          </w:tcPr>
          <w:p w14:paraId="610C378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55</w:t>
            </w:r>
          </w:p>
        </w:tc>
        <w:tc>
          <w:tcPr>
            <w:tcW w:w="3163" w:type="dxa"/>
            <w:tcBorders>
              <w:top w:val="nil"/>
              <w:left w:val="nil"/>
              <w:bottom w:val="single" w:sz="4" w:space="0" w:color="auto"/>
              <w:right w:val="single" w:sz="4" w:space="0" w:color="auto"/>
            </w:tcBorders>
            <w:shd w:val="clear" w:color="auto" w:fill="auto"/>
            <w:vAlign w:val="center"/>
            <w:hideMark/>
          </w:tcPr>
          <w:p w14:paraId="610C378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Seizures (incl</w:t>
            </w:r>
            <w:r>
              <w:rPr>
                <w:rFonts w:ascii="Calibri" w:eastAsia="Times New Roman" w:hAnsi="Calibri" w:cs="Times New Roman"/>
                <w:color w:val="000000"/>
                <w:lang w:eastAsia="en-GB"/>
              </w:rPr>
              <w:t>.</w:t>
            </w:r>
            <w:r w:rsidRPr="00367D24">
              <w:rPr>
                <w:rFonts w:ascii="Calibri" w:eastAsia="Times New Roman" w:hAnsi="Calibri" w:cs="Times New Roman"/>
                <w:color w:val="000000"/>
                <w:lang w:eastAsia="en-GB"/>
              </w:rPr>
              <w:t xml:space="preserve"> subtypes) </w:t>
            </w:r>
          </w:p>
        </w:tc>
        <w:tc>
          <w:tcPr>
            <w:tcW w:w="772" w:type="dxa"/>
            <w:tcBorders>
              <w:top w:val="nil"/>
              <w:left w:val="nil"/>
              <w:bottom w:val="single" w:sz="4" w:space="0" w:color="auto"/>
              <w:right w:val="single" w:sz="4" w:space="0" w:color="auto"/>
            </w:tcBorders>
            <w:shd w:val="clear" w:color="auto" w:fill="auto"/>
            <w:noWrap/>
            <w:vAlign w:val="center"/>
            <w:hideMark/>
          </w:tcPr>
          <w:p w14:paraId="610C378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84" w14:textId="055CC3E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54" w:type="dxa"/>
            <w:tcBorders>
              <w:top w:val="nil"/>
              <w:left w:val="nil"/>
              <w:bottom w:val="single" w:sz="4" w:space="0" w:color="auto"/>
              <w:right w:val="single" w:sz="4" w:space="0" w:color="auto"/>
            </w:tcBorders>
            <w:shd w:val="clear" w:color="auto" w:fill="auto"/>
            <w:noWrap/>
            <w:vAlign w:val="center"/>
            <w:hideMark/>
          </w:tcPr>
          <w:p w14:paraId="610C3785" w14:textId="52D4889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99.57%</w:t>
            </w:r>
          </w:p>
        </w:tc>
        <w:tc>
          <w:tcPr>
            <w:tcW w:w="889" w:type="dxa"/>
            <w:tcBorders>
              <w:top w:val="nil"/>
              <w:left w:val="nil"/>
              <w:bottom w:val="single" w:sz="4" w:space="0" w:color="auto"/>
              <w:right w:val="single" w:sz="4" w:space="0" w:color="auto"/>
            </w:tcBorders>
            <w:shd w:val="clear" w:color="auto" w:fill="auto"/>
            <w:noWrap/>
            <w:vAlign w:val="center"/>
            <w:hideMark/>
          </w:tcPr>
          <w:p w14:paraId="610C378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87" w14:textId="3E89564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0.06%</w:t>
            </w:r>
          </w:p>
        </w:tc>
        <w:tc>
          <w:tcPr>
            <w:tcW w:w="993" w:type="dxa"/>
            <w:tcBorders>
              <w:top w:val="nil"/>
              <w:left w:val="nil"/>
              <w:bottom w:val="single" w:sz="4" w:space="0" w:color="auto"/>
              <w:right w:val="single" w:sz="4" w:space="0" w:color="auto"/>
            </w:tcBorders>
            <w:shd w:val="clear" w:color="auto" w:fill="auto"/>
            <w:noWrap/>
            <w:vAlign w:val="center"/>
            <w:hideMark/>
          </w:tcPr>
          <w:p w14:paraId="610C3788" w14:textId="35C0F0C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99.66%</w:t>
            </w:r>
          </w:p>
        </w:tc>
      </w:tr>
      <w:tr w:rsidR="00411450" w:rsidRPr="00367D24" w14:paraId="610C3793" w14:textId="77777777" w:rsidTr="008937F3">
        <w:trPr>
          <w:trHeight w:val="58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8A" w14:textId="404420F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51</w:t>
            </w:r>
          </w:p>
        </w:tc>
        <w:tc>
          <w:tcPr>
            <w:tcW w:w="696" w:type="dxa"/>
            <w:tcBorders>
              <w:top w:val="nil"/>
              <w:left w:val="nil"/>
              <w:bottom w:val="single" w:sz="4" w:space="0" w:color="auto"/>
              <w:right w:val="single" w:sz="4" w:space="0" w:color="auto"/>
            </w:tcBorders>
            <w:shd w:val="clear" w:color="auto" w:fill="auto"/>
            <w:noWrap/>
            <w:vAlign w:val="center"/>
            <w:hideMark/>
          </w:tcPr>
          <w:p w14:paraId="610C378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56</w:t>
            </w:r>
          </w:p>
        </w:tc>
        <w:tc>
          <w:tcPr>
            <w:tcW w:w="3163" w:type="dxa"/>
            <w:tcBorders>
              <w:top w:val="nil"/>
              <w:left w:val="nil"/>
              <w:bottom w:val="single" w:sz="4" w:space="0" w:color="auto"/>
              <w:right w:val="single" w:sz="4" w:space="0" w:color="auto"/>
            </w:tcBorders>
            <w:shd w:val="clear" w:color="auto" w:fill="auto"/>
            <w:vAlign w:val="center"/>
            <w:hideMark/>
          </w:tcPr>
          <w:p w14:paraId="610C378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Toxicology and therapeutic drug monitoring - antibiotic level</w:t>
            </w:r>
          </w:p>
        </w:tc>
        <w:tc>
          <w:tcPr>
            <w:tcW w:w="772" w:type="dxa"/>
            <w:tcBorders>
              <w:top w:val="nil"/>
              <w:left w:val="nil"/>
              <w:bottom w:val="single" w:sz="4" w:space="0" w:color="auto"/>
              <w:right w:val="single" w:sz="4" w:space="0" w:color="auto"/>
            </w:tcBorders>
            <w:shd w:val="clear" w:color="auto" w:fill="auto"/>
            <w:noWrap/>
            <w:vAlign w:val="center"/>
            <w:hideMark/>
          </w:tcPr>
          <w:p w14:paraId="610C378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897" w:type="dxa"/>
            <w:tcBorders>
              <w:top w:val="nil"/>
              <w:left w:val="nil"/>
              <w:bottom w:val="single" w:sz="4" w:space="0" w:color="auto"/>
              <w:right w:val="single" w:sz="4" w:space="0" w:color="auto"/>
            </w:tcBorders>
            <w:shd w:val="clear" w:color="auto" w:fill="auto"/>
            <w:noWrap/>
            <w:vAlign w:val="center"/>
            <w:hideMark/>
          </w:tcPr>
          <w:p w14:paraId="610C378E" w14:textId="45E231E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8F" w14:textId="11A221F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99.61%</w:t>
            </w:r>
          </w:p>
        </w:tc>
        <w:tc>
          <w:tcPr>
            <w:tcW w:w="889" w:type="dxa"/>
            <w:tcBorders>
              <w:top w:val="nil"/>
              <w:left w:val="nil"/>
              <w:bottom w:val="single" w:sz="4" w:space="0" w:color="auto"/>
              <w:right w:val="single" w:sz="4" w:space="0" w:color="auto"/>
            </w:tcBorders>
            <w:shd w:val="clear" w:color="auto" w:fill="auto"/>
            <w:noWrap/>
            <w:vAlign w:val="center"/>
            <w:hideMark/>
          </w:tcPr>
          <w:p w14:paraId="610C379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w:t>
            </w:r>
          </w:p>
        </w:tc>
        <w:tc>
          <w:tcPr>
            <w:tcW w:w="1004" w:type="dxa"/>
            <w:tcBorders>
              <w:top w:val="nil"/>
              <w:left w:val="nil"/>
              <w:bottom w:val="single" w:sz="4" w:space="0" w:color="auto"/>
              <w:right w:val="single" w:sz="4" w:space="0" w:color="auto"/>
            </w:tcBorders>
            <w:shd w:val="clear" w:color="auto" w:fill="auto"/>
            <w:noWrap/>
            <w:vAlign w:val="center"/>
            <w:hideMark/>
          </w:tcPr>
          <w:p w14:paraId="610C3791" w14:textId="6FE9D06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92" w14:textId="77EDF9F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99.69%</w:t>
            </w:r>
          </w:p>
        </w:tc>
      </w:tr>
      <w:tr w:rsidR="00411450" w:rsidRPr="00367D24" w14:paraId="610C379D"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94" w14:textId="7EEF8BBA"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52</w:t>
            </w:r>
          </w:p>
        </w:tc>
        <w:tc>
          <w:tcPr>
            <w:tcW w:w="696" w:type="dxa"/>
            <w:tcBorders>
              <w:top w:val="nil"/>
              <w:left w:val="nil"/>
              <w:bottom w:val="single" w:sz="4" w:space="0" w:color="auto"/>
              <w:right w:val="single" w:sz="4" w:space="0" w:color="auto"/>
            </w:tcBorders>
            <w:shd w:val="clear" w:color="auto" w:fill="auto"/>
            <w:noWrap/>
            <w:vAlign w:val="center"/>
            <w:hideMark/>
          </w:tcPr>
          <w:p w14:paraId="610C379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57</w:t>
            </w:r>
          </w:p>
        </w:tc>
        <w:tc>
          <w:tcPr>
            <w:tcW w:w="3163" w:type="dxa"/>
            <w:tcBorders>
              <w:top w:val="nil"/>
              <w:left w:val="nil"/>
              <w:bottom w:val="single" w:sz="4" w:space="0" w:color="auto"/>
              <w:right w:val="single" w:sz="4" w:space="0" w:color="auto"/>
            </w:tcBorders>
            <w:shd w:val="clear" w:color="auto" w:fill="auto"/>
            <w:vAlign w:val="center"/>
            <w:hideMark/>
          </w:tcPr>
          <w:p w14:paraId="610C379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Asthenic conditions </w:t>
            </w:r>
          </w:p>
        </w:tc>
        <w:tc>
          <w:tcPr>
            <w:tcW w:w="772" w:type="dxa"/>
            <w:tcBorders>
              <w:top w:val="nil"/>
              <w:left w:val="nil"/>
              <w:bottom w:val="single" w:sz="4" w:space="0" w:color="auto"/>
              <w:right w:val="single" w:sz="4" w:space="0" w:color="auto"/>
            </w:tcBorders>
            <w:shd w:val="clear" w:color="auto" w:fill="auto"/>
            <w:noWrap/>
            <w:vAlign w:val="center"/>
            <w:hideMark/>
          </w:tcPr>
          <w:p w14:paraId="610C379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98" w14:textId="7F9AF85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99" w14:textId="7736987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99.66%</w:t>
            </w:r>
          </w:p>
        </w:tc>
        <w:tc>
          <w:tcPr>
            <w:tcW w:w="889" w:type="dxa"/>
            <w:tcBorders>
              <w:top w:val="nil"/>
              <w:left w:val="nil"/>
              <w:bottom w:val="single" w:sz="4" w:space="0" w:color="auto"/>
              <w:right w:val="single" w:sz="4" w:space="0" w:color="auto"/>
            </w:tcBorders>
            <w:shd w:val="clear" w:color="auto" w:fill="auto"/>
            <w:noWrap/>
            <w:vAlign w:val="center"/>
            <w:hideMark/>
          </w:tcPr>
          <w:p w14:paraId="610C379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9B" w14:textId="04850719"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9C" w14:textId="7E6DFE2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99.72%</w:t>
            </w:r>
          </w:p>
        </w:tc>
      </w:tr>
      <w:tr w:rsidR="00411450" w:rsidRPr="00367D24" w14:paraId="610C37A7"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9E" w14:textId="70C89F52"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53</w:t>
            </w:r>
          </w:p>
        </w:tc>
        <w:tc>
          <w:tcPr>
            <w:tcW w:w="696" w:type="dxa"/>
            <w:tcBorders>
              <w:top w:val="nil"/>
              <w:left w:val="nil"/>
              <w:bottom w:val="single" w:sz="4" w:space="0" w:color="auto"/>
              <w:right w:val="single" w:sz="4" w:space="0" w:color="auto"/>
            </w:tcBorders>
            <w:shd w:val="clear" w:color="auto" w:fill="auto"/>
            <w:noWrap/>
            <w:vAlign w:val="center"/>
            <w:hideMark/>
          </w:tcPr>
          <w:p w14:paraId="610C379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58</w:t>
            </w:r>
          </w:p>
        </w:tc>
        <w:tc>
          <w:tcPr>
            <w:tcW w:w="3163" w:type="dxa"/>
            <w:tcBorders>
              <w:top w:val="nil"/>
              <w:left w:val="nil"/>
              <w:bottom w:val="single" w:sz="4" w:space="0" w:color="auto"/>
              <w:right w:val="single" w:sz="4" w:space="0" w:color="auto"/>
            </w:tcBorders>
            <w:shd w:val="clear" w:color="auto" w:fill="auto"/>
            <w:vAlign w:val="center"/>
            <w:hideMark/>
          </w:tcPr>
          <w:p w14:paraId="610C37A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Chest pain</w:t>
            </w:r>
          </w:p>
        </w:tc>
        <w:tc>
          <w:tcPr>
            <w:tcW w:w="772" w:type="dxa"/>
            <w:tcBorders>
              <w:top w:val="nil"/>
              <w:left w:val="nil"/>
              <w:bottom w:val="single" w:sz="4" w:space="0" w:color="auto"/>
              <w:right w:val="single" w:sz="4" w:space="0" w:color="auto"/>
            </w:tcBorders>
            <w:shd w:val="clear" w:color="auto" w:fill="auto"/>
            <w:noWrap/>
            <w:vAlign w:val="center"/>
            <w:hideMark/>
          </w:tcPr>
          <w:p w14:paraId="610C37A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A2" w14:textId="5CBC279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A3" w14:textId="3947846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99.70%</w:t>
            </w:r>
          </w:p>
        </w:tc>
        <w:tc>
          <w:tcPr>
            <w:tcW w:w="889" w:type="dxa"/>
            <w:tcBorders>
              <w:top w:val="nil"/>
              <w:left w:val="nil"/>
              <w:bottom w:val="single" w:sz="4" w:space="0" w:color="auto"/>
              <w:right w:val="single" w:sz="4" w:space="0" w:color="auto"/>
            </w:tcBorders>
            <w:shd w:val="clear" w:color="auto" w:fill="auto"/>
            <w:noWrap/>
            <w:vAlign w:val="center"/>
            <w:hideMark/>
          </w:tcPr>
          <w:p w14:paraId="610C37A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A5" w14:textId="07B028C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A6" w14:textId="0C18682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99.75%</w:t>
            </w:r>
          </w:p>
        </w:tc>
      </w:tr>
      <w:tr w:rsidR="00411450" w:rsidRPr="00367D24" w14:paraId="610C37B1"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A8" w14:textId="2E1ACFFD"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54</w:t>
            </w:r>
          </w:p>
        </w:tc>
        <w:tc>
          <w:tcPr>
            <w:tcW w:w="696" w:type="dxa"/>
            <w:tcBorders>
              <w:top w:val="nil"/>
              <w:left w:val="nil"/>
              <w:bottom w:val="single" w:sz="4" w:space="0" w:color="auto"/>
              <w:right w:val="single" w:sz="4" w:space="0" w:color="auto"/>
            </w:tcBorders>
            <w:shd w:val="clear" w:color="auto" w:fill="auto"/>
            <w:noWrap/>
            <w:vAlign w:val="center"/>
            <w:hideMark/>
          </w:tcPr>
          <w:p w14:paraId="610C37A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59</w:t>
            </w:r>
          </w:p>
        </w:tc>
        <w:tc>
          <w:tcPr>
            <w:tcW w:w="3163" w:type="dxa"/>
            <w:tcBorders>
              <w:top w:val="nil"/>
              <w:left w:val="nil"/>
              <w:bottom w:val="single" w:sz="4" w:space="0" w:color="auto"/>
              <w:right w:val="single" w:sz="4" w:space="0" w:color="auto"/>
            </w:tcBorders>
            <w:shd w:val="clear" w:color="auto" w:fill="auto"/>
            <w:vAlign w:val="center"/>
            <w:hideMark/>
          </w:tcPr>
          <w:p w14:paraId="610C37A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Gait disturbances </w:t>
            </w:r>
          </w:p>
        </w:tc>
        <w:tc>
          <w:tcPr>
            <w:tcW w:w="772" w:type="dxa"/>
            <w:tcBorders>
              <w:top w:val="nil"/>
              <w:left w:val="nil"/>
              <w:bottom w:val="single" w:sz="4" w:space="0" w:color="auto"/>
              <w:right w:val="single" w:sz="4" w:space="0" w:color="auto"/>
            </w:tcBorders>
            <w:shd w:val="clear" w:color="auto" w:fill="auto"/>
            <w:noWrap/>
            <w:vAlign w:val="center"/>
            <w:hideMark/>
          </w:tcPr>
          <w:p w14:paraId="610C37A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AC" w14:textId="1F616E0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AD" w14:textId="77C7AB2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99.74%</w:t>
            </w:r>
          </w:p>
        </w:tc>
        <w:tc>
          <w:tcPr>
            <w:tcW w:w="889" w:type="dxa"/>
            <w:tcBorders>
              <w:top w:val="nil"/>
              <w:left w:val="nil"/>
              <w:bottom w:val="single" w:sz="4" w:space="0" w:color="auto"/>
              <w:right w:val="single" w:sz="4" w:space="0" w:color="auto"/>
            </w:tcBorders>
            <w:shd w:val="clear" w:color="auto" w:fill="auto"/>
            <w:noWrap/>
            <w:vAlign w:val="center"/>
            <w:hideMark/>
          </w:tcPr>
          <w:p w14:paraId="610C37A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AF" w14:textId="41FF085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B0" w14:textId="6FEF923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99.78%</w:t>
            </w:r>
          </w:p>
        </w:tc>
      </w:tr>
      <w:tr w:rsidR="00411450" w:rsidRPr="00367D24" w14:paraId="610C37BB"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B2" w14:textId="414E11A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55</w:t>
            </w:r>
          </w:p>
        </w:tc>
        <w:tc>
          <w:tcPr>
            <w:tcW w:w="696" w:type="dxa"/>
            <w:tcBorders>
              <w:top w:val="nil"/>
              <w:left w:val="nil"/>
              <w:bottom w:val="single" w:sz="4" w:space="0" w:color="auto"/>
              <w:right w:val="single" w:sz="4" w:space="0" w:color="auto"/>
            </w:tcBorders>
            <w:shd w:val="clear" w:color="auto" w:fill="auto"/>
            <w:noWrap/>
            <w:vAlign w:val="center"/>
            <w:hideMark/>
          </w:tcPr>
          <w:p w14:paraId="610C37B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60</w:t>
            </w:r>
          </w:p>
        </w:tc>
        <w:tc>
          <w:tcPr>
            <w:tcW w:w="3163" w:type="dxa"/>
            <w:tcBorders>
              <w:top w:val="nil"/>
              <w:left w:val="nil"/>
              <w:bottom w:val="single" w:sz="4" w:space="0" w:color="auto"/>
              <w:right w:val="single" w:sz="4" w:space="0" w:color="auto"/>
            </w:tcBorders>
            <w:shd w:val="clear" w:color="auto" w:fill="auto"/>
            <w:vAlign w:val="center"/>
            <w:hideMark/>
          </w:tcPr>
          <w:p w14:paraId="610C37B4"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Inflammations</w:t>
            </w:r>
          </w:p>
        </w:tc>
        <w:tc>
          <w:tcPr>
            <w:tcW w:w="772" w:type="dxa"/>
            <w:tcBorders>
              <w:top w:val="nil"/>
              <w:left w:val="nil"/>
              <w:bottom w:val="single" w:sz="4" w:space="0" w:color="auto"/>
              <w:right w:val="single" w:sz="4" w:space="0" w:color="auto"/>
            </w:tcBorders>
            <w:shd w:val="clear" w:color="auto" w:fill="auto"/>
            <w:noWrap/>
            <w:vAlign w:val="center"/>
            <w:hideMark/>
          </w:tcPr>
          <w:p w14:paraId="610C37B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B6" w14:textId="54C888E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B7" w14:textId="2C386F1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99.79%</w:t>
            </w:r>
          </w:p>
        </w:tc>
        <w:tc>
          <w:tcPr>
            <w:tcW w:w="889" w:type="dxa"/>
            <w:tcBorders>
              <w:top w:val="nil"/>
              <w:left w:val="nil"/>
              <w:bottom w:val="single" w:sz="4" w:space="0" w:color="auto"/>
              <w:right w:val="single" w:sz="4" w:space="0" w:color="auto"/>
            </w:tcBorders>
            <w:shd w:val="clear" w:color="auto" w:fill="auto"/>
            <w:noWrap/>
            <w:vAlign w:val="center"/>
            <w:hideMark/>
          </w:tcPr>
          <w:p w14:paraId="610C37B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B9" w14:textId="0C09A9A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BA" w14:textId="69BE5AA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99.82%</w:t>
            </w:r>
          </w:p>
        </w:tc>
      </w:tr>
      <w:tr w:rsidR="00411450" w:rsidRPr="00367D24" w14:paraId="610C37C5"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BC" w14:textId="55FEC29F"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57</w:t>
            </w:r>
          </w:p>
        </w:tc>
        <w:tc>
          <w:tcPr>
            <w:tcW w:w="696" w:type="dxa"/>
            <w:tcBorders>
              <w:top w:val="nil"/>
              <w:left w:val="nil"/>
              <w:bottom w:val="single" w:sz="4" w:space="0" w:color="auto"/>
              <w:right w:val="single" w:sz="4" w:space="0" w:color="auto"/>
            </w:tcBorders>
            <w:shd w:val="clear" w:color="auto" w:fill="auto"/>
            <w:noWrap/>
            <w:vAlign w:val="center"/>
            <w:hideMark/>
          </w:tcPr>
          <w:p w14:paraId="610C37B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61</w:t>
            </w:r>
          </w:p>
        </w:tc>
        <w:tc>
          <w:tcPr>
            <w:tcW w:w="3163" w:type="dxa"/>
            <w:tcBorders>
              <w:top w:val="nil"/>
              <w:left w:val="nil"/>
              <w:bottom w:val="single" w:sz="4" w:space="0" w:color="auto"/>
              <w:right w:val="single" w:sz="4" w:space="0" w:color="auto"/>
            </w:tcBorders>
            <w:shd w:val="clear" w:color="auto" w:fill="auto"/>
            <w:vAlign w:val="center"/>
            <w:hideMark/>
          </w:tcPr>
          <w:p w14:paraId="610C37BE"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Purine and pyrimidine metabolism disorders </w:t>
            </w:r>
          </w:p>
        </w:tc>
        <w:tc>
          <w:tcPr>
            <w:tcW w:w="772" w:type="dxa"/>
            <w:tcBorders>
              <w:top w:val="nil"/>
              <w:left w:val="nil"/>
              <w:bottom w:val="single" w:sz="4" w:space="0" w:color="auto"/>
              <w:right w:val="single" w:sz="4" w:space="0" w:color="auto"/>
            </w:tcBorders>
            <w:shd w:val="clear" w:color="auto" w:fill="auto"/>
            <w:noWrap/>
            <w:vAlign w:val="center"/>
            <w:hideMark/>
          </w:tcPr>
          <w:p w14:paraId="610C37BF"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C0" w14:textId="46A7F96E"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C1" w14:textId="3518BF1D"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99.83%</w:t>
            </w:r>
          </w:p>
        </w:tc>
        <w:tc>
          <w:tcPr>
            <w:tcW w:w="889" w:type="dxa"/>
            <w:tcBorders>
              <w:top w:val="nil"/>
              <w:left w:val="nil"/>
              <w:bottom w:val="single" w:sz="4" w:space="0" w:color="auto"/>
              <w:right w:val="single" w:sz="4" w:space="0" w:color="auto"/>
            </w:tcBorders>
            <w:shd w:val="clear" w:color="auto" w:fill="auto"/>
            <w:noWrap/>
            <w:vAlign w:val="center"/>
            <w:hideMark/>
          </w:tcPr>
          <w:p w14:paraId="610C37C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C3" w14:textId="1168805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C4" w14:textId="710F99E2"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99.85%</w:t>
            </w:r>
          </w:p>
        </w:tc>
      </w:tr>
      <w:tr w:rsidR="00411450" w:rsidRPr="00367D24" w14:paraId="610C37CF"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C6" w14:textId="54AC28B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58</w:t>
            </w:r>
          </w:p>
        </w:tc>
        <w:tc>
          <w:tcPr>
            <w:tcW w:w="696" w:type="dxa"/>
            <w:tcBorders>
              <w:top w:val="nil"/>
              <w:left w:val="nil"/>
              <w:bottom w:val="single" w:sz="4" w:space="0" w:color="auto"/>
              <w:right w:val="single" w:sz="4" w:space="0" w:color="auto"/>
            </w:tcBorders>
            <w:shd w:val="clear" w:color="auto" w:fill="auto"/>
            <w:noWrap/>
            <w:vAlign w:val="center"/>
            <w:hideMark/>
          </w:tcPr>
          <w:p w14:paraId="610C37C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62</w:t>
            </w:r>
          </w:p>
        </w:tc>
        <w:tc>
          <w:tcPr>
            <w:tcW w:w="3163" w:type="dxa"/>
            <w:tcBorders>
              <w:top w:val="nil"/>
              <w:left w:val="nil"/>
              <w:bottom w:val="single" w:sz="4" w:space="0" w:color="auto"/>
              <w:right w:val="single" w:sz="4" w:space="0" w:color="auto"/>
            </w:tcBorders>
            <w:shd w:val="clear" w:color="auto" w:fill="auto"/>
            <w:vAlign w:val="center"/>
            <w:hideMark/>
          </w:tcPr>
          <w:p w14:paraId="610C37C8"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Therapeutic and nontherapeutic effects (excl</w:t>
            </w:r>
            <w:r>
              <w:rPr>
                <w:rFonts w:ascii="Calibri" w:eastAsia="Times New Roman" w:hAnsi="Calibri" w:cs="Times New Roman"/>
                <w:color w:val="000000"/>
                <w:lang w:eastAsia="en-GB"/>
              </w:rPr>
              <w:t>.</w:t>
            </w:r>
            <w:r w:rsidRPr="00367D24">
              <w:rPr>
                <w:rFonts w:ascii="Calibri" w:eastAsia="Times New Roman" w:hAnsi="Calibri" w:cs="Times New Roman"/>
                <w:color w:val="000000"/>
                <w:lang w:eastAsia="en-GB"/>
              </w:rPr>
              <w:t xml:space="preserve"> toxicity) </w:t>
            </w:r>
          </w:p>
        </w:tc>
        <w:tc>
          <w:tcPr>
            <w:tcW w:w="772" w:type="dxa"/>
            <w:tcBorders>
              <w:top w:val="nil"/>
              <w:left w:val="nil"/>
              <w:bottom w:val="single" w:sz="4" w:space="0" w:color="auto"/>
              <w:right w:val="single" w:sz="4" w:space="0" w:color="auto"/>
            </w:tcBorders>
            <w:shd w:val="clear" w:color="auto" w:fill="auto"/>
            <w:noWrap/>
            <w:vAlign w:val="center"/>
            <w:hideMark/>
          </w:tcPr>
          <w:p w14:paraId="610C37C9"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CA" w14:textId="7E8F79F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CB" w14:textId="61471D7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99.87%</w:t>
            </w:r>
          </w:p>
        </w:tc>
        <w:tc>
          <w:tcPr>
            <w:tcW w:w="889" w:type="dxa"/>
            <w:tcBorders>
              <w:top w:val="nil"/>
              <w:left w:val="nil"/>
              <w:bottom w:val="single" w:sz="4" w:space="0" w:color="auto"/>
              <w:right w:val="single" w:sz="4" w:space="0" w:color="auto"/>
            </w:tcBorders>
            <w:shd w:val="clear" w:color="auto" w:fill="auto"/>
            <w:noWrap/>
            <w:vAlign w:val="center"/>
            <w:hideMark/>
          </w:tcPr>
          <w:p w14:paraId="610C37C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CD" w14:textId="00437B7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CE" w14:textId="37E42E0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99.88%</w:t>
            </w:r>
          </w:p>
        </w:tc>
      </w:tr>
      <w:tr w:rsidR="00411450" w:rsidRPr="00367D24" w14:paraId="610C37D9"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D0" w14:textId="71410F25"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59</w:t>
            </w:r>
          </w:p>
        </w:tc>
        <w:tc>
          <w:tcPr>
            <w:tcW w:w="696" w:type="dxa"/>
            <w:tcBorders>
              <w:top w:val="nil"/>
              <w:left w:val="nil"/>
              <w:bottom w:val="single" w:sz="4" w:space="0" w:color="auto"/>
              <w:right w:val="single" w:sz="4" w:space="0" w:color="auto"/>
            </w:tcBorders>
            <w:shd w:val="clear" w:color="auto" w:fill="auto"/>
            <w:noWrap/>
            <w:vAlign w:val="center"/>
            <w:hideMark/>
          </w:tcPr>
          <w:p w14:paraId="610C37D1"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63</w:t>
            </w:r>
          </w:p>
        </w:tc>
        <w:tc>
          <w:tcPr>
            <w:tcW w:w="3163" w:type="dxa"/>
            <w:tcBorders>
              <w:top w:val="nil"/>
              <w:left w:val="nil"/>
              <w:bottom w:val="single" w:sz="4" w:space="0" w:color="auto"/>
              <w:right w:val="single" w:sz="4" w:space="0" w:color="auto"/>
            </w:tcBorders>
            <w:shd w:val="clear" w:color="auto" w:fill="auto"/>
            <w:vAlign w:val="center"/>
            <w:hideMark/>
          </w:tcPr>
          <w:p w14:paraId="610C37D2"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 xml:space="preserve">Vascular hypertensive disorders </w:t>
            </w:r>
          </w:p>
        </w:tc>
        <w:tc>
          <w:tcPr>
            <w:tcW w:w="772" w:type="dxa"/>
            <w:tcBorders>
              <w:top w:val="nil"/>
              <w:left w:val="nil"/>
              <w:bottom w:val="single" w:sz="4" w:space="0" w:color="auto"/>
              <w:right w:val="single" w:sz="4" w:space="0" w:color="auto"/>
            </w:tcBorders>
            <w:shd w:val="clear" w:color="auto" w:fill="auto"/>
            <w:noWrap/>
            <w:vAlign w:val="center"/>
            <w:hideMark/>
          </w:tcPr>
          <w:p w14:paraId="610C37D3"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D4" w14:textId="47C71D1C"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0.13%</w:t>
            </w:r>
          </w:p>
        </w:tc>
        <w:tc>
          <w:tcPr>
            <w:tcW w:w="954" w:type="dxa"/>
            <w:tcBorders>
              <w:top w:val="nil"/>
              <w:left w:val="nil"/>
              <w:bottom w:val="single" w:sz="4" w:space="0" w:color="auto"/>
              <w:right w:val="single" w:sz="4" w:space="0" w:color="auto"/>
            </w:tcBorders>
            <w:shd w:val="clear" w:color="auto" w:fill="auto"/>
            <w:noWrap/>
            <w:vAlign w:val="center"/>
            <w:hideMark/>
          </w:tcPr>
          <w:p w14:paraId="610C37D5" w14:textId="3CB49D7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98.33%</w:t>
            </w:r>
          </w:p>
        </w:tc>
        <w:tc>
          <w:tcPr>
            <w:tcW w:w="889" w:type="dxa"/>
            <w:tcBorders>
              <w:top w:val="nil"/>
              <w:left w:val="nil"/>
              <w:bottom w:val="single" w:sz="4" w:space="0" w:color="auto"/>
              <w:right w:val="single" w:sz="4" w:space="0" w:color="auto"/>
            </w:tcBorders>
            <w:shd w:val="clear" w:color="auto" w:fill="auto"/>
            <w:noWrap/>
            <w:vAlign w:val="center"/>
            <w:hideMark/>
          </w:tcPr>
          <w:p w14:paraId="610C37D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D7" w14:textId="780A372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0.09%</w:t>
            </w:r>
          </w:p>
        </w:tc>
        <w:tc>
          <w:tcPr>
            <w:tcW w:w="993" w:type="dxa"/>
            <w:tcBorders>
              <w:top w:val="nil"/>
              <w:left w:val="nil"/>
              <w:bottom w:val="single" w:sz="4" w:space="0" w:color="auto"/>
              <w:right w:val="single" w:sz="4" w:space="0" w:color="auto"/>
            </w:tcBorders>
            <w:shd w:val="clear" w:color="auto" w:fill="auto"/>
            <w:noWrap/>
            <w:vAlign w:val="center"/>
            <w:hideMark/>
          </w:tcPr>
          <w:p w14:paraId="610C37D8" w14:textId="3AF280E0"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98.65%</w:t>
            </w:r>
          </w:p>
        </w:tc>
      </w:tr>
      <w:tr w:rsidR="00411450" w:rsidRPr="00367D24" w14:paraId="610C37E3"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DA" w14:textId="259142F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60</w:t>
            </w:r>
          </w:p>
        </w:tc>
        <w:tc>
          <w:tcPr>
            <w:tcW w:w="696" w:type="dxa"/>
            <w:tcBorders>
              <w:top w:val="nil"/>
              <w:left w:val="nil"/>
              <w:bottom w:val="single" w:sz="4" w:space="0" w:color="auto"/>
              <w:right w:val="single" w:sz="4" w:space="0" w:color="auto"/>
            </w:tcBorders>
            <w:shd w:val="clear" w:color="auto" w:fill="auto"/>
            <w:noWrap/>
            <w:vAlign w:val="center"/>
            <w:hideMark/>
          </w:tcPr>
          <w:p w14:paraId="610C37DB"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64</w:t>
            </w:r>
          </w:p>
        </w:tc>
        <w:tc>
          <w:tcPr>
            <w:tcW w:w="3163" w:type="dxa"/>
            <w:tcBorders>
              <w:top w:val="nil"/>
              <w:left w:val="nil"/>
              <w:bottom w:val="single" w:sz="4" w:space="0" w:color="auto"/>
              <w:right w:val="single" w:sz="4" w:space="0" w:color="auto"/>
            </w:tcBorders>
            <w:shd w:val="clear" w:color="auto" w:fill="auto"/>
            <w:vAlign w:val="center"/>
            <w:hideMark/>
          </w:tcPr>
          <w:p w14:paraId="610C37DC"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Viral infectio</w:t>
            </w:r>
            <w:r>
              <w:rPr>
                <w:rFonts w:ascii="Calibri" w:eastAsia="Times New Roman" w:hAnsi="Calibri" w:cs="Times New Roman"/>
                <w:color w:val="000000"/>
                <w:lang w:eastAsia="en-GB"/>
              </w:rPr>
              <w:t>us disorders - herpes viral inf</w:t>
            </w:r>
            <w:r w:rsidRPr="00367D24">
              <w:rPr>
                <w:rFonts w:ascii="Calibri" w:eastAsia="Times New Roman" w:hAnsi="Calibri" w:cs="Times New Roman"/>
                <w:color w:val="000000"/>
                <w:lang w:eastAsia="en-GB"/>
              </w:rPr>
              <w:t>ections</w:t>
            </w:r>
          </w:p>
        </w:tc>
        <w:tc>
          <w:tcPr>
            <w:tcW w:w="772" w:type="dxa"/>
            <w:tcBorders>
              <w:top w:val="nil"/>
              <w:left w:val="nil"/>
              <w:bottom w:val="single" w:sz="4" w:space="0" w:color="auto"/>
              <w:right w:val="single" w:sz="4" w:space="0" w:color="auto"/>
            </w:tcBorders>
            <w:shd w:val="clear" w:color="auto" w:fill="auto"/>
            <w:noWrap/>
            <w:vAlign w:val="center"/>
            <w:hideMark/>
          </w:tcPr>
          <w:p w14:paraId="610C37DD"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897" w:type="dxa"/>
            <w:tcBorders>
              <w:top w:val="nil"/>
              <w:left w:val="nil"/>
              <w:bottom w:val="single" w:sz="4" w:space="0" w:color="auto"/>
              <w:right w:val="single" w:sz="4" w:space="0" w:color="auto"/>
            </w:tcBorders>
            <w:shd w:val="clear" w:color="auto" w:fill="auto"/>
            <w:noWrap/>
            <w:vAlign w:val="center"/>
            <w:hideMark/>
          </w:tcPr>
          <w:p w14:paraId="610C37DE" w14:textId="0446E3B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hideMark/>
          </w:tcPr>
          <w:p w14:paraId="610C37DF" w14:textId="2E9AFB9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99.91%</w:t>
            </w:r>
          </w:p>
        </w:tc>
        <w:tc>
          <w:tcPr>
            <w:tcW w:w="889" w:type="dxa"/>
            <w:tcBorders>
              <w:top w:val="nil"/>
              <w:left w:val="nil"/>
              <w:bottom w:val="single" w:sz="4" w:space="0" w:color="auto"/>
              <w:right w:val="single" w:sz="4" w:space="0" w:color="auto"/>
            </w:tcBorders>
            <w:shd w:val="clear" w:color="auto" w:fill="auto"/>
            <w:noWrap/>
            <w:vAlign w:val="center"/>
            <w:hideMark/>
          </w:tcPr>
          <w:p w14:paraId="610C37E0"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E1" w14:textId="0AB278FF"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E2" w14:textId="7BD87765"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99.91%</w:t>
            </w:r>
          </w:p>
        </w:tc>
      </w:tr>
      <w:tr w:rsidR="00411450" w:rsidRPr="00367D24" w14:paraId="610C37ED"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10C37E4" w14:textId="2482396F"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61</w:t>
            </w:r>
          </w:p>
        </w:tc>
        <w:tc>
          <w:tcPr>
            <w:tcW w:w="696" w:type="dxa"/>
            <w:tcBorders>
              <w:top w:val="nil"/>
              <w:left w:val="nil"/>
              <w:bottom w:val="single" w:sz="4" w:space="0" w:color="auto"/>
              <w:right w:val="single" w:sz="4" w:space="0" w:color="auto"/>
            </w:tcBorders>
            <w:shd w:val="clear" w:color="auto" w:fill="auto"/>
            <w:noWrap/>
            <w:vAlign w:val="center"/>
            <w:hideMark/>
          </w:tcPr>
          <w:p w14:paraId="610C37E5"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65</w:t>
            </w:r>
          </w:p>
        </w:tc>
        <w:tc>
          <w:tcPr>
            <w:tcW w:w="3163" w:type="dxa"/>
            <w:tcBorders>
              <w:top w:val="nil"/>
              <w:left w:val="nil"/>
              <w:bottom w:val="single" w:sz="4" w:space="0" w:color="auto"/>
              <w:right w:val="single" w:sz="4" w:space="0" w:color="auto"/>
            </w:tcBorders>
            <w:shd w:val="clear" w:color="auto" w:fill="auto"/>
            <w:vAlign w:val="center"/>
            <w:hideMark/>
          </w:tcPr>
          <w:p w14:paraId="610C37E6"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Failure</w:t>
            </w:r>
          </w:p>
        </w:tc>
        <w:tc>
          <w:tcPr>
            <w:tcW w:w="772" w:type="dxa"/>
            <w:tcBorders>
              <w:top w:val="nil"/>
              <w:left w:val="nil"/>
              <w:bottom w:val="single" w:sz="4" w:space="0" w:color="auto"/>
              <w:right w:val="single" w:sz="4" w:space="0" w:color="auto"/>
            </w:tcBorders>
            <w:shd w:val="clear" w:color="auto" w:fill="auto"/>
            <w:noWrap/>
            <w:vAlign w:val="center"/>
            <w:hideMark/>
          </w:tcPr>
          <w:p w14:paraId="610C37E7"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0</w:t>
            </w:r>
          </w:p>
        </w:tc>
        <w:tc>
          <w:tcPr>
            <w:tcW w:w="897" w:type="dxa"/>
            <w:tcBorders>
              <w:top w:val="nil"/>
              <w:left w:val="nil"/>
              <w:bottom w:val="single" w:sz="4" w:space="0" w:color="auto"/>
              <w:right w:val="single" w:sz="4" w:space="0" w:color="auto"/>
            </w:tcBorders>
            <w:shd w:val="clear" w:color="auto" w:fill="auto"/>
            <w:noWrap/>
            <w:vAlign w:val="center"/>
            <w:hideMark/>
          </w:tcPr>
          <w:p w14:paraId="610C37E8" w14:textId="3A6956B4"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0.00%</w:t>
            </w:r>
          </w:p>
        </w:tc>
        <w:tc>
          <w:tcPr>
            <w:tcW w:w="954" w:type="dxa"/>
            <w:tcBorders>
              <w:top w:val="nil"/>
              <w:left w:val="nil"/>
              <w:bottom w:val="single" w:sz="4" w:space="0" w:color="auto"/>
              <w:right w:val="single" w:sz="4" w:space="0" w:color="auto"/>
            </w:tcBorders>
            <w:shd w:val="clear" w:color="auto" w:fill="auto"/>
            <w:noWrap/>
            <w:vAlign w:val="center"/>
            <w:hideMark/>
          </w:tcPr>
          <w:p w14:paraId="610C37E9" w14:textId="762FF85A"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99.91%</w:t>
            </w:r>
          </w:p>
        </w:tc>
        <w:tc>
          <w:tcPr>
            <w:tcW w:w="889" w:type="dxa"/>
            <w:tcBorders>
              <w:top w:val="nil"/>
              <w:left w:val="nil"/>
              <w:bottom w:val="single" w:sz="4" w:space="0" w:color="auto"/>
              <w:right w:val="single" w:sz="4" w:space="0" w:color="auto"/>
            </w:tcBorders>
            <w:shd w:val="clear" w:color="auto" w:fill="auto"/>
            <w:noWrap/>
            <w:vAlign w:val="center"/>
            <w:hideMark/>
          </w:tcPr>
          <w:p w14:paraId="610C37EA" w14:textId="77777777" w:rsidR="00411450" w:rsidRPr="00367D24" w:rsidRDefault="00411450" w:rsidP="00411450">
            <w:pPr>
              <w:spacing w:after="0" w:line="240" w:lineRule="auto"/>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w:t>
            </w:r>
          </w:p>
        </w:tc>
        <w:tc>
          <w:tcPr>
            <w:tcW w:w="1004" w:type="dxa"/>
            <w:tcBorders>
              <w:top w:val="nil"/>
              <w:left w:val="nil"/>
              <w:bottom w:val="single" w:sz="4" w:space="0" w:color="auto"/>
              <w:right w:val="single" w:sz="4" w:space="0" w:color="auto"/>
            </w:tcBorders>
            <w:shd w:val="clear" w:color="auto" w:fill="auto"/>
            <w:noWrap/>
            <w:vAlign w:val="center"/>
            <w:hideMark/>
          </w:tcPr>
          <w:p w14:paraId="610C37EB" w14:textId="2957810B"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hideMark/>
          </w:tcPr>
          <w:p w14:paraId="610C37EC" w14:textId="1CFE4FA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99.94%</w:t>
            </w:r>
          </w:p>
        </w:tc>
      </w:tr>
      <w:tr w:rsidR="00411450" w:rsidRPr="00367D24" w14:paraId="61DB200C"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640C502" w14:textId="3B78597F"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61</w:t>
            </w:r>
          </w:p>
        </w:tc>
        <w:tc>
          <w:tcPr>
            <w:tcW w:w="696" w:type="dxa"/>
            <w:tcBorders>
              <w:top w:val="nil"/>
              <w:left w:val="nil"/>
              <w:bottom w:val="single" w:sz="4" w:space="0" w:color="auto"/>
              <w:right w:val="single" w:sz="4" w:space="0" w:color="auto"/>
            </w:tcBorders>
            <w:shd w:val="clear" w:color="auto" w:fill="auto"/>
            <w:noWrap/>
            <w:vAlign w:val="center"/>
          </w:tcPr>
          <w:p w14:paraId="5DD2DC0E" w14:textId="7D01F78E"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66</w:t>
            </w:r>
          </w:p>
        </w:tc>
        <w:tc>
          <w:tcPr>
            <w:tcW w:w="3163" w:type="dxa"/>
            <w:tcBorders>
              <w:top w:val="nil"/>
              <w:left w:val="nil"/>
              <w:bottom w:val="single" w:sz="4" w:space="0" w:color="auto"/>
              <w:right w:val="single" w:sz="4" w:space="0" w:color="auto"/>
            </w:tcBorders>
            <w:shd w:val="clear" w:color="auto" w:fill="auto"/>
            <w:vAlign w:val="bottom"/>
          </w:tcPr>
          <w:p w14:paraId="7D50E85D" w14:textId="4F82EB09"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Exposures, chemical injuries and poisoning</w:t>
            </w:r>
          </w:p>
        </w:tc>
        <w:tc>
          <w:tcPr>
            <w:tcW w:w="772" w:type="dxa"/>
            <w:tcBorders>
              <w:top w:val="nil"/>
              <w:left w:val="nil"/>
              <w:bottom w:val="single" w:sz="4" w:space="0" w:color="auto"/>
              <w:right w:val="single" w:sz="4" w:space="0" w:color="auto"/>
            </w:tcBorders>
            <w:shd w:val="clear" w:color="auto" w:fill="auto"/>
            <w:noWrap/>
            <w:vAlign w:val="center"/>
          </w:tcPr>
          <w:p w14:paraId="23EF2B7A" w14:textId="6C7F9A33"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1</w:t>
            </w:r>
          </w:p>
        </w:tc>
        <w:tc>
          <w:tcPr>
            <w:tcW w:w="897" w:type="dxa"/>
            <w:tcBorders>
              <w:top w:val="nil"/>
              <w:left w:val="nil"/>
              <w:bottom w:val="single" w:sz="4" w:space="0" w:color="auto"/>
              <w:right w:val="single" w:sz="4" w:space="0" w:color="auto"/>
            </w:tcBorders>
            <w:shd w:val="clear" w:color="auto" w:fill="auto"/>
            <w:noWrap/>
            <w:vAlign w:val="center"/>
          </w:tcPr>
          <w:p w14:paraId="2963AC2E" w14:textId="42D10DD6"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tcPr>
          <w:p w14:paraId="6FD137C6" w14:textId="2557B6B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99.96%</w:t>
            </w:r>
          </w:p>
        </w:tc>
        <w:tc>
          <w:tcPr>
            <w:tcW w:w="889" w:type="dxa"/>
            <w:tcBorders>
              <w:top w:val="nil"/>
              <w:left w:val="nil"/>
              <w:bottom w:val="single" w:sz="4" w:space="0" w:color="auto"/>
              <w:right w:val="single" w:sz="4" w:space="0" w:color="auto"/>
            </w:tcBorders>
            <w:shd w:val="clear" w:color="auto" w:fill="auto"/>
            <w:noWrap/>
            <w:vAlign w:val="center"/>
          </w:tcPr>
          <w:p w14:paraId="4855A9AE" w14:textId="401C8BDD"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1</w:t>
            </w:r>
          </w:p>
        </w:tc>
        <w:tc>
          <w:tcPr>
            <w:tcW w:w="1004" w:type="dxa"/>
            <w:tcBorders>
              <w:top w:val="nil"/>
              <w:left w:val="nil"/>
              <w:bottom w:val="single" w:sz="4" w:space="0" w:color="auto"/>
              <w:right w:val="single" w:sz="4" w:space="0" w:color="auto"/>
            </w:tcBorders>
            <w:shd w:val="clear" w:color="auto" w:fill="auto"/>
            <w:noWrap/>
            <w:vAlign w:val="center"/>
          </w:tcPr>
          <w:p w14:paraId="195B50B4" w14:textId="65CACF67"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tcPr>
          <w:p w14:paraId="5F33D0B9" w14:textId="5724D7D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99.97%</w:t>
            </w:r>
          </w:p>
        </w:tc>
      </w:tr>
      <w:tr w:rsidR="00411450" w:rsidRPr="00367D24" w14:paraId="62558318" w14:textId="77777777" w:rsidTr="008937F3">
        <w:trPr>
          <w:trHeight w:val="290"/>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5B564B8" w14:textId="4FC1C163" w:rsidR="00411450"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62</w:t>
            </w:r>
          </w:p>
        </w:tc>
        <w:tc>
          <w:tcPr>
            <w:tcW w:w="696" w:type="dxa"/>
            <w:tcBorders>
              <w:top w:val="nil"/>
              <w:left w:val="nil"/>
              <w:bottom w:val="single" w:sz="4" w:space="0" w:color="auto"/>
              <w:right w:val="single" w:sz="4" w:space="0" w:color="auto"/>
            </w:tcBorders>
            <w:shd w:val="clear" w:color="auto" w:fill="auto"/>
            <w:noWrap/>
            <w:vAlign w:val="center"/>
          </w:tcPr>
          <w:p w14:paraId="0AE5C855" w14:textId="314BA9B2"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67</w:t>
            </w:r>
          </w:p>
        </w:tc>
        <w:tc>
          <w:tcPr>
            <w:tcW w:w="3163" w:type="dxa"/>
            <w:tcBorders>
              <w:top w:val="nil"/>
              <w:left w:val="nil"/>
              <w:bottom w:val="single" w:sz="4" w:space="0" w:color="auto"/>
              <w:right w:val="single" w:sz="4" w:space="0" w:color="auto"/>
            </w:tcBorders>
            <w:shd w:val="clear" w:color="auto" w:fill="auto"/>
            <w:vAlign w:val="bottom"/>
          </w:tcPr>
          <w:p w14:paraId="2C430985" w14:textId="3EB9D181"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CNS Vascular disorder</w:t>
            </w:r>
          </w:p>
        </w:tc>
        <w:tc>
          <w:tcPr>
            <w:tcW w:w="772" w:type="dxa"/>
            <w:tcBorders>
              <w:top w:val="nil"/>
              <w:left w:val="nil"/>
              <w:bottom w:val="single" w:sz="4" w:space="0" w:color="auto"/>
              <w:right w:val="single" w:sz="4" w:space="0" w:color="auto"/>
            </w:tcBorders>
            <w:shd w:val="clear" w:color="auto" w:fill="auto"/>
            <w:noWrap/>
            <w:vAlign w:val="center"/>
          </w:tcPr>
          <w:p w14:paraId="22D10657" w14:textId="79A72969"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1</w:t>
            </w:r>
          </w:p>
        </w:tc>
        <w:tc>
          <w:tcPr>
            <w:tcW w:w="897" w:type="dxa"/>
            <w:tcBorders>
              <w:top w:val="nil"/>
              <w:left w:val="nil"/>
              <w:bottom w:val="single" w:sz="4" w:space="0" w:color="auto"/>
              <w:right w:val="single" w:sz="4" w:space="0" w:color="auto"/>
            </w:tcBorders>
            <w:shd w:val="clear" w:color="auto" w:fill="auto"/>
            <w:noWrap/>
            <w:vAlign w:val="center"/>
          </w:tcPr>
          <w:p w14:paraId="47ECF4F9" w14:textId="35F75F61"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0.04%</w:t>
            </w:r>
          </w:p>
        </w:tc>
        <w:tc>
          <w:tcPr>
            <w:tcW w:w="954" w:type="dxa"/>
            <w:tcBorders>
              <w:top w:val="nil"/>
              <w:left w:val="nil"/>
              <w:bottom w:val="single" w:sz="4" w:space="0" w:color="auto"/>
              <w:right w:val="single" w:sz="4" w:space="0" w:color="auto"/>
            </w:tcBorders>
            <w:shd w:val="clear" w:color="auto" w:fill="auto"/>
            <w:noWrap/>
            <w:vAlign w:val="center"/>
          </w:tcPr>
          <w:p w14:paraId="687EC53A" w14:textId="62CA04B3"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100.00%</w:t>
            </w:r>
          </w:p>
        </w:tc>
        <w:tc>
          <w:tcPr>
            <w:tcW w:w="889" w:type="dxa"/>
            <w:tcBorders>
              <w:top w:val="nil"/>
              <w:left w:val="nil"/>
              <w:bottom w:val="single" w:sz="4" w:space="0" w:color="auto"/>
              <w:right w:val="single" w:sz="4" w:space="0" w:color="auto"/>
            </w:tcBorders>
            <w:shd w:val="clear" w:color="auto" w:fill="auto"/>
            <w:noWrap/>
            <w:vAlign w:val="center"/>
          </w:tcPr>
          <w:p w14:paraId="62613AEE" w14:textId="65019B17" w:rsidR="00411450" w:rsidRPr="00367D24" w:rsidRDefault="00411450" w:rsidP="00411450">
            <w:pPr>
              <w:spacing w:after="0" w:line="240" w:lineRule="auto"/>
              <w:rPr>
                <w:rFonts w:ascii="Calibri" w:eastAsia="Times New Roman" w:hAnsi="Calibri" w:cs="Times New Roman"/>
                <w:color w:val="000000"/>
                <w:lang w:eastAsia="en-GB"/>
              </w:rPr>
            </w:pPr>
            <w:r>
              <w:rPr>
                <w:rFonts w:ascii="Calibri" w:hAnsi="Calibri" w:cs="Calibri"/>
                <w:color w:val="000000"/>
              </w:rPr>
              <w:t>1</w:t>
            </w:r>
          </w:p>
        </w:tc>
        <w:tc>
          <w:tcPr>
            <w:tcW w:w="1004" w:type="dxa"/>
            <w:tcBorders>
              <w:top w:val="nil"/>
              <w:left w:val="nil"/>
              <w:bottom w:val="single" w:sz="4" w:space="0" w:color="auto"/>
              <w:right w:val="single" w:sz="4" w:space="0" w:color="auto"/>
            </w:tcBorders>
            <w:shd w:val="clear" w:color="auto" w:fill="auto"/>
            <w:noWrap/>
            <w:vAlign w:val="center"/>
          </w:tcPr>
          <w:p w14:paraId="471E95C6" w14:textId="715D1AC8" w:rsidR="00411450" w:rsidRPr="00367D24"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0.03%</w:t>
            </w:r>
          </w:p>
        </w:tc>
        <w:tc>
          <w:tcPr>
            <w:tcW w:w="993" w:type="dxa"/>
            <w:tcBorders>
              <w:top w:val="nil"/>
              <w:left w:val="nil"/>
              <w:bottom w:val="single" w:sz="4" w:space="0" w:color="auto"/>
              <w:right w:val="single" w:sz="4" w:space="0" w:color="auto"/>
            </w:tcBorders>
            <w:shd w:val="clear" w:color="auto" w:fill="auto"/>
            <w:noWrap/>
            <w:vAlign w:val="center"/>
          </w:tcPr>
          <w:p w14:paraId="7B64BA8C" w14:textId="2D0263F7" w:rsidR="00411450" w:rsidRDefault="00411450" w:rsidP="00411450">
            <w:pPr>
              <w:spacing w:after="0" w:line="240" w:lineRule="auto"/>
              <w:jc w:val="right"/>
              <w:rPr>
                <w:rFonts w:ascii="Calibri" w:eastAsia="Times New Roman" w:hAnsi="Calibri" w:cs="Times New Roman"/>
                <w:color w:val="000000"/>
                <w:lang w:eastAsia="en-GB"/>
              </w:rPr>
            </w:pPr>
            <w:r>
              <w:rPr>
                <w:rFonts w:ascii="Calibri" w:hAnsi="Calibri" w:cs="Calibri"/>
                <w:color w:val="000000"/>
              </w:rPr>
              <w:t>100.00%</w:t>
            </w:r>
          </w:p>
        </w:tc>
      </w:tr>
      <w:tr w:rsidR="00411450" w:rsidRPr="00367D24" w14:paraId="610C37F7" w14:textId="77777777" w:rsidTr="008937F3">
        <w:trPr>
          <w:trHeight w:val="290"/>
        </w:trPr>
        <w:tc>
          <w:tcPr>
            <w:tcW w:w="704" w:type="dxa"/>
            <w:tcBorders>
              <w:top w:val="nil"/>
              <w:left w:val="nil"/>
              <w:bottom w:val="nil"/>
              <w:right w:val="nil"/>
            </w:tcBorders>
            <w:shd w:val="clear" w:color="auto" w:fill="auto"/>
            <w:noWrap/>
            <w:vAlign w:val="bottom"/>
            <w:hideMark/>
          </w:tcPr>
          <w:p w14:paraId="610C37EE" w14:textId="76F19587" w:rsidR="00411450" w:rsidRPr="00367D24" w:rsidRDefault="00411450" w:rsidP="00411450">
            <w:pPr>
              <w:spacing w:after="0" w:line="240" w:lineRule="auto"/>
              <w:jc w:val="right"/>
              <w:rPr>
                <w:rFonts w:ascii="Calibri" w:eastAsia="Times New Roman" w:hAnsi="Calibri" w:cs="Times New Roman"/>
                <w:color w:val="000000"/>
                <w:lang w:eastAsia="en-GB"/>
              </w:rPr>
            </w:pPr>
          </w:p>
        </w:tc>
        <w:tc>
          <w:tcPr>
            <w:tcW w:w="696" w:type="dxa"/>
            <w:tcBorders>
              <w:top w:val="nil"/>
              <w:left w:val="nil"/>
              <w:bottom w:val="nil"/>
              <w:right w:val="nil"/>
            </w:tcBorders>
            <w:shd w:val="clear" w:color="auto" w:fill="auto"/>
            <w:noWrap/>
            <w:vAlign w:val="bottom"/>
            <w:hideMark/>
          </w:tcPr>
          <w:p w14:paraId="610C37EF" w14:textId="77777777" w:rsidR="00411450" w:rsidRPr="00367D24" w:rsidRDefault="00411450" w:rsidP="00411450">
            <w:pPr>
              <w:spacing w:after="0" w:line="240" w:lineRule="auto"/>
              <w:rPr>
                <w:rFonts w:ascii="Times New Roman" w:eastAsia="Times New Roman" w:hAnsi="Times New Roman" w:cs="Times New Roman"/>
                <w:sz w:val="20"/>
                <w:szCs w:val="20"/>
                <w:lang w:eastAsia="en-GB"/>
              </w:rPr>
            </w:pPr>
          </w:p>
        </w:tc>
        <w:tc>
          <w:tcPr>
            <w:tcW w:w="3163" w:type="dxa"/>
            <w:tcBorders>
              <w:top w:val="nil"/>
              <w:left w:val="nil"/>
              <w:bottom w:val="nil"/>
              <w:right w:val="nil"/>
            </w:tcBorders>
            <w:shd w:val="clear" w:color="auto" w:fill="auto"/>
            <w:noWrap/>
            <w:vAlign w:val="bottom"/>
            <w:hideMark/>
          </w:tcPr>
          <w:p w14:paraId="610C37F0" w14:textId="77777777" w:rsidR="00411450" w:rsidRPr="00367D24" w:rsidRDefault="00411450" w:rsidP="00411450">
            <w:pPr>
              <w:spacing w:after="0" w:line="240" w:lineRule="auto"/>
              <w:rPr>
                <w:rFonts w:ascii="Times New Roman" w:eastAsia="Times New Roman" w:hAnsi="Times New Roman" w:cs="Times New Roman"/>
                <w:sz w:val="20"/>
                <w:szCs w:val="20"/>
                <w:lang w:eastAsia="en-GB"/>
              </w:rPr>
            </w:pPr>
          </w:p>
        </w:tc>
        <w:tc>
          <w:tcPr>
            <w:tcW w:w="772" w:type="dxa"/>
            <w:tcBorders>
              <w:top w:val="nil"/>
              <w:left w:val="nil"/>
              <w:bottom w:val="nil"/>
              <w:right w:val="nil"/>
            </w:tcBorders>
            <w:shd w:val="clear" w:color="auto" w:fill="auto"/>
            <w:noWrap/>
            <w:vAlign w:val="bottom"/>
            <w:hideMark/>
          </w:tcPr>
          <w:p w14:paraId="610C37F1" w14:textId="6342662C" w:rsidR="00411450" w:rsidRPr="00367D24" w:rsidRDefault="00411450" w:rsidP="00411450">
            <w:pPr>
              <w:spacing w:after="0" w:line="240" w:lineRule="auto"/>
              <w:jc w:val="right"/>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23</w:t>
            </w:r>
            <w:r w:rsidR="00C44434">
              <w:rPr>
                <w:rFonts w:ascii="Calibri" w:eastAsia="Times New Roman" w:hAnsi="Calibri" w:cs="Times New Roman"/>
                <w:color w:val="000000"/>
                <w:lang w:eastAsia="en-GB"/>
              </w:rPr>
              <w:t>85</w:t>
            </w:r>
            <w:r>
              <w:rPr>
                <w:rFonts w:ascii="Calibri" w:eastAsia="Times New Roman" w:hAnsi="Calibri" w:cs="Times New Roman"/>
                <w:color w:val="000000"/>
                <w:lang w:eastAsia="en-GB"/>
              </w:rPr>
              <w:t>*</w:t>
            </w:r>
          </w:p>
        </w:tc>
        <w:tc>
          <w:tcPr>
            <w:tcW w:w="897" w:type="dxa"/>
            <w:tcBorders>
              <w:top w:val="nil"/>
              <w:left w:val="nil"/>
              <w:bottom w:val="nil"/>
              <w:right w:val="nil"/>
            </w:tcBorders>
            <w:shd w:val="clear" w:color="auto" w:fill="auto"/>
            <w:noWrap/>
            <w:vAlign w:val="bottom"/>
            <w:hideMark/>
          </w:tcPr>
          <w:p w14:paraId="610C37F2" w14:textId="77777777" w:rsidR="00411450" w:rsidRPr="00367D24" w:rsidRDefault="00411450" w:rsidP="00411450">
            <w:pPr>
              <w:spacing w:after="0" w:line="240" w:lineRule="auto"/>
              <w:jc w:val="right"/>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100.00%</w:t>
            </w:r>
          </w:p>
        </w:tc>
        <w:tc>
          <w:tcPr>
            <w:tcW w:w="954" w:type="dxa"/>
            <w:tcBorders>
              <w:top w:val="nil"/>
              <w:left w:val="nil"/>
              <w:bottom w:val="nil"/>
              <w:right w:val="nil"/>
            </w:tcBorders>
            <w:shd w:val="clear" w:color="auto" w:fill="auto"/>
            <w:noWrap/>
            <w:vAlign w:val="bottom"/>
            <w:hideMark/>
          </w:tcPr>
          <w:p w14:paraId="610C37F3" w14:textId="77777777" w:rsidR="00411450" w:rsidRPr="00367D24" w:rsidRDefault="00411450" w:rsidP="00411450">
            <w:pPr>
              <w:spacing w:after="0" w:line="240" w:lineRule="auto"/>
              <w:jc w:val="right"/>
              <w:rPr>
                <w:rFonts w:ascii="Calibri" w:eastAsia="Times New Roman" w:hAnsi="Calibri" w:cs="Times New Roman"/>
                <w:color w:val="000000"/>
                <w:lang w:eastAsia="en-GB"/>
              </w:rPr>
            </w:pPr>
          </w:p>
        </w:tc>
        <w:tc>
          <w:tcPr>
            <w:tcW w:w="889" w:type="dxa"/>
            <w:tcBorders>
              <w:top w:val="nil"/>
              <w:left w:val="nil"/>
              <w:bottom w:val="nil"/>
              <w:right w:val="nil"/>
            </w:tcBorders>
            <w:shd w:val="clear" w:color="auto" w:fill="auto"/>
            <w:noWrap/>
            <w:vAlign w:val="bottom"/>
            <w:hideMark/>
          </w:tcPr>
          <w:p w14:paraId="610C37F4" w14:textId="0556A225" w:rsidR="00411450" w:rsidRPr="00367D24" w:rsidRDefault="00411450" w:rsidP="00411450">
            <w:pPr>
              <w:spacing w:after="0" w:line="240" w:lineRule="auto"/>
              <w:jc w:val="right"/>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32</w:t>
            </w:r>
            <w:r w:rsidR="00C44434">
              <w:rPr>
                <w:rFonts w:ascii="Calibri" w:eastAsia="Times New Roman" w:hAnsi="Calibri" w:cs="Times New Roman"/>
                <w:color w:val="000000"/>
                <w:lang w:eastAsia="en-GB"/>
              </w:rPr>
              <w:t>51</w:t>
            </w:r>
          </w:p>
        </w:tc>
        <w:tc>
          <w:tcPr>
            <w:tcW w:w="1004" w:type="dxa"/>
            <w:tcBorders>
              <w:top w:val="nil"/>
              <w:left w:val="nil"/>
              <w:bottom w:val="nil"/>
              <w:right w:val="nil"/>
            </w:tcBorders>
            <w:shd w:val="clear" w:color="auto" w:fill="auto"/>
            <w:noWrap/>
            <w:vAlign w:val="bottom"/>
            <w:hideMark/>
          </w:tcPr>
          <w:p w14:paraId="610C37F5" w14:textId="77777777" w:rsidR="00411450" w:rsidRPr="00367D24" w:rsidRDefault="00411450" w:rsidP="00411450">
            <w:pPr>
              <w:spacing w:after="0" w:line="240" w:lineRule="auto"/>
              <w:jc w:val="right"/>
              <w:rPr>
                <w:rFonts w:ascii="Calibri" w:eastAsia="Times New Roman" w:hAnsi="Calibri" w:cs="Times New Roman"/>
                <w:color w:val="000000"/>
                <w:lang w:eastAsia="en-GB"/>
              </w:rPr>
            </w:pPr>
            <w:r w:rsidRPr="00367D24">
              <w:rPr>
                <w:rFonts w:ascii="Calibri" w:eastAsia="Times New Roman" w:hAnsi="Calibri" w:cs="Times New Roman"/>
                <w:color w:val="000000"/>
                <w:lang w:eastAsia="en-GB"/>
              </w:rPr>
              <w:t>100.00%</w:t>
            </w:r>
          </w:p>
        </w:tc>
        <w:tc>
          <w:tcPr>
            <w:tcW w:w="993" w:type="dxa"/>
            <w:tcBorders>
              <w:top w:val="nil"/>
              <w:left w:val="nil"/>
              <w:bottom w:val="nil"/>
              <w:right w:val="nil"/>
            </w:tcBorders>
            <w:shd w:val="clear" w:color="auto" w:fill="auto"/>
            <w:noWrap/>
            <w:vAlign w:val="bottom"/>
            <w:hideMark/>
          </w:tcPr>
          <w:p w14:paraId="610C37F6" w14:textId="603BF34C" w:rsidR="00411450" w:rsidRPr="00367D24" w:rsidRDefault="00411450" w:rsidP="00411450">
            <w:pPr>
              <w:spacing w:after="0" w:line="240" w:lineRule="auto"/>
              <w:jc w:val="right"/>
              <w:rPr>
                <w:rFonts w:ascii="Calibri" w:eastAsia="Times New Roman" w:hAnsi="Calibri" w:cs="Times New Roman"/>
                <w:color w:val="000000"/>
                <w:lang w:eastAsia="en-GB"/>
              </w:rPr>
            </w:pPr>
          </w:p>
        </w:tc>
      </w:tr>
    </w:tbl>
    <w:p w14:paraId="610C37F8" w14:textId="77777777" w:rsidR="007D57FB" w:rsidRPr="009D23F1" w:rsidRDefault="007D57FB" w:rsidP="005B3E6B">
      <w:pPr>
        <w:rPr>
          <w:i/>
          <w:color w:val="000000" w:themeColor="text1"/>
          <w:sz w:val="20"/>
        </w:rPr>
      </w:pPr>
      <w:r w:rsidRPr="009D23F1">
        <w:rPr>
          <w:i/>
          <w:color w:val="000000" w:themeColor="text1"/>
          <w:sz w:val="20"/>
        </w:rPr>
        <w:t>Sens. – sensitivity, Class. – classifiable by MedDRA-SOC®, cumul. – Cumulative count, excl. – excluding, Incl. – including, NEC – not elsewhere classified.</w:t>
      </w:r>
    </w:p>
    <w:p w14:paraId="610C37F9" w14:textId="4FACF27E" w:rsidR="007D57FB" w:rsidRPr="009D23F1" w:rsidRDefault="007D57FB" w:rsidP="005B3E6B">
      <w:pPr>
        <w:rPr>
          <w:i/>
          <w:color w:val="000000" w:themeColor="text1"/>
          <w:sz w:val="20"/>
        </w:rPr>
      </w:pPr>
      <w:r w:rsidRPr="009D23F1">
        <w:rPr>
          <w:i/>
          <w:color w:val="000000" w:themeColor="text1"/>
          <w:sz w:val="20"/>
        </w:rPr>
        <w:t>*272</w:t>
      </w:r>
      <w:r w:rsidR="005714A7">
        <w:rPr>
          <w:i/>
          <w:color w:val="000000" w:themeColor="text1"/>
          <w:sz w:val="20"/>
        </w:rPr>
        <w:t>8</w:t>
      </w:r>
      <w:r w:rsidRPr="009D23F1">
        <w:rPr>
          <w:i/>
          <w:color w:val="000000" w:themeColor="text1"/>
          <w:sz w:val="20"/>
        </w:rPr>
        <w:t xml:space="preserve"> ADR presentations reported in </w:t>
      </w:r>
      <w:r w:rsidR="00CF1F2A">
        <w:rPr>
          <w:i/>
          <w:color w:val="000000" w:themeColor="text1"/>
          <w:sz w:val="20"/>
        </w:rPr>
        <w:t xml:space="preserve">nineteen </w:t>
      </w:r>
      <w:r w:rsidRPr="009D23F1">
        <w:rPr>
          <w:i/>
          <w:color w:val="000000" w:themeColor="text1"/>
          <w:sz w:val="20"/>
        </w:rPr>
        <w:t>papers</w:t>
      </w:r>
      <w:r w:rsidR="00CF1F2A">
        <w:rPr>
          <w:i/>
          <w:color w:val="000000" w:themeColor="text1"/>
          <w:sz w:val="20"/>
        </w:rPr>
        <w:t>,</w:t>
      </w:r>
      <w:r w:rsidR="00CF1F2A" w:rsidRPr="00CF1F2A">
        <w:rPr>
          <w:noProof/>
          <w:vertAlign w:val="superscript"/>
        </w:rPr>
        <w:t>7-26</w:t>
      </w:r>
      <w:r w:rsidR="00CF1F2A" w:rsidRPr="00053D56">
        <w:t xml:space="preserve"> </w:t>
      </w:r>
      <w:r w:rsidRPr="009D23F1">
        <w:rPr>
          <w:i/>
          <w:color w:val="000000" w:themeColor="text1"/>
          <w:sz w:val="20"/>
        </w:rPr>
        <w:t>397 reported by papers were not classifiable by MedDRA-SOC® classification, resulting in 23</w:t>
      </w:r>
      <w:r w:rsidR="005714A7">
        <w:rPr>
          <w:i/>
          <w:color w:val="000000" w:themeColor="text1"/>
          <w:sz w:val="20"/>
        </w:rPr>
        <w:t>85</w:t>
      </w:r>
      <w:r w:rsidRPr="009D23F1">
        <w:rPr>
          <w:i/>
          <w:color w:val="000000" w:themeColor="text1"/>
          <w:sz w:val="20"/>
        </w:rPr>
        <w:t xml:space="preserve"> ADRs being accounted for in “classifiable” count. Sensitivity analysis applied equal weighting to all presentations in “grouped” reporting therefore overall 32</w:t>
      </w:r>
      <w:r w:rsidR="005714A7">
        <w:rPr>
          <w:i/>
          <w:color w:val="000000" w:themeColor="text1"/>
          <w:sz w:val="20"/>
        </w:rPr>
        <w:t>51</w:t>
      </w:r>
      <w:r w:rsidRPr="009D23F1">
        <w:rPr>
          <w:i/>
          <w:color w:val="000000" w:themeColor="text1"/>
          <w:sz w:val="20"/>
        </w:rPr>
        <w:t xml:space="preserve"> presentations accounted for in sensitivity analysis count. </w:t>
      </w:r>
    </w:p>
    <w:p w14:paraId="3F998484" w14:textId="60C640A7" w:rsidR="00BC0579" w:rsidRPr="009D23F1" w:rsidRDefault="007D57FB" w:rsidP="005B3E6B">
      <w:pPr>
        <w:rPr>
          <w:i/>
          <w:color w:val="000000" w:themeColor="text1"/>
          <w:sz w:val="20"/>
        </w:rPr>
      </w:pPr>
      <w:r w:rsidRPr="009D23F1">
        <w:rPr>
          <w:i/>
          <w:color w:val="000000" w:themeColor="text1"/>
          <w:sz w:val="20"/>
        </w:rPr>
        <w:t>Green shading represents direct agreement between MedDRA-SOC® classifiable and sensitivity analysis by ranking. Yellow highlights presentation falls in top 10 ranking in either classifiable or sensitivity rankings, and red highlights top 15 in either classifiable of sensitivity rankings. The top 15 in both cases were highlighted within top 20 across two ranking systems.</w:t>
      </w:r>
    </w:p>
    <w:p w14:paraId="4F49300A" w14:textId="77777777" w:rsidR="008356D5" w:rsidRDefault="008356D5">
      <w:pPr>
        <w:rPr>
          <w:rFonts w:asciiTheme="majorHAnsi" w:eastAsiaTheme="majorEastAsia" w:hAnsiTheme="majorHAnsi" w:cstheme="majorBidi"/>
          <w:color w:val="2E74B5" w:themeColor="accent1" w:themeShade="BF"/>
          <w:sz w:val="32"/>
          <w:szCs w:val="32"/>
        </w:rPr>
      </w:pPr>
      <w:r>
        <w:br w:type="page"/>
      </w:r>
    </w:p>
    <w:p w14:paraId="610C37FB" w14:textId="55F2663E" w:rsidR="007D57FB" w:rsidRDefault="007D57FB" w:rsidP="005B3E6B">
      <w:pPr>
        <w:pStyle w:val="Heading1"/>
      </w:pPr>
      <w:bookmarkStart w:id="10" w:name="_Toc52396332"/>
      <w:r>
        <w:t>Risk of Bias</w:t>
      </w:r>
      <w:r w:rsidR="00B25F6B">
        <w:t xml:space="preserve"> (RoB)</w:t>
      </w:r>
      <w:r>
        <w:t xml:space="preserve"> and Quality Assessment</w:t>
      </w:r>
      <w:bookmarkEnd w:id="10"/>
    </w:p>
    <w:p w14:paraId="45E7805B" w14:textId="562B4158" w:rsidR="00B25F6B" w:rsidRDefault="00737863" w:rsidP="005B3E6B">
      <w:pPr>
        <w:pStyle w:val="Heading2"/>
      </w:pPr>
      <w:bookmarkStart w:id="11" w:name="_Toc52396333"/>
      <w:r>
        <w:t>Appendix 3.</w:t>
      </w:r>
      <w:r w:rsidR="00B25F6B">
        <w:t xml:space="preserve"> Descriptive summary of RoB / Quality </w:t>
      </w:r>
      <w:r w:rsidR="00E046A1">
        <w:t xml:space="preserve">justification and judgements </w:t>
      </w:r>
      <w:r w:rsidR="00B25F6B">
        <w:t>of</w:t>
      </w:r>
      <w:r w:rsidR="00E046A1">
        <w:t xml:space="preserve"> domains of NOS of included o</w:t>
      </w:r>
      <w:r w:rsidR="00B25F6B">
        <w:t xml:space="preserve">bservational Studies </w:t>
      </w:r>
      <w:r w:rsidR="00E046A1">
        <w:t>(provided in alphabetical order)</w:t>
      </w:r>
      <w:bookmarkEnd w:id="11"/>
    </w:p>
    <w:p w14:paraId="20AB7FEF" w14:textId="381C8A94" w:rsidR="00E046A1" w:rsidRDefault="00E758CE" w:rsidP="008937F3">
      <w:pPr>
        <w:pStyle w:val="Heading3"/>
      </w:pPr>
      <w:bookmarkStart w:id="12" w:name="_Toc52396334"/>
      <w:r>
        <w:t>Ayub 2009, Bowman 1996</w:t>
      </w:r>
      <w:bookmarkEnd w:id="12"/>
      <w: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79"/>
        <w:gridCol w:w="2929"/>
        <w:gridCol w:w="1133"/>
        <w:gridCol w:w="2694"/>
      </w:tblGrid>
      <w:tr w:rsidR="00DD067B" w:rsidRPr="00DD067B" w14:paraId="0B69A283" w14:textId="77777777" w:rsidTr="008937F3">
        <w:trPr>
          <w:trHeight w:val="590"/>
        </w:trPr>
        <w:tc>
          <w:tcPr>
            <w:tcW w:w="1846" w:type="dxa"/>
            <w:shd w:val="clear" w:color="auto" w:fill="E7E6E6" w:themeFill="background2"/>
            <w:vAlign w:val="center"/>
            <w:hideMark/>
          </w:tcPr>
          <w:p w14:paraId="69B2BE54" w14:textId="12DA4630" w:rsidR="00DD067B" w:rsidRPr="008937F3" w:rsidRDefault="00DD067B">
            <w:pPr>
              <w:rPr>
                <w:rFonts w:ascii="Calibri" w:eastAsia="Times New Roman" w:hAnsi="Calibri" w:cs="Times New Roman"/>
                <w:b/>
                <w:bCs/>
                <w:color w:val="000000"/>
                <w:sz w:val="20"/>
                <w:lang w:eastAsia="en-GB"/>
              </w:rPr>
            </w:pPr>
            <w:r w:rsidRPr="008937F3">
              <w:rPr>
                <w:b/>
                <w:sz w:val="20"/>
              </w:rPr>
              <w:t xml:space="preserve">Domain </w:t>
            </w:r>
            <w:r w:rsidRPr="00DD067B">
              <w:rPr>
                <w:rFonts w:ascii="Calibri" w:eastAsia="Times New Roman" w:hAnsi="Calibri" w:cs="Times New Roman"/>
                <w:b/>
                <w:bCs/>
                <w:color w:val="000000"/>
                <w:sz w:val="20"/>
                <w:lang w:eastAsia="en-GB"/>
              </w:rPr>
              <w:t>d</w:t>
            </w:r>
            <w:r w:rsidRPr="008937F3">
              <w:rPr>
                <w:rFonts w:ascii="Calibri" w:eastAsia="Times New Roman" w:hAnsi="Calibri" w:cs="Times New Roman"/>
                <w:b/>
                <w:bCs/>
                <w:color w:val="000000"/>
                <w:sz w:val="20"/>
                <w:lang w:eastAsia="en-GB"/>
              </w:rPr>
              <w:t xml:space="preserve">escription </w:t>
            </w:r>
          </w:p>
        </w:tc>
        <w:tc>
          <w:tcPr>
            <w:tcW w:w="1179" w:type="dxa"/>
            <w:shd w:val="clear" w:color="auto" w:fill="E7E6E6" w:themeFill="background2"/>
            <w:vAlign w:val="center"/>
            <w:hideMark/>
          </w:tcPr>
          <w:p w14:paraId="7C62D28A" w14:textId="25EFC435" w:rsidR="00F41DE6" w:rsidRDefault="00DD067B">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Ayub </w:t>
            </w:r>
            <w:r w:rsidR="00611059" w:rsidRPr="00611059">
              <w:rPr>
                <w:rFonts w:ascii="Calibri" w:eastAsia="Times New Roman" w:hAnsi="Calibri" w:cs="Times New Roman"/>
                <w:b/>
                <w:bCs/>
                <w:noProof/>
                <w:color w:val="000000"/>
                <w:sz w:val="20"/>
                <w:vertAlign w:val="superscript"/>
                <w:lang w:eastAsia="en-GB"/>
              </w:rPr>
              <w:t>7</w:t>
            </w:r>
          </w:p>
          <w:p w14:paraId="093C97C7" w14:textId="4E3257E5" w:rsidR="00DD067B" w:rsidRPr="008937F3" w:rsidRDefault="00DD067B">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2009 </w:t>
            </w:r>
            <w:r w:rsidRPr="008937F3">
              <w:rPr>
                <w:rFonts w:ascii="Calibri" w:eastAsia="Times New Roman" w:hAnsi="Calibri" w:cs="Times New Roman"/>
                <w:b/>
                <w:bCs/>
                <w:color w:val="000000"/>
                <w:sz w:val="20"/>
                <w:lang w:eastAsia="en-GB"/>
              </w:rPr>
              <w:t>Judgement</w:t>
            </w:r>
          </w:p>
        </w:tc>
        <w:tc>
          <w:tcPr>
            <w:tcW w:w="2929" w:type="dxa"/>
            <w:shd w:val="clear" w:color="auto" w:fill="E7E6E6" w:themeFill="background2"/>
            <w:vAlign w:val="center"/>
            <w:hideMark/>
          </w:tcPr>
          <w:p w14:paraId="4E06F9DC" w14:textId="55A51968" w:rsidR="00E046A1"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Ayub </w:t>
            </w:r>
            <w:r w:rsidR="00611059" w:rsidRPr="00611059">
              <w:rPr>
                <w:rFonts w:ascii="Calibri" w:eastAsia="Times New Roman" w:hAnsi="Calibri" w:cs="Times New Roman"/>
                <w:b/>
                <w:bCs/>
                <w:noProof/>
                <w:color w:val="000000"/>
                <w:sz w:val="20"/>
                <w:vertAlign w:val="superscript"/>
                <w:lang w:eastAsia="en-GB"/>
              </w:rPr>
              <w:t>7</w:t>
            </w:r>
          </w:p>
          <w:p w14:paraId="61B59144" w14:textId="77777777" w:rsidR="00E046A1"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2009 </w:t>
            </w:r>
          </w:p>
          <w:p w14:paraId="7497590C" w14:textId="197CBEEF"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133" w:type="dxa"/>
            <w:shd w:val="clear" w:color="auto" w:fill="E7E6E6" w:themeFill="background2"/>
            <w:vAlign w:val="center"/>
            <w:hideMark/>
          </w:tcPr>
          <w:p w14:paraId="59A67D56" w14:textId="6D475CF7" w:rsidR="00C65506" w:rsidRDefault="00DD067B" w:rsidP="00611059">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Bowman </w:t>
            </w:r>
            <w:r w:rsidR="00611059" w:rsidRPr="00611059">
              <w:rPr>
                <w:rFonts w:ascii="Calibri" w:eastAsia="Times New Roman" w:hAnsi="Calibri" w:cs="Times New Roman"/>
                <w:b/>
                <w:bCs/>
                <w:noProof/>
                <w:color w:val="000000"/>
                <w:sz w:val="20"/>
                <w:vertAlign w:val="superscript"/>
                <w:lang w:eastAsia="en-GB"/>
              </w:rPr>
              <w:t>8</w:t>
            </w:r>
          </w:p>
          <w:p w14:paraId="6D40248E" w14:textId="2F68919A" w:rsidR="00DD067B" w:rsidRPr="008937F3" w:rsidRDefault="00DD067B" w:rsidP="00611059">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1996</w:t>
            </w:r>
            <w:r w:rsidRPr="008937F3">
              <w:rPr>
                <w:rFonts w:ascii="Calibri" w:eastAsia="Times New Roman" w:hAnsi="Calibri" w:cs="Times New Roman"/>
                <w:b/>
                <w:bCs/>
                <w:color w:val="000000"/>
                <w:sz w:val="20"/>
                <w:lang w:eastAsia="en-GB"/>
              </w:rPr>
              <w:t xml:space="preserve"> Judgement</w:t>
            </w:r>
          </w:p>
        </w:tc>
        <w:tc>
          <w:tcPr>
            <w:tcW w:w="2694" w:type="dxa"/>
            <w:shd w:val="clear" w:color="auto" w:fill="E7E6E6" w:themeFill="background2"/>
            <w:vAlign w:val="center"/>
            <w:hideMark/>
          </w:tcPr>
          <w:p w14:paraId="57E9B6A1" w14:textId="5E180B79" w:rsidR="00E046A1"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Bowman </w:t>
            </w:r>
            <w:r w:rsidR="00611059" w:rsidRPr="00611059">
              <w:rPr>
                <w:rFonts w:ascii="Calibri" w:eastAsia="Times New Roman" w:hAnsi="Calibri" w:cs="Times New Roman"/>
                <w:b/>
                <w:bCs/>
                <w:noProof/>
                <w:color w:val="000000"/>
                <w:sz w:val="20"/>
                <w:vertAlign w:val="superscript"/>
                <w:lang w:eastAsia="en-GB"/>
              </w:rPr>
              <w:t>8</w:t>
            </w:r>
          </w:p>
          <w:p w14:paraId="069B5106" w14:textId="77777777" w:rsidR="00E046A1"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1996</w:t>
            </w:r>
          </w:p>
          <w:p w14:paraId="50C75DE3" w14:textId="28029859"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DD067B" w:rsidRPr="00DD067B" w14:paraId="72B6052D" w14:textId="77777777" w:rsidTr="008937F3">
        <w:trPr>
          <w:trHeight w:val="774"/>
        </w:trPr>
        <w:tc>
          <w:tcPr>
            <w:tcW w:w="1846" w:type="dxa"/>
            <w:shd w:val="clear" w:color="auto" w:fill="auto"/>
            <w:vAlign w:val="center"/>
            <w:hideMark/>
          </w:tcPr>
          <w:p w14:paraId="6E8C3548" w14:textId="3F9FA2AC"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Representativeness of the exposed cohort</w:t>
            </w:r>
          </w:p>
        </w:tc>
        <w:tc>
          <w:tcPr>
            <w:tcW w:w="1179" w:type="dxa"/>
            <w:shd w:val="clear" w:color="auto" w:fill="E2EFD9" w:themeFill="accent6" w:themeFillTint="33"/>
            <w:vAlign w:val="center"/>
            <w:hideMark/>
          </w:tcPr>
          <w:p w14:paraId="13E5061E"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54286338" w14:textId="48FEF390" w:rsidR="00DD067B" w:rsidRPr="008937F3" w:rsidRDefault="00E046A1"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w:t>
            </w:r>
            <w:r w:rsidR="000D6FFF">
              <w:rPr>
                <w:rFonts w:ascii="Calibri" w:eastAsia="Times New Roman" w:hAnsi="Calibri" w:cs="Times New Roman"/>
                <w:color w:val="000000"/>
                <w:sz w:val="20"/>
                <w:lang w:eastAsia="en-GB"/>
              </w:rPr>
              <w:t>, selection of participants</w:t>
            </w:r>
            <w:r>
              <w:rPr>
                <w:rFonts w:ascii="Calibri" w:eastAsia="Times New Roman" w:hAnsi="Calibri" w:cs="Times New Roman"/>
                <w:color w:val="000000"/>
                <w:sz w:val="20"/>
                <w:lang w:eastAsia="en-GB"/>
              </w:rPr>
              <w:t xml:space="preserve"> and sample size calculation. </w:t>
            </w:r>
          </w:p>
        </w:tc>
        <w:tc>
          <w:tcPr>
            <w:tcW w:w="1133" w:type="dxa"/>
            <w:shd w:val="clear" w:color="auto" w:fill="E2EFD9" w:themeFill="accent6" w:themeFillTint="33"/>
            <w:vAlign w:val="center"/>
            <w:hideMark/>
          </w:tcPr>
          <w:p w14:paraId="2C734FA2"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5EC2D018" w14:textId="425A595C" w:rsidR="00DD067B" w:rsidRPr="008937F3" w:rsidRDefault="000D6FFF"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population, setting and duration of study and selection of participants. </w:t>
            </w:r>
          </w:p>
        </w:tc>
      </w:tr>
      <w:tr w:rsidR="00DD067B" w:rsidRPr="00DD067B" w14:paraId="646F94FC" w14:textId="77777777" w:rsidTr="008937F3">
        <w:trPr>
          <w:trHeight w:val="633"/>
        </w:trPr>
        <w:tc>
          <w:tcPr>
            <w:tcW w:w="1846" w:type="dxa"/>
            <w:shd w:val="clear" w:color="auto" w:fill="auto"/>
            <w:vAlign w:val="center"/>
            <w:hideMark/>
          </w:tcPr>
          <w:p w14:paraId="4BF19518" w14:textId="3EAD664D"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Selection of the non exposed cohort</w:t>
            </w:r>
          </w:p>
        </w:tc>
        <w:tc>
          <w:tcPr>
            <w:tcW w:w="1179" w:type="dxa"/>
            <w:shd w:val="clear" w:color="auto" w:fill="E2EFD9" w:themeFill="accent6" w:themeFillTint="33"/>
            <w:vAlign w:val="center"/>
            <w:hideMark/>
          </w:tcPr>
          <w:p w14:paraId="0DF19C67" w14:textId="77777777" w:rsidR="00DD067B" w:rsidRPr="008937F3" w:rsidRDefault="00DD067B"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0909D75D" w14:textId="3AFE0747" w:rsidR="00DD067B" w:rsidRPr="008937F3" w:rsidRDefault="00E046A1"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sample size calculation.</w:t>
            </w:r>
          </w:p>
        </w:tc>
        <w:tc>
          <w:tcPr>
            <w:tcW w:w="1133" w:type="dxa"/>
            <w:shd w:val="clear" w:color="auto" w:fill="E2EFD9" w:themeFill="accent6" w:themeFillTint="33"/>
            <w:vAlign w:val="center"/>
            <w:hideMark/>
          </w:tcPr>
          <w:p w14:paraId="5997CA40"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2F36CD52" w14:textId="12B2DD23" w:rsidR="00DD067B" w:rsidRPr="008937F3" w:rsidRDefault="000D6FFF"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and duration of study and selection of participants.</w:t>
            </w:r>
          </w:p>
        </w:tc>
      </w:tr>
      <w:tr w:rsidR="00DD067B" w:rsidRPr="00DD067B" w14:paraId="4B5C9437" w14:textId="77777777" w:rsidTr="008937F3">
        <w:trPr>
          <w:trHeight w:val="1167"/>
        </w:trPr>
        <w:tc>
          <w:tcPr>
            <w:tcW w:w="1846" w:type="dxa"/>
            <w:shd w:val="clear" w:color="auto" w:fill="auto"/>
            <w:vAlign w:val="center"/>
            <w:hideMark/>
          </w:tcPr>
          <w:p w14:paraId="27B36B5A" w14:textId="45343226"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Ascertainment of exposure</w:t>
            </w:r>
          </w:p>
        </w:tc>
        <w:tc>
          <w:tcPr>
            <w:tcW w:w="1179" w:type="dxa"/>
            <w:shd w:val="clear" w:color="auto" w:fill="E2EFD9" w:themeFill="accent6" w:themeFillTint="33"/>
            <w:vAlign w:val="center"/>
            <w:hideMark/>
          </w:tcPr>
          <w:p w14:paraId="292A3370"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53041E10" w14:textId="3C43DE03" w:rsidR="00DD067B" w:rsidRPr="008937F3" w:rsidRDefault="00E046A1"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w:t>
            </w:r>
            <w:r w:rsidR="000D6FFF">
              <w:rPr>
                <w:rFonts w:ascii="Calibri" w:eastAsia="Times New Roman" w:hAnsi="Calibri" w:cs="Times New Roman"/>
                <w:color w:val="000000"/>
                <w:sz w:val="20"/>
                <w:lang w:eastAsia="en-GB"/>
              </w:rPr>
              <w:t>/episode</w:t>
            </w:r>
            <w:r>
              <w:rPr>
                <w:rFonts w:ascii="Calibri" w:eastAsia="Times New Roman" w:hAnsi="Calibri" w:cs="Times New Roman"/>
                <w:color w:val="000000"/>
                <w:sz w:val="20"/>
                <w:lang w:eastAsia="en-GB"/>
              </w:rPr>
              <w:t xml:space="preserve"> review</w:t>
            </w:r>
            <w:r w:rsidR="000D6FFF">
              <w:rPr>
                <w:rFonts w:ascii="Calibri" w:eastAsia="Times New Roman" w:hAnsi="Calibri" w:cs="Times New Roman"/>
                <w:color w:val="000000"/>
                <w:sz w:val="20"/>
                <w:lang w:eastAsia="en-GB"/>
              </w:rPr>
              <w:t>; personnel conducting review,</w:t>
            </w:r>
            <w:r w:rsidR="009146EA">
              <w:rPr>
                <w:rFonts w:ascii="Calibri" w:eastAsia="Times New Roman" w:hAnsi="Calibri" w:cs="Times New Roman"/>
                <w:color w:val="000000"/>
                <w:sz w:val="20"/>
                <w:lang w:eastAsia="en-GB"/>
              </w:rPr>
              <w:t xml:space="preserve"> timing of review,</w:t>
            </w:r>
            <w:r w:rsidR="000D6FFF">
              <w:rPr>
                <w:rFonts w:ascii="Calibri" w:eastAsia="Times New Roman" w:hAnsi="Calibri" w:cs="Times New Roman"/>
                <w:color w:val="000000"/>
                <w:sz w:val="20"/>
                <w:lang w:eastAsia="en-GB"/>
              </w:rPr>
              <w:t xml:space="preserve"> </w:t>
            </w:r>
            <w:r>
              <w:rPr>
                <w:rFonts w:ascii="Calibri" w:eastAsia="Times New Roman" w:hAnsi="Calibri" w:cs="Times New Roman"/>
                <w:color w:val="000000"/>
                <w:sz w:val="20"/>
                <w:lang w:eastAsia="en-GB"/>
              </w:rPr>
              <w:t>data sources</w:t>
            </w:r>
            <w:r w:rsidR="000D6FFF">
              <w:rPr>
                <w:rFonts w:ascii="Calibri" w:eastAsia="Times New Roman" w:hAnsi="Calibri" w:cs="Times New Roman"/>
                <w:color w:val="000000"/>
                <w:sz w:val="20"/>
                <w:lang w:eastAsia="en-GB"/>
              </w:rPr>
              <w:t xml:space="preserve"> used and data extraction method.</w:t>
            </w:r>
          </w:p>
        </w:tc>
        <w:tc>
          <w:tcPr>
            <w:tcW w:w="1133" w:type="dxa"/>
            <w:shd w:val="clear" w:color="auto" w:fill="E2EFD9" w:themeFill="accent6" w:themeFillTint="33"/>
            <w:vAlign w:val="center"/>
            <w:hideMark/>
          </w:tcPr>
          <w:p w14:paraId="60022580"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4D658999" w14:textId="51B417EA" w:rsidR="00DD067B" w:rsidRPr="008937F3" w:rsidRDefault="009146E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and data sources used.</w:t>
            </w:r>
          </w:p>
        </w:tc>
      </w:tr>
      <w:tr w:rsidR="00DD067B" w:rsidRPr="00DD067B" w14:paraId="41F1073A" w14:textId="77777777" w:rsidTr="008937F3">
        <w:trPr>
          <w:trHeight w:val="1170"/>
        </w:trPr>
        <w:tc>
          <w:tcPr>
            <w:tcW w:w="1846" w:type="dxa"/>
            <w:shd w:val="clear" w:color="auto" w:fill="auto"/>
            <w:vAlign w:val="center"/>
            <w:hideMark/>
          </w:tcPr>
          <w:p w14:paraId="39AECF75" w14:textId="28A5386D"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Demonstration that outcome of interest was not present at start of study</w:t>
            </w:r>
          </w:p>
        </w:tc>
        <w:tc>
          <w:tcPr>
            <w:tcW w:w="1179" w:type="dxa"/>
            <w:shd w:val="clear" w:color="auto" w:fill="F7D1D1"/>
            <w:vAlign w:val="center"/>
            <w:hideMark/>
          </w:tcPr>
          <w:p w14:paraId="02598E4E" w14:textId="77777777" w:rsidR="00DD067B" w:rsidRPr="008937F3" w:rsidRDefault="00DD067B" w:rsidP="008937F3">
            <w:pPr>
              <w:spacing w:after="0" w:line="240" w:lineRule="auto"/>
              <w:rPr>
                <w:rFonts w:ascii="Calibri" w:eastAsia="Times New Roman" w:hAnsi="Calibri" w:cs="Times New Roman"/>
                <w:color w:val="FF0000"/>
                <w:sz w:val="20"/>
                <w:lang w:eastAsia="en-GB"/>
              </w:rPr>
            </w:pPr>
            <w:r w:rsidRPr="008937F3">
              <w:rPr>
                <w:rFonts w:ascii="Calibri" w:eastAsia="Times New Roman" w:hAnsi="Calibri" w:cs="Times New Roman"/>
                <w:color w:val="FF0000"/>
                <w:sz w:val="20"/>
                <w:lang w:eastAsia="en-GB"/>
              </w:rPr>
              <w:t>0</w:t>
            </w:r>
          </w:p>
        </w:tc>
        <w:tc>
          <w:tcPr>
            <w:tcW w:w="2929" w:type="dxa"/>
            <w:shd w:val="clear" w:color="auto" w:fill="auto"/>
            <w:vAlign w:val="center"/>
            <w:hideMark/>
          </w:tcPr>
          <w:p w14:paraId="40B4EECC" w14:textId="25B69B07" w:rsidR="00DD067B" w:rsidRPr="008937F3" w:rsidRDefault="009146E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DD067B" w:rsidRPr="008937F3">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 xml:space="preserve">. </w:t>
            </w:r>
          </w:p>
        </w:tc>
        <w:tc>
          <w:tcPr>
            <w:tcW w:w="1133" w:type="dxa"/>
            <w:shd w:val="clear" w:color="auto" w:fill="E2EFD9" w:themeFill="accent6" w:themeFillTint="33"/>
            <w:vAlign w:val="center"/>
            <w:hideMark/>
          </w:tcPr>
          <w:p w14:paraId="7839E53F" w14:textId="77777777" w:rsidR="00DD067B" w:rsidRPr="008937F3" w:rsidRDefault="00DD067B"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601C8A43" w14:textId="0FAD8F9C" w:rsidR="00DD067B" w:rsidRPr="008937F3" w:rsidRDefault="009146E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00DD067B" w:rsidRPr="008937F3">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tc>
      </w:tr>
      <w:tr w:rsidR="00DD067B" w:rsidRPr="00DD067B" w14:paraId="0A6A84E7" w14:textId="77777777" w:rsidTr="008937F3">
        <w:trPr>
          <w:trHeight w:val="692"/>
        </w:trPr>
        <w:tc>
          <w:tcPr>
            <w:tcW w:w="1846" w:type="dxa"/>
            <w:shd w:val="clear" w:color="auto" w:fill="auto"/>
            <w:vAlign w:val="center"/>
            <w:hideMark/>
          </w:tcPr>
          <w:p w14:paraId="56AF2292" w14:textId="398D558A"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79" w:type="dxa"/>
            <w:shd w:val="clear" w:color="auto" w:fill="E2EFD9" w:themeFill="accent6" w:themeFillTint="33"/>
            <w:vAlign w:val="center"/>
            <w:hideMark/>
          </w:tcPr>
          <w:p w14:paraId="17CE2777"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5ACCAD56" w14:textId="229564B5" w:rsidR="00DD067B" w:rsidRPr="008937F3" w:rsidRDefault="009146E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ADR identification, collection of pertaining details, and use of </w:t>
            </w:r>
            <w:r w:rsidR="00DD067B" w:rsidRPr="008937F3">
              <w:rPr>
                <w:rFonts w:ascii="Calibri" w:eastAsia="Times New Roman" w:hAnsi="Calibri" w:cs="Times New Roman"/>
                <w:color w:val="000000"/>
                <w:sz w:val="20"/>
                <w:lang w:eastAsia="en-GB"/>
              </w:rPr>
              <w:t xml:space="preserve">Naranjo algorithm </w:t>
            </w:r>
            <w:r>
              <w:rPr>
                <w:rFonts w:ascii="Calibri" w:eastAsia="Times New Roman" w:hAnsi="Calibri" w:cs="Times New Roman"/>
                <w:color w:val="000000"/>
                <w:sz w:val="20"/>
                <w:lang w:eastAsia="en-GB"/>
              </w:rPr>
              <w:t xml:space="preserve">to assess. </w:t>
            </w:r>
          </w:p>
        </w:tc>
        <w:tc>
          <w:tcPr>
            <w:tcW w:w="1133" w:type="dxa"/>
            <w:shd w:val="clear" w:color="auto" w:fill="E2EFD9" w:themeFill="accent6" w:themeFillTint="33"/>
            <w:vAlign w:val="center"/>
            <w:hideMark/>
          </w:tcPr>
          <w:p w14:paraId="7922A36A"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40E41E48" w14:textId="7BD3F703" w:rsidR="00DD067B" w:rsidRPr="008937F3" w:rsidRDefault="00554452"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ADR identification, collection of pertaining details, and evaluation.</w:t>
            </w:r>
          </w:p>
        </w:tc>
      </w:tr>
      <w:tr w:rsidR="00DD067B" w:rsidRPr="00DD067B" w14:paraId="7451A7A4" w14:textId="77777777" w:rsidTr="008937F3">
        <w:trPr>
          <w:trHeight w:val="524"/>
        </w:trPr>
        <w:tc>
          <w:tcPr>
            <w:tcW w:w="1846" w:type="dxa"/>
            <w:shd w:val="clear" w:color="auto" w:fill="auto"/>
            <w:vAlign w:val="center"/>
            <w:hideMark/>
          </w:tcPr>
          <w:p w14:paraId="3379561B" w14:textId="22BAE7B4"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w:t>
            </w:r>
            <w:r w:rsidR="00EB2D05">
              <w:rPr>
                <w:rFonts w:ascii="Calibri" w:eastAsia="Times New Roman" w:hAnsi="Calibri" w:cs="Times New Roman"/>
                <w:b/>
                <w:bCs/>
                <w:color w:val="000000"/>
                <w:sz w:val="20"/>
                <w:lang w:eastAsia="en-GB"/>
              </w:rPr>
              <w:t xml:space="preserve">(FUP) </w:t>
            </w:r>
            <w:r w:rsidRPr="008937F3">
              <w:rPr>
                <w:rFonts w:ascii="Calibri" w:eastAsia="Times New Roman" w:hAnsi="Calibri" w:cs="Times New Roman"/>
                <w:b/>
                <w:bCs/>
                <w:color w:val="000000"/>
                <w:sz w:val="20"/>
                <w:lang w:eastAsia="en-GB"/>
              </w:rPr>
              <w:t xml:space="preserve">long enough for outcomes to occur </w:t>
            </w:r>
          </w:p>
        </w:tc>
        <w:tc>
          <w:tcPr>
            <w:tcW w:w="1179" w:type="dxa"/>
            <w:shd w:val="clear" w:color="auto" w:fill="E2EFD9" w:themeFill="accent6" w:themeFillTint="33"/>
            <w:vAlign w:val="center"/>
            <w:hideMark/>
          </w:tcPr>
          <w:p w14:paraId="50E90886"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16F8D7CC" w14:textId="3D6B409F" w:rsidR="00DD067B" w:rsidRPr="008937F3" w:rsidRDefault="00EB2D05"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FUP from</w:t>
            </w:r>
            <w:r w:rsidR="00DD067B" w:rsidRPr="008937F3">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 xml:space="preserve"> / deceased (</w:t>
            </w:r>
            <w:r w:rsidR="00DD067B" w:rsidRPr="008937F3">
              <w:rPr>
                <w:rFonts w:ascii="Calibri" w:eastAsia="Times New Roman" w:hAnsi="Calibri" w:cs="Times New Roman"/>
                <w:color w:val="000000"/>
                <w:sz w:val="20"/>
                <w:lang w:eastAsia="en-GB"/>
              </w:rPr>
              <w:t>Intensive Care Unit</w:t>
            </w:r>
            <w:r>
              <w:rPr>
                <w:rFonts w:ascii="Calibri" w:eastAsia="Times New Roman" w:hAnsi="Calibri" w:cs="Times New Roman"/>
                <w:color w:val="000000"/>
                <w:sz w:val="20"/>
                <w:lang w:eastAsia="en-GB"/>
              </w:rPr>
              <w:t>)</w:t>
            </w:r>
          </w:p>
        </w:tc>
        <w:tc>
          <w:tcPr>
            <w:tcW w:w="1133" w:type="dxa"/>
            <w:shd w:val="clear" w:color="auto" w:fill="E2EFD9" w:themeFill="accent6" w:themeFillTint="33"/>
            <w:vAlign w:val="center"/>
            <w:hideMark/>
          </w:tcPr>
          <w:p w14:paraId="637B5BCA"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0E7D3472" w14:textId="7077A0C6" w:rsidR="00DD067B" w:rsidRPr="008937F3" w:rsidRDefault="00EB2D05"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w:t>
            </w:r>
            <w:r>
              <w:rPr>
                <w:rFonts w:ascii="Calibri" w:eastAsia="Times New Roman" w:hAnsi="Calibri" w:cs="Times New Roman"/>
                <w:color w:val="000000"/>
                <w:sz w:val="20"/>
                <w:lang w:eastAsia="en-GB"/>
              </w:rPr>
              <w:t xml:space="preserve">admission, throughout hospital stay until discharge. </w:t>
            </w:r>
          </w:p>
        </w:tc>
      </w:tr>
      <w:tr w:rsidR="00DD067B" w:rsidRPr="00DD067B" w14:paraId="4259EFE7" w14:textId="77777777" w:rsidTr="008937F3">
        <w:trPr>
          <w:trHeight w:val="1118"/>
        </w:trPr>
        <w:tc>
          <w:tcPr>
            <w:tcW w:w="1846" w:type="dxa"/>
            <w:shd w:val="clear" w:color="auto" w:fill="auto"/>
            <w:vAlign w:val="center"/>
            <w:hideMark/>
          </w:tcPr>
          <w:p w14:paraId="7B99418D" w14:textId="6A9D6906" w:rsidR="00DD067B" w:rsidRPr="008937F3" w:rsidRDefault="00DD067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w:t>
            </w:r>
            <w:r w:rsidR="00F41DE6">
              <w:rPr>
                <w:rFonts w:ascii="Calibri" w:eastAsia="Times New Roman" w:hAnsi="Calibri" w:cs="Times New Roman"/>
                <w:b/>
                <w:bCs/>
                <w:color w:val="000000"/>
                <w:sz w:val="20"/>
                <w:lang w:eastAsia="en-GB"/>
              </w:rPr>
              <w:t>cy of follow up of cohorts</w:t>
            </w:r>
          </w:p>
        </w:tc>
        <w:tc>
          <w:tcPr>
            <w:tcW w:w="1179" w:type="dxa"/>
            <w:shd w:val="clear" w:color="auto" w:fill="E2EFD9" w:themeFill="accent6" w:themeFillTint="33"/>
            <w:vAlign w:val="center"/>
            <w:hideMark/>
          </w:tcPr>
          <w:p w14:paraId="4174AB8B"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29" w:type="dxa"/>
            <w:shd w:val="clear" w:color="auto" w:fill="auto"/>
            <w:vAlign w:val="center"/>
            <w:hideMark/>
          </w:tcPr>
          <w:p w14:paraId="79B9C1E9" w14:textId="54397B54" w:rsidR="00212C34" w:rsidRDefault="00212C34">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p</w:t>
            </w:r>
            <w:r w:rsidR="00E24E0E">
              <w:rPr>
                <w:rFonts w:ascii="Calibri" w:eastAsia="Times New Roman" w:hAnsi="Calibri" w:cs="Times New Roman"/>
                <w:color w:val="000000"/>
                <w:sz w:val="20"/>
                <w:lang w:eastAsia="en-GB"/>
              </w:rPr>
              <w:t>atients followed for d</w:t>
            </w:r>
            <w:r w:rsidR="00DD067B" w:rsidRPr="008937F3">
              <w:rPr>
                <w:rFonts w:ascii="Calibri" w:eastAsia="Times New Roman" w:hAnsi="Calibri" w:cs="Times New Roman"/>
                <w:color w:val="000000"/>
                <w:sz w:val="20"/>
                <w:lang w:eastAsia="en-GB"/>
              </w:rPr>
              <w:t>uration of ICU admission</w:t>
            </w:r>
          </w:p>
          <w:p w14:paraId="33E5CDF0" w14:textId="514D3F42" w:rsidR="00DD067B" w:rsidRPr="008937F3" w:rsidRDefault="00212C34">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Missing data - </w:t>
            </w:r>
            <w:r w:rsidR="00DD067B" w:rsidRPr="008937F3">
              <w:rPr>
                <w:rFonts w:ascii="Calibri" w:eastAsia="Times New Roman" w:hAnsi="Calibri" w:cs="Times New Roman"/>
                <w:color w:val="000000"/>
                <w:sz w:val="20"/>
                <w:lang w:eastAsia="en-GB"/>
              </w:rPr>
              <w:t xml:space="preserve">some outcome data missing but </w:t>
            </w:r>
            <w:r w:rsidR="00E24E0E" w:rsidRPr="00DD067B">
              <w:rPr>
                <w:rFonts w:ascii="Calibri" w:eastAsia="Times New Roman" w:hAnsi="Calibri" w:cs="Times New Roman"/>
                <w:color w:val="000000"/>
                <w:sz w:val="20"/>
                <w:lang w:eastAsia="en-GB"/>
              </w:rPr>
              <w:t>accounted</w:t>
            </w:r>
            <w:r w:rsidR="00DD067B" w:rsidRPr="008937F3">
              <w:rPr>
                <w:rFonts w:ascii="Calibri" w:eastAsia="Times New Roman" w:hAnsi="Calibri" w:cs="Times New Roman"/>
                <w:color w:val="000000"/>
                <w:sz w:val="20"/>
                <w:lang w:eastAsia="en-GB"/>
              </w:rPr>
              <w:t xml:space="preserve"> for by author</w:t>
            </w:r>
          </w:p>
        </w:tc>
        <w:tc>
          <w:tcPr>
            <w:tcW w:w="1133" w:type="dxa"/>
            <w:shd w:val="clear" w:color="auto" w:fill="E2EFD9" w:themeFill="accent6" w:themeFillTint="33"/>
            <w:vAlign w:val="center"/>
            <w:hideMark/>
          </w:tcPr>
          <w:p w14:paraId="121A2CE2" w14:textId="77777777" w:rsidR="00DD067B" w:rsidRPr="008937F3" w:rsidRDefault="00DD067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4" w:type="dxa"/>
            <w:shd w:val="clear" w:color="auto" w:fill="auto"/>
            <w:vAlign w:val="center"/>
            <w:hideMark/>
          </w:tcPr>
          <w:p w14:paraId="56273E8B" w14:textId="7FF50919" w:rsidR="00212C34" w:rsidRDefault="00212C34">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Patients adequately followed.</w:t>
            </w:r>
          </w:p>
          <w:p w14:paraId="11389287" w14:textId="74DCD012" w:rsidR="00DD067B" w:rsidRPr="008937F3" w:rsidRDefault="00212C34">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No evidence of</w:t>
            </w:r>
            <w:r w:rsidR="00DD067B" w:rsidRPr="008937F3">
              <w:rPr>
                <w:rFonts w:ascii="Calibri" w:eastAsia="Times New Roman" w:hAnsi="Calibri" w:cs="Times New Roman"/>
                <w:color w:val="000000"/>
                <w:sz w:val="20"/>
                <w:lang w:eastAsia="en-GB"/>
              </w:rPr>
              <w:t xml:space="preserve"> loss to </w:t>
            </w:r>
            <w:r>
              <w:rPr>
                <w:rFonts w:ascii="Calibri" w:eastAsia="Times New Roman" w:hAnsi="Calibri" w:cs="Times New Roman"/>
                <w:color w:val="000000"/>
                <w:sz w:val="20"/>
                <w:lang w:eastAsia="en-GB"/>
              </w:rPr>
              <w:t xml:space="preserve">FUP </w:t>
            </w:r>
            <w:r w:rsidR="00DD067B" w:rsidRPr="008937F3">
              <w:rPr>
                <w:rFonts w:ascii="Calibri" w:eastAsia="Times New Roman" w:hAnsi="Calibri" w:cs="Times New Roman"/>
                <w:color w:val="000000"/>
                <w:sz w:val="20"/>
                <w:lang w:eastAsia="en-GB"/>
              </w:rPr>
              <w:t xml:space="preserve">during hospitalisation </w:t>
            </w:r>
            <w:r>
              <w:rPr>
                <w:rFonts w:ascii="Calibri" w:eastAsia="Times New Roman" w:hAnsi="Calibri" w:cs="Times New Roman"/>
                <w:color w:val="000000"/>
                <w:sz w:val="20"/>
                <w:lang w:eastAsia="en-GB"/>
              </w:rPr>
              <w:t>(i.e. missing data)</w:t>
            </w:r>
          </w:p>
        </w:tc>
      </w:tr>
    </w:tbl>
    <w:p w14:paraId="6E7ABEC2" w14:textId="0A150203" w:rsidR="00DD067B" w:rsidRDefault="00DD067B" w:rsidP="008937F3"/>
    <w:p w14:paraId="62FAE955" w14:textId="175B2151" w:rsidR="00E758CE" w:rsidRDefault="00A66CD2" w:rsidP="008937F3">
      <w:pPr>
        <w:pStyle w:val="Heading3"/>
      </w:pPr>
      <w:bookmarkStart w:id="13" w:name="_Toc52396335"/>
      <w:r>
        <w:t>Calderon</w:t>
      </w:r>
      <w:r w:rsidR="00E758CE">
        <w:t>-Ospina 2010, Cheong 2018</w:t>
      </w:r>
      <w:bookmarkEnd w:id="13"/>
    </w:p>
    <w:tbl>
      <w:tblPr>
        <w:tblW w:w="9776" w:type="dxa"/>
        <w:tblLook w:val="04A0" w:firstRow="1" w:lastRow="0" w:firstColumn="1" w:lastColumn="0" w:noHBand="0" w:noVBand="1"/>
      </w:tblPr>
      <w:tblGrid>
        <w:gridCol w:w="1846"/>
        <w:gridCol w:w="1133"/>
        <w:gridCol w:w="2969"/>
        <w:gridCol w:w="1137"/>
        <w:gridCol w:w="2691"/>
      </w:tblGrid>
      <w:tr w:rsidR="00F41DE6" w:rsidRPr="00F41DE6" w14:paraId="10C435E0" w14:textId="77777777" w:rsidTr="008937F3">
        <w:trPr>
          <w:trHeight w:val="880"/>
        </w:trPr>
        <w:tc>
          <w:tcPr>
            <w:tcW w:w="1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805AA5" w14:textId="77777777" w:rsidR="00F41DE6" w:rsidRPr="008937F3" w:rsidRDefault="00F41DE6">
            <w:pPr>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tcBorders>
              <w:top w:val="single" w:sz="4" w:space="0" w:color="auto"/>
              <w:left w:val="nil"/>
              <w:bottom w:val="single" w:sz="4" w:space="0" w:color="auto"/>
              <w:right w:val="single" w:sz="4" w:space="0" w:color="auto"/>
            </w:tcBorders>
            <w:shd w:val="clear" w:color="auto" w:fill="E7E6E6" w:themeFill="background2"/>
            <w:vAlign w:val="center"/>
            <w:hideMark/>
          </w:tcPr>
          <w:p w14:paraId="545695F5" w14:textId="585F000A" w:rsidR="00C65506" w:rsidRDefault="00A66CD2" w:rsidP="00611059">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Calderon</w:t>
            </w:r>
            <w:r w:rsidR="00F41DE6">
              <w:rPr>
                <w:rFonts w:ascii="Calibri" w:eastAsia="Times New Roman" w:hAnsi="Calibri" w:cs="Times New Roman"/>
                <w:b/>
                <w:bCs/>
                <w:color w:val="000000"/>
                <w:sz w:val="20"/>
                <w:lang w:eastAsia="en-GB"/>
              </w:rPr>
              <w:t xml:space="preserve">-Ospina </w:t>
            </w:r>
            <w:r w:rsidR="00611059" w:rsidRPr="00611059">
              <w:rPr>
                <w:rFonts w:ascii="Calibri" w:eastAsia="Times New Roman" w:hAnsi="Calibri" w:cs="Times New Roman"/>
                <w:b/>
                <w:bCs/>
                <w:noProof/>
                <w:color w:val="000000"/>
                <w:sz w:val="20"/>
                <w:vertAlign w:val="superscript"/>
                <w:lang w:eastAsia="en-GB"/>
              </w:rPr>
              <w:t>9</w:t>
            </w:r>
          </w:p>
          <w:p w14:paraId="2D2259DD" w14:textId="66FEB445" w:rsidR="00F41DE6" w:rsidRPr="008937F3" w:rsidRDefault="00F41DE6" w:rsidP="00611059">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2010 </w:t>
            </w:r>
            <w:r w:rsidRPr="008937F3">
              <w:rPr>
                <w:rFonts w:ascii="Calibri" w:eastAsia="Times New Roman" w:hAnsi="Calibri" w:cs="Times New Roman"/>
                <w:b/>
                <w:bCs/>
                <w:color w:val="000000"/>
                <w:sz w:val="20"/>
                <w:lang w:eastAsia="en-GB"/>
              </w:rPr>
              <w:t>Judgement</w:t>
            </w:r>
          </w:p>
        </w:tc>
        <w:tc>
          <w:tcPr>
            <w:tcW w:w="2969" w:type="dxa"/>
            <w:tcBorders>
              <w:top w:val="single" w:sz="4" w:space="0" w:color="auto"/>
              <w:left w:val="nil"/>
              <w:bottom w:val="single" w:sz="4" w:space="0" w:color="auto"/>
              <w:right w:val="single" w:sz="4" w:space="0" w:color="auto"/>
            </w:tcBorders>
            <w:shd w:val="clear" w:color="auto" w:fill="E7E6E6" w:themeFill="background2"/>
            <w:vAlign w:val="center"/>
            <w:hideMark/>
          </w:tcPr>
          <w:p w14:paraId="7C98F476" w14:textId="27F93E7D" w:rsidR="00F41DE6" w:rsidRDefault="00A66CD2">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Calderon</w:t>
            </w:r>
            <w:r w:rsidR="00F41DE6" w:rsidRPr="008937F3">
              <w:rPr>
                <w:rFonts w:ascii="Calibri" w:eastAsia="Times New Roman" w:hAnsi="Calibri" w:cs="Times New Roman"/>
                <w:b/>
                <w:bCs/>
                <w:color w:val="000000"/>
                <w:sz w:val="20"/>
                <w:lang w:eastAsia="en-GB"/>
              </w:rPr>
              <w:t xml:space="preserve">-Ospina </w:t>
            </w:r>
            <w:r w:rsidR="00611059" w:rsidRPr="00611059">
              <w:rPr>
                <w:rFonts w:ascii="Calibri" w:eastAsia="Times New Roman" w:hAnsi="Calibri" w:cs="Times New Roman"/>
                <w:b/>
                <w:bCs/>
                <w:noProof/>
                <w:color w:val="000000"/>
                <w:sz w:val="20"/>
                <w:vertAlign w:val="superscript"/>
                <w:lang w:eastAsia="en-GB"/>
              </w:rPr>
              <w:t>9</w:t>
            </w:r>
          </w:p>
          <w:p w14:paraId="56BB9855" w14:textId="77777777" w:rsidR="00212C34" w:rsidRDefault="00212C34">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2010 </w:t>
            </w:r>
            <w:r w:rsidR="00F41DE6">
              <w:rPr>
                <w:rFonts w:ascii="Calibri" w:eastAsia="Times New Roman" w:hAnsi="Calibri" w:cs="Times New Roman"/>
                <w:b/>
                <w:bCs/>
                <w:color w:val="000000"/>
                <w:sz w:val="20"/>
                <w:lang w:eastAsia="en-GB"/>
              </w:rPr>
              <w:t xml:space="preserve"> </w:t>
            </w:r>
          </w:p>
          <w:p w14:paraId="19DE38AC" w14:textId="7A743253"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137" w:type="dxa"/>
            <w:tcBorders>
              <w:top w:val="single" w:sz="4" w:space="0" w:color="auto"/>
              <w:left w:val="nil"/>
              <w:bottom w:val="single" w:sz="4" w:space="0" w:color="auto"/>
              <w:right w:val="single" w:sz="4" w:space="0" w:color="auto"/>
            </w:tcBorders>
            <w:shd w:val="clear" w:color="auto" w:fill="E7E6E6" w:themeFill="background2"/>
            <w:vAlign w:val="center"/>
            <w:hideMark/>
          </w:tcPr>
          <w:p w14:paraId="6A8F63BA" w14:textId="602DD160" w:rsidR="00F41DE6" w:rsidRDefault="00F41DE6">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Choeng</w:t>
            </w:r>
            <w:r w:rsidR="00611059" w:rsidRPr="00611059">
              <w:rPr>
                <w:rFonts w:ascii="Calibri" w:eastAsia="Times New Roman" w:hAnsi="Calibri" w:cs="Times New Roman"/>
                <w:b/>
                <w:bCs/>
                <w:noProof/>
                <w:color w:val="000000"/>
                <w:sz w:val="20"/>
                <w:vertAlign w:val="superscript"/>
                <w:lang w:eastAsia="en-GB"/>
              </w:rPr>
              <w:t>10,11</w:t>
            </w:r>
          </w:p>
          <w:p w14:paraId="7D30D999" w14:textId="67FCDBF6" w:rsidR="00F41DE6" w:rsidRPr="008937F3" w:rsidRDefault="00F41DE6">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2018</w:t>
            </w:r>
            <w:r w:rsidRPr="008937F3">
              <w:rPr>
                <w:rFonts w:ascii="Calibri" w:eastAsia="Times New Roman" w:hAnsi="Calibri" w:cs="Times New Roman"/>
                <w:b/>
                <w:bCs/>
                <w:color w:val="000000"/>
                <w:sz w:val="20"/>
                <w:lang w:eastAsia="en-GB"/>
              </w:rPr>
              <w:t xml:space="preserve"> Judgement</w:t>
            </w:r>
          </w:p>
        </w:tc>
        <w:tc>
          <w:tcPr>
            <w:tcW w:w="2691" w:type="dxa"/>
            <w:tcBorders>
              <w:top w:val="single" w:sz="4" w:space="0" w:color="auto"/>
              <w:left w:val="nil"/>
              <w:bottom w:val="single" w:sz="4" w:space="0" w:color="auto"/>
              <w:right w:val="single" w:sz="4" w:space="0" w:color="auto"/>
            </w:tcBorders>
            <w:shd w:val="clear" w:color="auto" w:fill="E7E6E6" w:themeFill="background2"/>
            <w:vAlign w:val="center"/>
            <w:hideMark/>
          </w:tcPr>
          <w:p w14:paraId="7BCBFBCD" w14:textId="3C52D79C" w:rsidR="00212C34"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Choeng</w:t>
            </w:r>
            <w:r w:rsidR="00F05F9D">
              <w:rPr>
                <w:rFonts w:ascii="Calibri" w:eastAsia="Times New Roman" w:hAnsi="Calibri" w:cs="Times New Roman"/>
                <w:b/>
                <w:bCs/>
                <w:color w:val="000000"/>
                <w:sz w:val="20"/>
                <w:lang w:eastAsia="en-GB"/>
              </w:rPr>
              <w:t xml:space="preserve"> </w:t>
            </w:r>
            <w:r w:rsidR="00611059" w:rsidRPr="00611059">
              <w:rPr>
                <w:rFonts w:ascii="Calibri" w:eastAsia="Times New Roman" w:hAnsi="Calibri" w:cs="Times New Roman"/>
                <w:b/>
                <w:bCs/>
                <w:noProof/>
                <w:color w:val="000000"/>
                <w:sz w:val="20"/>
                <w:vertAlign w:val="superscript"/>
                <w:lang w:eastAsia="en-GB"/>
              </w:rPr>
              <w:t>10,11</w:t>
            </w:r>
            <w:r w:rsidRPr="008937F3">
              <w:rPr>
                <w:rFonts w:ascii="Calibri" w:eastAsia="Times New Roman" w:hAnsi="Calibri" w:cs="Times New Roman"/>
                <w:b/>
                <w:bCs/>
                <w:color w:val="000000"/>
                <w:sz w:val="20"/>
                <w:lang w:eastAsia="en-GB"/>
              </w:rPr>
              <w:t xml:space="preserve"> </w:t>
            </w:r>
          </w:p>
          <w:p w14:paraId="426FF3CB" w14:textId="77777777" w:rsidR="00212C34"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2018</w:t>
            </w:r>
          </w:p>
          <w:p w14:paraId="5618CED9" w14:textId="0A3F88CE"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F41DE6" w:rsidRPr="00F41DE6" w14:paraId="586FEF83" w14:textId="77777777" w:rsidTr="008937F3">
        <w:trPr>
          <w:trHeight w:val="575"/>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52537A16" w14:textId="77777777"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677F822B"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21B1A635" w14:textId="1F30D859" w:rsidR="00F41DE6" w:rsidRPr="008937F3" w:rsidRDefault="00212C34"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selection of participants and sample size calculation.</w:t>
            </w:r>
          </w:p>
        </w:tc>
        <w:tc>
          <w:tcPr>
            <w:tcW w:w="1137" w:type="dxa"/>
            <w:tcBorders>
              <w:top w:val="nil"/>
              <w:left w:val="nil"/>
              <w:bottom w:val="single" w:sz="4" w:space="0" w:color="auto"/>
              <w:right w:val="single" w:sz="4" w:space="0" w:color="auto"/>
            </w:tcBorders>
            <w:shd w:val="clear" w:color="auto" w:fill="FFF2CC" w:themeFill="accent4" w:themeFillTint="33"/>
            <w:noWrap/>
            <w:vAlign w:val="center"/>
            <w:hideMark/>
          </w:tcPr>
          <w:p w14:paraId="3741F906" w14:textId="77777777" w:rsidR="00F41DE6" w:rsidRPr="008937F3" w:rsidRDefault="00F41DE6">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691" w:type="dxa"/>
            <w:tcBorders>
              <w:top w:val="nil"/>
              <w:left w:val="nil"/>
              <w:bottom w:val="single" w:sz="4" w:space="0" w:color="auto"/>
              <w:right w:val="single" w:sz="4" w:space="0" w:color="auto"/>
            </w:tcBorders>
            <w:shd w:val="clear" w:color="auto" w:fill="auto"/>
            <w:vAlign w:val="center"/>
            <w:hideMark/>
          </w:tcPr>
          <w:p w14:paraId="78FB36BD" w14:textId="41E9E415" w:rsidR="00F41DE6" w:rsidRPr="008937F3" w:rsidRDefault="007D743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Inadequate – unclear as to how 150 participants were selected.</w:t>
            </w:r>
            <w:r w:rsidR="00F41DE6" w:rsidRPr="008937F3">
              <w:rPr>
                <w:rFonts w:ascii="Calibri" w:eastAsia="Times New Roman" w:hAnsi="Calibri" w:cs="Times New Roman"/>
                <w:color w:val="000000"/>
                <w:sz w:val="20"/>
                <w:lang w:eastAsia="en-GB"/>
              </w:rPr>
              <w:t xml:space="preserve"> </w:t>
            </w:r>
          </w:p>
        </w:tc>
      </w:tr>
      <w:tr w:rsidR="007D7437" w:rsidRPr="00F41DE6" w14:paraId="2236DDF5" w14:textId="77777777" w:rsidTr="008937F3">
        <w:trPr>
          <w:trHeight w:val="50"/>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5944625C" w14:textId="77777777" w:rsidR="007D7437" w:rsidRPr="008937F3" w:rsidRDefault="007D743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2F7E413C" w14:textId="5C1F60B2" w:rsidR="007D7437" w:rsidRPr="008937F3" w:rsidRDefault="007D7437"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19995E29" w14:textId="382A4AE8" w:rsidR="007D7437" w:rsidRPr="008937F3" w:rsidRDefault="007D743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selection of participants and sample size calculation.</w:t>
            </w:r>
          </w:p>
        </w:tc>
        <w:tc>
          <w:tcPr>
            <w:tcW w:w="1137" w:type="dxa"/>
            <w:tcBorders>
              <w:top w:val="nil"/>
              <w:left w:val="nil"/>
              <w:bottom w:val="single" w:sz="4" w:space="0" w:color="auto"/>
              <w:right w:val="single" w:sz="4" w:space="0" w:color="auto"/>
            </w:tcBorders>
            <w:shd w:val="clear" w:color="auto" w:fill="FFF2CC" w:themeFill="accent4" w:themeFillTint="33"/>
            <w:noWrap/>
            <w:vAlign w:val="center"/>
            <w:hideMark/>
          </w:tcPr>
          <w:p w14:paraId="2BBE09B0" w14:textId="123B12DF" w:rsidR="007D7437" w:rsidRPr="008937F3" w:rsidRDefault="007D7437"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FFC000" w:themeColor="accent4"/>
                <w:sz w:val="20"/>
                <w:lang w:eastAsia="en-GB"/>
              </w:rPr>
              <w:t>?</w:t>
            </w:r>
          </w:p>
        </w:tc>
        <w:tc>
          <w:tcPr>
            <w:tcW w:w="2691" w:type="dxa"/>
            <w:tcBorders>
              <w:top w:val="nil"/>
              <w:left w:val="nil"/>
              <w:bottom w:val="single" w:sz="4" w:space="0" w:color="auto"/>
              <w:right w:val="single" w:sz="4" w:space="0" w:color="auto"/>
            </w:tcBorders>
            <w:shd w:val="clear" w:color="auto" w:fill="auto"/>
            <w:vAlign w:val="center"/>
            <w:hideMark/>
          </w:tcPr>
          <w:p w14:paraId="348660A8" w14:textId="77FBA94D" w:rsidR="007D7437" w:rsidRPr="008937F3" w:rsidRDefault="007D743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Inadequate – unclear as to how 150 participants were selected.</w:t>
            </w:r>
            <w:r w:rsidRPr="009E23F8">
              <w:rPr>
                <w:rFonts w:ascii="Calibri" w:eastAsia="Times New Roman" w:hAnsi="Calibri" w:cs="Times New Roman"/>
                <w:color w:val="000000"/>
                <w:sz w:val="20"/>
                <w:lang w:eastAsia="en-GB"/>
              </w:rPr>
              <w:t xml:space="preserve"> </w:t>
            </w:r>
          </w:p>
        </w:tc>
      </w:tr>
      <w:tr w:rsidR="00F41DE6" w:rsidRPr="00F41DE6" w14:paraId="0DFA71A5" w14:textId="77777777" w:rsidTr="008937F3">
        <w:trPr>
          <w:trHeight w:val="60"/>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2DEDBA13" w14:textId="77777777"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14083BFA"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1AF1ADD4" w14:textId="60440A78"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137" w:type="dxa"/>
            <w:tcBorders>
              <w:top w:val="nil"/>
              <w:left w:val="nil"/>
              <w:bottom w:val="single" w:sz="4" w:space="0" w:color="auto"/>
              <w:right w:val="single" w:sz="4" w:space="0" w:color="auto"/>
            </w:tcBorders>
            <w:shd w:val="clear" w:color="auto" w:fill="F7D1D1"/>
            <w:noWrap/>
            <w:vAlign w:val="center"/>
            <w:hideMark/>
          </w:tcPr>
          <w:p w14:paraId="44A666D9"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691" w:type="dxa"/>
            <w:tcBorders>
              <w:top w:val="nil"/>
              <w:left w:val="nil"/>
              <w:bottom w:val="single" w:sz="4" w:space="0" w:color="auto"/>
              <w:right w:val="single" w:sz="4" w:space="0" w:color="auto"/>
            </w:tcBorders>
            <w:shd w:val="clear" w:color="auto" w:fill="auto"/>
            <w:vAlign w:val="center"/>
            <w:hideMark/>
          </w:tcPr>
          <w:p w14:paraId="3EC45B96" w14:textId="17C23EE7"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F41DE6" w:rsidRPr="008937F3">
              <w:rPr>
                <w:rFonts w:ascii="Calibri" w:eastAsia="Times New Roman" w:hAnsi="Calibri" w:cs="Times New Roman"/>
                <w:color w:val="000000"/>
                <w:sz w:val="20"/>
                <w:lang w:eastAsia="en-GB"/>
              </w:rPr>
              <w:t xml:space="preserve"> Unable to determine method of attainment of exposure</w:t>
            </w:r>
          </w:p>
        </w:tc>
      </w:tr>
      <w:tr w:rsidR="00A64576" w:rsidRPr="00F41DE6" w14:paraId="7D2935CD" w14:textId="77777777" w:rsidTr="00A64576">
        <w:trPr>
          <w:trHeight w:val="880"/>
        </w:trPr>
        <w:tc>
          <w:tcPr>
            <w:tcW w:w="1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9060BA1" w14:textId="37059DB9" w:rsidR="00A64576" w:rsidRDefault="00F478FC" w:rsidP="006A7A6F">
            <w:pPr>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Contd.</w:t>
            </w:r>
          </w:p>
          <w:p w14:paraId="46EDE1CC" w14:textId="1C356F93" w:rsidR="00A64576" w:rsidRPr="004B30EF" w:rsidRDefault="00A64576" w:rsidP="006A7A6F">
            <w:pPr>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Description </w:t>
            </w:r>
          </w:p>
        </w:tc>
        <w:tc>
          <w:tcPr>
            <w:tcW w:w="1133" w:type="dxa"/>
            <w:tcBorders>
              <w:top w:val="single" w:sz="4" w:space="0" w:color="auto"/>
              <w:left w:val="nil"/>
              <w:bottom w:val="single" w:sz="4" w:space="0" w:color="auto"/>
              <w:right w:val="single" w:sz="4" w:space="0" w:color="auto"/>
            </w:tcBorders>
            <w:shd w:val="clear" w:color="auto" w:fill="E7E6E6" w:themeFill="background2"/>
            <w:vAlign w:val="center"/>
            <w:hideMark/>
          </w:tcPr>
          <w:p w14:paraId="2EFC2700" w14:textId="77777777" w:rsidR="00A64576"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Calderon-Ospina </w:t>
            </w:r>
            <w:r w:rsidRPr="00611059">
              <w:rPr>
                <w:rFonts w:ascii="Calibri" w:eastAsia="Times New Roman" w:hAnsi="Calibri" w:cs="Times New Roman"/>
                <w:b/>
                <w:bCs/>
                <w:noProof/>
                <w:color w:val="000000"/>
                <w:sz w:val="20"/>
                <w:vertAlign w:val="superscript"/>
                <w:lang w:eastAsia="en-GB"/>
              </w:rPr>
              <w:t>9</w:t>
            </w:r>
          </w:p>
          <w:p w14:paraId="1A710750"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2010 </w:t>
            </w:r>
            <w:r w:rsidRPr="004B30EF">
              <w:rPr>
                <w:rFonts w:ascii="Calibri" w:eastAsia="Times New Roman" w:hAnsi="Calibri" w:cs="Times New Roman"/>
                <w:b/>
                <w:bCs/>
                <w:color w:val="000000"/>
                <w:sz w:val="20"/>
                <w:lang w:eastAsia="en-GB"/>
              </w:rPr>
              <w:t>Judgement</w:t>
            </w:r>
          </w:p>
        </w:tc>
        <w:tc>
          <w:tcPr>
            <w:tcW w:w="2969" w:type="dxa"/>
            <w:tcBorders>
              <w:top w:val="single" w:sz="4" w:space="0" w:color="auto"/>
              <w:left w:val="nil"/>
              <w:bottom w:val="single" w:sz="4" w:space="0" w:color="auto"/>
              <w:right w:val="single" w:sz="4" w:space="0" w:color="auto"/>
            </w:tcBorders>
            <w:shd w:val="clear" w:color="auto" w:fill="E7E6E6" w:themeFill="background2"/>
            <w:vAlign w:val="center"/>
            <w:hideMark/>
          </w:tcPr>
          <w:p w14:paraId="7D325982" w14:textId="77777777" w:rsidR="00A64576"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Calderon</w:t>
            </w:r>
            <w:r w:rsidRPr="004B30EF">
              <w:rPr>
                <w:rFonts w:ascii="Calibri" w:eastAsia="Times New Roman" w:hAnsi="Calibri" w:cs="Times New Roman"/>
                <w:b/>
                <w:bCs/>
                <w:color w:val="000000"/>
                <w:sz w:val="20"/>
                <w:lang w:eastAsia="en-GB"/>
              </w:rPr>
              <w:t xml:space="preserve">-Ospina </w:t>
            </w:r>
            <w:r w:rsidRPr="00611059">
              <w:rPr>
                <w:rFonts w:ascii="Calibri" w:eastAsia="Times New Roman" w:hAnsi="Calibri" w:cs="Times New Roman"/>
                <w:b/>
                <w:bCs/>
                <w:noProof/>
                <w:color w:val="000000"/>
                <w:sz w:val="20"/>
                <w:vertAlign w:val="superscript"/>
                <w:lang w:eastAsia="en-GB"/>
              </w:rPr>
              <w:t>9</w:t>
            </w:r>
          </w:p>
          <w:p w14:paraId="0FA0BB14" w14:textId="77777777" w:rsidR="00A64576"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 xml:space="preserve">2010  </w:t>
            </w:r>
          </w:p>
          <w:p w14:paraId="2435A2A4"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c>
          <w:tcPr>
            <w:tcW w:w="1137" w:type="dxa"/>
            <w:tcBorders>
              <w:top w:val="single" w:sz="4" w:space="0" w:color="auto"/>
              <w:left w:val="nil"/>
              <w:bottom w:val="single" w:sz="4" w:space="0" w:color="auto"/>
              <w:right w:val="single" w:sz="4" w:space="0" w:color="auto"/>
            </w:tcBorders>
            <w:shd w:val="clear" w:color="auto" w:fill="E7E6E6" w:themeFill="background2"/>
            <w:vAlign w:val="center"/>
            <w:hideMark/>
          </w:tcPr>
          <w:p w14:paraId="38AD4625" w14:textId="77777777" w:rsidR="00A64576"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Choeng</w:t>
            </w:r>
            <w:r w:rsidRPr="00611059">
              <w:rPr>
                <w:rFonts w:ascii="Calibri" w:eastAsia="Times New Roman" w:hAnsi="Calibri" w:cs="Times New Roman"/>
                <w:b/>
                <w:bCs/>
                <w:noProof/>
                <w:color w:val="000000"/>
                <w:sz w:val="20"/>
                <w:vertAlign w:val="superscript"/>
                <w:lang w:eastAsia="en-GB"/>
              </w:rPr>
              <w:t>10,11</w:t>
            </w:r>
          </w:p>
          <w:p w14:paraId="6A68C7BD"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2018</w:t>
            </w:r>
            <w:r w:rsidRPr="004B30EF">
              <w:rPr>
                <w:rFonts w:ascii="Calibri" w:eastAsia="Times New Roman" w:hAnsi="Calibri" w:cs="Times New Roman"/>
                <w:b/>
                <w:bCs/>
                <w:color w:val="000000"/>
                <w:sz w:val="20"/>
                <w:lang w:eastAsia="en-GB"/>
              </w:rPr>
              <w:t xml:space="preserve"> Judgement</w:t>
            </w:r>
          </w:p>
        </w:tc>
        <w:tc>
          <w:tcPr>
            <w:tcW w:w="2691" w:type="dxa"/>
            <w:tcBorders>
              <w:top w:val="single" w:sz="4" w:space="0" w:color="auto"/>
              <w:left w:val="nil"/>
              <w:bottom w:val="single" w:sz="4" w:space="0" w:color="auto"/>
              <w:right w:val="single" w:sz="4" w:space="0" w:color="auto"/>
            </w:tcBorders>
            <w:shd w:val="clear" w:color="auto" w:fill="E7E6E6" w:themeFill="background2"/>
            <w:vAlign w:val="center"/>
            <w:hideMark/>
          </w:tcPr>
          <w:p w14:paraId="50C396BE"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Choeng</w:t>
            </w:r>
            <w:r>
              <w:rPr>
                <w:rFonts w:ascii="Calibri" w:eastAsia="Times New Roman" w:hAnsi="Calibri" w:cs="Times New Roman"/>
                <w:b/>
                <w:bCs/>
                <w:color w:val="000000"/>
                <w:sz w:val="20"/>
                <w:lang w:eastAsia="en-GB"/>
              </w:rPr>
              <w:t xml:space="preserve"> </w:t>
            </w:r>
            <w:r w:rsidRPr="00611059">
              <w:rPr>
                <w:rFonts w:ascii="Calibri" w:eastAsia="Times New Roman" w:hAnsi="Calibri" w:cs="Times New Roman"/>
                <w:b/>
                <w:bCs/>
                <w:noProof/>
                <w:color w:val="000000"/>
                <w:sz w:val="20"/>
                <w:vertAlign w:val="superscript"/>
                <w:lang w:eastAsia="en-GB"/>
              </w:rPr>
              <w:t>10,11</w:t>
            </w:r>
            <w:r w:rsidRPr="004B30EF">
              <w:rPr>
                <w:rFonts w:ascii="Calibri" w:eastAsia="Times New Roman" w:hAnsi="Calibri" w:cs="Times New Roman"/>
                <w:b/>
                <w:bCs/>
                <w:color w:val="000000"/>
                <w:sz w:val="20"/>
                <w:lang w:eastAsia="en-GB"/>
              </w:rPr>
              <w:t xml:space="preserve"> </w:t>
            </w:r>
          </w:p>
          <w:p w14:paraId="7A7AE53D"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2018</w:t>
            </w:r>
          </w:p>
          <w:p w14:paraId="57B95CC7"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r>
      <w:tr w:rsidR="00F41DE6" w:rsidRPr="00F41DE6" w14:paraId="25A0290D" w14:textId="77777777" w:rsidTr="008937F3">
        <w:trPr>
          <w:trHeight w:val="818"/>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5BE68CD9" w14:textId="6FF39D7B"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36B64CBB" w14:textId="77777777" w:rsidR="00F41DE6" w:rsidRPr="008937F3" w:rsidRDefault="00F41DE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0AAA6AFE" w14:textId="7C658B36"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exclusion of p</w:t>
            </w:r>
            <w:r w:rsidR="00F41DE6" w:rsidRPr="008937F3">
              <w:rPr>
                <w:rFonts w:ascii="Calibri" w:eastAsia="Times New Roman" w:hAnsi="Calibri" w:cs="Times New Roman"/>
                <w:color w:val="000000"/>
                <w:sz w:val="20"/>
                <w:lang w:eastAsia="en-GB"/>
              </w:rPr>
              <w:t>atients hospitalized because of an ADR.</w:t>
            </w:r>
          </w:p>
        </w:tc>
        <w:tc>
          <w:tcPr>
            <w:tcW w:w="1137" w:type="dxa"/>
            <w:tcBorders>
              <w:top w:val="nil"/>
              <w:left w:val="nil"/>
              <w:bottom w:val="single" w:sz="4" w:space="0" w:color="auto"/>
              <w:right w:val="single" w:sz="4" w:space="0" w:color="auto"/>
            </w:tcBorders>
            <w:shd w:val="clear" w:color="auto" w:fill="F7D1D1"/>
            <w:noWrap/>
            <w:vAlign w:val="center"/>
            <w:hideMark/>
          </w:tcPr>
          <w:p w14:paraId="46D74992" w14:textId="77777777" w:rsidR="00F41DE6" w:rsidRPr="008937F3" w:rsidRDefault="00F41DE6" w:rsidP="008937F3">
            <w:pPr>
              <w:spacing w:after="0" w:line="240" w:lineRule="auto"/>
              <w:rPr>
                <w:rFonts w:ascii="Calibri" w:eastAsia="Times New Roman" w:hAnsi="Calibri" w:cs="Times New Roman"/>
                <w:color w:val="FF0000"/>
                <w:sz w:val="20"/>
                <w:lang w:eastAsia="en-GB"/>
              </w:rPr>
            </w:pPr>
            <w:r w:rsidRPr="008937F3">
              <w:rPr>
                <w:rFonts w:ascii="Calibri" w:eastAsia="Times New Roman" w:hAnsi="Calibri" w:cs="Times New Roman"/>
                <w:color w:val="FF0000"/>
                <w:sz w:val="20"/>
                <w:lang w:eastAsia="en-GB"/>
              </w:rPr>
              <w:t>0</w:t>
            </w:r>
          </w:p>
        </w:tc>
        <w:tc>
          <w:tcPr>
            <w:tcW w:w="2691" w:type="dxa"/>
            <w:tcBorders>
              <w:top w:val="nil"/>
              <w:left w:val="nil"/>
              <w:bottom w:val="single" w:sz="4" w:space="0" w:color="auto"/>
              <w:right w:val="single" w:sz="4" w:space="0" w:color="auto"/>
            </w:tcBorders>
            <w:shd w:val="clear" w:color="auto" w:fill="auto"/>
            <w:vAlign w:val="center"/>
            <w:hideMark/>
          </w:tcPr>
          <w:p w14:paraId="4C2E41D3" w14:textId="06669ED9"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F41DE6" w:rsidRPr="00F41DE6" w14:paraId="66CFD3C1" w14:textId="77777777" w:rsidTr="008937F3">
        <w:trPr>
          <w:trHeight w:val="538"/>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0C5392B2" w14:textId="77777777"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7D2F6843"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1EBFDBFC" w14:textId="5991B6A6" w:rsidR="00F41DE6" w:rsidRPr="008937F3" w:rsidRDefault="004F240A">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and independent evaluation (WHO causality).</w:t>
            </w:r>
          </w:p>
        </w:tc>
        <w:tc>
          <w:tcPr>
            <w:tcW w:w="1137" w:type="dxa"/>
            <w:tcBorders>
              <w:top w:val="nil"/>
              <w:left w:val="nil"/>
              <w:bottom w:val="single" w:sz="4" w:space="0" w:color="auto"/>
              <w:right w:val="single" w:sz="4" w:space="0" w:color="auto"/>
            </w:tcBorders>
            <w:shd w:val="clear" w:color="auto" w:fill="FFF2CC" w:themeFill="accent4" w:themeFillTint="33"/>
            <w:noWrap/>
            <w:vAlign w:val="center"/>
            <w:hideMark/>
          </w:tcPr>
          <w:p w14:paraId="41671FF3" w14:textId="77777777" w:rsidR="00F41DE6" w:rsidRPr="008937F3" w:rsidRDefault="00F41DE6">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691" w:type="dxa"/>
            <w:tcBorders>
              <w:top w:val="nil"/>
              <w:left w:val="nil"/>
              <w:bottom w:val="single" w:sz="4" w:space="0" w:color="auto"/>
              <w:right w:val="single" w:sz="4" w:space="0" w:color="auto"/>
            </w:tcBorders>
            <w:shd w:val="clear" w:color="auto" w:fill="auto"/>
            <w:vAlign w:val="center"/>
            <w:hideMark/>
          </w:tcPr>
          <w:p w14:paraId="2C41791B" w14:textId="7CC053CA"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w:t>
            </w:r>
            <w:r w:rsidR="0091382D">
              <w:rPr>
                <w:rFonts w:ascii="Calibri" w:eastAsia="Times New Roman" w:hAnsi="Calibri" w:cs="Times New Roman"/>
                <w:color w:val="000000"/>
                <w:sz w:val="20"/>
                <w:lang w:eastAsia="en-GB"/>
              </w:rPr>
              <w:t>–</w:t>
            </w:r>
            <w:r w:rsidR="00F41DE6" w:rsidRPr="008937F3">
              <w:rPr>
                <w:rFonts w:ascii="Calibri" w:eastAsia="Times New Roman" w:hAnsi="Calibri" w:cs="Times New Roman"/>
                <w:color w:val="000000"/>
                <w:sz w:val="20"/>
                <w:lang w:eastAsia="en-GB"/>
              </w:rPr>
              <w:t xml:space="preserve"> </w:t>
            </w:r>
            <w:r w:rsidR="0091382D">
              <w:rPr>
                <w:rFonts w:ascii="Calibri" w:eastAsia="Times New Roman" w:hAnsi="Calibri" w:cs="Times New Roman"/>
                <w:color w:val="000000"/>
                <w:sz w:val="20"/>
                <w:lang w:eastAsia="en-GB"/>
              </w:rPr>
              <w:t xml:space="preserve">unclear as to the source and </w:t>
            </w:r>
            <w:r w:rsidR="00F41DE6" w:rsidRPr="008937F3">
              <w:rPr>
                <w:rFonts w:ascii="Calibri" w:eastAsia="Times New Roman" w:hAnsi="Calibri" w:cs="Times New Roman"/>
                <w:color w:val="000000"/>
                <w:sz w:val="20"/>
                <w:lang w:eastAsia="en-GB"/>
              </w:rPr>
              <w:t>method of assessment of outcome</w:t>
            </w:r>
            <w:r w:rsidR="0091382D">
              <w:rPr>
                <w:rFonts w:ascii="Calibri" w:eastAsia="Times New Roman" w:hAnsi="Calibri" w:cs="Times New Roman"/>
                <w:color w:val="000000"/>
                <w:sz w:val="20"/>
                <w:lang w:eastAsia="en-GB"/>
              </w:rPr>
              <w:t>.</w:t>
            </w:r>
          </w:p>
        </w:tc>
      </w:tr>
      <w:tr w:rsidR="00F41DE6" w:rsidRPr="00F41DE6" w14:paraId="3C8F343F" w14:textId="77777777" w:rsidTr="008937F3">
        <w:trPr>
          <w:trHeight w:val="618"/>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4DFB6FE0" w14:textId="7E1A7625"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E2 - Was follow-up</w:t>
            </w:r>
            <w:r w:rsidR="0091382D">
              <w:rPr>
                <w:rFonts w:ascii="Calibri" w:eastAsia="Times New Roman" w:hAnsi="Calibri" w:cs="Times New Roman"/>
                <w:b/>
                <w:bCs/>
                <w:color w:val="000000"/>
                <w:sz w:val="20"/>
                <w:lang w:eastAsia="en-GB"/>
              </w:rPr>
              <w:t xml:space="preserve"> (FUP)</w:t>
            </w:r>
            <w:r w:rsidRPr="008937F3">
              <w:rPr>
                <w:rFonts w:ascii="Calibri" w:eastAsia="Times New Roman" w:hAnsi="Calibri" w:cs="Times New Roman"/>
                <w:b/>
                <w:bCs/>
                <w:color w:val="000000"/>
                <w:sz w:val="20"/>
                <w:lang w:eastAsia="en-GB"/>
              </w:rPr>
              <w:t xml:space="preserve"> long enough for outcomes to occur </w:t>
            </w:r>
          </w:p>
        </w:tc>
        <w:tc>
          <w:tcPr>
            <w:tcW w:w="1133" w:type="dxa"/>
            <w:tcBorders>
              <w:top w:val="nil"/>
              <w:left w:val="nil"/>
              <w:bottom w:val="single" w:sz="4" w:space="0" w:color="auto"/>
              <w:right w:val="single" w:sz="4" w:space="0" w:color="auto"/>
            </w:tcBorders>
            <w:shd w:val="clear" w:color="auto" w:fill="FFF2CC" w:themeFill="accent4" w:themeFillTint="33"/>
            <w:noWrap/>
            <w:vAlign w:val="center"/>
            <w:hideMark/>
          </w:tcPr>
          <w:p w14:paraId="41FFB945" w14:textId="77777777" w:rsidR="00F41DE6" w:rsidRPr="008937F3" w:rsidRDefault="00F41DE6">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969" w:type="dxa"/>
            <w:tcBorders>
              <w:top w:val="nil"/>
              <w:left w:val="nil"/>
              <w:bottom w:val="single" w:sz="4" w:space="0" w:color="auto"/>
              <w:right w:val="single" w:sz="4" w:space="0" w:color="auto"/>
            </w:tcBorders>
            <w:shd w:val="clear" w:color="auto" w:fill="auto"/>
            <w:vAlign w:val="center"/>
            <w:hideMark/>
          </w:tcPr>
          <w:p w14:paraId="0A735E31" w14:textId="1E170448" w:rsidR="00F41DE6" w:rsidRPr="008937F3" w:rsidRDefault="004F240A"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unclear as to duration of FUP. </w:t>
            </w:r>
          </w:p>
        </w:tc>
        <w:tc>
          <w:tcPr>
            <w:tcW w:w="1137" w:type="dxa"/>
            <w:tcBorders>
              <w:top w:val="single" w:sz="4" w:space="0" w:color="auto"/>
              <w:left w:val="nil"/>
              <w:bottom w:val="single" w:sz="4" w:space="0" w:color="auto"/>
              <w:right w:val="single" w:sz="4" w:space="0" w:color="auto"/>
            </w:tcBorders>
            <w:shd w:val="clear" w:color="auto" w:fill="F7D1D1"/>
            <w:noWrap/>
            <w:vAlign w:val="center"/>
            <w:hideMark/>
          </w:tcPr>
          <w:p w14:paraId="06F13447"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691" w:type="dxa"/>
            <w:tcBorders>
              <w:top w:val="nil"/>
              <w:left w:val="nil"/>
              <w:bottom w:val="single" w:sz="4" w:space="0" w:color="auto"/>
              <w:right w:val="single" w:sz="4" w:space="0" w:color="auto"/>
            </w:tcBorders>
            <w:shd w:val="clear" w:color="auto" w:fill="auto"/>
            <w:vAlign w:val="center"/>
            <w:hideMark/>
          </w:tcPr>
          <w:p w14:paraId="6E6F3D4A" w14:textId="5B21F9D9" w:rsidR="00F41DE6" w:rsidRPr="008937F3" w:rsidRDefault="0091382D"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F41DE6" w:rsidRPr="008937F3">
              <w:rPr>
                <w:rFonts w:ascii="Calibri" w:eastAsia="Times New Roman" w:hAnsi="Calibri" w:cs="Times New Roman"/>
                <w:color w:val="000000"/>
                <w:sz w:val="20"/>
                <w:lang w:eastAsia="en-GB"/>
              </w:rPr>
              <w:t>Unable to determine period of follow-up</w:t>
            </w:r>
          </w:p>
        </w:tc>
      </w:tr>
      <w:tr w:rsidR="00F41DE6" w:rsidRPr="00F41DE6" w14:paraId="1EE7D4E6" w14:textId="77777777" w:rsidTr="008937F3">
        <w:trPr>
          <w:trHeight w:val="599"/>
        </w:trPr>
        <w:tc>
          <w:tcPr>
            <w:tcW w:w="1846" w:type="dxa"/>
            <w:tcBorders>
              <w:top w:val="nil"/>
              <w:left w:val="single" w:sz="4" w:space="0" w:color="auto"/>
              <w:bottom w:val="single" w:sz="4" w:space="0" w:color="auto"/>
              <w:right w:val="single" w:sz="4" w:space="0" w:color="auto"/>
            </w:tcBorders>
            <w:shd w:val="clear" w:color="auto" w:fill="auto"/>
            <w:vAlign w:val="center"/>
            <w:hideMark/>
          </w:tcPr>
          <w:p w14:paraId="5CD4322C" w14:textId="3A21DC1C" w:rsidR="00F41DE6" w:rsidRPr="008937F3" w:rsidRDefault="00F41DE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w:t>
            </w:r>
            <w:r w:rsidR="001C3714">
              <w:rPr>
                <w:rFonts w:ascii="Calibri" w:eastAsia="Times New Roman" w:hAnsi="Calibri" w:cs="Times New Roman"/>
                <w:b/>
                <w:bCs/>
                <w:color w:val="000000"/>
                <w:sz w:val="20"/>
                <w:lang w:eastAsia="en-GB"/>
              </w:rPr>
              <w:t xml:space="preserve">cy of follow up of cohorts </w:t>
            </w:r>
          </w:p>
        </w:tc>
        <w:tc>
          <w:tcPr>
            <w:tcW w:w="1133" w:type="dxa"/>
            <w:tcBorders>
              <w:top w:val="nil"/>
              <w:left w:val="nil"/>
              <w:bottom w:val="single" w:sz="4" w:space="0" w:color="auto"/>
              <w:right w:val="single" w:sz="4" w:space="0" w:color="auto"/>
            </w:tcBorders>
            <w:shd w:val="clear" w:color="auto" w:fill="E2EFD9" w:themeFill="accent6" w:themeFillTint="33"/>
            <w:noWrap/>
            <w:vAlign w:val="center"/>
            <w:hideMark/>
          </w:tcPr>
          <w:p w14:paraId="5395A14B"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69" w:type="dxa"/>
            <w:tcBorders>
              <w:top w:val="nil"/>
              <w:left w:val="nil"/>
              <w:bottom w:val="single" w:sz="4" w:space="0" w:color="auto"/>
              <w:right w:val="single" w:sz="4" w:space="0" w:color="auto"/>
            </w:tcBorders>
            <w:shd w:val="clear" w:color="auto" w:fill="auto"/>
            <w:vAlign w:val="center"/>
            <w:hideMark/>
          </w:tcPr>
          <w:p w14:paraId="2E5995E3" w14:textId="23B7EBC1" w:rsidR="00F41DE6" w:rsidRPr="008937F3" w:rsidRDefault="0091382D">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All data accounted for, no evidence of inadequate FUP. </w:t>
            </w:r>
          </w:p>
        </w:tc>
        <w:tc>
          <w:tcPr>
            <w:tcW w:w="1137" w:type="dxa"/>
            <w:tcBorders>
              <w:top w:val="nil"/>
              <w:left w:val="nil"/>
              <w:bottom w:val="single" w:sz="4" w:space="0" w:color="auto"/>
              <w:right w:val="single" w:sz="4" w:space="0" w:color="auto"/>
            </w:tcBorders>
            <w:shd w:val="clear" w:color="auto" w:fill="F7D1D1"/>
            <w:noWrap/>
            <w:vAlign w:val="center"/>
            <w:hideMark/>
          </w:tcPr>
          <w:p w14:paraId="3DD7DE90" w14:textId="77777777" w:rsidR="00F41DE6" w:rsidRPr="008937F3" w:rsidRDefault="00F41DE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691" w:type="dxa"/>
            <w:tcBorders>
              <w:top w:val="nil"/>
              <w:left w:val="nil"/>
              <w:bottom w:val="single" w:sz="4" w:space="0" w:color="auto"/>
              <w:right w:val="single" w:sz="4" w:space="0" w:color="auto"/>
            </w:tcBorders>
            <w:shd w:val="clear" w:color="auto" w:fill="auto"/>
            <w:vAlign w:val="center"/>
            <w:hideMark/>
          </w:tcPr>
          <w:p w14:paraId="1D81FD87" w14:textId="58B5F750" w:rsidR="00F41DE6" w:rsidRPr="008937F3" w:rsidRDefault="0091382D"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insufficient information </w:t>
            </w:r>
            <w:r w:rsidR="00F41DE6" w:rsidRPr="008937F3">
              <w:rPr>
                <w:rFonts w:ascii="Calibri" w:eastAsia="Times New Roman" w:hAnsi="Calibri" w:cs="Times New Roman"/>
                <w:color w:val="000000"/>
                <w:sz w:val="20"/>
                <w:lang w:eastAsia="en-GB"/>
              </w:rPr>
              <w:t>to determine adequacy of follow-up of cohorts</w:t>
            </w:r>
          </w:p>
        </w:tc>
      </w:tr>
    </w:tbl>
    <w:p w14:paraId="633F87A7" w14:textId="046AAD30" w:rsidR="00F41DE6" w:rsidRDefault="00F41DE6" w:rsidP="008937F3"/>
    <w:p w14:paraId="0B82C7BB" w14:textId="7A90C21F" w:rsidR="00E758CE" w:rsidRDefault="00E758CE" w:rsidP="008937F3">
      <w:pPr>
        <w:pStyle w:val="Heading3"/>
      </w:pPr>
      <w:bookmarkStart w:id="14" w:name="_Toc52396336"/>
      <w:r>
        <w:t>Conforti 2012, Corsonello 2009</w:t>
      </w:r>
      <w:bookmarkEnd w:id="14"/>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33"/>
        <w:gridCol w:w="2975"/>
        <w:gridCol w:w="1234"/>
        <w:gridCol w:w="2598"/>
      </w:tblGrid>
      <w:tr w:rsidR="00B02B4B" w:rsidRPr="00B02B4B" w14:paraId="6890DF42" w14:textId="77777777" w:rsidTr="008937F3">
        <w:trPr>
          <w:trHeight w:val="880"/>
        </w:trPr>
        <w:tc>
          <w:tcPr>
            <w:tcW w:w="1846" w:type="dxa"/>
            <w:shd w:val="clear" w:color="auto" w:fill="E7E6E6" w:themeFill="background2"/>
            <w:vAlign w:val="center"/>
            <w:hideMark/>
          </w:tcPr>
          <w:p w14:paraId="79DAD545" w14:textId="77777777" w:rsidR="00B02B4B" w:rsidRPr="008937F3" w:rsidRDefault="00B02B4B">
            <w:pPr>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4FFEA221" w14:textId="5E1CDD88" w:rsidR="00C65506" w:rsidRDefault="00B02B4B" w:rsidP="00611059">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Conforti </w:t>
            </w:r>
            <w:r w:rsidR="00611059" w:rsidRPr="00611059">
              <w:rPr>
                <w:rFonts w:ascii="Calibri" w:eastAsia="Times New Roman" w:hAnsi="Calibri" w:cs="Times New Roman"/>
                <w:b/>
                <w:bCs/>
                <w:noProof/>
                <w:color w:val="000000"/>
                <w:sz w:val="20"/>
                <w:vertAlign w:val="superscript"/>
                <w:lang w:eastAsia="en-GB"/>
              </w:rPr>
              <w:t>12</w:t>
            </w:r>
          </w:p>
          <w:p w14:paraId="5B34B3D9" w14:textId="437A904D" w:rsidR="00B02B4B" w:rsidRPr="008937F3" w:rsidRDefault="00B02B4B" w:rsidP="00611059">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2012 Judgement</w:t>
            </w:r>
          </w:p>
        </w:tc>
        <w:tc>
          <w:tcPr>
            <w:tcW w:w="2975" w:type="dxa"/>
            <w:shd w:val="clear" w:color="auto" w:fill="E7E6E6" w:themeFill="background2"/>
            <w:vAlign w:val="center"/>
            <w:hideMark/>
          </w:tcPr>
          <w:p w14:paraId="5FDC8EFE" w14:textId="5CE27BF9" w:rsidR="00B04906"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Conforti </w:t>
            </w:r>
            <w:r w:rsidR="00611059" w:rsidRPr="00611059">
              <w:rPr>
                <w:rFonts w:ascii="Calibri" w:eastAsia="Times New Roman" w:hAnsi="Calibri" w:cs="Times New Roman"/>
                <w:b/>
                <w:bCs/>
                <w:noProof/>
                <w:color w:val="000000"/>
                <w:sz w:val="20"/>
                <w:vertAlign w:val="superscript"/>
                <w:lang w:eastAsia="en-GB"/>
              </w:rPr>
              <w:t>12</w:t>
            </w:r>
          </w:p>
          <w:p w14:paraId="4CD5A26B" w14:textId="77777777" w:rsidR="00B04906"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2012 </w:t>
            </w:r>
          </w:p>
          <w:p w14:paraId="0FE4685F" w14:textId="72EB6D86"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234" w:type="dxa"/>
            <w:shd w:val="clear" w:color="auto" w:fill="E7E6E6" w:themeFill="background2"/>
            <w:vAlign w:val="center"/>
            <w:hideMark/>
          </w:tcPr>
          <w:p w14:paraId="4884C480" w14:textId="2E0CAE52" w:rsidR="00B02B4B" w:rsidRPr="008937F3" w:rsidRDefault="00B02B4B" w:rsidP="00611059">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Corsonello</w:t>
            </w:r>
            <w:r w:rsidR="00611059" w:rsidRPr="00611059">
              <w:rPr>
                <w:rFonts w:ascii="Calibri" w:eastAsia="Times New Roman" w:hAnsi="Calibri" w:cs="Times New Roman"/>
                <w:b/>
                <w:bCs/>
                <w:noProof/>
                <w:color w:val="000000"/>
                <w:sz w:val="20"/>
                <w:vertAlign w:val="superscript"/>
                <w:lang w:eastAsia="en-GB"/>
              </w:rPr>
              <w:t>13</w:t>
            </w:r>
            <w:r w:rsidRPr="008937F3">
              <w:rPr>
                <w:rFonts w:ascii="Calibri" w:eastAsia="Times New Roman" w:hAnsi="Calibri" w:cs="Times New Roman"/>
                <w:b/>
                <w:bCs/>
                <w:color w:val="000000"/>
                <w:sz w:val="20"/>
                <w:lang w:eastAsia="en-GB"/>
              </w:rPr>
              <w:t xml:space="preserve"> 2009 Judgement</w:t>
            </w:r>
          </w:p>
        </w:tc>
        <w:tc>
          <w:tcPr>
            <w:tcW w:w="2598" w:type="dxa"/>
            <w:shd w:val="clear" w:color="auto" w:fill="E7E6E6" w:themeFill="background2"/>
            <w:vAlign w:val="center"/>
            <w:hideMark/>
          </w:tcPr>
          <w:p w14:paraId="148ED15F" w14:textId="16D56428" w:rsidR="00B04906"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Corsonello</w:t>
            </w:r>
            <w:r w:rsidR="00F05F9D">
              <w:rPr>
                <w:rFonts w:ascii="Calibri" w:eastAsia="Times New Roman" w:hAnsi="Calibri" w:cs="Times New Roman"/>
                <w:b/>
                <w:bCs/>
                <w:color w:val="000000"/>
                <w:sz w:val="20"/>
                <w:lang w:eastAsia="en-GB"/>
              </w:rPr>
              <w:t xml:space="preserve"> </w:t>
            </w:r>
            <w:r w:rsidR="00611059" w:rsidRPr="00611059">
              <w:rPr>
                <w:rFonts w:ascii="Calibri" w:eastAsia="Times New Roman" w:hAnsi="Calibri" w:cs="Times New Roman"/>
                <w:b/>
                <w:bCs/>
                <w:noProof/>
                <w:color w:val="000000"/>
                <w:sz w:val="20"/>
                <w:vertAlign w:val="superscript"/>
                <w:lang w:eastAsia="en-GB"/>
              </w:rPr>
              <w:t>13</w:t>
            </w:r>
            <w:r w:rsidRPr="008937F3">
              <w:rPr>
                <w:rFonts w:ascii="Calibri" w:eastAsia="Times New Roman" w:hAnsi="Calibri" w:cs="Times New Roman"/>
                <w:b/>
                <w:bCs/>
                <w:color w:val="000000"/>
                <w:sz w:val="20"/>
                <w:lang w:eastAsia="en-GB"/>
              </w:rPr>
              <w:t xml:space="preserve"> </w:t>
            </w:r>
          </w:p>
          <w:p w14:paraId="3562CF6A" w14:textId="77777777" w:rsidR="00B04906"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2009 </w:t>
            </w:r>
          </w:p>
          <w:p w14:paraId="287340FD" w14:textId="5CFB7275"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B02B4B" w:rsidRPr="00B02B4B" w14:paraId="034EDAC7" w14:textId="77777777" w:rsidTr="008937F3">
        <w:trPr>
          <w:trHeight w:val="377"/>
        </w:trPr>
        <w:tc>
          <w:tcPr>
            <w:tcW w:w="1846" w:type="dxa"/>
            <w:shd w:val="clear" w:color="auto" w:fill="auto"/>
            <w:vAlign w:val="center"/>
            <w:hideMark/>
          </w:tcPr>
          <w:p w14:paraId="18D1CD68" w14:textId="77777777"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shd w:val="clear" w:color="auto" w:fill="E2EFD9" w:themeFill="accent6" w:themeFillTint="33"/>
            <w:vAlign w:val="center"/>
            <w:hideMark/>
          </w:tcPr>
          <w:p w14:paraId="43C1CDDF"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5" w:type="dxa"/>
            <w:shd w:val="clear" w:color="auto" w:fill="auto"/>
            <w:vAlign w:val="center"/>
            <w:hideMark/>
          </w:tcPr>
          <w:p w14:paraId="7D03BB99" w14:textId="21E0E85B" w:rsidR="00B02B4B" w:rsidRPr="008937F3" w:rsidRDefault="00B04906"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w:t>
            </w:r>
            <w:r w:rsidR="006F4405">
              <w:rPr>
                <w:rFonts w:ascii="Calibri" w:eastAsia="Times New Roman" w:hAnsi="Calibri" w:cs="Times New Roman"/>
                <w:color w:val="000000"/>
                <w:sz w:val="20"/>
                <w:lang w:eastAsia="en-GB"/>
              </w:rPr>
              <w:t>cription of population, setting, duration of study and</w:t>
            </w:r>
            <w:r>
              <w:rPr>
                <w:rFonts w:ascii="Calibri" w:eastAsia="Times New Roman" w:hAnsi="Calibri" w:cs="Times New Roman"/>
                <w:color w:val="000000"/>
                <w:sz w:val="20"/>
                <w:lang w:eastAsia="en-GB"/>
              </w:rPr>
              <w:t xml:space="preserve"> selection of particip</w:t>
            </w:r>
            <w:r w:rsidR="006F4405">
              <w:rPr>
                <w:rFonts w:ascii="Calibri" w:eastAsia="Times New Roman" w:hAnsi="Calibri" w:cs="Times New Roman"/>
                <w:color w:val="000000"/>
                <w:sz w:val="20"/>
                <w:lang w:eastAsia="en-GB"/>
              </w:rPr>
              <w:t>ants.</w:t>
            </w:r>
          </w:p>
        </w:tc>
        <w:tc>
          <w:tcPr>
            <w:tcW w:w="1234" w:type="dxa"/>
            <w:shd w:val="clear" w:color="auto" w:fill="E2EFD9" w:themeFill="accent6" w:themeFillTint="33"/>
            <w:vAlign w:val="center"/>
            <w:hideMark/>
          </w:tcPr>
          <w:p w14:paraId="1340E9C0"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3C542652" w14:textId="60B21EDA" w:rsidR="00B02B4B" w:rsidRPr="008937F3" w:rsidRDefault="006F4405"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622AFB" w:rsidRPr="00B02B4B" w14:paraId="4B69B73E" w14:textId="77777777" w:rsidTr="008937F3">
        <w:trPr>
          <w:trHeight w:val="377"/>
        </w:trPr>
        <w:tc>
          <w:tcPr>
            <w:tcW w:w="1846" w:type="dxa"/>
            <w:shd w:val="clear" w:color="auto" w:fill="auto"/>
            <w:vAlign w:val="center"/>
            <w:hideMark/>
          </w:tcPr>
          <w:p w14:paraId="032BC69C" w14:textId="77777777" w:rsidR="00622AFB" w:rsidRPr="008937F3" w:rsidRDefault="00622AF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shd w:val="clear" w:color="auto" w:fill="E2EFD9" w:themeFill="accent6" w:themeFillTint="33"/>
            <w:vAlign w:val="center"/>
            <w:hideMark/>
          </w:tcPr>
          <w:p w14:paraId="416EF8A2" w14:textId="4118914E" w:rsidR="00622AFB" w:rsidRPr="008937F3" w:rsidRDefault="00622AFB"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975" w:type="dxa"/>
            <w:shd w:val="clear" w:color="auto" w:fill="auto"/>
            <w:vAlign w:val="center"/>
            <w:hideMark/>
          </w:tcPr>
          <w:p w14:paraId="594544E6" w14:textId="2C52FB1A" w:rsidR="00622AF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234" w:type="dxa"/>
            <w:shd w:val="clear" w:color="auto" w:fill="E2EFD9" w:themeFill="accent6" w:themeFillTint="33"/>
            <w:vAlign w:val="center"/>
            <w:hideMark/>
          </w:tcPr>
          <w:p w14:paraId="51710CE3" w14:textId="3E26246C" w:rsidR="00622AFB" w:rsidRPr="008937F3" w:rsidRDefault="00622AFB"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7908386D" w14:textId="13DD7F1A" w:rsidR="00622AF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B02B4B" w:rsidRPr="00B02B4B" w14:paraId="6A7967A2" w14:textId="77777777" w:rsidTr="008937F3">
        <w:trPr>
          <w:trHeight w:val="274"/>
        </w:trPr>
        <w:tc>
          <w:tcPr>
            <w:tcW w:w="1846" w:type="dxa"/>
            <w:shd w:val="clear" w:color="auto" w:fill="auto"/>
            <w:vAlign w:val="center"/>
            <w:hideMark/>
          </w:tcPr>
          <w:p w14:paraId="31A792ED" w14:textId="77777777"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shd w:val="clear" w:color="auto" w:fill="FFF2CC" w:themeFill="accent4" w:themeFillTint="33"/>
            <w:vAlign w:val="center"/>
            <w:hideMark/>
          </w:tcPr>
          <w:p w14:paraId="04BC59EE" w14:textId="77777777" w:rsidR="00B02B4B" w:rsidRPr="008937F3" w:rsidRDefault="00B02B4B">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975" w:type="dxa"/>
            <w:shd w:val="clear" w:color="auto" w:fill="auto"/>
            <w:vAlign w:val="center"/>
            <w:hideMark/>
          </w:tcPr>
          <w:p w14:paraId="48D2AC0B" w14:textId="59BDDA22" w:rsidR="00B02B4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Unclear as to </w:t>
            </w:r>
            <w:r w:rsidR="00B02B4B" w:rsidRPr="008937F3">
              <w:rPr>
                <w:rFonts w:ascii="Calibri" w:eastAsia="Times New Roman" w:hAnsi="Calibri" w:cs="Times New Roman"/>
                <w:color w:val="000000"/>
                <w:sz w:val="20"/>
                <w:lang w:eastAsia="en-GB"/>
              </w:rPr>
              <w:t>where info</w:t>
            </w:r>
            <w:r>
              <w:rPr>
                <w:rFonts w:ascii="Calibri" w:eastAsia="Times New Roman" w:hAnsi="Calibri" w:cs="Times New Roman"/>
                <w:color w:val="000000"/>
                <w:sz w:val="20"/>
                <w:lang w:eastAsia="en-GB"/>
              </w:rPr>
              <w:t>rmation</w:t>
            </w:r>
            <w:r w:rsidR="00B02B4B" w:rsidRPr="008937F3">
              <w:rPr>
                <w:rFonts w:ascii="Calibri" w:eastAsia="Times New Roman" w:hAnsi="Calibri" w:cs="Times New Roman"/>
                <w:color w:val="000000"/>
                <w:sz w:val="20"/>
                <w:lang w:eastAsia="en-GB"/>
              </w:rPr>
              <w:t xml:space="preserve"> for ADR was obtained from</w:t>
            </w:r>
          </w:p>
        </w:tc>
        <w:tc>
          <w:tcPr>
            <w:tcW w:w="1234" w:type="dxa"/>
            <w:shd w:val="clear" w:color="auto" w:fill="E2EFD9" w:themeFill="accent6" w:themeFillTint="33"/>
            <w:vAlign w:val="center"/>
            <w:hideMark/>
          </w:tcPr>
          <w:p w14:paraId="551EFEC2"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21202D5F" w14:textId="43819E23" w:rsidR="00B02B4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r>
      <w:tr w:rsidR="00B02B4B" w:rsidRPr="00B02B4B" w14:paraId="4890B820" w14:textId="77777777" w:rsidTr="008937F3">
        <w:trPr>
          <w:trHeight w:val="1398"/>
        </w:trPr>
        <w:tc>
          <w:tcPr>
            <w:tcW w:w="1846" w:type="dxa"/>
            <w:shd w:val="clear" w:color="auto" w:fill="auto"/>
            <w:vAlign w:val="center"/>
            <w:hideMark/>
          </w:tcPr>
          <w:p w14:paraId="4E898EB0" w14:textId="77777777"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shd w:val="clear" w:color="auto" w:fill="E2EFD9" w:themeFill="accent6" w:themeFillTint="33"/>
            <w:vAlign w:val="center"/>
            <w:hideMark/>
          </w:tcPr>
          <w:p w14:paraId="0E33D1CE"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5" w:type="dxa"/>
            <w:shd w:val="clear" w:color="auto" w:fill="auto"/>
            <w:vAlign w:val="center"/>
            <w:hideMark/>
          </w:tcPr>
          <w:p w14:paraId="62BDD378" w14:textId="77777777" w:rsidR="00622AFB" w:rsidRDefault="00622AFB" w:rsidP="008937F3">
            <w:pPr>
              <w:spacing w:after="0" w:line="240" w:lineRule="auto"/>
              <w:rPr>
                <w:rFonts w:ascii="Calibri" w:eastAsia="Times New Roman" w:hAnsi="Calibri" w:cs="Times New Roman"/>
                <w:color w:val="000000"/>
                <w:sz w:val="20"/>
                <w:lang w:eastAsia="en-GB"/>
              </w:rPr>
            </w:pPr>
          </w:p>
          <w:p w14:paraId="7546CFCE" w14:textId="39D506FE" w:rsidR="00622AFB"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p w14:paraId="75047378" w14:textId="1A586C93" w:rsidR="00B02B4B" w:rsidRPr="008937F3" w:rsidRDefault="00B02B4B" w:rsidP="008937F3">
            <w:pPr>
              <w:spacing w:after="0" w:line="240" w:lineRule="auto"/>
              <w:rPr>
                <w:rFonts w:ascii="Calibri" w:eastAsia="Times New Roman" w:hAnsi="Calibri" w:cs="Times New Roman"/>
                <w:color w:val="000000"/>
                <w:sz w:val="20"/>
                <w:lang w:eastAsia="en-GB"/>
              </w:rPr>
            </w:pPr>
          </w:p>
        </w:tc>
        <w:tc>
          <w:tcPr>
            <w:tcW w:w="1234" w:type="dxa"/>
            <w:shd w:val="clear" w:color="auto" w:fill="E2EFD9" w:themeFill="accent6" w:themeFillTint="33"/>
            <w:vAlign w:val="center"/>
            <w:hideMark/>
          </w:tcPr>
          <w:p w14:paraId="46CEC62B"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059537F7" w14:textId="36FDD4CD" w:rsidR="00B02B4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 xml:space="preserve">. </w:t>
            </w:r>
          </w:p>
        </w:tc>
      </w:tr>
      <w:tr w:rsidR="00B02B4B" w:rsidRPr="00B02B4B" w14:paraId="1FAFCBB3" w14:textId="77777777" w:rsidTr="008937F3">
        <w:trPr>
          <w:trHeight w:val="1010"/>
        </w:trPr>
        <w:tc>
          <w:tcPr>
            <w:tcW w:w="1846" w:type="dxa"/>
            <w:shd w:val="clear" w:color="auto" w:fill="auto"/>
            <w:vAlign w:val="center"/>
            <w:hideMark/>
          </w:tcPr>
          <w:p w14:paraId="72F482B5" w14:textId="77777777"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shd w:val="clear" w:color="auto" w:fill="FFF2CC" w:themeFill="accent4" w:themeFillTint="33"/>
            <w:vAlign w:val="center"/>
            <w:hideMark/>
          </w:tcPr>
          <w:p w14:paraId="294746DA" w14:textId="77777777" w:rsidR="00B02B4B" w:rsidRPr="008937F3" w:rsidRDefault="00B02B4B">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975" w:type="dxa"/>
            <w:shd w:val="clear" w:color="auto" w:fill="auto"/>
            <w:vAlign w:val="center"/>
            <w:hideMark/>
          </w:tcPr>
          <w:p w14:paraId="2E75DEA8" w14:textId="7C13566F" w:rsidR="00B02B4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unclear </w:t>
            </w:r>
            <w:r w:rsidR="00B02B4B" w:rsidRPr="008937F3">
              <w:rPr>
                <w:rFonts w:ascii="Calibri" w:eastAsia="Times New Roman" w:hAnsi="Calibri" w:cs="Times New Roman"/>
                <w:color w:val="000000"/>
                <w:sz w:val="20"/>
                <w:lang w:eastAsia="en-GB"/>
              </w:rPr>
              <w:t>of how outcomes were assessed</w:t>
            </w:r>
            <w:r w:rsidR="001A1B13">
              <w:rPr>
                <w:rFonts w:ascii="Calibri" w:eastAsia="Times New Roman" w:hAnsi="Calibri" w:cs="Times New Roman"/>
                <w:color w:val="000000"/>
                <w:sz w:val="20"/>
                <w:lang w:eastAsia="en-GB"/>
              </w:rPr>
              <w:t>.</w:t>
            </w:r>
          </w:p>
        </w:tc>
        <w:tc>
          <w:tcPr>
            <w:tcW w:w="1234" w:type="dxa"/>
            <w:shd w:val="clear" w:color="auto" w:fill="E2EFD9" w:themeFill="accent6" w:themeFillTint="33"/>
            <w:vAlign w:val="center"/>
            <w:hideMark/>
          </w:tcPr>
          <w:p w14:paraId="7AEB951D"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3AC481AE" w14:textId="25D9C6D3" w:rsidR="00B02B4B" w:rsidRPr="008937F3" w:rsidRDefault="00622A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and attending physician evaluation.</w:t>
            </w:r>
          </w:p>
        </w:tc>
      </w:tr>
      <w:tr w:rsidR="00B02B4B" w:rsidRPr="00B02B4B" w14:paraId="5D3EAAB1" w14:textId="77777777" w:rsidTr="008937F3">
        <w:trPr>
          <w:trHeight w:val="132"/>
        </w:trPr>
        <w:tc>
          <w:tcPr>
            <w:tcW w:w="1846" w:type="dxa"/>
            <w:shd w:val="clear" w:color="auto" w:fill="auto"/>
            <w:vAlign w:val="center"/>
            <w:hideMark/>
          </w:tcPr>
          <w:p w14:paraId="3626638D" w14:textId="3257F64B"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w:t>
            </w:r>
            <w:r w:rsidR="004E6220">
              <w:rPr>
                <w:rFonts w:ascii="Calibri" w:eastAsia="Times New Roman" w:hAnsi="Calibri" w:cs="Times New Roman"/>
                <w:b/>
                <w:bCs/>
                <w:color w:val="000000"/>
                <w:sz w:val="20"/>
                <w:lang w:eastAsia="en-GB"/>
              </w:rPr>
              <w:t>(</w:t>
            </w:r>
            <w:r w:rsidR="001A1B13">
              <w:rPr>
                <w:rFonts w:ascii="Calibri" w:eastAsia="Times New Roman" w:hAnsi="Calibri" w:cs="Times New Roman"/>
                <w:b/>
                <w:bCs/>
                <w:color w:val="000000"/>
                <w:sz w:val="20"/>
                <w:lang w:eastAsia="en-GB"/>
              </w:rPr>
              <w:t xml:space="preserve">FUP) </w:t>
            </w:r>
            <w:r w:rsidRPr="008937F3">
              <w:rPr>
                <w:rFonts w:ascii="Calibri" w:eastAsia="Times New Roman" w:hAnsi="Calibri" w:cs="Times New Roman"/>
                <w:b/>
                <w:bCs/>
                <w:color w:val="000000"/>
                <w:sz w:val="20"/>
                <w:lang w:eastAsia="en-GB"/>
              </w:rPr>
              <w:t xml:space="preserve">long enough for outcomes to occur </w:t>
            </w:r>
          </w:p>
        </w:tc>
        <w:tc>
          <w:tcPr>
            <w:tcW w:w="1133" w:type="dxa"/>
            <w:shd w:val="clear" w:color="auto" w:fill="E2EFD9" w:themeFill="accent6" w:themeFillTint="33"/>
            <w:vAlign w:val="center"/>
            <w:hideMark/>
          </w:tcPr>
          <w:p w14:paraId="79C5E3AC"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5" w:type="dxa"/>
            <w:shd w:val="clear" w:color="auto" w:fill="auto"/>
            <w:vAlign w:val="center"/>
            <w:hideMark/>
          </w:tcPr>
          <w:p w14:paraId="599F405C" w14:textId="4D74F7DE" w:rsidR="001A1B13" w:rsidRDefault="001A1B13" w:rsidP="008937F3">
            <w:pPr>
              <w:spacing w:after="0" w:line="240" w:lineRule="auto"/>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r>
              <w:t xml:space="preserve"> </w:t>
            </w:r>
          </w:p>
          <w:p w14:paraId="37BC3A51" w14:textId="3D6B54C1" w:rsidR="00B02B4B" w:rsidRPr="008937F3" w:rsidRDefault="00B02B4B" w:rsidP="008937F3">
            <w:pPr>
              <w:spacing w:after="0" w:line="240" w:lineRule="auto"/>
              <w:rPr>
                <w:rFonts w:ascii="Calibri" w:eastAsia="Times New Roman" w:hAnsi="Calibri" w:cs="Times New Roman"/>
                <w:color w:val="000000"/>
                <w:sz w:val="20"/>
                <w:lang w:eastAsia="en-GB"/>
              </w:rPr>
            </w:pPr>
          </w:p>
        </w:tc>
        <w:tc>
          <w:tcPr>
            <w:tcW w:w="1234" w:type="dxa"/>
            <w:shd w:val="clear" w:color="auto" w:fill="E2EFD9" w:themeFill="accent6" w:themeFillTint="33"/>
            <w:vAlign w:val="center"/>
            <w:hideMark/>
          </w:tcPr>
          <w:p w14:paraId="4B160094" w14:textId="77777777" w:rsidR="00B02B4B" w:rsidRPr="008937F3" w:rsidRDefault="00B02B4B"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26210EBA" w14:textId="604DBC89" w:rsidR="00B02B4B" w:rsidRPr="008937F3" w:rsidRDefault="001A1B13"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sidR="00B02B4B" w:rsidRPr="008937F3">
              <w:rPr>
                <w:rFonts w:ascii="Calibri" w:eastAsia="Times New Roman" w:hAnsi="Calibri" w:cs="Times New Roman"/>
                <w:color w:val="000000"/>
                <w:sz w:val="20"/>
                <w:lang w:eastAsia="en-GB"/>
              </w:rPr>
              <w:t xml:space="preserve">, patients were followed up every 3 months for 1 year. </w:t>
            </w:r>
          </w:p>
        </w:tc>
      </w:tr>
      <w:tr w:rsidR="00A64576" w:rsidRPr="00B02B4B" w14:paraId="1EB91A0D" w14:textId="77777777" w:rsidTr="00A64576">
        <w:trPr>
          <w:trHeight w:val="880"/>
        </w:trPr>
        <w:tc>
          <w:tcPr>
            <w:tcW w:w="1846" w:type="dxa"/>
            <w:shd w:val="clear" w:color="auto" w:fill="E7E6E6" w:themeFill="background2"/>
            <w:vAlign w:val="center"/>
            <w:hideMark/>
          </w:tcPr>
          <w:p w14:paraId="1B17F397" w14:textId="046D72AF" w:rsidR="00A64576" w:rsidRDefault="00F478FC" w:rsidP="006A7A6F">
            <w:pPr>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Contd.</w:t>
            </w:r>
          </w:p>
          <w:p w14:paraId="3FAA94B4" w14:textId="0FE33940" w:rsidR="00A64576" w:rsidRPr="004B30EF" w:rsidRDefault="00A64576" w:rsidP="006A7A6F">
            <w:pPr>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0E179FC6"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Conforti </w:t>
            </w:r>
            <w:r w:rsidRPr="00611059">
              <w:rPr>
                <w:rFonts w:ascii="Calibri" w:eastAsia="Times New Roman" w:hAnsi="Calibri" w:cs="Times New Roman"/>
                <w:b/>
                <w:bCs/>
                <w:noProof/>
                <w:color w:val="000000"/>
                <w:sz w:val="20"/>
                <w:vertAlign w:val="superscript"/>
                <w:lang w:eastAsia="en-GB"/>
              </w:rPr>
              <w:t>12</w:t>
            </w:r>
          </w:p>
          <w:p w14:paraId="3B59355D"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2012 Judgement</w:t>
            </w:r>
          </w:p>
        </w:tc>
        <w:tc>
          <w:tcPr>
            <w:tcW w:w="2975" w:type="dxa"/>
            <w:shd w:val="clear" w:color="auto" w:fill="E7E6E6" w:themeFill="background2"/>
            <w:vAlign w:val="center"/>
            <w:hideMark/>
          </w:tcPr>
          <w:p w14:paraId="686100BB"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Conforti </w:t>
            </w:r>
            <w:r w:rsidRPr="00611059">
              <w:rPr>
                <w:rFonts w:ascii="Calibri" w:eastAsia="Times New Roman" w:hAnsi="Calibri" w:cs="Times New Roman"/>
                <w:b/>
                <w:bCs/>
                <w:noProof/>
                <w:color w:val="000000"/>
                <w:sz w:val="20"/>
                <w:vertAlign w:val="superscript"/>
                <w:lang w:eastAsia="en-GB"/>
              </w:rPr>
              <w:t>12</w:t>
            </w:r>
          </w:p>
          <w:p w14:paraId="6C65FEDE"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2012 </w:t>
            </w:r>
          </w:p>
          <w:p w14:paraId="1FEF6AEF"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c>
          <w:tcPr>
            <w:tcW w:w="1234" w:type="dxa"/>
            <w:shd w:val="clear" w:color="auto" w:fill="E7E6E6" w:themeFill="background2"/>
            <w:vAlign w:val="center"/>
            <w:hideMark/>
          </w:tcPr>
          <w:p w14:paraId="3EE61609"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Corsonello</w:t>
            </w:r>
            <w:r w:rsidRPr="00611059">
              <w:rPr>
                <w:rFonts w:ascii="Calibri" w:eastAsia="Times New Roman" w:hAnsi="Calibri" w:cs="Times New Roman"/>
                <w:b/>
                <w:bCs/>
                <w:noProof/>
                <w:color w:val="000000"/>
                <w:sz w:val="20"/>
                <w:vertAlign w:val="superscript"/>
                <w:lang w:eastAsia="en-GB"/>
              </w:rPr>
              <w:t>13</w:t>
            </w:r>
            <w:r w:rsidRPr="004B30EF">
              <w:rPr>
                <w:rFonts w:ascii="Calibri" w:eastAsia="Times New Roman" w:hAnsi="Calibri" w:cs="Times New Roman"/>
                <w:b/>
                <w:bCs/>
                <w:color w:val="000000"/>
                <w:sz w:val="20"/>
                <w:lang w:eastAsia="en-GB"/>
              </w:rPr>
              <w:t xml:space="preserve"> 2009 Judgement</w:t>
            </w:r>
          </w:p>
        </w:tc>
        <w:tc>
          <w:tcPr>
            <w:tcW w:w="2598" w:type="dxa"/>
            <w:shd w:val="clear" w:color="auto" w:fill="E7E6E6" w:themeFill="background2"/>
            <w:vAlign w:val="center"/>
            <w:hideMark/>
          </w:tcPr>
          <w:p w14:paraId="1BE82E7D"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Corsonello</w:t>
            </w:r>
            <w:r>
              <w:rPr>
                <w:rFonts w:ascii="Calibri" w:eastAsia="Times New Roman" w:hAnsi="Calibri" w:cs="Times New Roman"/>
                <w:b/>
                <w:bCs/>
                <w:color w:val="000000"/>
                <w:sz w:val="20"/>
                <w:lang w:eastAsia="en-GB"/>
              </w:rPr>
              <w:t xml:space="preserve"> </w:t>
            </w:r>
            <w:r w:rsidRPr="00611059">
              <w:rPr>
                <w:rFonts w:ascii="Calibri" w:eastAsia="Times New Roman" w:hAnsi="Calibri" w:cs="Times New Roman"/>
                <w:b/>
                <w:bCs/>
                <w:noProof/>
                <w:color w:val="000000"/>
                <w:sz w:val="20"/>
                <w:vertAlign w:val="superscript"/>
                <w:lang w:eastAsia="en-GB"/>
              </w:rPr>
              <w:t>13</w:t>
            </w:r>
            <w:r w:rsidRPr="004B30EF">
              <w:rPr>
                <w:rFonts w:ascii="Calibri" w:eastAsia="Times New Roman" w:hAnsi="Calibri" w:cs="Times New Roman"/>
                <w:b/>
                <w:bCs/>
                <w:color w:val="000000"/>
                <w:sz w:val="20"/>
                <w:lang w:eastAsia="en-GB"/>
              </w:rPr>
              <w:t xml:space="preserve"> </w:t>
            </w:r>
          </w:p>
          <w:p w14:paraId="354C355F"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2009 </w:t>
            </w:r>
          </w:p>
          <w:p w14:paraId="47A84DAF"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r>
      <w:tr w:rsidR="00B02B4B" w:rsidRPr="00B02B4B" w14:paraId="274FCDD1" w14:textId="77777777" w:rsidTr="008937F3">
        <w:trPr>
          <w:trHeight w:val="699"/>
        </w:trPr>
        <w:tc>
          <w:tcPr>
            <w:tcW w:w="1846" w:type="dxa"/>
            <w:shd w:val="clear" w:color="auto" w:fill="auto"/>
            <w:vAlign w:val="center"/>
            <w:hideMark/>
          </w:tcPr>
          <w:p w14:paraId="48274030" w14:textId="08A29812" w:rsidR="00B02B4B" w:rsidRPr="008937F3" w:rsidRDefault="00B02B4B">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Adequacy of follow up of cohorts</w:t>
            </w:r>
          </w:p>
        </w:tc>
        <w:tc>
          <w:tcPr>
            <w:tcW w:w="1133" w:type="dxa"/>
            <w:shd w:val="clear" w:color="auto" w:fill="E2EFD9" w:themeFill="accent6" w:themeFillTint="33"/>
            <w:vAlign w:val="center"/>
            <w:hideMark/>
          </w:tcPr>
          <w:p w14:paraId="24D63CE4"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5" w:type="dxa"/>
            <w:shd w:val="clear" w:color="auto" w:fill="auto"/>
            <w:noWrap/>
            <w:vAlign w:val="center"/>
            <w:hideMark/>
          </w:tcPr>
          <w:p w14:paraId="49EACD4C" w14:textId="28670697" w:rsidR="00B02B4B" w:rsidRPr="008937F3" w:rsidRDefault="001A1B1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234" w:type="dxa"/>
            <w:shd w:val="clear" w:color="auto" w:fill="E2EFD9" w:themeFill="accent6" w:themeFillTint="33"/>
            <w:vAlign w:val="center"/>
            <w:hideMark/>
          </w:tcPr>
          <w:p w14:paraId="4FD2A79D" w14:textId="77777777" w:rsidR="00B02B4B" w:rsidRPr="008937F3" w:rsidRDefault="00B02B4B"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598" w:type="dxa"/>
            <w:shd w:val="clear" w:color="auto" w:fill="auto"/>
            <w:vAlign w:val="center"/>
            <w:hideMark/>
          </w:tcPr>
          <w:p w14:paraId="54FB41EA" w14:textId="1B43D9E4" w:rsidR="001A1B13" w:rsidRDefault="001A1B13" w:rsidP="001A1B1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patients followed for duration of</w:t>
            </w:r>
            <w:r w:rsidRPr="009E23F8">
              <w:rPr>
                <w:rFonts w:ascii="Calibri" w:eastAsia="Times New Roman" w:hAnsi="Calibri" w:cs="Times New Roman"/>
                <w:color w:val="000000"/>
                <w:sz w:val="20"/>
                <w:lang w:eastAsia="en-GB"/>
              </w:rPr>
              <w:t xml:space="preserve"> admission</w:t>
            </w:r>
            <w:r>
              <w:rPr>
                <w:rFonts w:ascii="Calibri" w:eastAsia="Times New Roman" w:hAnsi="Calibri" w:cs="Times New Roman"/>
                <w:color w:val="000000"/>
                <w:sz w:val="20"/>
                <w:lang w:eastAsia="en-GB"/>
              </w:rPr>
              <w:t>, then up to 1 year.</w:t>
            </w:r>
          </w:p>
          <w:p w14:paraId="5F75050E" w14:textId="6E3D39C8" w:rsidR="00B02B4B" w:rsidRPr="008937F3" w:rsidRDefault="001A1B1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Missing data - </w:t>
            </w:r>
            <w:r w:rsidRPr="009E23F8">
              <w:rPr>
                <w:rFonts w:ascii="Calibri" w:eastAsia="Times New Roman" w:hAnsi="Calibri" w:cs="Times New Roman"/>
                <w:color w:val="000000"/>
                <w:sz w:val="20"/>
                <w:lang w:eastAsia="en-GB"/>
              </w:rPr>
              <w:t xml:space="preserve">some outcome data missing but </w:t>
            </w:r>
            <w:r w:rsidRPr="00DD067B">
              <w:rPr>
                <w:rFonts w:ascii="Calibri" w:eastAsia="Times New Roman" w:hAnsi="Calibri" w:cs="Times New Roman"/>
                <w:color w:val="000000"/>
                <w:sz w:val="20"/>
                <w:lang w:eastAsia="en-GB"/>
              </w:rPr>
              <w:t>accounted</w:t>
            </w:r>
            <w:r w:rsidRPr="009E23F8">
              <w:rPr>
                <w:rFonts w:ascii="Calibri" w:eastAsia="Times New Roman" w:hAnsi="Calibri" w:cs="Times New Roman"/>
                <w:color w:val="000000"/>
                <w:sz w:val="20"/>
                <w:lang w:eastAsia="en-GB"/>
              </w:rPr>
              <w:t xml:space="preserve"> for by author</w:t>
            </w:r>
          </w:p>
        </w:tc>
      </w:tr>
    </w:tbl>
    <w:p w14:paraId="0E1E56C1" w14:textId="49F4D994" w:rsidR="00B02B4B" w:rsidRDefault="00B02B4B" w:rsidP="008937F3"/>
    <w:p w14:paraId="514BD004" w14:textId="1DCAB8B9" w:rsidR="00E758CE" w:rsidRDefault="00E758CE" w:rsidP="008937F3">
      <w:pPr>
        <w:pStyle w:val="Heading3"/>
      </w:pPr>
      <w:bookmarkStart w:id="15" w:name="_Toc52396337"/>
      <w:r>
        <w:t>Davies 2009, Fernandez-Regueiro 2011</w:t>
      </w:r>
      <w:bookmarkEnd w:id="15"/>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33"/>
        <w:gridCol w:w="2972"/>
        <w:gridCol w:w="1142"/>
        <w:gridCol w:w="2693"/>
      </w:tblGrid>
      <w:tr w:rsidR="009871F6" w:rsidRPr="009871F6" w14:paraId="526E173C" w14:textId="77777777" w:rsidTr="008937F3">
        <w:trPr>
          <w:trHeight w:val="880"/>
        </w:trPr>
        <w:tc>
          <w:tcPr>
            <w:tcW w:w="1846" w:type="dxa"/>
            <w:shd w:val="clear" w:color="auto" w:fill="E7E6E6" w:themeFill="background2"/>
            <w:vAlign w:val="center"/>
            <w:hideMark/>
          </w:tcPr>
          <w:p w14:paraId="7E578089" w14:textId="77777777" w:rsidR="009871F6" w:rsidRPr="008937F3" w:rsidRDefault="009871F6">
            <w:pPr>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7DEB1694" w14:textId="3105DE7F" w:rsidR="009871F6" w:rsidRPr="008937F3" w:rsidRDefault="009871F6" w:rsidP="00611059">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Davies </w:t>
            </w:r>
            <w:r w:rsidR="00611059" w:rsidRPr="00611059">
              <w:rPr>
                <w:rFonts w:ascii="Calibri" w:eastAsia="Times New Roman" w:hAnsi="Calibri" w:cs="Times New Roman"/>
                <w:b/>
                <w:bCs/>
                <w:noProof/>
                <w:color w:val="000000"/>
                <w:sz w:val="20"/>
                <w:vertAlign w:val="superscript"/>
                <w:lang w:eastAsia="en-GB"/>
              </w:rPr>
              <w:t>14</w:t>
            </w:r>
            <w:r w:rsidR="00D10454">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2009 Judgement</w:t>
            </w:r>
          </w:p>
        </w:tc>
        <w:tc>
          <w:tcPr>
            <w:tcW w:w="2972" w:type="dxa"/>
            <w:shd w:val="clear" w:color="auto" w:fill="E7E6E6" w:themeFill="background2"/>
            <w:vAlign w:val="center"/>
            <w:hideMark/>
          </w:tcPr>
          <w:p w14:paraId="0A88E5E6" w14:textId="0A258AEA" w:rsidR="004E6220"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Davies </w:t>
            </w:r>
            <w:r w:rsidR="00611059" w:rsidRPr="00611059">
              <w:rPr>
                <w:rFonts w:ascii="Calibri" w:eastAsia="Times New Roman" w:hAnsi="Calibri" w:cs="Times New Roman"/>
                <w:b/>
                <w:bCs/>
                <w:noProof/>
                <w:color w:val="000000"/>
                <w:sz w:val="20"/>
                <w:vertAlign w:val="superscript"/>
                <w:lang w:eastAsia="en-GB"/>
              </w:rPr>
              <w:t>14</w:t>
            </w:r>
          </w:p>
          <w:p w14:paraId="6CDD1FFD" w14:textId="77777777" w:rsidR="004E6220"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2009 </w:t>
            </w:r>
          </w:p>
          <w:p w14:paraId="3ECE3410" w14:textId="201BFD9C"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142" w:type="dxa"/>
            <w:shd w:val="clear" w:color="auto" w:fill="E7E6E6" w:themeFill="background2"/>
            <w:vAlign w:val="center"/>
            <w:hideMark/>
          </w:tcPr>
          <w:p w14:paraId="07B00CE1" w14:textId="6FE1D0F5" w:rsidR="009871F6" w:rsidRPr="008937F3" w:rsidRDefault="009871F6" w:rsidP="00CF1F2A">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Fernandez-Regueiro </w:t>
            </w:r>
            <w:r w:rsidR="00CF1F2A" w:rsidRPr="00CF1F2A">
              <w:rPr>
                <w:rFonts w:ascii="Calibri" w:eastAsia="Times New Roman" w:hAnsi="Calibri" w:cs="Times New Roman"/>
                <w:b/>
                <w:bCs/>
                <w:noProof/>
                <w:color w:val="000000"/>
                <w:sz w:val="20"/>
                <w:vertAlign w:val="superscript"/>
                <w:lang w:eastAsia="en-GB"/>
              </w:rPr>
              <w:t>27</w:t>
            </w:r>
            <w:r w:rsidR="00D10454">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2011 Judgement</w:t>
            </w:r>
          </w:p>
        </w:tc>
        <w:tc>
          <w:tcPr>
            <w:tcW w:w="2693" w:type="dxa"/>
            <w:shd w:val="clear" w:color="auto" w:fill="E7E6E6" w:themeFill="background2"/>
            <w:vAlign w:val="center"/>
            <w:hideMark/>
          </w:tcPr>
          <w:p w14:paraId="7D65BFDC" w14:textId="77CF125B" w:rsidR="00223B16"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Fernandez-Regueiro </w:t>
            </w:r>
            <w:r w:rsidR="00CF1F2A" w:rsidRPr="00CF1F2A">
              <w:rPr>
                <w:rFonts w:ascii="Calibri" w:eastAsia="Times New Roman" w:hAnsi="Calibri" w:cs="Times New Roman"/>
                <w:b/>
                <w:bCs/>
                <w:noProof/>
                <w:color w:val="000000"/>
                <w:sz w:val="20"/>
                <w:vertAlign w:val="superscript"/>
                <w:lang w:eastAsia="en-GB"/>
              </w:rPr>
              <w:t>27</w:t>
            </w:r>
          </w:p>
          <w:p w14:paraId="48831612" w14:textId="77777777" w:rsidR="00223B16"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2011 </w:t>
            </w:r>
          </w:p>
          <w:p w14:paraId="07EAB6A9" w14:textId="494072DB"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9871F6" w:rsidRPr="009871F6" w14:paraId="11A715DC" w14:textId="77777777" w:rsidTr="008937F3">
        <w:trPr>
          <w:trHeight w:val="489"/>
        </w:trPr>
        <w:tc>
          <w:tcPr>
            <w:tcW w:w="1846" w:type="dxa"/>
            <w:shd w:val="clear" w:color="auto" w:fill="auto"/>
            <w:vAlign w:val="center"/>
            <w:hideMark/>
          </w:tcPr>
          <w:p w14:paraId="647E2838"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shd w:val="clear" w:color="auto" w:fill="E2EFD9" w:themeFill="accent6" w:themeFillTint="33"/>
            <w:vAlign w:val="center"/>
            <w:hideMark/>
          </w:tcPr>
          <w:p w14:paraId="56D9DADD"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7EAE270C" w14:textId="756A11DF"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42" w:type="dxa"/>
            <w:shd w:val="clear" w:color="auto" w:fill="FFF2CC" w:themeFill="accent4" w:themeFillTint="33"/>
            <w:vAlign w:val="center"/>
            <w:hideMark/>
          </w:tcPr>
          <w:p w14:paraId="7A1D0499" w14:textId="77777777" w:rsidR="009871F6" w:rsidRPr="008937F3" w:rsidRDefault="009871F6">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693" w:type="dxa"/>
            <w:shd w:val="clear" w:color="auto" w:fill="auto"/>
            <w:vAlign w:val="center"/>
            <w:hideMark/>
          </w:tcPr>
          <w:p w14:paraId="46464A8E" w14:textId="20D45450"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population, setting, duration of study. However selection of participants was unclear. </w:t>
            </w:r>
          </w:p>
        </w:tc>
      </w:tr>
      <w:tr w:rsidR="009871F6" w:rsidRPr="009871F6" w14:paraId="017C93E4" w14:textId="77777777" w:rsidTr="008937F3">
        <w:trPr>
          <w:trHeight w:val="60"/>
        </w:trPr>
        <w:tc>
          <w:tcPr>
            <w:tcW w:w="1846" w:type="dxa"/>
            <w:shd w:val="clear" w:color="auto" w:fill="auto"/>
            <w:vAlign w:val="center"/>
            <w:hideMark/>
          </w:tcPr>
          <w:p w14:paraId="51FE5E74"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shd w:val="clear" w:color="auto" w:fill="E2EFD9" w:themeFill="accent6" w:themeFillTint="33"/>
            <w:vAlign w:val="center"/>
            <w:hideMark/>
          </w:tcPr>
          <w:p w14:paraId="267A7790"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4349869C" w14:textId="4F3B17AD"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42" w:type="dxa"/>
            <w:shd w:val="clear" w:color="auto" w:fill="E2EFD9" w:themeFill="accent6" w:themeFillTint="33"/>
            <w:vAlign w:val="center"/>
            <w:hideMark/>
          </w:tcPr>
          <w:p w14:paraId="76BDEA75"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6ED877E6" w14:textId="2C741478"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w:t>
            </w:r>
          </w:p>
        </w:tc>
      </w:tr>
      <w:tr w:rsidR="009871F6" w:rsidRPr="009871F6" w14:paraId="3D6E6C88" w14:textId="77777777" w:rsidTr="008937F3">
        <w:trPr>
          <w:trHeight w:val="60"/>
        </w:trPr>
        <w:tc>
          <w:tcPr>
            <w:tcW w:w="1846" w:type="dxa"/>
            <w:shd w:val="clear" w:color="auto" w:fill="auto"/>
            <w:vAlign w:val="center"/>
            <w:hideMark/>
          </w:tcPr>
          <w:p w14:paraId="23424382"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shd w:val="clear" w:color="auto" w:fill="E2EFD9" w:themeFill="accent6" w:themeFillTint="33"/>
            <w:vAlign w:val="center"/>
            <w:hideMark/>
          </w:tcPr>
          <w:p w14:paraId="4024961D"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569FAB3E" w14:textId="4CD25C45"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142" w:type="dxa"/>
            <w:shd w:val="clear" w:color="auto" w:fill="FFF2CC" w:themeFill="accent4" w:themeFillTint="33"/>
            <w:vAlign w:val="center"/>
            <w:hideMark/>
          </w:tcPr>
          <w:p w14:paraId="46793D71" w14:textId="77777777" w:rsidR="009871F6" w:rsidRPr="008937F3" w:rsidRDefault="009871F6">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693" w:type="dxa"/>
            <w:shd w:val="clear" w:color="auto" w:fill="auto"/>
            <w:vAlign w:val="center"/>
            <w:hideMark/>
          </w:tcPr>
          <w:p w14:paraId="343702AD" w14:textId="69D850A5" w:rsidR="009871F6" w:rsidRPr="008937F3" w:rsidRDefault="004E622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Detailed description of variables of interest. However, unclear as to </w:t>
            </w:r>
            <w:r w:rsidR="009871F6" w:rsidRPr="008937F3">
              <w:rPr>
                <w:rFonts w:ascii="Calibri" w:eastAsia="Times New Roman" w:hAnsi="Calibri" w:cs="Times New Roman"/>
                <w:color w:val="000000"/>
                <w:sz w:val="20"/>
                <w:lang w:eastAsia="en-GB"/>
              </w:rPr>
              <w:t xml:space="preserve">how information was obtained, by whom and from which source </w:t>
            </w:r>
          </w:p>
        </w:tc>
      </w:tr>
      <w:tr w:rsidR="009871F6" w:rsidRPr="009871F6" w14:paraId="3ACEAFE2" w14:textId="77777777" w:rsidTr="008937F3">
        <w:trPr>
          <w:trHeight w:val="44"/>
        </w:trPr>
        <w:tc>
          <w:tcPr>
            <w:tcW w:w="1846" w:type="dxa"/>
            <w:shd w:val="clear" w:color="auto" w:fill="auto"/>
            <w:vAlign w:val="center"/>
            <w:hideMark/>
          </w:tcPr>
          <w:p w14:paraId="50467466"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shd w:val="clear" w:color="auto" w:fill="E2EFD9" w:themeFill="accent6" w:themeFillTint="33"/>
            <w:vAlign w:val="center"/>
            <w:hideMark/>
          </w:tcPr>
          <w:p w14:paraId="39EC4279"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37BEF87F" w14:textId="05AA8167" w:rsidR="009871F6" w:rsidRPr="008937F3" w:rsidRDefault="004077C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tc>
        <w:tc>
          <w:tcPr>
            <w:tcW w:w="1142" w:type="dxa"/>
            <w:shd w:val="clear" w:color="auto" w:fill="E2EFD9" w:themeFill="accent6" w:themeFillTint="33"/>
            <w:vAlign w:val="center"/>
            <w:hideMark/>
          </w:tcPr>
          <w:p w14:paraId="344FE020" w14:textId="77777777" w:rsidR="009871F6" w:rsidRPr="008937F3" w:rsidRDefault="009871F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77560A1B" w14:textId="14D444A7" w:rsidR="009871F6" w:rsidRPr="008937F3" w:rsidRDefault="004077C0">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tc>
      </w:tr>
      <w:tr w:rsidR="009871F6" w:rsidRPr="009871F6" w14:paraId="27FA3A7A" w14:textId="77777777" w:rsidTr="008937F3">
        <w:trPr>
          <w:trHeight w:val="846"/>
        </w:trPr>
        <w:tc>
          <w:tcPr>
            <w:tcW w:w="1846" w:type="dxa"/>
            <w:shd w:val="clear" w:color="auto" w:fill="auto"/>
            <w:vAlign w:val="center"/>
            <w:hideMark/>
          </w:tcPr>
          <w:p w14:paraId="263E5788"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shd w:val="clear" w:color="auto" w:fill="E2EFD9" w:themeFill="accent6" w:themeFillTint="33"/>
            <w:vAlign w:val="center"/>
            <w:hideMark/>
          </w:tcPr>
          <w:p w14:paraId="40B0BB7F"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5715CEBA" w14:textId="56833148" w:rsidR="009871F6" w:rsidRPr="008937F3" w:rsidRDefault="004077C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c>
          <w:tcPr>
            <w:tcW w:w="1142" w:type="dxa"/>
            <w:shd w:val="clear" w:color="auto" w:fill="F7D1D1"/>
            <w:vAlign w:val="center"/>
            <w:hideMark/>
          </w:tcPr>
          <w:p w14:paraId="7AA89C5E" w14:textId="77777777" w:rsidR="009871F6" w:rsidRPr="008937F3" w:rsidRDefault="009871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693" w:type="dxa"/>
            <w:shd w:val="clear" w:color="auto" w:fill="auto"/>
            <w:vAlign w:val="center"/>
            <w:hideMark/>
          </w:tcPr>
          <w:p w14:paraId="3183CA72" w14:textId="3FEFF0DF" w:rsidR="009871F6" w:rsidRPr="008937F3" w:rsidRDefault="004077C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w:t>
            </w:r>
            <w:r w:rsidR="009871F6" w:rsidRPr="008937F3">
              <w:rPr>
                <w:rFonts w:ascii="Calibri" w:eastAsia="Times New Roman" w:hAnsi="Calibri" w:cs="Times New Roman"/>
                <w:color w:val="000000"/>
                <w:sz w:val="20"/>
                <w:lang w:eastAsia="en-GB"/>
              </w:rPr>
              <w:t xml:space="preserve">etails pertaining to </w:t>
            </w:r>
            <w:r>
              <w:rPr>
                <w:rFonts w:ascii="Calibri" w:eastAsia="Times New Roman" w:hAnsi="Calibri" w:cs="Times New Roman"/>
                <w:color w:val="000000"/>
                <w:sz w:val="20"/>
                <w:lang w:eastAsia="en-GB"/>
              </w:rPr>
              <w:t xml:space="preserve">AR scoring systems are listed. However, there </w:t>
            </w:r>
            <w:r w:rsidR="009871F6" w:rsidRPr="008937F3">
              <w:rPr>
                <w:rFonts w:ascii="Calibri" w:eastAsia="Times New Roman" w:hAnsi="Calibri" w:cs="Times New Roman"/>
                <w:color w:val="000000"/>
                <w:sz w:val="20"/>
                <w:lang w:eastAsia="en-GB"/>
              </w:rPr>
              <w:t>is inadequate detail as to by whom and from which source the assessment was conducted</w:t>
            </w:r>
            <w:r>
              <w:rPr>
                <w:rFonts w:ascii="Calibri" w:eastAsia="Times New Roman" w:hAnsi="Calibri" w:cs="Times New Roman"/>
                <w:color w:val="000000"/>
                <w:sz w:val="20"/>
                <w:lang w:eastAsia="en-GB"/>
              </w:rPr>
              <w:t>.</w:t>
            </w:r>
          </w:p>
        </w:tc>
      </w:tr>
      <w:tr w:rsidR="009871F6" w:rsidRPr="009871F6" w14:paraId="4F6A98CA" w14:textId="77777777" w:rsidTr="008937F3">
        <w:trPr>
          <w:trHeight w:val="44"/>
        </w:trPr>
        <w:tc>
          <w:tcPr>
            <w:tcW w:w="1846" w:type="dxa"/>
            <w:shd w:val="clear" w:color="auto" w:fill="auto"/>
            <w:vAlign w:val="center"/>
            <w:hideMark/>
          </w:tcPr>
          <w:p w14:paraId="45A2239A" w14:textId="113432C5"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w:t>
            </w:r>
            <w:r w:rsidR="00E82DC1">
              <w:rPr>
                <w:rFonts w:ascii="Calibri" w:eastAsia="Times New Roman" w:hAnsi="Calibri" w:cs="Times New Roman"/>
                <w:b/>
                <w:bCs/>
                <w:color w:val="000000"/>
                <w:sz w:val="20"/>
                <w:lang w:eastAsia="en-GB"/>
              </w:rPr>
              <w:t xml:space="preserve">(FUP) </w:t>
            </w:r>
            <w:r w:rsidRPr="008937F3">
              <w:rPr>
                <w:rFonts w:ascii="Calibri" w:eastAsia="Times New Roman" w:hAnsi="Calibri" w:cs="Times New Roman"/>
                <w:b/>
                <w:bCs/>
                <w:color w:val="000000"/>
                <w:sz w:val="20"/>
                <w:lang w:eastAsia="en-GB"/>
              </w:rPr>
              <w:t xml:space="preserve">long enough for outcomes to occur </w:t>
            </w:r>
          </w:p>
        </w:tc>
        <w:tc>
          <w:tcPr>
            <w:tcW w:w="1133" w:type="dxa"/>
            <w:shd w:val="clear" w:color="auto" w:fill="E2EFD9" w:themeFill="accent6" w:themeFillTint="33"/>
            <w:vAlign w:val="center"/>
            <w:hideMark/>
          </w:tcPr>
          <w:p w14:paraId="783C9725" w14:textId="77777777" w:rsidR="009871F6" w:rsidRPr="008937F3" w:rsidRDefault="009871F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477F5C3B" w14:textId="3B974484" w:rsidR="009871F6" w:rsidRPr="008937F3" w:rsidRDefault="00467A70" w:rsidP="008937F3">
            <w:pPr>
              <w:spacing w:after="0" w:line="240" w:lineRule="auto"/>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142" w:type="dxa"/>
            <w:shd w:val="clear" w:color="auto" w:fill="E2EFD9" w:themeFill="accent6" w:themeFillTint="33"/>
            <w:vAlign w:val="center"/>
            <w:hideMark/>
          </w:tcPr>
          <w:p w14:paraId="7C020B96" w14:textId="77777777" w:rsidR="009871F6" w:rsidRPr="008937F3" w:rsidRDefault="009871F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7583769F" w14:textId="182A306A" w:rsidR="009871F6" w:rsidRPr="008937F3" w:rsidRDefault="00467A70" w:rsidP="008937F3">
            <w:pPr>
              <w:spacing w:after="0" w:line="240" w:lineRule="auto"/>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r>
              <w:t xml:space="preserve"> </w:t>
            </w:r>
          </w:p>
        </w:tc>
      </w:tr>
      <w:tr w:rsidR="009871F6" w:rsidRPr="009871F6" w14:paraId="24542861" w14:textId="77777777" w:rsidTr="008937F3">
        <w:trPr>
          <w:trHeight w:val="216"/>
        </w:trPr>
        <w:tc>
          <w:tcPr>
            <w:tcW w:w="1846" w:type="dxa"/>
            <w:shd w:val="clear" w:color="auto" w:fill="auto"/>
            <w:vAlign w:val="center"/>
            <w:hideMark/>
          </w:tcPr>
          <w:p w14:paraId="47744DEE" w14:textId="77777777" w:rsidR="009871F6" w:rsidRPr="008937F3" w:rsidRDefault="009871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Adequacy of follow up of cohorts</w:t>
            </w:r>
          </w:p>
        </w:tc>
        <w:tc>
          <w:tcPr>
            <w:tcW w:w="1133" w:type="dxa"/>
            <w:shd w:val="clear" w:color="auto" w:fill="E2EFD9" w:themeFill="accent6" w:themeFillTint="33"/>
            <w:vAlign w:val="center"/>
            <w:hideMark/>
          </w:tcPr>
          <w:p w14:paraId="53DE876A" w14:textId="77777777" w:rsidR="009871F6" w:rsidRPr="008937F3" w:rsidRDefault="009871F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72" w:type="dxa"/>
            <w:shd w:val="clear" w:color="auto" w:fill="auto"/>
            <w:vAlign w:val="center"/>
            <w:hideMark/>
          </w:tcPr>
          <w:p w14:paraId="1AFDD330" w14:textId="31EADEB6" w:rsidR="009871F6" w:rsidRPr="008937F3" w:rsidRDefault="00E5404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142" w:type="dxa"/>
            <w:shd w:val="clear" w:color="auto" w:fill="E2EFD9" w:themeFill="accent6" w:themeFillTint="33"/>
            <w:vAlign w:val="center"/>
            <w:hideMark/>
          </w:tcPr>
          <w:p w14:paraId="169B9E93" w14:textId="77777777" w:rsidR="009871F6" w:rsidRPr="008937F3" w:rsidRDefault="009871F6"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noWrap/>
            <w:vAlign w:val="center"/>
            <w:hideMark/>
          </w:tcPr>
          <w:p w14:paraId="6B1F217A" w14:textId="0B243552" w:rsidR="009871F6" w:rsidRPr="008937F3" w:rsidRDefault="00E54048">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179FBED7" w14:textId="3756D854" w:rsidR="009871F6" w:rsidRDefault="009871F6" w:rsidP="008937F3"/>
    <w:p w14:paraId="19B5EE80" w14:textId="77777777" w:rsidR="00A64576" w:rsidRDefault="00A64576" w:rsidP="008937F3"/>
    <w:p w14:paraId="0092F725" w14:textId="07A99D8D" w:rsidR="00E758CE" w:rsidRDefault="00E758CE" w:rsidP="008937F3">
      <w:pPr>
        <w:pStyle w:val="Heading3"/>
      </w:pPr>
      <w:bookmarkStart w:id="16" w:name="_Toc52396338"/>
      <w:r>
        <w:t>Ganeva 2016, Ganeva 2013</w:t>
      </w:r>
      <w:bookmarkEnd w:id="16"/>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133"/>
        <w:gridCol w:w="2974"/>
        <w:gridCol w:w="1139"/>
        <w:gridCol w:w="2693"/>
      </w:tblGrid>
      <w:tr w:rsidR="00936DA8" w:rsidRPr="00936DA8" w14:paraId="2AD11380" w14:textId="77777777" w:rsidTr="008937F3">
        <w:trPr>
          <w:trHeight w:val="880"/>
        </w:trPr>
        <w:tc>
          <w:tcPr>
            <w:tcW w:w="1847" w:type="dxa"/>
            <w:shd w:val="clear" w:color="auto" w:fill="E7E6E6" w:themeFill="background2"/>
            <w:vAlign w:val="center"/>
            <w:hideMark/>
          </w:tcPr>
          <w:p w14:paraId="048DCD25" w14:textId="77777777" w:rsidR="00936DA8" w:rsidRPr="008937F3"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4F03C51B" w14:textId="4534669E" w:rsidR="00936DA8" w:rsidRPr="008937F3" w:rsidRDefault="00936DA8" w:rsidP="008E7163">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8E7163" w:rsidRPr="008E7163">
              <w:rPr>
                <w:rFonts w:ascii="Calibri" w:eastAsia="Times New Roman" w:hAnsi="Calibri" w:cs="Times New Roman"/>
                <w:b/>
                <w:bCs/>
                <w:noProof/>
                <w:color w:val="000000"/>
                <w:sz w:val="20"/>
                <w:vertAlign w:val="superscript"/>
                <w:lang w:eastAsia="en-GB"/>
              </w:rPr>
              <w:t>16</w:t>
            </w:r>
            <w:r w:rsidR="00D10454">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2016 Judgement</w:t>
            </w:r>
          </w:p>
        </w:tc>
        <w:tc>
          <w:tcPr>
            <w:tcW w:w="2974" w:type="dxa"/>
            <w:shd w:val="clear" w:color="auto" w:fill="E7E6E6" w:themeFill="background2"/>
            <w:vAlign w:val="center"/>
            <w:hideMark/>
          </w:tcPr>
          <w:p w14:paraId="19F3A7F9" w14:textId="68B3980E" w:rsidR="00D307B0"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8E7163" w:rsidRPr="008E7163">
              <w:rPr>
                <w:rFonts w:ascii="Calibri" w:eastAsia="Times New Roman" w:hAnsi="Calibri" w:cs="Times New Roman"/>
                <w:b/>
                <w:bCs/>
                <w:noProof/>
                <w:color w:val="000000"/>
                <w:sz w:val="20"/>
                <w:vertAlign w:val="superscript"/>
                <w:lang w:eastAsia="en-GB"/>
              </w:rPr>
              <w:t>16</w:t>
            </w:r>
            <w:r w:rsidR="00D10454">
              <w:rPr>
                <w:rFonts w:ascii="Calibri" w:eastAsia="Times New Roman" w:hAnsi="Calibri" w:cs="Times New Roman"/>
                <w:b/>
                <w:bCs/>
                <w:color w:val="000000"/>
                <w:sz w:val="20"/>
                <w:lang w:eastAsia="en-GB"/>
              </w:rPr>
              <w:t xml:space="preserve"> </w:t>
            </w:r>
          </w:p>
          <w:p w14:paraId="0A2248D4" w14:textId="77777777" w:rsidR="00D307B0"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2016 </w:t>
            </w:r>
          </w:p>
          <w:p w14:paraId="5EAD6D48" w14:textId="4BEACF5F" w:rsidR="00936DA8" w:rsidRPr="008937F3"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139" w:type="dxa"/>
            <w:shd w:val="clear" w:color="auto" w:fill="E7E6E6" w:themeFill="background2"/>
            <w:vAlign w:val="center"/>
            <w:hideMark/>
          </w:tcPr>
          <w:p w14:paraId="3E464025" w14:textId="4EFF9C39" w:rsidR="00936DA8" w:rsidRPr="008937F3" w:rsidRDefault="00936DA8" w:rsidP="008E7163">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8E7163" w:rsidRPr="008E7163">
              <w:rPr>
                <w:rFonts w:ascii="Calibri" w:eastAsia="Times New Roman" w:hAnsi="Calibri" w:cs="Times New Roman"/>
                <w:b/>
                <w:bCs/>
                <w:noProof/>
                <w:color w:val="000000"/>
                <w:sz w:val="20"/>
                <w:vertAlign w:val="superscript"/>
                <w:lang w:eastAsia="en-GB"/>
              </w:rPr>
              <w:t>17</w:t>
            </w:r>
            <w:r w:rsidR="00D10454">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2013 Judgement</w:t>
            </w:r>
          </w:p>
        </w:tc>
        <w:tc>
          <w:tcPr>
            <w:tcW w:w="2693" w:type="dxa"/>
            <w:shd w:val="clear" w:color="auto" w:fill="E7E6E6" w:themeFill="background2"/>
            <w:vAlign w:val="center"/>
            <w:hideMark/>
          </w:tcPr>
          <w:p w14:paraId="17401ACF" w14:textId="0D6844CB" w:rsidR="00D307B0"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8E7163" w:rsidRPr="008E7163">
              <w:rPr>
                <w:rFonts w:ascii="Calibri" w:eastAsia="Times New Roman" w:hAnsi="Calibri" w:cs="Times New Roman"/>
                <w:b/>
                <w:bCs/>
                <w:noProof/>
                <w:color w:val="000000"/>
                <w:sz w:val="20"/>
                <w:vertAlign w:val="superscript"/>
                <w:lang w:eastAsia="en-GB"/>
              </w:rPr>
              <w:t>17</w:t>
            </w:r>
          </w:p>
          <w:p w14:paraId="3989D62D" w14:textId="77777777" w:rsidR="00D307B0"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2013 </w:t>
            </w:r>
          </w:p>
          <w:p w14:paraId="28178EE1" w14:textId="35CDF702" w:rsidR="00936DA8" w:rsidRPr="008937F3"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936DA8" w:rsidRPr="00936DA8" w14:paraId="7092FC4D" w14:textId="77777777" w:rsidTr="008937F3">
        <w:trPr>
          <w:trHeight w:val="44"/>
        </w:trPr>
        <w:tc>
          <w:tcPr>
            <w:tcW w:w="1847" w:type="dxa"/>
            <w:shd w:val="clear" w:color="auto" w:fill="auto"/>
            <w:vAlign w:val="center"/>
            <w:hideMark/>
          </w:tcPr>
          <w:p w14:paraId="31E5CD19" w14:textId="77777777" w:rsidR="00936DA8" w:rsidRPr="008937F3" w:rsidRDefault="00936DA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shd w:val="clear" w:color="auto" w:fill="E2EFD9" w:themeFill="accent6" w:themeFillTint="33"/>
            <w:vAlign w:val="center"/>
            <w:hideMark/>
          </w:tcPr>
          <w:p w14:paraId="57FA0961" w14:textId="77777777" w:rsidR="00936DA8" w:rsidRPr="008937F3" w:rsidRDefault="00936DA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2E46AB27" w14:textId="136EBBB8" w:rsidR="00936DA8" w:rsidRPr="008937F3" w:rsidRDefault="00D307B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39" w:type="dxa"/>
            <w:shd w:val="clear" w:color="auto" w:fill="E2EFD9" w:themeFill="accent6" w:themeFillTint="33"/>
            <w:vAlign w:val="center"/>
            <w:hideMark/>
          </w:tcPr>
          <w:p w14:paraId="6820B3A2" w14:textId="77777777" w:rsidR="00936DA8" w:rsidRPr="008937F3" w:rsidRDefault="00936DA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49983E18" w14:textId="6AF7B112" w:rsidR="00936DA8" w:rsidRPr="008937F3" w:rsidRDefault="00D307B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r w:rsidR="00936DA8" w:rsidRPr="008937F3">
              <w:rPr>
                <w:rFonts w:ascii="Calibri" w:eastAsia="Times New Roman" w:hAnsi="Calibri" w:cs="Times New Roman"/>
                <w:color w:val="000000"/>
                <w:sz w:val="20"/>
                <w:lang w:eastAsia="en-GB"/>
              </w:rPr>
              <w:t xml:space="preserve"> </w:t>
            </w:r>
          </w:p>
        </w:tc>
      </w:tr>
      <w:tr w:rsidR="00D307B0" w:rsidRPr="00936DA8" w14:paraId="37EC7E3B" w14:textId="77777777" w:rsidTr="008937F3">
        <w:trPr>
          <w:trHeight w:val="401"/>
        </w:trPr>
        <w:tc>
          <w:tcPr>
            <w:tcW w:w="1847" w:type="dxa"/>
            <w:shd w:val="clear" w:color="auto" w:fill="auto"/>
            <w:vAlign w:val="center"/>
            <w:hideMark/>
          </w:tcPr>
          <w:p w14:paraId="51E61127"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shd w:val="clear" w:color="auto" w:fill="E2EFD9" w:themeFill="accent6" w:themeFillTint="33"/>
            <w:vAlign w:val="center"/>
            <w:hideMark/>
          </w:tcPr>
          <w:p w14:paraId="022CF6B0" w14:textId="363ABC69" w:rsidR="00D307B0" w:rsidRPr="008937F3" w:rsidRDefault="00D307B0"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12007889" w14:textId="2650E600" w:rsidR="00D307B0" w:rsidRPr="008937F3" w:rsidRDefault="00D307B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39" w:type="dxa"/>
            <w:shd w:val="clear" w:color="auto" w:fill="E2EFD9" w:themeFill="accent6" w:themeFillTint="33"/>
            <w:vAlign w:val="center"/>
            <w:hideMark/>
          </w:tcPr>
          <w:p w14:paraId="371CD4E6" w14:textId="3C72620B" w:rsidR="00D307B0" w:rsidRPr="008937F3" w:rsidRDefault="00D307B0"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68203DB7" w14:textId="7A5481CA" w:rsidR="00D307B0" w:rsidRPr="008937F3" w:rsidRDefault="00D307B0"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r w:rsidRPr="009E23F8">
              <w:rPr>
                <w:rFonts w:ascii="Calibri" w:eastAsia="Times New Roman" w:hAnsi="Calibri" w:cs="Times New Roman"/>
                <w:color w:val="000000"/>
                <w:sz w:val="20"/>
                <w:lang w:eastAsia="en-GB"/>
              </w:rPr>
              <w:t xml:space="preserve"> </w:t>
            </w:r>
          </w:p>
        </w:tc>
      </w:tr>
      <w:tr w:rsidR="00D307B0" w:rsidRPr="00936DA8" w14:paraId="1717E5FE" w14:textId="77777777" w:rsidTr="008937F3">
        <w:trPr>
          <w:trHeight w:val="44"/>
        </w:trPr>
        <w:tc>
          <w:tcPr>
            <w:tcW w:w="1847" w:type="dxa"/>
            <w:shd w:val="clear" w:color="auto" w:fill="auto"/>
            <w:vAlign w:val="center"/>
            <w:hideMark/>
          </w:tcPr>
          <w:p w14:paraId="06B374BB"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shd w:val="clear" w:color="auto" w:fill="E2EFD9" w:themeFill="accent6" w:themeFillTint="33"/>
            <w:vAlign w:val="center"/>
            <w:hideMark/>
          </w:tcPr>
          <w:p w14:paraId="2D91CE80"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4DABD08D" w14:textId="6147E52D" w:rsidR="00D307B0" w:rsidRPr="008937F3" w:rsidRDefault="0063395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139" w:type="dxa"/>
            <w:shd w:val="clear" w:color="auto" w:fill="E2EFD9" w:themeFill="accent6" w:themeFillTint="33"/>
            <w:vAlign w:val="center"/>
            <w:hideMark/>
          </w:tcPr>
          <w:p w14:paraId="536C9913"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08393E4E" w14:textId="7A9D770F" w:rsidR="00D307B0" w:rsidRPr="008937F3" w:rsidRDefault="0063395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timing of review, data sources used and data extraction method.</w:t>
            </w:r>
          </w:p>
        </w:tc>
      </w:tr>
      <w:tr w:rsidR="00D307B0" w:rsidRPr="00936DA8" w14:paraId="0F0F95AF" w14:textId="77777777" w:rsidTr="008937F3">
        <w:trPr>
          <w:trHeight w:val="831"/>
        </w:trPr>
        <w:tc>
          <w:tcPr>
            <w:tcW w:w="1847" w:type="dxa"/>
            <w:shd w:val="clear" w:color="auto" w:fill="auto"/>
            <w:vAlign w:val="center"/>
            <w:hideMark/>
          </w:tcPr>
          <w:p w14:paraId="0ADF08D5"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shd w:val="clear" w:color="auto" w:fill="E2EFD9" w:themeFill="accent6" w:themeFillTint="33"/>
            <w:vAlign w:val="center"/>
            <w:hideMark/>
          </w:tcPr>
          <w:p w14:paraId="296298C4" w14:textId="77777777" w:rsidR="00D307B0" w:rsidRPr="008937F3" w:rsidRDefault="00D307B0"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468B5252" w14:textId="4DFB480C" w:rsidR="00D307B0" w:rsidRPr="008937F3" w:rsidRDefault="00B7139E" w:rsidP="008937F3">
            <w:pPr>
              <w:spacing w:after="0" w:line="240" w:lineRule="auto"/>
              <w:rPr>
                <w:rFonts w:ascii="Calibri" w:hAnsi="Calibri" w:cs="Calibri"/>
                <w:color w:val="000000"/>
                <w:sz w:val="20"/>
              </w:rPr>
            </w:pPr>
            <w:r>
              <w:rPr>
                <w:rFonts w:ascii="Calibri" w:hAnsi="Calibri" w:cs="Calibri"/>
                <w:color w:val="000000"/>
                <w:sz w:val="20"/>
              </w:rPr>
              <w:t xml:space="preserve">Additional data provided to authors demonstrates differentiation between pre-hospital and in-hospital ADRs. </w:t>
            </w:r>
          </w:p>
        </w:tc>
        <w:tc>
          <w:tcPr>
            <w:tcW w:w="1139" w:type="dxa"/>
            <w:shd w:val="clear" w:color="auto" w:fill="E2EFD9" w:themeFill="accent6" w:themeFillTint="33"/>
            <w:vAlign w:val="center"/>
            <w:hideMark/>
          </w:tcPr>
          <w:p w14:paraId="69E1F9B0"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1D34D657" w14:textId="36017E83" w:rsidR="00D307B0" w:rsidRPr="008937F3" w:rsidRDefault="00B7139E" w:rsidP="008937F3">
            <w:pPr>
              <w:spacing w:after="0" w:line="240" w:lineRule="auto"/>
              <w:rPr>
                <w:rFonts w:ascii="Calibri" w:eastAsia="Times New Roman" w:hAnsi="Calibri" w:cs="Times New Roman"/>
                <w:color w:val="000000"/>
                <w:sz w:val="20"/>
                <w:lang w:eastAsia="en-GB"/>
              </w:rPr>
            </w:pPr>
            <w:r>
              <w:rPr>
                <w:rFonts w:ascii="Calibri" w:hAnsi="Calibri" w:cs="Calibri"/>
                <w:color w:val="000000"/>
                <w:sz w:val="20"/>
              </w:rPr>
              <w:t>Additional data provided to authors demonstrates differentiation between pre-hospital and in-hospital ADRs.</w:t>
            </w:r>
          </w:p>
        </w:tc>
      </w:tr>
      <w:tr w:rsidR="00D307B0" w:rsidRPr="00936DA8" w14:paraId="14069422" w14:textId="77777777" w:rsidTr="008937F3">
        <w:trPr>
          <w:trHeight w:val="406"/>
        </w:trPr>
        <w:tc>
          <w:tcPr>
            <w:tcW w:w="1847" w:type="dxa"/>
            <w:shd w:val="clear" w:color="auto" w:fill="auto"/>
            <w:vAlign w:val="center"/>
            <w:hideMark/>
          </w:tcPr>
          <w:p w14:paraId="63EE1863"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shd w:val="clear" w:color="auto" w:fill="E2EFD9" w:themeFill="accent6" w:themeFillTint="33"/>
            <w:vAlign w:val="center"/>
            <w:hideMark/>
          </w:tcPr>
          <w:p w14:paraId="402A888C"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3AC542FE" w14:textId="0157C65D" w:rsidR="00D307B0" w:rsidRPr="008937F3" w:rsidRDefault="0024717E"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c>
          <w:tcPr>
            <w:tcW w:w="1139" w:type="dxa"/>
            <w:shd w:val="clear" w:color="auto" w:fill="FFF2CC" w:themeFill="accent4" w:themeFillTint="33"/>
            <w:vAlign w:val="center"/>
            <w:hideMark/>
          </w:tcPr>
          <w:p w14:paraId="3CA7E5D6" w14:textId="77777777" w:rsidR="00D307B0" w:rsidRPr="008937F3" w:rsidRDefault="00D307B0">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C000" w:themeColor="accent4"/>
                <w:sz w:val="20"/>
                <w:lang w:eastAsia="en-GB"/>
              </w:rPr>
              <w:t>?</w:t>
            </w:r>
          </w:p>
        </w:tc>
        <w:tc>
          <w:tcPr>
            <w:tcW w:w="2693" w:type="dxa"/>
            <w:shd w:val="clear" w:color="auto" w:fill="auto"/>
            <w:vAlign w:val="center"/>
            <w:hideMark/>
          </w:tcPr>
          <w:p w14:paraId="10291B3C" w14:textId="4EE4D661" w:rsidR="00D307B0" w:rsidRPr="008937F3" w:rsidRDefault="0024717E"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Unclear - </w:t>
            </w:r>
            <w:r w:rsidR="00D307B0" w:rsidRPr="008937F3">
              <w:rPr>
                <w:rFonts w:ascii="Calibri" w:eastAsia="Times New Roman" w:hAnsi="Calibri" w:cs="Times New Roman"/>
                <w:color w:val="000000"/>
                <w:sz w:val="20"/>
                <w:lang w:eastAsia="en-GB"/>
              </w:rPr>
              <w:t>scoring systems are mentioned, no informatio</w:t>
            </w:r>
            <w:r>
              <w:rPr>
                <w:rFonts w:ascii="Calibri" w:eastAsia="Times New Roman" w:hAnsi="Calibri" w:cs="Times New Roman"/>
                <w:color w:val="000000"/>
                <w:sz w:val="20"/>
                <w:lang w:eastAsia="en-GB"/>
              </w:rPr>
              <w:t>n in paper or</w:t>
            </w:r>
            <w:r w:rsidR="00D307B0" w:rsidRPr="008937F3">
              <w:rPr>
                <w:rFonts w:ascii="Calibri" w:eastAsia="Times New Roman" w:hAnsi="Calibri" w:cs="Times New Roman"/>
                <w:color w:val="000000"/>
                <w:sz w:val="20"/>
                <w:lang w:eastAsia="en-GB"/>
              </w:rPr>
              <w:t xml:space="preserve"> the supplied additional data explains how the outcomes were assessed</w:t>
            </w:r>
            <w:r>
              <w:rPr>
                <w:rFonts w:ascii="Calibri" w:eastAsia="Times New Roman" w:hAnsi="Calibri" w:cs="Times New Roman"/>
                <w:color w:val="000000"/>
                <w:sz w:val="20"/>
                <w:lang w:eastAsia="en-GB"/>
              </w:rPr>
              <w:t>.</w:t>
            </w:r>
            <w:r w:rsidR="00D307B0" w:rsidRPr="008937F3">
              <w:rPr>
                <w:rFonts w:ascii="Calibri" w:eastAsia="Times New Roman" w:hAnsi="Calibri" w:cs="Times New Roman"/>
                <w:color w:val="000000"/>
                <w:sz w:val="20"/>
                <w:lang w:eastAsia="en-GB"/>
              </w:rPr>
              <w:t xml:space="preserve"> </w:t>
            </w:r>
          </w:p>
        </w:tc>
      </w:tr>
      <w:tr w:rsidR="00D307B0" w:rsidRPr="00936DA8" w14:paraId="3D875803" w14:textId="77777777" w:rsidTr="008937F3">
        <w:trPr>
          <w:trHeight w:val="81"/>
        </w:trPr>
        <w:tc>
          <w:tcPr>
            <w:tcW w:w="1847" w:type="dxa"/>
            <w:shd w:val="clear" w:color="auto" w:fill="auto"/>
            <w:vAlign w:val="center"/>
            <w:hideMark/>
          </w:tcPr>
          <w:p w14:paraId="5B6D8CD4"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long enough for outcomes to occur </w:t>
            </w:r>
          </w:p>
        </w:tc>
        <w:tc>
          <w:tcPr>
            <w:tcW w:w="1133" w:type="dxa"/>
            <w:shd w:val="clear" w:color="auto" w:fill="E2EFD9" w:themeFill="accent6" w:themeFillTint="33"/>
            <w:vAlign w:val="center"/>
            <w:hideMark/>
          </w:tcPr>
          <w:p w14:paraId="14C08EDD" w14:textId="77777777" w:rsidR="00D307B0" w:rsidRPr="008937F3" w:rsidRDefault="00D307B0"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3A3572B3" w14:textId="24C5CB28" w:rsidR="00D307B0" w:rsidRPr="008937F3" w:rsidRDefault="0024717E"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139" w:type="dxa"/>
            <w:shd w:val="clear" w:color="auto" w:fill="F7D1D1"/>
            <w:vAlign w:val="center"/>
            <w:hideMark/>
          </w:tcPr>
          <w:p w14:paraId="2F7E22A2"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693" w:type="dxa"/>
            <w:shd w:val="clear" w:color="auto" w:fill="auto"/>
            <w:vAlign w:val="center"/>
            <w:hideMark/>
          </w:tcPr>
          <w:p w14:paraId="15036005" w14:textId="09DB675D" w:rsidR="00D307B0" w:rsidRPr="008937F3" w:rsidRDefault="0024717E"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D307B0" w:rsidRPr="008937F3">
              <w:rPr>
                <w:rFonts w:ascii="Calibri" w:eastAsia="Times New Roman" w:hAnsi="Calibri" w:cs="Times New Roman"/>
                <w:color w:val="000000"/>
                <w:sz w:val="20"/>
                <w:lang w:eastAsia="en-GB"/>
              </w:rPr>
              <w:t>no mention in methods</w:t>
            </w:r>
          </w:p>
        </w:tc>
      </w:tr>
      <w:tr w:rsidR="00D307B0" w:rsidRPr="00936DA8" w14:paraId="75C9644C" w14:textId="77777777" w:rsidTr="008937F3">
        <w:trPr>
          <w:trHeight w:val="44"/>
        </w:trPr>
        <w:tc>
          <w:tcPr>
            <w:tcW w:w="1847" w:type="dxa"/>
            <w:shd w:val="clear" w:color="auto" w:fill="auto"/>
            <w:vAlign w:val="center"/>
            <w:hideMark/>
          </w:tcPr>
          <w:p w14:paraId="0C484DC6" w14:textId="77777777" w:rsidR="00D307B0" w:rsidRPr="008937F3" w:rsidRDefault="00D307B0">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Adequacy of follow up of cohorts</w:t>
            </w:r>
          </w:p>
        </w:tc>
        <w:tc>
          <w:tcPr>
            <w:tcW w:w="1133" w:type="dxa"/>
            <w:shd w:val="clear" w:color="auto" w:fill="E2EFD9" w:themeFill="accent6" w:themeFillTint="33"/>
            <w:vAlign w:val="center"/>
            <w:hideMark/>
          </w:tcPr>
          <w:p w14:paraId="4CDC60DF" w14:textId="77777777" w:rsidR="00D307B0" w:rsidRPr="008937F3" w:rsidRDefault="00D307B0"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3D7D30D7" w14:textId="5674EE31" w:rsidR="00D307B0" w:rsidRPr="008937F3" w:rsidRDefault="0024717E"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139" w:type="dxa"/>
            <w:shd w:val="clear" w:color="auto" w:fill="E2EFD9" w:themeFill="accent6" w:themeFillTint="33"/>
            <w:vAlign w:val="center"/>
            <w:hideMark/>
          </w:tcPr>
          <w:p w14:paraId="06C77C2E" w14:textId="77777777" w:rsidR="00D307B0" w:rsidRPr="008937F3" w:rsidRDefault="00D307B0"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noWrap/>
            <w:vAlign w:val="center"/>
            <w:hideMark/>
          </w:tcPr>
          <w:p w14:paraId="2DF39C8C" w14:textId="41A1BEF4" w:rsidR="00D307B0" w:rsidRPr="008937F3" w:rsidRDefault="0024717E">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0756F834" w14:textId="008FE252" w:rsidR="00E24E0E" w:rsidRDefault="00E24E0E" w:rsidP="008937F3"/>
    <w:p w14:paraId="2AEA0CA0" w14:textId="00C218CB" w:rsidR="00CB2E8B" w:rsidRDefault="00CB2E8B" w:rsidP="008937F3">
      <w:pPr>
        <w:pStyle w:val="Heading3"/>
      </w:pPr>
      <w:bookmarkStart w:id="17" w:name="_Toc52396339"/>
      <w:r>
        <w:t>Ganeva 2007, Giardina 2018</w:t>
      </w:r>
      <w:bookmarkEnd w:id="17"/>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133"/>
        <w:gridCol w:w="2974"/>
        <w:gridCol w:w="1139"/>
        <w:gridCol w:w="2693"/>
      </w:tblGrid>
      <w:tr w:rsidR="002735F6" w:rsidRPr="002735F6" w14:paraId="51611BF3" w14:textId="77777777" w:rsidTr="008937F3">
        <w:trPr>
          <w:trHeight w:val="880"/>
        </w:trPr>
        <w:tc>
          <w:tcPr>
            <w:tcW w:w="1847" w:type="dxa"/>
            <w:shd w:val="clear" w:color="auto" w:fill="E7E6E6" w:themeFill="background2"/>
            <w:vAlign w:val="center"/>
            <w:hideMark/>
          </w:tcPr>
          <w:p w14:paraId="5474C450" w14:textId="77777777" w:rsidR="002735F6" w:rsidRPr="008937F3" w:rsidRDefault="002735F6">
            <w:pPr>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1E9C10AD" w14:textId="622FDB3A" w:rsidR="002735F6" w:rsidRPr="008937F3" w:rsidRDefault="002735F6" w:rsidP="00CF1F2A">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CF1F2A" w:rsidRPr="00CF1F2A">
              <w:rPr>
                <w:rFonts w:ascii="Calibri" w:eastAsia="Times New Roman" w:hAnsi="Calibri" w:cs="Times New Roman"/>
                <w:b/>
                <w:bCs/>
                <w:noProof/>
                <w:color w:val="000000"/>
                <w:sz w:val="20"/>
                <w:vertAlign w:val="superscript"/>
                <w:lang w:eastAsia="en-GB"/>
              </w:rPr>
              <w:t>15</w:t>
            </w:r>
            <w:r w:rsidR="007A76BF">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2007 Judgement</w:t>
            </w:r>
          </w:p>
        </w:tc>
        <w:tc>
          <w:tcPr>
            <w:tcW w:w="2974" w:type="dxa"/>
            <w:shd w:val="clear" w:color="auto" w:fill="E7E6E6" w:themeFill="background2"/>
            <w:vAlign w:val="center"/>
            <w:hideMark/>
          </w:tcPr>
          <w:p w14:paraId="46EA0C14" w14:textId="2C052462" w:rsidR="00F44CCC"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Ganeva </w:t>
            </w:r>
            <w:r w:rsidR="00CF1F2A" w:rsidRPr="00CF1F2A">
              <w:rPr>
                <w:rFonts w:ascii="Calibri" w:eastAsia="Times New Roman" w:hAnsi="Calibri" w:cs="Times New Roman"/>
                <w:b/>
                <w:bCs/>
                <w:noProof/>
                <w:color w:val="000000"/>
                <w:sz w:val="20"/>
                <w:vertAlign w:val="superscript"/>
                <w:lang w:eastAsia="en-GB"/>
              </w:rPr>
              <w:t>15</w:t>
            </w:r>
            <w:r w:rsidR="007A76BF">
              <w:rPr>
                <w:rFonts w:ascii="Calibri" w:eastAsia="Times New Roman" w:hAnsi="Calibri" w:cs="Times New Roman"/>
                <w:b/>
                <w:bCs/>
                <w:color w:val="000000"/>
                <w:sz w:val="20"/>
                <w:lang w:eastAsia="en-GB"/>
              </w:rPr>
              <w:t xml:space="preserve"> </w:t>
            </w:r>
          </w:p>
          <w:p w14:paraId="044FFC33" w14:textId="77777777" w:rsidR="00F44CCC"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2007 </w:t>
            </w:r>
          </w:p>
          <w:p w14:paraId="64387EA2" w14:textId="09224F7C" w:rsidR="002735F6" w:rsidRPr="008937F3"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139" w:type="dxa"/>
            <w:shd w:val="clear" w:color="auto" w:fill="E7E6E6" w:themeFill="background2"/>
            <w:vAlign w:val="center"/>
            <w:hideMark/>
          </w:tcPr>
          <w:p w14:paraId="59F28CF6" w14:textId="1BACFCD3" w:rsidR="00F44CCC"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Giardina </w:t>
            </w:r>
            <w:r w:rsidR="00CF1F2A" w:rsidRPr="00CF1F2A">
              <w:rPr>
                <w:rFonts w:ascii="Calibri" w:eastAsia="Times New Roman" w:hAnsi="Calibri" w:cs="Times New Roman"/>
                <w:b/>
                <w:bCs/>
                <w:noProof/>
                <w:color w:val="000000"/>
                <w:sz w:val="20"/>
                <w:vertAlign w:val="superscript"/>
                <w:lang w:eastAsia="en-GB"/>
              </w:rPr>
              <w:t>28</w:t>
            </w:r>
            <w:r w:rsidR="007A76BF">
              <w:rPr>
                <w:rFonts w:ascii="Calibri" w:eastAsia="Times New Roman" w:hAnsi="Calibri" w:cs="Times New Roman"/>
                <w:b/>
                <w:bCs/>
                <w:color w:val="000000"/>
                <w:sz w:val="20"/>
                <w:lang w:eastAsia="en-GB"/>
              </w:rPr>
              <w:t xml:space="preserve"> </w:t>
            </w:r>
          </w:p>
          <w:p w14:paraId="665EF91F" w14:textId="69115B90" w:rsidR="002735F6" w:rsidRPr="008937F3"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2018 Judgement</w:t>
            </w:r>
          </w:p>
        </w:tc>
        <w:tc>
          <w:tcPr>
            <w:tcW w:w="2693" w:type="dxa"/>
            <w:shd w:val="clear" w:color="auto" w:fill="E7E6E6" w:themeFill="background2"/>
            <w:vAlign w:val="center"/>
            <w:hideMark/>
          </w:tcPr>
          <w:p w14:paraId="4BD9BBEA" w14:textId="39A1DB46" w:rsidR="00F44CCC"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Giardina </w:t>
            </w:r>
            <w:r w:rsidR="00CF1F2A" w:rsidRPr="00CF1F2A">
              <w:rPr>
                <w:rFonts w:ascii="Calibri" w:eastAsia="Times New Roman" w:hAnsi="Calibri" w:cs="Times New Roman"/>
                <w:b/>
                <w:bCs/>
                <w:noProof/>
                <w:color w:val="000000"/>
                <w:sz w:val="20"/>
                <w:vertAlign w:val="superscript"/>
                <w:lang w:eastAsia="en-GB"/>
              </w:rPr>
              <w:t>28</w:t>
            </w:r>
            <w:r w:rsidR="007A76BF">
              <w:rPr>
                <w:rFonts w:ascii="Calibri" w:eastAsia="Times New Roman" w:hAnsi="Calibri" w:cs="Times New Roman"/>
                <w:b/>
                <w:bCs/>
                <w:color w:val="000000"/>
                <w:sz w:val="20"/>
                <w:lang w:eastAsia="en-GB"/>
              </w:rPr>
              <w:t xml:space="preserve"> </w:t>
            </w:r>
          </w:p>
          <w:p w14:paraId="15A0D108" w14:textId="77777777" w:rsidR="00F44CCC"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2018 </w:t>
            </w:r>
          </w:p>
          <w:p w14:paraId="64880628" w14:textId="1ECF66A0" w:rsidR="002735F6" w:rsidRPr="008937F3"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2735F6" w:rsidRPr="002735F6" w14:paraId="6E2D0427" w14:textId="77777777" w:rsidTr="008937F3">
        <w:trPr>
          <w:trHeight w:val="362"/>
        </w:trPr>
        <w:tc>
          <w:tcPr>
            <w:tcW w:w="1847" w:type="dxa"/>
            <w:shd w:val="clear" w:color="auto" w:fill="auto"/>
            <w:vAlign w:val="center"/>
            <w:hideMark/>
          </w:tcPr>
          <w:p w14:paraId="157A16F1" w14:textId="77777777" w:rsidR="002735F6" w:rsidRPr="008937F3" w:rsidRDefault="002735F6">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shd w:val="clear" w:color="auto" w:fill="E2EFD9" w:themeFill="accent6" w:themeFillTint="33"/>
            <w:vAlign w:val="center"/>
            <w:hideMark/>
          </w:tcPr>
          <w:p w14:paraId="07CED0FA" w14:textId="77777777" w:rsidR="002735F6" w:rsidRPr="008937F3" w:rsidRDefault="002735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2433CDDB" w14:textId="151EB4DD" w:rsidR="002735F6" w:rsidRPr="008937F3" w:rsidRDefault="00261E8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39" w:type="dxa"/>
            <w:shd w:val="clear" w:color="auto" w:fill="E2EFD9" w:themeFill="accent6" w:themeFillTint="33"/>
            <w:vAlign w:val="center"/>
            <w:hideMark/>
          </w:tcPr>
          <w:p w14:paraId="726D0586" w14:textId="77777777" w:rsidR="002735F6" w:rsidRPr="008937F3" w:rsidRDefault="002735F6"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5B79E402" w14:textId="31539931" w:rsidR="002735F6" w:rsidRPr="008937F3" w:rsidRDefault="00261E8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261E87" w:rsidRPr="002735F6" w14:paraId="2750E6B3" w14:textId="77777777" w:rsidTr="008937F3">
        <w:trPr>
          <w:trHeight w:val="44"/>
        </w:trPr>
        <w:tc>
          <w:tcPr>
            <w:tcW w:w="1847" w:type="dxa"/>
            <w:shd w:val="clear" w:color="auto" w:fill="auto"/>
            <w:vAlign w:val="center"/>
            <w:hideMark/>
          </w:tcPr>
          <w:p w14:paraId="50054DCB" w14:textId="77777777"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shd w:val="clear" w:color="auto" w:fill="E2EFD9" w:themeFill="accent6" w:themeFillTint="33"/>
            <w:vAlign w:val="center"/>
            <w:hideMark/>
          </w:tcPr>
          <w:p w14:paraId="768647E0" w14:textId="491A5320" w:rsidR="00261E87" w:rsidRPr="008937F3" w:rsidRDefault="00261E87"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18804221" w14:textId="77F2DDA5" w:rsidR="00261E87" w:rsidRPr="008937F3" w:rsidRDefault="00261E8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139" w:type="dxa"/>
            <w:shd w:val="clear" w:color="auto" w:fill="E2EFD9" w:themeFill="accent6" w:themeFillTint="33"/>
            <w:vAlign w:val="center"/>
            <w:hideMark/>
          </w:tcPr>
          <w:p w14:paraId="0B75B93E" w14:textId="6E27809A" w:rsidR="00261E87" w:rsidRPr="008937F3" w:rsidRDefault="00261E87"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3E503D6A" w14:textId="36417E56" w:rsidR="00261E87" w:rsidRPr="008937F3" w:rsidRDefault="00261E8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261E87" w:rsidRPr="002735F6" w14:paraId="77C440B7" w14:textId="77777777" w:rsidTr="008937F3">
        <w:trPr>
          <w:trHeight w:val="44"/>
        </w:trPr>
        <w:tc>
          <w:tcPr>
            <w:tcW w:w="1847" w:type="dxa"/>
            <w:shd w:val="clear" w:color="auto" w:fill="auto"/>
            <w:vAlign w:val="center"/>
            <w:hideMark/>
          </w:tcPr>
          <w:p w14:paraId="65AF16AD" w14:textId="77777777"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shd w:val="clear" w:color="auto" w:fill="E2EFD9" w:themeFill="accent6" w:themeFillTint="33"/>
            <w:vAlign w:val="center"/>
            <w:hideMark/>
          </w:tcPr>
          <w:p w14:paraId="0905C6CA" w14:textId="7BA09C6F" w:rsidR="00261E87" w:rsidRPr="008937F3" w:rsidRDefault="00261E87" w:rsidP="008937F3">
            <w:pPr>
              <w:spacing w:after="0" w:line="240" w:lineRule="auto"/>
              <w:rPr>
                <w:rFonts w:ascii="Calibri" w:eastAsia="Times New Roman" w:hAnsi="Calibri" w:cs="Times New Roman"/>
                <w:color w:val="000000"/>
                <w:sz w:val="20"/>
                <w:lang w:eastAsia="en-GB"/>
              </w:rPr>
            </w:pPr>
            <w:r w:rsidRPr="009E23F8">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3DA7E1FD" w14:textId="05836923" w:rsidR="00261E87" w:rsidRPr="008937F3" w:rsidRDefault="00261E8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139" w:type="dxa"/>
            <w:shd w:val="clear" w:color="auto" w:fill="E2EFD9" w:themeFill="accent6" w:themeFillTint="33"/>
            <w:vAlign w:val="center"/>
            <w:hideMark/>
          </w:tcPr>
          <w:p w14:paraId="6C957FFF"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3E5C58B7" w14:textId="6F0066CE" w:rsidR="00261E87" w:rsidRPr="008937F3" w:rsidRDefault="00261E8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data sources used and data extraction method.</w:t>
            </w:r>
          </w:p>
        </w:tc>
      </w:tr>
      <w:tr w:rsidR="00261E87" w:rsidRPr="002735F6" w14:paraId="791371EE" w14:textId="77777777" w:rsidTr="008937F3">
        <w:trPr>
          <w:trHeight w:val="44"/>
        </w:trPr>
        <w:tc>
          <w:tcPr>
            <w:tcW w:w="1847" w:type="dxa"/>
            <w:shd w:val="clear" w:color="auto" w:fill="auto"/>
            <w:vAlign w:val="center"/>
            <w:hideMark/>
          </w:tcPr>
          <w:p w14:paraId="3EF39D53" w14:textId="77777777"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shd w:val="clear" w:color="auto" w:fill="E2EFD9" w:themeFill="accent6" w:themeFillTint="33"/>
            <w:vAlign w:val="center"/>
            <w:hideMark/>
          </w:tcPr>
          <w:p w14:paraId="22E741E9"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1CD8496F" w14:textId="7A718295" w:rsidR="00261E87" w:rsidRPr="008937F3" w:rsidRDefault="00C822C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tc>
        <w:tc>
          <w:tcPr>
            <w:tcW w:w="1139" w:type="dxa"/>
            <w:shd w:val="clear" w:color="auto" w:fill="E2EFD9" w:themeFill="accent6" w:themeFillTint="33"/>
            <w:vAlign w:val="center"/>
            <w:hideMark/>
          </w:tcPr>
          <w:p w14:paraId="3085ED3C"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1CEADC55" w14:textId="44B191B6" w:rsidR="00261E87" w:rsidRPr="008937F3" w:rsidRDefault="00C822C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p>
        </w:tc>
      </w:tr>
      <w:tr w:rsidR="00A64576" w:rsidRPr="002735F6" w14:paraId="4F6AC2C3" w14:textId="77777777" w:rsidTr="006A7A6F">
        <w:trPr>
          <w:trHeight w:val="880"/>
        </w:trPr>
        <w:tc>
          <w:tcPr>
            <w:tcW w:w="1847" w:type="dxa"/>
            <w:shd w:val="clear" w:color="auto" w:fill="E7E6E6" w:themeFill="background2"/>
            <w:vAlign w:val="center"/>
            <w:hideMark/>
          </w:tcPr>
          <w:p w14:paraId="710E845A" w14:textId="23450DBE" w:rsidR="00A64576" w:rsidRDefault="00F478FC" w:rsidP="006A7A6F">
            <w:pPr>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Contd.</w:t>
            </w:r>
          </w:p>
          <w:p w14:paraId="1970E91A" w14:textId="65BF2580" w:rsidR="00A64576" w:rsidRPr="004B30EF" w:rsidRDefault="00A64576" w:rsidP="006A7A6F">
            <w:pPr>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1BAB39CD"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Ganeva </w:t>
            </w:r>
            <w:r w:rsidRPr="00CF1F2A">
              <w:rPr>
                <w:rFonts w:ascii="Calibri" w:eastAsia="Times New Roman" w:hAnsi="Calibri" w:cs="Times New Roman"/>
                <w:b/>
                <w:bCs/>
                <w:noProof/>
                <w:color w:val="000000"/>
                <w:sz w:val="20"/>
                <w:vertAlign w:val="superscript"/>
                <w:lang w:eastAsia="en-GB"/>
              </w:rPr>
              <w:t>15</w:t>
            </w:r>
            <w:r>
              <w:rPr>
                <w:rFonts w:ascii="Calibri" w:eastAsia="Times New Roman" w:hAnsi="Calibri" w:cs="Times New Roman"/>
                <w:b/>
                <w:bCs/>
                <w:color w:val="000000"/>
                <w:sz w:val="20"/>
                <w:lang w:eastAsia="en-GB"/>
              </w:rPr>
              <w:t xml:space="preserve"> </w:t>
            </w:r>
            <w:r w:rsidRPr="004B30EF">
              <w:rPr>
                <w:rFonts w:ascii="Calibri" w:eastAsia="Times New Roman" w:hAnsi="Calibri" w:cs="Times New Roman"/>
                <w:b/>
                <w:bCs/>
                <w:color w:val="000000"/>
                <w:sz w:val="20"/>
                <w:lang w:eastAsia="en-GB"/>
              </w:rPr>
              <w:t>2007 Judgement</w:t>
            </w:r>
          </w:p>
        </w:tc>
        <w:tc>
          <w:tcPr>
            <w:tcW w:w="2974" w:type="dxa"/>
            <w:shd w:val="clear" w:color="auto" w:fill="E7E6E6" w:themeFill="background2"/>
            <w:vAlign w:val="center"/>
            <w:hideMark/>
          </w:tcPr>
          <w:p w14:paraId="12D53F86"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Ganeva </w:t>
            </w:r>
            <w:r w:rsidRPr="00CF1F2A">
              <w:rPr>
                <w:rFonts w:ascii="Calibri" w:eastAsia="Times New Roman" w:hAnsi="Calibri" w:cs="Times New Roman"/>
                <w:b/>
                <w:bCs/>
                <w:noProof/>
                <w:color w:val="000000"/>
                <w:sz w:val="20"/>
                <w:vertAlign w:val="superscript"/>
                <w:lang w:eastAsia="en-GB"/>
              </w:rPr>
              <w:t>15</w:t>
            </w:r>
            <w:r>
              <w:rPr>
                <w:rFonts w:ascii="Calibri" w:eastAsia="Times New Roman" w:hAnsi="Calibri" w:cs="Times New Roman"/>
                <w:b/>
                <w:bCs/>
                <w:color w:val="000000"/>
                <w:sz w:val="20"/>
                <w:lang w:eastAsia="en-GB"/>
              </w:rPr>
              <w:t xml:space="preserve"> </w:t>
            </w:r>
          </w:p>
          <w:p w14:paraId="19F2A730"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2007 </w:t>
            </w:r>
          </w:p>
          <w:p w14:paraId="0D049610"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c>
          <w:tcPr>
            <w:tcW w:w="1139" w:type="dxa"/>
            <w:shd w:val="clear" w:color="auto" w:fill="E7E6E6" w:themeFill="background2"/>
            <w:vAlign w:val="center"/>
            <w:hideMark/>
          </w:tcPr>
          <w:p w14:paraId="03FD8B14"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Giardina </w:t>
            </w:r>
            <w:r w:rsidRPr="00CF1F2A">
              <w:rPr>
                <w:rFonts w:ascii="Calibri" w:eastAsia="Times New Roman" w:hAnsi="Calibri" w:cs="Times New Roman"/>
                <w:b/>
                <w:bCs/>
                <w:noProof/>
                <w:color w:val="000000"/>
                <w:sz w:val="20"/>
                <w:vertAlign w:val="superscript"/>
                <w:lang w:eastAsia="en-GB"/>
              </w:rPr>
              <w:t>28</w:t>
            </w:r>
            <w:r>
              <w:rPr>
                <w:rFonts w:ascii="Calibri" w:eastAsia="Times New Roman" w:hAnsi="Calibri" w:cs="Times New Roman"/>
                <w:b/>
                <w:bCs/>
                <w:color w:val="000000"/>
                <w:sz w:val="20"/>
                <w:lang w:eastAsia="en-GB"/>
              </w:rPr>
              <w:t xml:space="preserve"> </w:t>
            </w:r>
          </w:p>
          <w:p w14:paraId="30CD38A3"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2018 Judgement</w:t>
            </w:r>
          </w:p>
        </w:tc>
        <w:tc>
          <w:tcPr>
            <w:tcW w:w="2693" w:type="dxa"/>
            <w:shd w:val="clear" w:color="auto" w:fill="E7E6E6" w:themeFill="background2"/>
            <w:vAlign w:val="center"/>
            <w:hideMark/>
          </w:tcPr>
          <w:p w14:paraId="4C028BCC"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Giardina </w:t>
            </w:r>
            <w:r w:rsidRPr="00CF1F2A">
              <w:rPr>
                <w:rFonts w:ascii="Calibri" w:eastAsia="Times New Roman" w:hAnsi="Calibri" w:cs="Times New Roman"/>
                <w:b/>
                <w:bCs/>
                <w:noProof/>
                <w:color w:val="000000"/>
                <w:sz w:val="20"/>
                <w:vertAlign w:val="superscript"/>
                <w:lang w:eastAsia="en-GB"/>
              </w:rPr>
              <w:t>28</w:t>
            </w:r>
            <w:r>
              <w:rPr>
                <w:rFonts w:ascii="Calibri" w:eastAsia="Times New Roman" w:hAnsi="Calibri" w:cs="Times New Roman"/>
                <w:b/>
                <w:bCs/>
                <w:color w:val="000000"/>
                <w:sz w:val="20"/>
                <w:lang w:eastAsia="en-GB"/>
              </w:rPr>
              <w:t xml:space="preserve"> </w:t>
            </w:r>
          </w:p>
          <w:p w14:paraId="18B9EEFF" w14:textId="77777777" w:rsidR="00A64576"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 xml:space="preserve">2018 </w:t>
            </w:r>
          </w:p>
          <w:p w14:paraId="301276F8" w14:textId="77777777" w:rsidR="00A64576" w:rsidRPr="004B30EF" w:rsidRDefault="00A64576" w:rsidP="006A7A6F">
            <w:pPr>
              <w:spacing w:after="0" w:line="240" w:lineRule="auto"/>
              <w:rPr>
                <w:rFonts w:ascii="Calibri" w:eastAsia="Times New Roman" w:hAnsi="Calibri" w:cs="Times New Roman"/>
                <w:b/>
                <w:bCs/>
                <w:color w:val="000000"/>
                <w:sz w:val="20"/>
                <w:lang w:eastAsia="en-GB"/>
              </w:rPr>
            </w:pPr>
            <w:r w:rsidRPr="004B30EF">
              <w:rPr>
                <w:rFonts w:ascii="Calibri" w:eastAsia="Times New Roman" w:hAnsi="Calibri" w:cs="Times New Roman"/>
                <w:b/>
                <w:bCs/>
                <w:color w:val="000000"/>
                <w:sz w:val="20"/>
                <w:lang w:eastAsia="en-GB"/>
              </w:rPr>
              <w:t>Justification</w:t>
            </w:r>
          </w:p>
        </w:tc>
      </w:tr>
      <w:tr w:rsidR="00261E87" w:rsidRPr="002735F6" w14:paraId="2F377252" w14:textId="77777777" w:rsidTr="008937F3">
        <w:trPr>
          <w:trHeight w:val="973"/>
        </w:trPr>
        <w:tc>
          <w:tcPr>
            <w:tcW w:w="1847" w:type="dxa"/>
            <w:shd w:val="clear" w:color="auto" w:fill="auto"/>
            <w:vAlign w:val="center"/>
            <w:hideMark/>
          </w:tcPr>
          <w:p w14:paraId="7A06BB7B" w14:textId="28E65D64"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shd w:val="clear" w:color="auto" w:fill="E2EFD9" w:themeFill="accent6" w:themeFillTint="33"/>
            <w:vAlign w:val="center"/>
            <w:hideMark/>
          </w:tcPr>
          <w:p w14:paraId="6F535FFB"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6C961B97" w14:textId="1DCE7A32" w:rsidR="00261E87" w:rsidRPr="008937F3" w:rsidRDefault="00C822C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r w:rsidRPr="002735F6">
              <w:rPr>
                <w:rFonts w:ascii="Calibri" w:eastAsia="Times New Roman" w:hAnsi="Calibri" w:cs="Times New Roman"/>
                <w:color w:val="000000"/>
                <w:sz w:val="20"/>
                <w:lang w:eastAsia="en-GB"/>
              </w:rPr>
              <w:t xml:space="preserve"> </w:t>
            </w:r>
          </w:p>
        </w:tc>
        <w:tc>
          <w:tcPr>
            <w:tcW w:w="1139" w:type="dxa"/>
            <w:shd w:val="clear" w:color="auto" w:fill="E2EFD9" w:themeFill="accent6" w:themeFillTint="33"/>
            <w:vAlign w:val="center"/>
            <w:hideMark/>
          </w:tcPr>
          <w:p w14:paraId="55AD4FFD"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74E2788B" w14:textId="6BC640DF" w:rsidR="00261E87" w:rsidRPr="008937F3" w:rsidRDefault="00C822C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r w:rsidR="00261E87" w:rsidRPr="008937F3">
              <w:rPr>
                <w:rFonts w:ascii="Calibri" w:eastAsia="Times New Roman" w:hAnsi="Calibri" w:cs="Times New Roman"/>
                <w:color w:val="000000"/>
                <w:sz w:val="20"/>
                <w:lang w:eastAsia="en-GB"/>
              </w:rPr>
              <w:t xml:space="preserve"> </w:t>
            </w:r>
          </w:p>
        </w:tc>
      </w:tr>
      <w:tr w:rsidR="00261E87" w:rsidRPr="002735F6" w14:paraId="14068788" w14:textId="77777777" w:rsidTr="008937F3">
        <w:trPr>
          <w:trHeight w:val="415"/>
        </w:trPr>
        <w:tc>
          <w:tcPr>
            <w:tcW w:w="1847" w:type="dxa"/>
            <w:shd w:val="clear" w:color="auto" w:fill="auto"/>
            <w:vAlign w:val="center"/>
            <w:hideMark/>
          </w:tcPr>
          <w:p w14:paraId="7D297725" w14:textId="77777777"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long enough for outcomes to occur </w:t>
            </w:r>
          </w:p>
        </w:tc>
        <w:tc>
          <w:tcPr>
            <w:tcW w:w="1133" w:type="dxa"/>
            <w:shd w:val="clear" w:color="auto" w:fill="F7D1D1"/>
            <w:vAlign w:val="center"/>
            <w:hideMark/>
          </w:tcPr>
          <w:p w14:paraId="3ACCD1F5"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974" w:type="dxa"/>
            <w:shd w:val="clear" w:color="auto" w:fill="auto"/>
            <w:vAlign w:val="center"/>
            <w:hideMark/>
          </w:tcPr>
          <w:p w14:paraId="5E9F863C" w14:textId="505497CA" w:rsidR="00261E87" w:rsidRPr="008937F3" w:rsidRDefault="00C822C7"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261E87" w:rsidRPr="008937F3">
              <w:rPr>
                <w:rFonts w:ascii="Calibri" w:eastAsia="Times New Roman" w:hAnsi="Calibri" w:cs="Times New Roman"/>
                <w:color w:val="000000"/>
                <w:sz w:val="20"/>
                <w:lang w:eastAsia="en-GB"/>
              </w:rPr>
              <w:t>no mention in methods</w:t>
            </w:r>
          </w:p>
        </w:tc>
        <w:tc>
          <w:tcPr>
            <w:tcW w:w="1139" w:type="dxa"/>
            <w:shd w:val="clear" w:color="auto" w:fill="E2EFD9" w:themeFill="accent6" w:themeFillTint="33"/>
            <w:vAlign w:val="center"/>
            <w:hideMark/>
          </w:tcPr>
          <w:p w14:paraId="28ED8AA8" w14:textId="77777777" w:rsidR="00261E87" w:rsidRPr="008937F3" w:rsidRDefault="00261E87"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3BED2739" w14:textId="62B1E61D" w:rsidR="00261E87" w:rsidRPr="008937F3" w:rsidRDefault="00C822C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 xml:space="preserve">. </w:t>
            </w:r>
          </w:p>
        </w:tc>
      </w:tr>
      <w:tr w:rsidR="00261E87" w:rsidRPr="002735F6" w14:paraId="27287C64" w14:textId="77777777" w:rsidTr="008937F3">
        <w:trPr>
          <w:trHeight w:val="447"/>
        </w:trPr>
        <w:tc>
          <w:tcPr>
            <w:tcW w:w="1847" w:type="dxa"/>
            <w:shd w:val="clear" w:color="auto" w:fill="auto"/>
            <w:vAlign w:val="center"/>
            <w:hideMark/>
          </w:tcPr>
          <w:p w14:paraId="598A2D5E" w14:textId="0554C6DB" w:rsidR="00261E87" w:rsidRPr="008937F3" w:rsidRDefault="00261E87">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E3 - Adequacy of </w:t>
            </w:r>
            <w:r w:rsidR="00C822C7">
              <w:rPr>
                <w:rFonts w:ascii="Calibri" w:eastAsia="Times New Roman" w:hAnsi="Calibri" w:cs="Times New Roman"/>
                <w:b/>
                <w:bCs/>
                <w:color w:val="000000"/>
                <w:sz w:val="20"/>
                <w:lang w:eastAsia="en-GB"/>
              </w:rPr>
              <w:t xml:space="preserve">follow up of cohorts </w:t>
            </w:r>
          </w:p>
        </w:tc>
        <w:tc>
          <w:tcPr>
            <w:tcW w:w="1133" w:type="dxa"/>
            <w:shd w:val="clear" w:color="auto" w:fill="E2EFD9" w:themeFill="accent6" w:themeFillTint="33"/>
            <w:vAlign w:val="center"/>
            <w:hideMark/>
          </w:tcPr>
          <w:p w14:paraId="24FB5B7F" w14:textId="77777777" w:rsidR="00261E87" w:rsidRPr="008937F3" w:rsidRDefault="00261E87"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noWrap/>
            <w:vAlign w:val="center"/>
            <w:hideMark/>
          </w:tcPr>
          <w:p w14:paraId="59F1E3A3" w14:textId="7020876A" w:rsidR="00261E87" w:rsidRPr="008937F3" w:rsidRDefault="00C822C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139" w:type="dxa"/>
            <w:shd w:val="clear" w:color="auto" w:fill="E2EFD9" w:themeFill="accent6" w:themeFillTint="33"/>
            <w:vAlign w:val="center"/>
            <w:hideMark/>
          </w:tcPr>
          <w:p w14:paraId="2FB6CF83" w14:textId="77777777" w:rsidR="00261E87" w:rsidRPr="008937F3" w:rsidRDefault="00261E87"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693" w:type="dxa"/>
            <w:shd w:val="clear" w:color="auto" w:fill="auto"/>
            <w:vAlign w:val="center"/>
            <w:hideMark/>
          </w:tcPr>
          <w:p w14:paraId="1343B2A1" w14:textId="57BBC6E8" w:rsidR="00261E87" w:rsidRPr="008937F3" w:rsidRDefault="00C822C7">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27AB6241" w14:textId="1D16D8D5" w:rsidR="002735F6" w:rsidRDefault="002735F6" w:rsidP="008937F3"/>
    <w:p w14:paraId="10892B03" w14:textId="124023B0" w:rsidR="00CB2E8B" w:rsidRDefault="00CB2E8B" w:rsidP="008937F3">
      <w:pPr>
        <w:pStyle w:val="Heading3"/>
      </w:pPr>
      <w:bookmarkStart w:id="18" w:name="_Toc52396340"/>
      <w:r>
        <w:t>Gonzalez-Martin 1997, Hailu 2020</w:t>
      </w:r>
      <w:bookmarkEnd w:id="18"/>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133"/>
        <w:gridCol w:w="2974"/>
        <w:gridCol w:w="1417"/>
        <w:gridCol w:w="2410"/>
      </w:tblGrid>
      <w:tr w:rsidR="00FF21C8" w:rsidRPr="00FF21C8" w14:paraId="3E3159BB" w14:textId="77777777" w:rsidTr="008937F3">
        <w:trPr>
          <w:trHeight w:val="880"/>
        </w:trPr>
        <w:tc>
          <w:tcPr>
            <w:tcW w:w="1847" w:type="dxa"/>
            <w:shd w:val="clear" w:color="auto" w:fill="E7E6E6" w:themeFill="background2"/>
            <w:vAlign w:val="center"/>
            <w:hideMark/>
          </w:tcPr>
          <w:p w14:paraId="74EB9D8F" w14:textId="77777777" w:rsidR="00FF21C8" w:rsidRPr="008937F3" w:rsidRDefault="00FF21C8">
            <w:pPr>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Description </w:t>
            </w:r>
          </w:p>
        </w:tc>
        <w:tc>
          <w:tcPr>
            <w:tcW w:w="1133" w:type="dxa"/>
            <w:shd w:val="clear" w:color="auto" w:fill="E7E6E6" w:themeFill="background2"/>
            <w:vAlign w:val="center"/>
            <w:hideMark/>
          </w:tcPr>
          <w:p w14:paraId="0E086792" w14:textId="5BDDE108" w:rsidR="00FF21C8" w:rsidRPr="008937F3" w:rsidRDefault="00FF21C8" w:rsidP="00CF1F2A">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Gonzalez-Martin </w:t>
            </w:r>
            <w:r w:rsidR="00CF1F2A" w:rsidRPr="00CF1F2A">
              <w:rPr>
                <w:rFonts w:ascii="Calibri" w:eastAsia="Times New Roman" w:hAnsi="Calibri" w:cs="Times New Roman"/>
                <w:b/>
                <w:bCs/>
                <w:noProof/>
                <w:color w:val="000000"/>
                <w:sz w:val="20"/>
                <w:vertAlign w:val="superscript"/>
                <w:lang w:eastAsia="en-GB"/>
              </w:rPr>
              <w:t>18</w:t>
            </w:r>
            <w:r w:rsidR="007A76BF">
              <w:rPr>
                <w:rFonts w:ascii="Calibri" w:eastAsia="Times New Roman" w:hAnsi="Calibri" w:cs="Times New Roman"/>
                <w:b/>
                <w:bCs/>
                <w:color w:val="000000"/>
                <w:sz w:val="20"/>
                <w:lang w:eastAsia="en-GB"/>
              </w:rPr>
              <w:t xml:space="preserve"> </w:t>
            </w:r>
            <w:r w:rsidRPr="008937F3">
              <w:rPr>
                <w:rFonts w:ascii="Calibri" w:eastAsia="Times New Roman" w:hAnsi="Calibri" w:cs="Times New Roman"/>
                <w:b/>
                <w:bCs/>
                <w:color w:val="000000"/>
                <w:sz w:val="20"/>
                <w:lang w:eastAsia="en-GB"/>
              </w:rPr>
              <w:t>1997 Judgement</w:t>
            </w:r>
          </w:p>
        </w:tc>
        <w:tc>
          <w:tcPr>
            <w:tcW w:w="2974" w:type="dxa"/>
            <w:shd w:val="clear" w:color="auto" w:fill="E7E6E6" w:themeFill="background2"/>
            <w:vAlign w:val="center"/>
            <w:hideMark/>
          </w:tcPr>
          <w:p w14:paraId="61CDC7DD" w14:textId="3C08B58C" w:rsidR="00350A6E"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Gonzalez-Martin </w:t>
            </w:r>
            <w:r w:rsidR="00CF1F2A" w:rsidRPr="00CF1F2A">
              <w:rPr>
                <w:rFonts w:ascii="Calibri" w:eastAsia="Times New Roman" w:hAnsi="Calibri" w:cs="Times New Roman"/>
                <w:b/>
                <w:bCs/>
                <w:noProof/>
                <w:color w:val="000000"/>
                <w:sz w:val="20"/>
                <w:vertAlign w:val="superscript"/>
                <w:lang w:eastAsia="en-GB"/>
              </w:rPr>
              <w:t>18</w:t>
            </w:r>
            <w:r w:rsidR="007A76BF">
              <w:rPr>
                <w:rFonts w:ascii="Calibri" w:eastAsia="Times New Roman" w:hAnsi="Calibri" w:cs="Times New Roman"/>
                <w:b/>
                <w:bCs/>
                <w:color w:val="000000"/>
                <w:sz w:val="20"/>
                <w:lang w:eastAsia="en-GB"/>
              </w:rPr>
              <w:t xml:space="preserve"> </w:t>
            </w:r>
          </w:p>
          <w:p w14:paraId="65EA8FA8" w14:textId="77777777" w:rsidR="00350A6E" w:rsidRDefault="00350A6E">
            <w:pPr>
              <w:spacing w:after="0" w:line="240" w:lineRule="auto"/>
              <w:rPr>
                <w:rFonts w:ascii="Calibri" w:eastAsia="Times New Roman" w:hAnsi="Calibri" w:cs="Times New Roman"/>
                <w:b/>
                <w:bCs/>
                <w:color w:val="000000"/>
                <w:sz w:val="20"/>
                <w:lang w:eastAsia="en-GB"/>
              </w:rPr>
            </w:pPr>
            <w:r>
              <w:rPr>
                <w:rFonts w:ascii="Calibri" w:eastAsia="Times New Roman" w:hAnsi="Calibri" w:cs="Times New Roman"/>
                <w:b/>
                <w:bCs/>
                <w:color w:val="000000"/>
                <w:sz w:val="20"/>
                <w:lang w:eastAsia="en-GB"/>
              </w:rPr>
              <w:t>1997</w:t>
            </w:r>
            <w:r w:rsidR="00FF21C8" w:rsidRPr="008937F3">
              <w:rPr>
                <w:rFonts w:ascii="Calibri" w:eastAsia="Times New Roman" w:hAnsi="Calibri" w:cs="Times New Roman"/>
                <w:b/>
                <w:bCs/>
                <w:color w:val="000000"/>
                <w:sz w:val="20"/>
                <w:lang w:eastAsia="en-GB"/>
              </w:rPr>
              <w:t xml:space="preserve"> </w:t>
            </w:r>
          </w:p>
          <w:p w14:paraId="7379FFD0" w14:textId="1013E2A5" w:rsidR="00FF21C8" w:rsidRPr="008937F3"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c>
          <w:tcPr>
            <w:tcW w:w="1417" w:type="dxa"/>
            <w:shd w:val="clear" w:color="auto" w:fill="E7E6E6" w:themeFill="background2"/>
            <w:vAlign w:val="center"/>
            <w:hideMark/>
          </w:tcPr>
          <w:p w14:paraId="01B9EBF1" w14:textId="592B84F2" w:rsidR="00350A6E"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Hailu </w:t>
            </w:r>
            <w:r w:rsidR="00CF1F2A" w:rsidRPr="00CF1F2A">
              <w:rPr>
                <w:rFonts w:ascii="Calibri" w:eastAsia="Times New Roman" w:hAnsi="Calibri" w:cs="Times New Roman"/>
                <w:b/>
                <w:bCs/>
                <w:noProof/>
                <w:color w:val="000000"/>
                <w:sz w:val="20"/>
                <w:vertAlign w:val="superscript"/>
                <w:lang w:eastAsia="en-GB"/>
              </w:rPr>
              <w:t>19</w:t>
            </w:r>
            <w:r w:rsidR="007A76BF">
              <w:rPr>
                <w:rFonts w:ascii="Calibri" w:eastAsia="Times New Roman" w:hAnsi="Calibri" w:cs="Times New Roman"/>
                <w:b/>
                <w:bCs/>
                <w:color w:val="000000"/>
                <w:sz w:val="20"/>
                <w:lang w:eastAsia="en-GB"/>
              </w:rPr>
              <w:t xml:space="preserve"> </w:t>
            </w:r>
          </w:p>
          <w:p w14:paraId="2A57BC1C" w14:textId="631D9A6B" w:rsidR="00FF21C8" w:rsidRPr="008937F3"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2020 Judgement</w:t>
            </w:r>
          </w:p>
        </w:tc>
        <w:tc>
          <w:tcPr>
            <w:tcW w:w="2410" w:type="dxa"/>
            <w:shd w:val="clear" w:color="auto" w:fill="E7E6E6" w:themeFill="background2"/>
            <w:vAlign w:val="center"/>
            <w:hideMark/>
          </w:tcPr>
          <w:p w14:paraId="3B589CEC" w14:textId="017A9724" w:rsidR="00350A6E"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Hailu </w:t>
            </w:r>
            <w:r w:rsidR="00CF1F2A" w:rsidRPr="00CF1F2A">
              <w:rPr>
                <w:rFonts w:ascii="Calibri" w:eastAsia="Times New Roman" w:hAnsi="Calibri" w:cs="Times New Roman"/>
                <w:b/>
                <w:bCs/>
                <w:noProof/>
                <w:color w:val="000000"/>
                <w:sz w:val="20"/>
                <w:vertAlign w:val="superscript"/>
                <w:lang w:eastAsia="en-GB"/>
              </w:rPr>
              <w:t>19</w:t>
            </w:r>
            <w:r w:rsidR="007A76BF">
              <w:rPr>
                <w:rFonts w:ascii="Calibri" w:eastAsia="Times New Roman" w:hAnsi="Calibri" w:cs="Times New Roman"/>
                <w:b/>
                <w:bCs/>
                <w:color w:val="000000"/>
                <w:sz w:val="20"/>
                <w:lang w:eastAsia="en-GB"/>
              </w:rPr>
              <w:t xml:space="preserve"> </w:t>
            </w:r>
          </w:p>
          <w:p w14:paraId="05814C25" w14:textId="77777777" w:rsidR="00350A6E"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2020 </w:t>
            </w:r>
          </w:p>
          <w:p w14:paraId="02D8473B" w14:textId="263CCC96" w:rsidR="00FF21C8" w:rsidRPr="008937F3"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Justification</w:t>
            </w:r>
          </w:p>
        </w:tc>
      </w:tr>
      <w:tr w:rsidR="00FF21C8" w:rsidRPr="00FF21C8" w14:paraId="1A862A08" w14:textId="77777777" w:rsidTr="008937F3">
        <w:trPr>
          <w:trHeight w:val="274"/>
        </w:trPr>
        <w:tc>
          <w:tcPr>
            <w:tcW w:w="1847" w:type="dxa"/>
            <w:shd w:val="clear" w:color="auto" w:fill="auto"/>
            <w:vAlign w:val="center"/>
            <w:hideMark/>
          </w:tcPr>
          <w:p w14:paraId="064C36BA" w14:textId="77777777" w:rsidR="00FF21C8" w:rsidRPr="008937F3" w:rsidRDefault="00FF21C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S1 -Representativeness of the exposed cohort</w:t>
            </w:r>
          </w:p>
        </w:tc>
        <w:tc>
          <w:tcPr>
            <w:tcW w:w="1133" w:type="dxa"/>
            <w:shd w:val="clear" w:color="auto" w:fill="E2EFD9" w:themeFill="accent6" w:themeFillTint="33"/>
            <w:vAlign w:val="center"/>
            <w:hideMark/>
          </w:tcPr>
          <w:p w14:paraId="34DC353E" w14:textId="77777777" w:rsidR="00FF21C8" w:rsidRPr="008937F3" w:rsidRDefault="00FF21C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7EF363C9" w14:textId="5B324A6A" w:rsidR="00FF21C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5A48152C" w14:textId="77777777" w:rsidR="00FF21C8" w:rsidRPr="008937F3" w:rsidRDefault="00FF21C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410" w:type="dxa"/>
            <w:shd w:val="clear" w:color="auto" w:fill="auto"/>
            <w:vAlign w:val="center"/>
            <w:hideMark/>
          </w:tcPr>
          <w:p w14:paraId="1A611C44" w14:textId="0367A7B4" w:rsidR="00FF21C8" w:rsidRPr="008937F3" w:rsidRDefault="009E1188">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9E1188" w:rsidRPr="00FF21C8" w14:paraId="1EECF207" w14:textId="77777777" w:rsidTr="008937F3">
        <w:trPr>
          <w:trHeight w:val="132"/>
        </w:trPr>
        <w:tc>
          <w:tcPr>
            <w:tcW w:w="1847" w:type="dxa"/>
            <w:shd w:val="clear" w:color="auto" w:fill="auto"/>
            <w:vAlign w:val="center"/>
            <w:hideMark/>
          </w:tcPr>
          <w:p w14:paraId="280739C4" w14:textId="77777777"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S2 - Selection of the non exposed cohort</w:t>
            </w:r>
          </w:p>
        </w:tc>
        <w:tc>
          <w:tcPr>
            <w:tcW w:w="1133" w:type="dxa"/>
            <w:shd w:val="clear" w:color="auto" w:fill="E2EFD9" w:themeFill="accent6" w:themeFillTint="33"/>
            <w:vAlign w:val="center"/>
            <w:hideMark/>
          </w:tcPr>
          <w:p w14:paraId="383FEB45" w14:textId="516BAEED" w:rsidR="009E1188" w:rsidRPr="008937F3" w:rsidRDefault="009E1188" w:rsidP="008937F3">
            <w:pPr>
              <w:spacing w:after="0" w:line="240" w:lineRule="auto"/>
              <w:rPr>
                <w:rFonts w:ascii="Calibri" w:eastAsia="Times New Roman" w:hAnsi="Calibri" w:cs="Times New Roman"/>
                <w:color w:val="000000"/>
                <w:sz w:val="20"/>
                <w:lang w:eastAsia="en-GB"/>
              </w:rPr>
            </w:pPr>
            <w:r w:rsidRPr="00C673D0">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07319275" w14:textId="6A978F37" w:rsidR="009E118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13CC448F" w14:textId="5AB221DF" w:rsidR="009E1188" w:rsidRPr="008937F3" w:rsidRDefault="009E1188" w:rsidP="008937F3">
            <w:pPr>
              <w:spacing w:after="0" w:line="240" w:lineRule="auto"/>
              <w:rPr>
                <w:rFonts w:ascii="Calibri" w:eastAsia="Times New Roman" w:hAnsi="Calibri" w:cs="Times New Roman"/>
                <w:color w:val="000000"/>
                <w:sz w:val="20"/>
                <w:lang w:eastAsia="en-GB"/>
              </w:rPr>
            </w:pPr>
            <w:r w:rsidRPr="00C673D0">
              <w:rPr>
                <w:rFonts w:ascii="Calibri" w:eastAsia="Times New Roman" w:hAnsi="Calibri" w:cs="Times New Roman"/>
                <w:color w:val="70AD47" w:themeColor="accent6"/>
                <w:sz w:val="20"/>
                <w:lang w:eastAsia="en-GB"/>
              </w:rPr>
              <w:t>1</w:t>
            </w:r>
          </w:p>
        </w:tc>
        <w:tc>
          <w:tcPr>
            <w:tcW w:w="2410" w:type="dxa"/>
            <w:shd w:val="clear" w:color="auto" w:fill="auto"/>
            <w:vAlign w:val="center"/>
            <w:hideMark/>
          </w:tcPr>
          <w:p w14:paraId="1E6EE251" w14:textId="574853DD" w:rsidR="009E1188" w:rsidRPr="008937F3" w:rsidRDefault="009E1188">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9E1188" w:rsidRPr="00FF21C8" w14:paraId="655D7D8D" w14:textId="77777777" w:rsidTr="008937F3">
        <w:trPr>
          <w:trHeight w:val="548"/>
        </w:trPr>
        <w:tc>
          <w:tcPr>
            <w:tcW w:w="1847" w:type="dxa"/>
            <w:shd w:val="clear" w:color="auto" w:fill="auto"/>
            <w:vAlign w:val="center"/>
            <w:hideMark/>
          </w:tcPr>
          <w:p w14:paraId="030DBDA7" w14:textId="50C746EE"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S3 - Ascertainment of exposure</w:t>
            </w:r>
          </w:p>
        </w:tc>
        <w:tc>
          <w:tcPr>
            <w:tcW w:w="1133" w:type="dxa"/>
            <w:shd w:val="clear" w:color="auto" w:fill="E2EFD9" w:themeFill="accent6" w:themeFillTint="33"/>
            <w:vAlign w:val="center"/>
            <w:hideMark/>
          </w:tcPr>
          <w:p w14:paraId="4131719B"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20E01B28" w14:textId="51DE5C96" w:rsidR="009E118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 (source was referenced)</w:t>
            </w:r>
          </w:p>
        </w:tc>
        <w:tc>
          <w:tcPr>
            <w:tcW w:w="1417" w:type="dxa"/>
            <w:shd w:val="clear" w:color="auto" w:fill="E2EFD9" w:themeFill="accent6" w:themeFillTint="33"/>
            <w:vAlign w:val="center"/>
            <w:hideMark/>
          </w:tcPr>
          <w:p w14:paraId="507EA1D3"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410" w:type="dxa"/>
            <w:shd w:val="clear" w:color="auto" w:fill="auto"/>
            <w:vAlign w:val="center"/>
            <w:hideMark/>
          </w:tcPr>
          <w:p w14:paraId="251302C1" w14:textId="2535A986" w:rsidR="009E118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data sources used and data extraction method.</w:t>
            </w:r>
          </w:p>
        </w:tc>
      </w:tr>
      <w:tr w:rsidR="009E1188" w:rsidRPr="00FF21C8" w14:paraId="1116C222" w14:textId="77777777" w:rsidTr="008937F3">
        <w:trPr>
          <w:trHeight w:val="561"/>
        </w:trPr>
        <w:tc>
          <w:tcPr>
            <w:tcW w:w="1847" w:type="dxa"/>
            <w:shd w:val="clear" w:color="auto" w:fill="auto"/>
            <w:vAlign w:val="center"/>
            <w:hideMark/>
          </w:tcPr>
          <w:p w14:paraId="4EA68973" w14:textId="5EAACAEE"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S4 - Demonstration that outcome of interest was not present at start of study</w:t>
            </w:r>
          </w:p>
        </w:tc>
        <w:tc>
          <w:tcPr>
            <w:tcW w:w="1133" w:type="dxa"/>
            <w:shd w:val="clear" w:color="auto" w:fill="F6D5D2"/>
            <w:vAlign w:val="center"/>
            <w:hideMark/>
          </w:tcPr>
          <w:p w14:paraId="65F3EAF3"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974" w:type="dxa"/>
            <w:shd w:val="clear" w:color="auto" w:fill="auto"/>
            <w:vAlign w:val="center"/>
            <w:hideMark/>
          </w:tcPr>
          <w:p w14:paraId="598954E0" w14:textId="7FF182A3" w:rsidR="009E118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c>
          <w:tcPr>
            <w:tcW w:w="1417" w:type="dxa"/>
            <w:shd w:val="clear" w:color="auto" w:fill="F6D5D2"/>
            <w:vAlign w:val="center"/>
            <w:hideMark/>
          </w:tcPr>
          <w:p w14:paraId="048A0519"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410" w:type="dxa"/>
            <w:shd w:val="clear" w:color="auto" w:fill="auto"/>
            <w:vAlign w:val="center"/>
            <w:hideMark/>
          </w:tcPr>
          <w:p w14:paraId="3DF23CE4" w14:textId="79D18539" w:rsidR="009E1188" w:rsidRPr="008937F3" w:rsidRDefault="009E1188"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9E1188" w:rsidRPr="00FF21C8" w14:paraId="47B89ADA" w14:textId="77777777" w:rsidTr="008937F3">
        <w:trPr>
          <w:trHeight w:val="521"/>
        </w:trPr>
        <w:tc>
          <w:tcPr>
            <w:tcW w:w="1847" w:type="dxa"/>
            <w:shd w:val="clear" w:color="auto" w:fill="auto"/>
            <w:vAlign w:val="center"/>
            <w:hideMark/>
          </w:tcPr>
          <w:p w14:paraId="31225AE2" w14:textId="22557DE8"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E1 - Assessment of outcome </w:t>
            </w:r>
          </w:p>
        </w:tc>
        <w:tc>
          <w:tcPr>
            <w:tcW w:w="1133" w:type="dxa"/>
            <w:shd w:val="clear" w:color="auto" w:fill="E2EFD9" w:themeFill="accent6" w:themeFillTint="33"/>
            <w:vAlign w:val="center"/>
            <w:hideMark/>
          </w:tcPr>
          <w:p w14:paraId="0E05635A"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vAlign w:val="center"/>
            <w:hideMark/>
          </w:tcPr>
          <w:p w14:paraId="7FC11F9A" w14:textId="5A9EEA8C" w:rsidR="009E1188" w:rsidRPr="008937F3" w:rsidRDefault="006D034F"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evaluation. (source was referenced)</w:t>
            </w:r>
          </w:p>
        </w:tc>
        <w:tc>
          <w:tcPr>
            <w:tcW w:w="1417" w:type="dxa"/>
            <w:shd w:val="clear" w:color="auto" w:fill="E2EFD9" w:themeFill="accent6" w:themeFillTint="33"/>
            <w:vAlign w:val="center"/>
            <w:hideMark/>
          </w:tcPr>
          <w:p w14:paraId="2EE641B8" w14:textId="77777777" w:rsidR="009E1188" w:rsidRPr="008937F3" w:rsidRDefault="009E1188" w:rsidP="008937F3">
            <w:pPr>
              <w:spacing w:after="0" w:line="240" w:lineRule="auto"/>
              <w:rPr>
                <w:rFonts w:ascii="Calibri" w:eastAsia="Times New Roman" w:hAnsi="Calibri" w:cs="Times New Roman"/>
                <w:color w:val="70AD47" w:themeColor="accent6"/>
                <w:sz w:val="20"/>
                <w:lang w:eastAsia="en-GB"/>
              </w:rPr>
            </w:pPr>
            <w:r w:rsidRPr="008937F3">
              <w:rPr>
                <w:rFonts w:ascii="Calibri" w:eastAsia="Times New Roman" w:hAnsi="Calibri" w:cs="Times New Roman"/>
                <w:color w:val="70AD47" w:themeColor="accent6"/>
                <w:sz w:val="20"/>
                <w:lang w:eastAsia="en-GB"/>
              </w:rPr>
              <w:t>1</w:t>
            </w:r>
          </w:p>
        </w:tc>
        <w:tc>
          <w:tcPr>
            <w:tcW w:w="2410" w:type="dxa"/>
            <w:shd w:val="clear" w:color="auto" w:fill="auto"/>
            <w:vAlign w:val="center"/>
            <w:hideMark/>
          </w:tcPr>
          <w:p w14:paraId="5274038A" w14:textId="48AA9997" w:rsidR="009E1188" w:rsidRPr="008937F3" w:rsidRDefault="006D034F"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w:t>
            </w:r>
            <w:r w:rsidR="00CD18FB">
              <w:rPr>
                <w:rFonts w:ascii="Calibri" w:eastAsia="Times New Roman" w:hAnsi="Calibri" w:cs="Times New Roman"/>
                <w:color w:val="000000"/>
                <w:sz w:val="20"/>
                <w:lang w:eastAsia="en-GB"/>
              </w:rPr>
              <w:t xml:space="preserve"> </w:t>
            </w:r>
            <w:r>
              <w:rPr>
                <w:rFonts w:ascii="Calibri" w:eastAsia="Times New Roman" w:hAnsi="Calibri" w:cs="Times New Roman"/>
                <w:color w:val="000000"/>
                <w:sz w:val="20"/>
                <w:lang w:eastAsia="en-GB"/>
              </w:rPr>
              <w:t>evaluation.</w:t>
            </w:r>
          </w:p>
        </w:tc>
      </w:tr>
      <w:tr w:rsidR="009E1188" w:rsidRPr="00FF21C8" w14:paraId="3FEC9611" w14:textId="77777777" w:rsidTr="008937F3">
        <w:trPr>
          <w:trHeight w:val="44"/>
        </w:trPr>
        <w:tc>
          <w:tcPr>
            <w:tcW w:w="1847" w:type="dxa"/>
            <w:shd w:val="clear" w:color="auto" w:fill="auto"/>
            <w:vAlign w:val="center"/>
            <w:hideMark/>
          </w:tcPr>
          <w:p w14:paraId="10196F3F" w14:textId="4AF5C7F5"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 xml:space="preserve">E2 - Was follow-up long enough for outcomes to occur </w:t>
            </w:r>
          </w:p>
        </w:tc>
        <w:tc>
          <w:tcPr>
            <w:tcW w:w="1133" w:type="dxa"/>
            <w:shd w:val="clear" w:color="auto" w:fill="F6D5D2"/>
            <w:vAlign w:val="center"/>
            <w:hideMark/>
          </w:tcPr>
          <w:p w14:paraId="3ACD7364" w14:textId="77777777" w:rsidR="009E1188" w:rsidRPr="008937F3" w:rsidRDefault="009E1188" w:rsidP="008937F3">
            <w:pPr>
              <w:spacing w:after="0" w:line="240" w:lineRule="auto"/>
              <w:rPr>
                <w:rFonts w:ascii="Calibri" w:eastAsia="Times New Roman" w:hAnsi="Calibri" w:cs="Times New Roman"/>
                <w:color w:val="FF0000"/>
                <w:sz w:val="20"/>
                <w:lang w:eastAsia="en-GB"/>
              </w:rPr>
            </w:pPr>
            <w:r w:rsidRPr="008937F3">
              <w:rPr>
                <w:rFonts w:ascii="Calibri" w:eastAsia="Times New Roman" w:hAnsi="Calibri" w:cs="Times New Roman"/>
                <w:color w:val="FF0000"/>
                <w:sz w:val="20"/>
                <w:lang w:eastAsia="en-GB"/>
              </w:rPr>
              <w:t>0</w:t>
            </w:r>
          </w:p>
        </w:tc>
        <w:tc>
          <w:tcPr>
            <w:tcW w:w="2974" w:type="dxa"/>
            <w:shd w:val="clear" w:color="auto" w:fill="auto"/>
            <w:vAlign w:val="center"/>
            <w:hideMark/>
          </w:tcPr>
          <w:p w14:paraId="76D0A34F" w14:textId="6C64676F" w:rsidR="009E1188" w:rsidRPr="008937F3" w:rsidRDefault="00CD18FB"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Pr="00C673D0">
              <w:rPr>
                <w:rFonts w:ascii="Calibri" w:eastAsia="Times New Roman" w:hAnsi="Calibri" w:cs="Times New Roman"/>
                <w:color w:val="000000"/>
                <w:sz w:val="20"/>
                <w:lang w:eastAsia="en-GB"/>
              </w:rPr>
              <w:t>No description of period of follow-up reported</w:t>
            </w:r>
            <w:r>
              <w:rPr>
                <w:rFonts w:ascii="Calibri" w:eastAsia="Times New Roman" w:hAnsi="Calibri" w:cs="Times New Roman"/>
                <w:color w:val="000000"/>
                <w:sz w:val="20"/>
                <w:lang w:eastAsia="en-GB"/>
              </w:rPr>
              <w:t>.</w:t>
            </w:r>
          </w:p>
        </w:tc>
        <w:tc>
          <w:tcPr>
            <w:tcW w:w="1417" w:type="dxa"/>
            <w:shd w:val="clear" w:color="auto" w:fill="F6D5D2"/>
            <w:vAlign w:val="center"/>
            <w:hideMark/>
          </w:tcPr>
          <w:p w14:paraId="3D1601B0" w14:textId="2BF4109C" w:rsidR="009E1188" w:rsidRPr="008937F3" w:rsidRDefault="009E1188">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FF0000"/>
                <w:sz w:val="20"/>
                <w:lang w:eastAsia="en-GB"/>
              </w:rPr>
              <w:t>0</w:t>
            </w:r>
          </w:p>
        </w:tc>
        <w:tc>
          <w:tcPr>
            <w:tcW w:w="2410" w:type="dxa"/>
            <w:shd w:val="clear" w:color="auto" w:fill="auto"/>
            <w:vAlign w:val="center"/>
            <w:hideMark/>
          </w:tcPr>
          <w:p w14:paraId="104B9DAC" w14:textId="05CB3142" w:rsidR="009E1188" w:rsidRPr="008937F3" w:rsidRDefault="00CD18FB">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 xml:space="preserve">Inadequate - </w:t>
            </w:r>
            <w:r w:rsidR="009E1188" w:rsidRPr="008937F3">
              <w:rPr>
                <w:rFonts w:ascii="Calibri" w:eastAsia="Times New Roman" w:hAnsi="Calibri" w:cs="Times New Roman"/>
                <w:color w:val="000000"/>
                <w:sz w:val="20"/>
                <w:lang w:eastAsia="en-GB"/>
              </w:rPr>
              <w:t>No description of period of follow-up reported</w:t>
            </w:r>
            <w:r>
              <w:rPr>
                <w:rFonts w:ascii="Calibri" w:eastAsia="Times New Roman" w:hAnsi="Calibri" w:cs="Times New Roman"/>
                <w:color w:val="000000"/>
                <w:sz w:val="20"/>
                <w:lang w:eastAsia="en-GB"/>
              </w:rPr>
              <w:t>.</w:t>
            </w:r>
          </w:p>
        </w:tc>
      </w:tr>
      <w:tr w:rsidR="009E1188" w:rsidRPr="00FF21C8" w14:paraId="2E1383B3" w14:textId="77777777" w:rsidTr="008937F3">
        <w:trPr>
          <w:trHeight w:val="44"/>
        </w:trPr>
        <w:tc>
          <w:tcPr>
            <w:tcW w:w="1847" w:type="dxa"/>
            <w:shd w:val="clear" w:color="auto" w:fill="auto"/>
            <w:vAlign w:val="center"/>
            <w:hideMark/>
          </w:tcPr>
          <w:p w14:paraId="7245E80F" w14:textId="37996AF0" w:rsidR="009E1188" w:rsidRPr="008937F3" w:rsidRDefault="009E1188">
            <w:pPr>
              <w:spacing w:after="0" w:line="240" w:lineRule="auto"/>
              <w:rPr>
                <w:rFonts w:ascii="Calibri" w:eastAsia="Times New Roman" w:hAnsi="Calibri" w:cs="Times New Roman"/>
                <w:b/>
                <w:bCs/>
                <w:color w:val="000000"/>
                <w:sz w:val="20"/>
                <w:lang w:eastAsia="en-GB"/>
              </w:rPr>
            </w:pPr>
            <w:r w:rsidRPr="008937F3">
              <w:rPr>
                <w:rFonts w:ascii="Calibri" w:eastAsia="Times New Roman" w:hAnsi="Calibri" w:cs="Times New Roman"/>
                <w:b/>
                <w:bCs/>
                <w:color w:val="000000"/>
                <w:sz w:val="20"/>
                <w:lang w:eastAsia="en-GB"/>
              </w:rPr>
              <w:t>E3 - Adequa</w:t>
            </w:r>
            <w:r w:rsidR="005C260B">
              <w:rPr>
                <w:rFonts w:ascii="Calibri" w:eastAsia="Times New Roman" w:hAnsi="Calibri" w:cs="Times New Roman"/>
                <w:b/>
                <w:bCs/>
                <w:color w:val="000000"/>
                <w:sz w:val="20"/>
                <w:lang w:eastAsia="en-GB"/>
              </w:rPr>
              <w:t xml:space="preserve">cy of follow up of cohorts </w:t>
            </w:r>
          </w:p>
        </w:tc>
        <w:tc>
          <w:tcPr>
            <w:tcW w:w="1133" w:type="dxa"/>
            <w:shd w:val="clear" w:color="auto" w:fill="E2EFD9" w:themeFill="accent6" w:themeFillTint="33"/>
            <w:vAlign w:val="center"/>
            <w:hideMark/>
          </w:tcPr>
          <w:p w14:paraId="7EE47823" w14:textId="77777777"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974" w:type="dxa"/>
            <w:shd w:val="clear" w:color="auto" w:fill="auto"/>
            <w:noWrap/>
            <w:vAlign w:val="center"/>
            <w:hideMark/>
          </w:tcPr>
          <w:p w14:paraId="1DE1DE1D" w14:textId="63EEEC4D" w:rsidR="009E1188" w:rsidRPr="008937F3" w:rsidRDefault="00CD18FB">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7D12BAB3" w14:textId="1E5A1458" w:rsidR="009E1188" w:rsidRPr="008937F3" w:rsidRDefault="009E1188" w:rsidP="008937F3">
            <w:pPr>
              <w:spacing w:after="0" w:line="240" w:lineRule="auto"/>
              <w:rPr>
                <w:rFonts w:ascii="Calibri" w:eastAsia="Times New Roman" w:hAnsi="Calibri" w:cs="Times New Roman"/>
                <w:color w:val="000000"/>
                <w:sz w:val="20"/>
                <w:lang w:eastAsia="en-GB"/>
              </w:rPr>
            </w:pPr>
            <w:r w:rsidRPr="008937F3">
              <w:rPr>
                <w:rFonts w:ascii="Calibri" w:eastAsia="Times New Roman" w:hAnsi="Calibri" w:cs="Times New Roman"/>
                <w:color w:val="70AD47" w:themeColor="accent6"/>
                <w:sz w:val="20"/>
                <w:lang w:eastAsia="en-GB"/>
              </w:rPr>
              <w:t>1</w:t>
            </w:r>
          </w:p>
        </w:tc>
        <w:tc>
          <w:tcPr>
            <w:tcW w:w="2410" w:type="dxa"/>
            <w:shd w:val="clear" w:color="auto" w:fill="auto"/>
            <w:vAlign w:val="center"/>
            <w:hideMark/>
          </w:tcPr>
          <w:p w14:paraId="52915FC2" w14:textId="5E546BB4" w:rsidR="009E1188" w:rsidRPr="008937F3" w:rsidRDefault="00CD18FB">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0725E2F2" w14:textId="1A25176F" w:rsidR="00FF21C8" w:rsidRDefault="00FF21C8" w:rsidP="008937F3"/>
    <w:p w14:paraId="1C00B24D" w14:textId="023F6D05" w:rsidR="00884576" w:rsidRDefault="00884576" w:rsidP="008937F3">
      <w:pPr>
        <w:pStyle w:val="Heading3"/>
      </w:pPr>
      <w:bookmarkStart w:id="19" w:name="_Toc52396341"/>
      <w:r>
        <w:t>Harugeri 2011, Kaur 2018</w:t>
      </w:r>
      <w:bookmarkEnd w:id="19"/>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139"/>
        <w:gridCol w:w="2958"/>
        <w:gridCol w:w="1417"/>
        <w:gridCol w:w="2410"/>
      </w:tblGrid>
      <w:tr w:rsidR="0075798F" w:rsidRPr="0075798F" w14:paraId="6F588C29" w14:textId="77777777" w:rsidTr="008937F3">
        <w:trPr>
          <w:trHeight w:val="880"/>
        </w:trPr>
        <w:tc>
          <w:tcPr>
            <w:tcW w:w="1847" w:type="dxa"/>
            <w:shd w:val="clear" w:color="auto" w:fill="E7E6E6" w:themeFill="background2"/>
            <w:vAlign w:val="center"/>
            <w:hideMark/>
          </w:tcPr>
          <w:p w14:paraId="14CCB80C" w14:textId="77777777" w:rsidR="0075798F" w:rsidRPr="008937F3" w:rsidRDefault="0075798F">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139" w:type="dxa"/>
            <w:shd w:val="clear" w:color="auto" w:fill="E7E6E6" w:themeFill="background2"/>
            <w:vAlign w:val="center"/>
            <w:hideMark/>
          </w:tcPr>
          <w:p w14:paraId="0CBD572A" w14:textId="0F3D338E" w:rsidR="0075798F" w:rsidRPr="008937F3" w:rsidRDefault="00B66FEE" w:rsidP="00CF1F2A">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 xml:space="preserve">Harugeri </w:t>
            </w:r>
            <w:r w:rsidR="00CF1F2A" w:rsidRPr="00CF1F2A">
              <w:rPr>
                <w:rFonts w:ascii="Calibri" w:eastAsia="Times New Roman" w:hAnsi="Calibri" w:cs="Calibri"/>
                <w:b/>
                <w:bCs/>
                <w:noProof/>
                <w:color w:val="000000"/>
                <w:sz w:val="20"/>
                <w:vertAlign w:val="superscript"/>
                <w:lang w:eastAsia="en-GB"/>
              </w:rPr>
              <w:t>29</w:t>
            </w:r>
            <w:r w:rsidR="008E7163">
              <w:rPr>
                <w:rFonts w:ascii="Calibri" w:eastAsia="Times New Roman" w:hAnsi="Calibri" w:cs="Calibri"/>
                <w:b/>
                <w:bCs/>
                <w:color w:val="000000"/>
                <w:sz w:val="20"/>
                <w:lang w:eastAsia="en-GB"/>
              </w:rPr>
              <w:t xml:space="preserve"> </w:t>
            </w:r>
            <w:r>
              <w:rPr>
                <w:rFonts w:ascii="Calibri" w:eastAsia="Times New Roman" w:hAnsi="Calibri" w:cs="Calibri"/>
                <w:b/>
                <w:bCs/>
                <w:color w:val="000000"/>
                <w:sz w:val="20"/>
                <w:lang w:eastAsia="en-GB"/>
              </w:rPr>
              <w:t xml:space="preserve">2011 </w:t>
            </w:r>
            <w:r w:rsidR="0075798F" w:rsidRPr="008937F3">
              <w:rPr>
                <w:rFonts w:ascii="Calibri" w:eastAsia="Times New Roman" w:hAnsi="Calibri" w:cs="Calibri"/>
                <w:b/>
                <w:bCs/>
                <w:color w:val="000000"/>
                <w:sz w:val="20"/>
                <w:lang w:eastAsia="en-GB"/>
              </w:rPr>
              <w:t>Judgement</w:t>
            </w:r>
          </w:p>
        </w:tc>
        <w:tc>
          <w:tcPr>
            <w:tcW w:w="2958" w:type="dxa"/>
            <w:shd w:val="clear" w:color="auto" w:fill="E7E6E6" w:themeFill="background2"/>
            <w:vAlign w:val="center"/>
            <w:hideMark/>
          </w:tcPr>
          <w:p w14:paraId="546BB396" w14:textId="5A2766D8"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Harugeri </w:t>
            </w:r>
            <w:r w:rsidR="00CF1F2A" w:rsidRPr="00CF1F2A">
              <w:rPr>
                <w:rFonts w:ascii="Calibri" w:eastAsia="Times New Roman" w:hAnsi="Calibri" w:cs="Calibri"/>
                <w:b/>
                <w:bCs/>
                <w:noProof/>
                <w:color w:val="000000"/>
                <w:sz w:val="20"/>
                <w:vertAlign w:val="superscript"/>
                <w:lang w:eastAsia="en-GB"/>
              </w:rPr>
              <w:t>29</w:t>
            </w:r>
            <w:r w:rsidR="008E7163">
              <w:rPr>
                <w:rFonts w:ascii="Calibri" w:eastAsia="Times New Roman" w:hAnsi="Calibri" w:cs="Calibri"/>
                <w:b/>
                <w:bCs/>
                <w:color w:val="000000"/>
                <w:sz w:val="20"/>
                <w:lang w:eastAsia="en-GB"/>
              </w:rPr>
              <w:t xml:space="preserve"> </w:t>
            </w:r>
          </w:p>
          <w:p w14:paraId="3BEEBFB6" w14:textId="77777777"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2011 </w:t>
            </w:r>
          </w:p>
          <w:p w14:paraId="56C59F94" w14:textId="7387CDCA" w:rsidR="0075798F" w:rsidRPr="008937F3"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1DB74EDE" w14:textId="707A6565"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Kaur </w:t>
            </w:r>
            <w:r w:rsidR="00CF1F2A" w:rsidRPr="00CF1F2A">
              <w:rPr>
                <w:rFonts w:ascii="Calibri" w:eastAsia="Times New Roman" w:hAnsi="Calibri" w:cs="Calibri"/>
                <w:b/>
                <w:bCs/>
                <w:noProof/>
                <w:color w:val="000000"/>
                <w:sz w:val="20"/>
                <w:vertAlign w:val="superscript"/>
                <w:lang w:eastAsia="en-GB"/>
              </w:rPr>
              <w:t>20</w:t>
            </w:r>
            <w:r w:rsidR="008E7163">
              <w:rPr>
                <w:rFonts w:ascii="Calibri" w:eastAsia="Times New Roman" w:hAnsi="Calibri" w:cs="Calibri"/>
                <w:b/>
                <w:bCs/>
                <w:color w:val="000000"/>
                <w:sz w:val="20"/>
                <w:lang w:eastAsia="en-GB"/>
              </w:rPr>
              <w:t xml:space="preserve"> </w:t>
            </w:r>
          </w:p>
          <w:p w14:paraId="4F1A0C6B" w14:textId="77777777"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2018</w:t>
            </w:r>
          </w:p>
          <w:p w14:paraId="7687C8E1" w14:textId="5C0F3967" w:rsidR="0075798F" w:rsidRPr="008937F3"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Judgement</w:t>
            </w:r>
          </w:p>
        </w:tc>
        <w:tc>
          <w:tcPr>
            <w:tcW w:w="2410" w:type="dxa"/>
            <w:shd w:val="clear" w:color="auto" w:fill="E7E6E6" w:themeFill="background2"/>
            <w:vAlign w:val="center"/>
            <w:hideMark/>
          </w:tcPr>
          <w:p w14:paraId="4E504B65" w14:textId="4ACF2B93"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Kaur </w:t>
            </w:r>
            <w:r w:rsidR="00CF1F2A" w:rsidRPr="00CF1F2A">
              <w:rPr>
                <w:rFonts w:ascii="Calibri" w:eastAsia="Times New Roman" w:hAnsi="Calibri" w:cs="Calibri"/>
                <w:b/>
                <w:bCs/>
                <w:noProof/>
                <w:color w:val="000000"/>
                <w:sz w:val="20"/>
                <w:vertAlign w:val="superscript"/>
                <w:lang w:eastAsia="en-GB"/>
              </w:rPr>
              <w:t>20</w:t>
            </w:r>
            <w:r w:rsidR="008E7163">
              <w:rPr>
                <w:rFonts w:ascii="Calibri" w:eastAsia="Times New Roman" w:hAnsi="Calibri" w:cs="Calibri"/>
                <w:b/>
                <w:bCs/>
                <w:color w:val="000000"/>
                <w:sz w:val="20"/>
                <w:lang w:eastAsia="en-GB"/>
              </w:rPr>
              <w:t xml:space="preserve"> </w:t>
            </w:r>
          </w:p>
          <w:p w14:paraId="59E68AD7" w14:textId="77777777" w:rsidR="00B66FEE"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2018 </w:t>
            </w:r>
          </w:p>
          <w:p w14:paraId="523250F4" w14:textId="2FFB61E0" w:rsidR="0075798F" w:rsidRPr="008937F3" w:rsidRDefault="0075798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B66FEE" w:rsidRPr="0075798F" w14:paraId="1944C173" w14:textId="77777777" w:rsidTr="008937F3">
        <w:trPr>
          <w:trHeight w:val="610"/>
        </w:trPr>
        <w:tc>
          <w:tcPr>
            <w:tcW w:w="1847" w:type="dxa"/>
            <w:shd w:val="clear" w:color="auto" w:fill="auto"/>
            <w:vAlign w:val="center"/>
            <w:hideMark/>
          </w:tcPr>
          <w:p w14:paraId="3305F3D6" w14:textId="47654D58"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139" w:type="dxa"/>
            <w:shd w:val="clear" w:color="auto" w:fill="E2EFD9" w:themeFill="accent6" w:themeFillTint="33"/>
            <w:vAlign w:val="center"/>
            <w:hideMark/>
          </w:tcPr>
          <w:p w14:paraId="066824CC"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58" w:type="dxa"/>
            <w:shd w:val="clear" w:color="auto" w:fill="auto"/>
            <w:vAlign w:val="center"/>
            <w:hideMark/>
          </w:tcPr>
          <w:p w14:paraId="64586798" w14:textId="3BA26126"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2E8B28FB"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2BAFFB34" w14:textId="4ACA211E"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B66FEE" w:rsidRPr="0075798F" w14:paraId="48F79C3C" w14:textId="77777777" w:rsidTr="008937F3">
        <w:trPr>
          <w:trHeight w:val="752"/>
        </w:trPr>
        <w:tc>
          <w:tcPr>
            <w:tcW w:w="1847" w:type="dxa"/>
            <w:shd w:val="clear" w:color="auto" w:fill="auto"/>
            <w:vAlign w:val="center"/>
            <w:hideMark/>
          </w:tcPr>
          <w:p w14:paraId="7DBE1E28" w14:textId="6B25DA20"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139" w:type="dxa"/>
            <w:shd w:val="clear" w:color="auto" w:fill="E2EFD9" w:themeFill="accent6" w:themeFillTint="33"/>
            <w:vAlign w:val="center"/>
            <w:hideMark/>
          </w:tcPr>
          <w:p w14:paraId="0197EC61" w14:textId="5D0286BC" w:rsidR="00B66FEE" w:rsidRPr="008937F3" w:rsidRDefault="00B66FEE"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958" w:type="dxa"/>
            <w:shd w:val="clear" w:color="auto" w:fill="auto"/>
            <w:vAlign w:val="center"/>
            <w:hideMark/>
          </w:tcPr>
          <w:p w14:paraId="3C5404DA" w14:textId="702933C7"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7E4B0133" w14:textId="5D27CB77" w:rsidR="00B66FEE" w:rsidRPr="008937F3" w:rsidRDefault="00B66FEE"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1E79FD50" w14:textId="7854E017"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B66FEE" w:rsidRPr="0075798F" w14:paraId="045E2C49" w14:textId="77777777" w:rsidTr="008937F3">
        <w:trPr>
          <w:trHeight w:val="1115"/>
        </w:trPr>
        <w:tc>
          <w:tcPr>
            <w:tcW w:w="1847" w:type="dxa"/>
            <w:shd w:val="clear" w:color="auto" w:fill="auto"/>
            <w:vAlign w:val="center"/>
            <w:hideMark/>
          </w:tcPr>
          <w:p w14:paraId="5E319026" w14:textId="77777777"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139" w:type="dxa"/>
            <w:shd w:val="clear" w:color="auto" w:fill="E2EFD9" w:themeFill="accent6" w:themeFillTint="33"/>
            <w:vAlign w:val="center"/>
            <w:hideMark/>
          </w:tcPr>
          <w:p w14:paraId="2E73E04A"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58" w:type="dxa"/>
            <w:shd w:val="clear" w:color="auto" w:fill="auto"/>
            <w:vAlign w:val="center"/>
            <w:hideMark/>
          </w:tcPr>
          <w:p w14:paraId="2E705299" w14:textId="412F1310"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patient/episode review; personnel conducting review, timing of review, data sources used and data extraction method. </w:t>
            </w:r>
          </w:p>
        </w:tc>
        <w:tc>
          <w:tcPr>
            <w:tcW w:w="1417" w:type="dxa"/>
            <w:shd w:val="clear" w:color="auto" w:fill="E2EFD9" w:themeFill="accent6" w:themeFillTint="33"/>
            <w:vAlign w:val="center"/>
            <w:hideMark/>
          </w:tcPr>
          <w:p w14:paraId="261D77A6" w14:textId="77777777" w:rsidR="00B66FEE" w:rsidRPr="008937F3" w:rsidRDefault="00B66FEE"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5383DA65" w14:textId="7008C6F0"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patient/episode review; personnel conducting review, timing of review, data sources used and data extraction method. </w:t>
            </w:r>
          </w:p>
        </w:tc>
      </w:tr>
      <w:tr w:rsidR="00B66FEE" w:rsidRPr="0075798F" w14:paraId="3F0D8EE5" w14:textId="77777777" w:rsidTr="008937F3">
        <w:trPr>
          <w:trHeight w:val="40"/>
        </w:trPr>
        <w:tc>
          <w:tcPr>
            <w:tcW w:w="1847" w:type="dxa"/>
            <w:shd w:val="clear" w:color="auto" w:fill="auto"/>
            <w:vAlign w:val="center"/>
            <w:hideMark/>
          </w:tcPr>
          <w:p w14:paraId="2BD5ACF6" w14:textId="48FD9119"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139" w:type="dxa"/>
            <w:shd w:val="clear" w:color="auto" w:fill="F6D5D2"/>
            <w:vAlign w:val="center"/>
            <w:hideMark/>
          </w:tcPr>
          <w:p w14:paraId="3F5914F0" w14:textId="3B6E7CBE" w:rsidR="00B66FEE" w:rsidRPr="008937F3" w:rsidRDefault="00B66FEE"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958" w:type="dxa"/>
            <w:shd w:val="clear" w:color="auto" w:fill="auto"/>
            <w:vAlign w:val="center"/>
            <w:hideMark/>
          </w:tcPr>
          <w:p w14:paraId="5784FE2C" w14:textId="5B3AAF5C"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c>
          <w:tcPr>
            <w:tcW w:w="1417" w:type="dxa"/>
            <w:shd w:val="clear" w:color="auto" w:fill="F6D5D2"/>
            <w:vAlign w:val="center"/>
            <w:hideMark/>
          </w:tcPr>
          <w:p w14:paraId="2417C6A9" w14:textId="702AB841" w:rsidR="00B66FEE" w:rsidRPr="008937F3" w:rsidRDefault="00B66FEE"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410" w:type="dxa"/>
            <w:shd w:val="clear" w:color="auto" w:fill="auto"/>
            <w:vAlign w:val="center"/>
            <w:hideMark/>
          </w:tcPr>
          <w:p w14:paraId="3F2D11B8" w14:textId="07404E04"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B66FEE" w:rsidRPr="0075798F" w14:paraId="71442417" w14:textId="77777777" w:rsidTr="008937F3">
        <w:trPr>
          <w:trHeight w:val="699"/>
        </w:trPr>
        <w:tc>
          <w:tcPr>
            <w:tcW w:w="1847" w:type="dxa"/>
            <w:shd w:val="clear" w:color="auto" w:fill="auto"/>
            <w:vAlign w:val="center"/>
            <w:hideMark/>
          </w:tcPr>
          <w:p w14:paraId="062FB2DF" w14:textId="77777777"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139" w:type="dxa"/>
            <w:shd w:val="clear" w:color="auto" w:fill="E2EFD9" w:themeFill="accent6" w:themeFillTint="33"/>
            <w:vAlign w:val="center"/>
            <w:hideMark/>
          </w:tcPr>
          <w:p w14:paraId="6EEDDA05" w14:textId="77777777" w:rsidR="00B66FEE" w:rsidRPr="008937F3" w:rsidRDefault="00B66FEE"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958" w:type="dxa"/>
            <w:shd w:val="clear" w:color="auto" w:fill="auto"/>
            <w:vAlign w:val="center"/>
            <w:hideMark/>
          </w:tcPr>
          <w:p w14:paraId="35D1D6D2" w14:textId="2066E882"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method of ADR identification, collection of pertaining details, method of assessment and independent evaluation. </w:t>
            </w:r>
          </w:p>
        </w:tc>
        <w:tc>
          <w:tcPr>
            <w:tcW w:w="1417" w:type="dxa"/>
            <w:shd w:val="clear" w:color="auto" w:fill="E2EFD9" w:themeFill="accent6" w:themeFillTint="33"/>
            <w:vAlign w:val="center"/>
            <w:hideMark/>
          </w:tcPr>
          <w:p w14:paraId="4E2B0A6F"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643C1D7D" w14:textId="5A8205EA"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method of ADR identification, collection of pertaining details, assessment and evaluation. </w:t>
            </w:r>
          </w:p>
        </w:tc>
      </w:tr>
      <w:tr w:rsidR="00B66FEE" w:rsidRPr="0075798F" w14:paraId="282D5C7A" w14:textId="77777777" w:rsidTr="008937F3">
        <w:trPr>
          <w:trHeight w:val="50"/>
        </w:trPr>
        <w:tc>
          <w:tcPr>
            <w:tcW w:w="1847" w:type="dxa"/>
            <w:shd w:val="clear" w:color="auto" w:fill="auto"/>
            <w:vAlign w:val="center"/>
            <w:hideMark/>
          </w:tcPr>
          <w:p w14:paraId="5E2984D5" w14:textId="77777777"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139" w:type="dxa"/>
            <w:shd w:val="clear" w:color="auto" w:fill="E2EFD9" w:themeFill="accent6" w:themeFillTint="33"/>
            <w:vAlign w:val="center"/>
            <w:hideMark/>
          </w:tcPr>
          <w:p w14:paraId="79D9D098"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58" w:type="dxa"/>
            <w:shd w:val="clear" w:color="auto" w:fill="auto"/>
            <w:vAlign w:val="center"/>
            <w:hideMark/>
          </w:tcPr>
          <w:p w14:paraId="342442AB" w14:textId="7D9B33F2" w:rsidR="00B66FEE" w:rsidRPr="008937F3" w:rsidRDefault="00B66FEE"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417" w:type="dxa"/>
            <w:shd w:val="clear" w:color="auto" w:fill="E2EFD9" w:themeFill="accent6" w:themeFillTint="33"/>
            <w:vAlign w:val="center"/>
            <w:hideMark/>
          </w:tcPr>
          <w:p w14:paraId="6E1E5FE0"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1</w:t>
            </w:r>
          </w:p>
        </w:tc>
        <w:tc>
          <w:tcPr>
            <w:tcW w:w="2410" w:type="dxa"/>
            <w:shd w:val="clear" w:color="auto" w:fill="auto"/>
            <w:vAlign w:val="center"/>
            <w:hideMark/>
          </w:tcPr>
          <w:p w14:paraId="1E5118B3" w14:textId="631DF68D"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r>
      <w:tr w:rsidR="00B66FEE" w:rsidRPr="0075798F" w14:paraId="73C480D3" w14:textId="77777777" w:rsidTr="008937F3">
        <w:trPr>
          <w:trHeight w:val="428"/>
        </w:trPr>
        <w:tc>
          <w:tcPr>
            <w:tcW w:w="1847" w:type="dxa"/>
            <w:shd w:val="clear" w:color="auto" w:fill="auto"/>
            <w:vAlign w:val="center"/>
            <w:hideMark/>
          </w:tcPr>
          <w:p w14:paraId="6F4178CD" w14:textId="6B3F23AC" w:rsidR="00B66FEE" w:rsidRPr="008937F3" w:rsidRDefault="00B66FEE">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w:t>
            </w:r>
            <w:r w:rsidR="005C260B">
              <w:rPr>
                <w:rFonts w:ascii="Calibri" w:eastAsia="Times New Roman" w:hAnsi="Calibri" w:cs="Calibri"/>
                <w:b/>
                <w:bCs/>
                <w:color w:val="000000"/>
                <w:sz w:val="20"/>
                <w:lang w:eastAsia="en-GB"/>
              </w:rPr>
              <w:t>cy of follow up of cohorts</w:t>
            </w:r>
          </w:p>
        </w:tc>
        <w:tc>
          <w:tcPr>
            <w:tcW w:w="1139" w:type="dxa"/>
            <w:shd w:val="clear" w:color="auto" w:fill="E2EFD9" w:themeFill="accent6" w:themeFillTint="33"/>
            <w:vAlign w:val="center"/>
            <w:hideMark/>
          </w:tcPr>
          <w:p w14:paraId="3DC4516D" w14:textId="77777777" w:rsidR="00B66FEE" w:rsidRPr="008937F3" w:rsidRDefault="00B66FEE"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958" w:type="dxa"/>
            <w:shd w:val="clear" w:color="auto" w:fill="auto"/>
            <w:noWrap/>
            <w:vAlign w:val="center"/>
            <w:hideMark/>
          </w:tcPr>
          <w:p w14:paraId="2F748D4D" w14:textId="630A89B7"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255DA07C" w14:textId="77777777" w:rsidR="00B66FEE" w:rsidRPr="008937F3" w:rsidRDefault="00B66FEE"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092761AE" w14:textId="09FF48E1" w:rsidR="00B66FEE" w:rsidRDefault="00B66FEE" w:rsidP="00B66FEE">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All patients followed until discharge.</w:t>
            </w:r>
          </w:p>
          <w:p w14:paraId="13E282E6" w14:textId="46DAFC58" w:rsidR="00B66FEE" w:rsidRPr="008937F3" w:rsidRDefault="00B66FEE">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Missing data - </w:t>
            </w:r>
            <w:r w:rsidRPr="00C673D0">
              <w:rPr>
                <w:rFonts w:ascii="Calibri" w:eastAsia="Times New Roman" w:hAnsi="Calibri" w:cs="Times New Roman"/>
                <w:color w:val="000000"/>
                <w:sz w:val="20"/>
                <w:lang w:eastAsia="en-GB"/>
              </w:rPr>
              <w:t xml:space="preserve">some outcome data missing but </w:t>
            </w:r>
            <w:r w:rsidRPr="00DD067B">
              <w:rPr>
                <w:rFonts w:ascii="Calibri" w:eastAsia="Times New Roman" w:hAnsi="Calibri" w:cs="Times New Roman"/>
                <w:color w:val="000000"/>
                <w:sz w:val="20"/>
                <w:lang w:eastAsia="en-GB"/>
              </w:rPr>
              <w:t>accounted</w:t>
            </w:r>
            <w:r w:rsidRPr="00C673D0">
              <w:rPr>
                <w:rFonts w:ascii="Calibri" w:eastAsia="Times New Roman" w:hAnsi="Calibri" w:cs="Times New Roman"/>
                <w:color w:val="000000"/>
                <w:sz w:val="20"/>
                <w:lang w:eastAsia="en-GB"/>
              </w:rPr>
              <w:t xml:space="preserve"> for by author</w:t>
            </w:r>
          </w:p>
        </w:tc>
      </w:tr>
    </w:tbl>
    <w:p w14:paraId="7D280C54" w14:textId="2F68292D" w:rsidR="0075798F" w:rsidRDefault="0075798F" w:rsidP="008937F3"/>
    <w:p w14:paraId="4A007E16" w14:textId="6F84D116" w:rsidR="00D71E20" w:rsidRDefault="00D71E20" w:rsidP="008937F3">
      <w:pPr>
        <w:pStyle w:val="Heading3"/>
      </w:pPr>
      <w:bookmarkStart w:id="20" w:name="_Toc52396342"/>
      <w:r>
        <w:t>Lavan 2017, Leach 1986</w:t>
      </w:r>
      <w:bookmarkEnd w:id="20"/>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200"/>
        <w:gridCol w:w="2907"/>
        <w:gridCol w:w="1417"/>
        <w:gridCol w:w="2410"/>
      </w:tblGrid>
      <w:tr w:rsidR="00CA1FF2" w:rsidRPr="00CA1FF2" w14:paraId="3279A90D" w14:textId="77777777" w:rsidTr="008937F3">
        <w:trPr>
          <w:trHeight w:val="393"/>
        </w:trPr>
        <w:tc>
          <w:tcPr>
            <w:tcW w:w="1847" w:type="dxa"/>
            <w:shd w:val="clear" w:color="auto" w:fill="E7E6E6" w:themeFill="background2"/>
            <w:vAlign w:val="center"/>
            <w:hideMark/>
          </w:tcPr>
          <w:p w14:paraId="675C2875" w14:textId="77777777" w:rsidR="00CA1FF2" w:rsidRPr="008937F3" w:rsidRDefault="00CA1FF2">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200" w:type="dxa"/>
            <w:shd w:val="clear" w:color="auto" w:fill="E7E6E6" w:themeFill="background2"/>
            <w:vAlign w:val="center"/>
            <w:hideMark/>
          </w:tcPr>
          <w:p w14:paraId="682F7E2D" w14:textId="58AFFC77"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Lavan</w:t>
            </w:r>
            <w:r w:rsidR="008E7163">
              <w:rPr>
                <w:rFonts w:ascii="Calibri" w:eastAsia="Times New Roman" w:hAnsi="Calibri" w:cs="Calibri"/>
                <w:b/>
                <w:bCs/>
                <w:color w:val="000000"/>
                <w:sz w:val="20"/>
                <w:lang w:eastAsia="en-GB"/>
              </w:rPr>
              <w:t xml:space="preserve"> </w:t>
            </w:r>
            <w:r w:rsidR="00CF1F2A" w:rsidRPr="00CF1F2A">
              <w:rPr>
                <w:rFonts w:ascii="Calibri" w:eastAsia="Times New Roman" w:hAnsi="Calibri" w:cs="Calibri"/>
                <w:b/>
                <w:bCs/>
                <w:noProof/>
                <w:color w:val="000000"/>
                <w:sz w:val="20"/>
                <w:vertAlign w:val="superscript"/>
                <w:lang w:eastAsia="en-GB"/>
              </w:rPr>
              <w:t>30</w:t>
            </w:r>
            <w:r w:rsidR="008E7163">
              <w:rPr>
                <w:rFonts w:ascii="Calibri" w:eastAsia="Times New Roman" w:hAnsi="Calibri" w:cs="Calibri"/>
                <w:b/>
                <w:bCs/>
                <w:color w:val="000000"/>
                <w:sz w:val="20"/>
                <w:lang w:eastAsia="en-GB"/>
              </w:rPr>
              <w:t xml:space="preserve"> </w:t>
            </w:r>
            <w:r w:rsidRPr="008937F3">
              <w:rPr>
                <w:rFonts w:ascii="Calibri" w:eastAsia="Times New Roman" w:hAnsi="Calibri" w:cs="Calibri"/>
                <w:b/>
                <w:bCs/>
                <w:color w:val="000000"/>
                <w:sz w:val="20"/>
                <w:lang w:eastAsia="en-GB"/>
              </w:rPr>
              <w:t xml:space="preserve"> </w:t>
            </w:r>
          </w:p>
          <w:p w14:paraId="5589113B" w14:textId="3F3826A6"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2017 Judgement</w:t>
            </w:r>
          </w:p>
        </w:tc>
        <w:tc>
          <w:tcPr>
            <w:tcW w:w="2907" w:type="dxa"/>
            <w:shd w:val="clear" w:color="auto" w:fill="E7E6E6" w:themeFill="background2"/>
            <w:vAlign w:val="center"/>
            <w:hideMark/>
          </w:tcPr>
          <w:p w14:paraId="10E87068" w14:textId="0BF62E8A"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Lavan </w:t>
            </w:r>
            <w:r w:rsidR="00CF1F2A" w:rsidRPr="00CF1F2A">
              <w:rPr>
                <w:rFonts w:ascii="Calibri" w:eastAsia="Times New Roman" w:hAnsi="Calibri" w:cs="Calibri"/>
                <w:b/>
                <w:bCs/>
                <w:noProof/>
                <w:color w:val="000000"/>
                <w:sz w:val="20"/>
                <w:vertAlign w:val="superscript"/>
                <w:lang w:eastAsia="en-GB"/>
              </w:rPr>
              <w:t>30</w:t>
            </w:r>
            <w:r w:rsidR="008E7163">
              <w:rPr>
                <w:rFonts w:ascii="Calibri" w:eastAsia="Times New Roman" w:hAnsi="Calibri" w:cs="Calibri"/>
                <w:b/>
                <w:bCs/>
                <w:color w:val="000000"/>
                <w:sz w:val="20"/>
                <w:lang w:eastAsia="en-GB"/>
              </w:rPr>
              <w:t xml:space="preserve"> </w:t>
            </w:r>
          </w:p>
          <w:p w14:paraId="7312E51D" w14:textId="77777777"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2017 </w:t>
            </w:r>
          </w:p>
          <w:p w14:paraId="0666E086" w14:textId="02A79BDB"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2E459220" w14:textId="11C2875B"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Leach </w:t>
            </w:r>
            <w:r w:rsidR="00CF1F2A" w:rsidRPr="00CF1F2A">
              <w:rPr>
                <w:rFonts w:ascii="Calibri" w:eastAsia="Times New Roman" w:hAnsi="Calibri" w:cs="Calibri"/>
                <w:b/>
                <w:bCs/>
                <w:noProof/>
                <w:color w:val="000000"/>
                <w:sz w:val="20"/>
                <w:vertAlign w:val="superscript"/>
                <w:lang w:eastAsia="en-GB"/>
              </w:rPr>
              <w:t>21</w:t>
            </w:r>
            <w:r w:rsidR="008E7163">
              <w:rPr>
                <w:rFonts w:ascii="Calibri" w:eastAsia="Times New Roman" w:hAnsi="Calibri" w:cs="Calibri"/>
                <w:b/>
                <w:bCs/>
                <w:color w:val="000000"/>
                <w:sz w:val="20"/>
                <w:lang w:eastAsia="en-GB"/>
              </w:rPr>
              <w:t xml:space="preserve"> </w:t>
            </w:r>
          </w:p>
          <w:p w14:paraId="33C03139" w14:textId="213FF924"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1986 Judgement</w:t>
            </w:r>
          </w:p>
        </w:tc>
        <w:tc>
          <w:tcPr>
            <w:tcW w:w="2410" w:type="dxa"/>
            <w:shd w:val="clear" w:color="auto" w:fill="E7E6E6" w:themeFill="background2"/>
            <w:vAlign w:val="center"/>
            <w:hideMark/>
          </w:tcPr>
          <w:p w14:paraId="31F38AD5" w14:textId="60F5EE27"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Leach </w:t>
            </w:r>
            <w:r w:rsidR="00CF1F2A" w:rsidRPr="00CF1F2A">
              <w:rPr>
                <w:rFonts w:ascii="Calibri" w:eastAsia="Times New Roman" w:hAnsi="Calibri" w:cs="Calibri"/>
                <w:b/>
                <w:bCs/>
                <w:noProof/>
                <w:color w:val="000000"/>
                <w:sz w:val="20"/>
                <w:vertAlign w:val="superscript"/>
                <w:lang w:eastAsia="en-GB"/>
              </w:rPr>
              <w:t>21</w:t>
            </w:r>
            <w:r w:rsidR="008E7163">
              <w:rPr>
                <w:rFonts w:ascii="Calibri" w:eastAsia="Times New Roman" w:hAnsi="Calibri" w:cs="Calibri"/>
                <w:b/>
                <w:bCs/>
                <w:color w:val="000000"/>
                <w:sz w:val="20"/>
                <w:lang w:eastAsia="en-GB"/>
              </w:rPr>
              <w:t xml:space="preserve"> </w:t>
            </w:r>
          </w:p>
          <w:p w14:paraId="681B686B" w14:textId="77777777" w:rsidR="00327766"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1986 </w:t>
            </w:r>
          </w:p>
          <w:p w14:paraId="6F2D288D" w14:textId="64C4AC85"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CA1FF2" w:rsidRPr="00CA1FF2" w14:paraId="333253F0" w14:textId="77777777" w:rsidTr="008937F3">
        <w:trPr>
          <w:trHeight w:val="832"/>
        </w:trPr>
        <w:tc>
          <w:tcPr>
            <w:tcW w:w="1847" w:type="dxa"/>
            <w:shd w:val="clear" w:color="auto" w:fill="auto"/>
            <w:vAlign w:val="center"/>
            <w:hideMark/>
          </w:tcPr>
          <w:p w14:paraId="00572D12" w14:textId="77777777"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200" w:type="dxa"/>
            <w:shd w:val="clear" w:color="auto" w:fill="E2EFD9" w:themeFill="accent6" w:themeFillTint="33"/>
            <w:vAlign w:val="center"/>
            <w:hideMark/>
          </w:tcPr>
          <w:p w14:paraId="2B68BABF" w14:textId="77777777"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07" w:type="dxa"/>
            <w:shd w:val="clear" w:color="auto" w:fill="auto"/>
            <w:vAlign w:val="center"/>
            <w:hideMark/>
          </w:tcPr>
          <w:p w14:paraId="6BD0F57F" w14:textId="73DC364C" w:rsidR="00CA1FF2"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4A66F5A2" w14:textId="77777777"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6AEA224A" w14:textId="3B72734A" w:rsidR="00CA1FF2"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327766" w:rsidRPr="00CA1FF2" w14:paraId="7DC6F56B" w14:textId="77777777" w:rsidTr="008937F3">
        <w:trPr>
          <w:trHeight w:val="406"/>
        </w:trPr>
        <w:tc>
          <w:tcPr>
            <w:tcW w:w="1847" w:type="dxa"/>
            <w:shd w:val="clear" w:color="auto" w:fill="auto"/>
            <w:vAlign w:val="center"/>
            <w:hideMark/>
          </w:tcPr>
          <w:p w14:paraId="2CCAFD20" w14:textId="77777777" w:rsidR="00327766" w:rsidRPr="008937F3" w:rsidRDefault="00327766">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200" w:type="dxa"/>
            <w:shd w:val="clear" w:color="auto" w:fill="E2EFD9" w:themeFill="accent6" w:themeFillTint="33"/>
            <w:vAlign w:val="center"/>
            <w:hideMark/>
          </w:tcPr>
          <w:p w14:paraId="025D6D6D" w14:textId="1508752B" w:rsidR="00327766" w:rsidRPr="008937F3" w:rsidRDefault="00327766"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907" w:type="dxa"/>
            <w:shd w:val="clear" w:color="auto" w:fill="auto"/>
            <w:vAlign w:val="center"/>
            <w:hideMark/>
          </w:tcPr>
          <w:p w14:paraId="553B95EF" w14:textId="1626A36D" w:rsidR="00327766"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69F3D986" w14:textId="4B207044" w:rsidR="00327766" w:rsidRPr="008937F3" w:rsidRDefault="00327766"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4AECE982" w14:textId="6D633EF9" w:rsidR="00327766"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CA1FF2" w:rsidRPr="00CA1FF2" w14:paraId="473DBA54" w14:textId="77777777" w:rsidTr="008937F3">
        <w:trPr>
          <w:trHeight w:val="558"/>
        </w:trPr>
        <w:tc>
          <w:tcPr>
            <w:tcW w:w="1847" w:type="dxa"/>
            <w:shd w:val="clear" w:color="auto" w:fill="auto"/>
            <w:vAlign w:val="center"/>
            <w:hideMark/>
          </w:tcPr>
          <w:p w14:paraId="54C1F7DD" w14:textId="2791AD46"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200" w:type="dxa"/>
            <w:shd w:val="clear" w:color="auto" w:fill="E2EFD9" w:themeFill="accent6" w:themeFillTint="33"/>
            <w:vAlign w:val="center"/>
            <w:hideMark/>
          </w:tcPr>
          <w:p w14:paraId="304ECC00" w14:textId="77777777"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07" w:type="dxa"/>
            <w:shd w:val="clear" w:color="auto" w:fill="auto"/>
            <w:vAlign w:val="center"/>
            <w:hideMark/>
          </w:tcPr>
          <w:p w14:paraId="59F4F95C" w14:textId="6507D9D4" w:rsidR="00CA1FF2"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417" w:type="dxa"/>
            <w:shd w:val="clear" w:color="auto" w:fill="E2EFD9" w:themeFill="accent6" w:themeFillTint="33"/>
            <w:vAlign w:val="center"/>
            <w:hideMark/>
          </w:tcPr>
          <w:p w14:paraId="260F24B3" w14:textId="77777777"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2DFFBE8C" w14:textId="37DF1EC4" w:rsidR="00CA1FF2"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r>
      <w:tr w:rsidR="00A64576" w:rsidRPr="00CA1FF2" w14:paraId="323BB341" w14:textId="77777777" w:rsidTr="006A7A6F">
        <w:trPr>
          <w:trHeight w:val="393"/>
        </w:trPr>
        <w:tc>
          <w:tcPr>
            <w:tcW w:w="1847" w:type="dxa"/>
            <w:shd w:val="clear" w:color="auto" w:fill="E7E6E6" w:themeFill="background2"/>
            <w:vAlign w:val="center"/>
            <w:hideMark/>
          </w:tcPr>
          <w:p w14:paraId="5FDF1A62" w14:textId="2556C9ED" w:rsidR="00A64576" w:rsidRDefault="00F478FC" w:rsidP="006A7A6F">
            <w:pPr>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Contd.</w:t>
            </w:r>
          </w:p>
          <w:p w14:paraId="0D040B1B" w14:textId="77777777" w:rsidR="00A64576" w:rsidRPr="004B30EF" w:rsidRDefault="00A64576" w:rsidP="006A7A6F">
            <w:pPr>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Description </w:t>
            </w:r>
          </w:p>
        </w:tc>
        <w:tc>
          <w:tcPr>
            <w:tcW w:w="1200" w:type="dxa"/>
            <w:shd w:val="clear" w:color="auto" w:fill="E7E6E6" w:themeFill="background2"/>
            <w:vAlign w:val="center"/>
            <w:hideMark/>
          </w:tcPr>
          <w:p w14:paraId="6F2AB4B1"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Lavan</w:t>
            </w:r>
            <w:r>
              <w:rPr>
                <w:rFonts w:ascii="Calibri" w:eastAsia="Times New Roman" w:hAnsi="Calibri" w:cs="Calibri"/>
                <w:b/>
                <w:bCs/>
                <w:color w:val="000000"/>
                <w:sz w:val="20"/>
                <w:lang w:eastAsia="en-GB"/>
              </w:rPr>
              <w:t xml:space="preserve"> </w:t>
            </w:r>
            <w:r w:rsidRPr="00CF1F2A">
              <w:rPr>
                <w:rFonts w:ascii="Calibri" w:eastAsia="Times New Roman" w:hAnsi="Calibri" w:cs="Calibri"/>
                <w:b/>
                <w:bCs/>
                <w:noProof/>
                <w:color w:val="000000"/>
                <w:sz w:val="20"/>
                <w:vertAlign w:val="superscript"/>
                <w:lang w:eastAsia="en-GB"/>
              </w:rPr>
              <w:t>30</w:t>
            </w:r>
            <w:r>
              <w:rPr>
                <w:rFonts w:ascii="Calibri" w:eastAsia="Times New Roman" w:hAnsi="Calibri" w:cs="Calibri"/>
                <w:b/>
                <w:bCs/>
                <w:color w:val="000000"/>
                <w:sz w:val="20"/>
                <w:lang w:eastAsia="en-GB"/>
              </w:rPr>
              <w:t xml:space="preserve"> </w:t>
            </w:r>
            <w:r w:rsidRPr="004B30EF">
              <w:rPr>
                <w:rFonts w:ascii="Calibri" w:eastAsia="Times New Roman" w:hAnsi="Calibri" w:cs="Calibri"/>
                <w:b/>
                <w:bCs/>
                <w:color w:val="000000"/>
                <w:sz w:val="20"/>
                <w:lang w:eastAsia="en-GB"/>
              </w:rPr>
              <w:t xml:space="preserve"> </w:t>
            </w:r>
          </w:p>
          <w:p w14:paraId="5462D8BF"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2017 Judgement</w:t>
            </w:r>
          </w:p>
        </w:tc>
        <w:tc>
          <w:tcPr>
            <w:tcW w:w="2907" w:type="dxa"/>
            <w:shd w:val="clear" w:color="auto" w:fill="E7E6E6" w:themeFill="background2"/>
            <w:vAlign w:val="center"/>
            <w:hideMark/>
          </w:tcPr>
          <w:p w14:paraId="6F21E755"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Lavan </w:t>
            </w:r>
            <w:r w:rsidRPr="00CF1F2A">
              <w:rPr>
                <w:rFonts w:ascii="Calibri" w:eastAsia="Times New Roman" w:hAnsi="Calibri" w:cs="Calibri"/>
                <w:b/>
                <w:bCs/>
                <w:noProof/>
                <w:color w:val="000000"/>
                <w:sz w:val="20"/>
                <w:vertAlign w:val="superscript"/>
                <w:lang w:eastAsia="en-GB"/>
              </w:rPr>
              <w:t>30</w:t>
            </w:r>
            <w:r>
              <w:rPr>
                <w:rFonts w:ascii="Calibri" w:eastAsia="Times New Roman" w:hAnsi="Calibri" w:cs="Calibri"/>
                <w:b/>
                <w:bCs/>
                <w:color w:val="000000"/>
                <w:sz w:val="20"/>
                <w:lang w:eastAsia="en-GB"/>
              </w:rPr>
              <w:t xml:space="preserve"> </w:t>
            </w:r>
          </w:p>
          <w:p w14:paraId="02B4A0D1"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2017 </w:t>
            </w:r>
          </w:p>
          <w:p w14:paraId="668A2BFE"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5DC6A6B6"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Leach </w:t>
            </w:r>
            <w:r w:rsidRPr="00CF1F2A">
              <w:rPr>
                <w:rFonts w:ascii="Calibri" w:eastAsia="Times New Roman" w:hAnsi="Calibri" w:cs="Calibri"/>
                <w:b/>
                <w:bCs/>
                <w:noProof/>
                <w:color w:val="000000"/>
                <w:sz w:val="20"/>
                <w:vertAlign w:val="superscript"/>
                <w:lang w:eastAsia="en-GB"/>
              </w:rPr>
              <w:t>21</w:t>
            </w:r>
            <w:r>
              <w:rPr>
                <w:rFonts w:ascii="Calibri" w:eastAsia="Times New Roman" w:hAnsi="Calibri" w:cs="Calibri"/>
                <w:b/>
                <w:bCs/>
                <w:color w:val="000000"/>
                <w:sz w:val="20"/>
                <w:lang w:eastAsia="en-GB"/>
              </w:rPr>
              <w:t xml:space="preserve"> </w:t>
            </w:r>
          </w:p>
          <w:p w14:paraId="28F67321"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1986 Judgement</w:t>
            </w:r>
          </w:p>
        </w:tc>
        <w:tc>
          <w:tcPr>
            <w:tcW w:w="2410" w:type="dxa"/>
            <w:shd w:val="clear" w:color="auto" w:fill="E7E6E6" w:themeFill="background2"/>
            <w:vAlign w:val="center"/>
            <w:hideMark/>
          </w:tcPr>
          <w:p w14:paraId="11AB78C1"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Leach </w:t>
            </w:r>
            <w:r w:rsidRPr="00CF1F2A">
              <w:rPr>
                <w:rFonts w:ascii="Calibri" w:eastAsia="Times New Roman" w:hAnsi="Calibri" w:cs="Calibri"/>
                <w:b/>
                <w:bCs/>
                <w:noProof/>
                <w:color w:val="000000"/>
                <w:sz w:val="20"/>
                <w:vertAlign w:val="superscript"/>
                <w:lang w:eastAsia="en-GB"/>
              </w:rPr>
              <w:t>21</w:t>
            </w:r>
            <w:r>
              <w:rPr>
                <w:rFonts w:ascii="Calibri" w:eastAsia="Times New Roman" w:hAnsi="Calibri" w:cs="Calibri"/>
                <w:b/>
                <w:bCs/>
                <w:color w:val="000000"/>
                <w:sz w:val="20"/>
                <w:lang w:eastAsia="en-GB"/>
              </w:rPr>
              <w:t xml:space="preserve"> </w:t>
            </w:r>
          </w:p>
          <w:p w14:paraId="7A444DB1"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1986 </w:t>
            </w:r>
          </w:p>
          <w:p w14:paraId="29656761"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r>
      <w:tr w:rsidR="00CA1FF2" w:rsidRPr="00CA1FF2" w14:paraId="72899126" w14:textId="77777777" w:rsidTr="008937F3">
        <w:trPr>
          <w:trHeight w:val="40"/>
        </w:trPr>
        <w:tc>
          <w:tcPr>
            <w:tcW w:w="1847" w:type="dxa"/>
            <w:shd w:val="clear" w:color="auto" w:fill="auto"/>
            <w:vAlign w:val="center"/>
            <w:hideMark/>
          </w:tcPr>
          <w:p w14:paraId="26220E92" w14:textId="27F92E60"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200" w:type="dxa"/>
            <w:shd w:val="clear" w:color="auto" w:fill="E2EFD9" w:themeFill="accent6" w:themeFillTint="33"/>
            <w:vAlign w:val="center"/>
            <w:hideMark/>
          </w:tcPr>
          <w:p w14:paraId="0395B9A8" w14:textId="77777777" w:rsidR="00CA1FF2" w:rsidRPr="008937F3" w:rsidRDefault="00CA1FF2"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907" w:type="dxa"/>
            <w:shd w:val="clear" w:color="auto" w:fill="auto"/>
            <w:vAlign w:val="center"/>
            <w:hideMark/>
          </w:tcPr>
          <w:p w14:paraId="22000181" w14:textId="55AD1A7F"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Events were classified as prevalent if they occurred prior to enrolment and as i</w:t>
            </w:r>
            <w:r w:rsidR="00327766">
              <w:rPr>
                <w:rFonts w:ascii="Calibri" w:eastAsia="Times New Roman" w:hAnsi="Calibri" w:cs="Calibri"/>
                <w:color w:val="000000"/>
                <w:sz w:val="20"/>
                <w:lang w:eastAsia="en-GB"/>
              </w:rPr>
              <w:t xml:space="preserve">ncident if they occurred after </w:t>
            </w:r>
            <w:r w:rsidRPr="008937F3">
              <w:rPr>
                <w:rFonts w:ascii="Calibri" w:eastAsia="Times New Roman" w:hAnsi="Calibri" w:cs="Calibri"/>
                <w:color w:val="000000"/>
                <w:sz w:val="20"/>
                <w:lang w:eastAsia="en-GB"/>
              </w:rPr>
              <w:t>enrolment.</w:t>
            </w:r>
          </w:p>
        </w:tc>
        <w:tc>
          <w:tcPr>
            <w:tcW w:w="1417" w:type="dxa"/>
            <w:shd w:val="clear" w:color="auto" w:fill="F6D5D2"/>
            <w:vAlign w:val="center"/>
            <w:hideMark/>
          </w:tcPr>
          <w:p w14:paraId="7546706D" w14:textId="77777777" w:rsidR="00CA1FF2" w:rsidRPr="008937F3" w:rsidRDefault="00CA1FF2" w:rsidP="008937F3">
            <w:pPr>
              <w:spacing w:after="0" w:line="240" w:lineRule="auto"/>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0</w:t>
            </w:r>
          </w:p>
        </w:tc>
        <w:tc>
          <w:tcPr>
            <w:tcW w:w="2410" w:type="dxa"/>
            <w:shd w:val="clear" w:color="auto" w:fill="auto"/>
            <w:vAlign w:val="center"/>
            <w:hideMark/>
          </w:tcPr>
          <w:p w14:paraId="2A53F924" w14:textId="153235E2" w:rsidR="00CA1FF2" w:rsidRPr="008937F3" w:rsidRDefault="00327766"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305002" w:rsidRPr="00CA1FF2" w14:paraId="7233D122" w14:textId="77777777" w:rsidTr="008937F3">
        <w:trPr>
          <w:trHeight w:val="1327"/>
        </w:trPr>
        <w:tc>
          <w:tcPr>
            <w:tcW w:w="1847" w:type="dxa"/>
            <w:shd w:val="clear" w:color="auto" w:fill="auto"/>
            <w:vAlign w:val="center"/>
            <w:hideMark/>
          </w:tcPr>
          <w:p w14:paraId="22924C0D" w14:textId="77777777" w:rsidR="00305002" w:rsidRPr="008937F3" w:rsidRDefault="0030500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200" w:type="dxa"/>
            <w:shd w:val="clear" w:color="auto" w:fill="E2EFD9" w:themeFill="accent6" w:themeFillTint="33"/>
            <w:vAlign w:val="center"/>
            <w:hideMark/>
          </w:tcPr>
          <w:p w14:paraId="617C6244" w14:textId="77777777" w:rsidR="00305002" w:rsidRPr="008937F3" w:rsidRDefault="00305002" w:rsidP="008937F3">
            <w:pPr>
              <w:spacing w:after="0" w:line="240" w:lineRule="auto"/>
              <w:rPr>
                <w:rFonts w:ascii="Calibri" w:eastAsia="Times New Roman" w:hAnsi="Calibri" w:cs="Calibri"/>
                <w:color w:val="92D050"/>
                <w:sz w:val="20"/>
                <w:lang w:eastAsia="en-GB"/>
              </w:rPr>
            </w:pPr>
            <w:r w:rsidRPr="008937F3">
              <w:rPr>
                <w:rFonts w:ascii="Calibri" w:eastAsia="Times New Roman" w:hAnsi="Calibri" w:cs="Calibri"/>
                <w:color w:val="92D050"/>
                <w:sz w:val="20"/>
                <w:lang w:eastAsia="en-GB"/>
              </w:rPr>
              <w:t>1</w:t>
            </w:r>
          </w:p>
        </w:tc>
        <w:tc>
          <w:tcPr>
            <w:tcW w:w="2907" w:type="dxa"/>
            <w:shd w:val="clear" w:color="auto" w:fill="auto"/>
            <w:vAlign w:val="center"/>
            <w:hideMark/>
          </w:tcPr>
          <w:p w14:paraId="7BD2B8D8" w14:textId="764A7C20" w:rsidR="00305002" w:rsidRPr="008937F3" w:rsidRDefault="00305002"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method of ADR identification, collection of pertaining details, method of assessment and independent evaluation. </w:t>
            </w:r>
          </w:p>
        </w:tc>
        <w:tc>
          <w:tcPr>
            <w:tcW w:w="1417" w:type="dxa"/>
            <w:shd w:val="clear" w:color="auto" w:fill="FFF2CC" w:themeFill="accent4" w:themeFillTint="33"/>
            <w:vAlign w:val="center"/>
            <w:hideMark/>
          </w:tcPr>
          <w:p w14:paraId="5E0A371E" w14:textId="77777777" w:rsidR="00305002" w:rsidRPr="008937F3" w:rsidRDefault="00305002">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C000" w:themeColor="accent4"/>
                <w:sz w:val="20"/>
                <w:lang w:eastAsia="en-GB"/>
              </w:rPr>
              <w:t>?</w:t>
            </w:r>
          </w:p>
        </w:tc>
        <w:tc>
          <w:tcPr>
            <w:tcW w:w="2410" w:type="dxa"/>
            <w:shd w:val="clear" w:color="auto" w:fill="auto"/>
            <w:vAlign w:val="center"/>
            <w:hideMark/>
          </w:tcPr>
          <w:p w14:paraId="48F17574" w14:textId="041191B7" w:rsidR="00305002" w:rsidRPr="008937F3" w:rsidRDefault="00305002"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sz w:val="20"/>
                <w:lang w:eastAsia="en-GB"/>
              </w:rPr>
              <w:t xml:space="preserve">Unclear - </w:t>
            </w:r>
            <w:r w:rsidRPr="008937F3">
              <w:rPr>
                <w:rFonts w:ascii="Calibri" w:eastAsia="Times New Roman" w:hAnsi="Calibri" w:cs="Calibri"/>
                <w:color w:val="000000"/>
                <w:sz w:val="20"/>
                <w:lang w:eastAsia="en-GB"/>
              </w:rPr>
              <w:t xml:space="preserve">methods outline a </w:t>
            </w:r>
            <w:r w:rsidRPr="00CA1FF2">
              <w:rPr>
                <w:rFonts w:ascii="Calibri" w:eastAsia="Times New Roman" w:hAnsi="Calibri" w:cs="Calibri"/>
                <w:color w:val="000000"/>
                <w:sz w:val="20"/>
                <w:lang w:eastAsia="en-GB"/>
              </w:rPr>
              <w:t>definition</w:t>
            </w:r>
            <w:r w:rsidRPr="008937F3">
              <w:rPr>
                <w:rFonts w:ascii="Calibri" w:eastAsia="Times New Roman" w:hAnsi="Calibri" w:cs="Calibri"/>
                <w:color w:val="000000"/>
                <w:sz w:val="20"/>
                <w:lang w:eastAsia="en-GB"/>
              </w:rPr>
              <w:t>, probability of causality and severity criteria for ADRs. However, there it is unclear as to who conducted the assessment.</w:t>
            </w:r>
          </w:p>
        </w:tc>
      </w:tr>
      <w:tr w:rsidR="008C3DEC" w:rsidRPr="00CA1FF2" w14:paraId="46D1E154" w14:textId="77777777" w:rsidTr="008937F3">
        <w:trPr>
          <w:trHeight w:val="40"/>
        </w:trPr>
        <w:tc>
          <w:tcPr>
            <w:tcW w:w="1847" w:type="dxa"/>
            <w:shd w:val="clear" w:color="auto" w:fill="auto"/>
            <w:vAlign w:val="center"/>
            <w:hideMark/>
          </w:tcPr>
          <w:p w14:paraId="48EAF811" w14:textId="77777777" w:rsidR="008C3DEC" w:rsidRPr="008937F3" w:rsidRDefault="008C3DE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200" w:type="dxa"/>
            <w:shd w:val="clear" w:color="auto" w:fill="E2EFD9" w:themeFill="accent6" w:themeFillTint="33"/>
            <w:vAlign w:val="center"/>
            <w:hideMark/>
          </w:tcPr>
          <w:p w14:paraId="793B819C" w14:textId="77777777" w:rsidR="008C3DEC" w:rsidRPr="008937F3" w:rsidRDefault="008C3DEC" w:rsidP="008937F3">
            <w:pPr>
              <w:spacing w:after="0" w:line="240" w:lineRule="auto"/>
              <w:rPr>
                <w:rFonts w:ascii="Calibri" w:eastAsia="Times New Roman" w:hAnsi="Calibri" w:cs="Calibri"/>
                <w:color w:val="92D050"/>
                <w:sz w:val="20"/>
                <w:lang w:eastAsia="en-GB"/>
              </w:rPr>
            </w:pPr>
            <w:r w:rsidRPr="008937F3">
              <w:rPr>
                <w:rFonts w:ascii="Calibri" w:eastAsia="Times New Roman" w:hAnsi="Calibri" w:cs="Calibri"/>
                <w:color w:val="92D050"/>
                <w:sz w:val="20"/>
                <w:lang w:eastAsia="en-GB"/>
              </w:rPr>
              <w:t>1</w:t>
            </w:r>
          </w:p>
        </w:tc>
        <w:tc>
          <w:tcPr>
            <w:tcW w:w="2907" w:type="dxa"/>
            <w:shd w:val="clear" w:color="auto" w:fill="auto"/>
            <w:vAlign w:val="center"/>
            <w:hideMark/>
          </w:tcPr>
          <w:p w14:paraId="7AE82AEA" w14:textId="310D7337" w:rsidR="008C3DEC" w:rsidRPr="008937F3" w:rsidRDefault="008C3DE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 xml:space="preserve"> or </w:t>
            </w:r>
            <w:r w:rsidRPr="008937F3">
              <w:rPr>
                <w:rFonts w:ascii="Calibri" w:eastAsia="Times New Roman" w:hAnsi="Calibri" w:cs="Calibri"/>
                <w:color w:val="000000"/>
                <w:sz w:val="20"/>
                <w:lang w:eastAsia="en-GB"/>
              </w:rPr>
              <w:t xml:space="preserve">within 14 days of enrolment, whichever came first. </w:t>
            </w:r>
          </w:p>
        </w:tc>
        <w:tc>
          <w:tcPr>
            <w:tcW w:w="1417" w:type="dxa"/>
            <w:shd w:val="clear" w:color="auto" w:fill="F6D5D2"/>
            <w:vAlign w:val="center"/>
            <w:hideMark/>
          </w:tcPr>
          <w:p w14:paraId="37C34CEB" w14:textId="2BE40594" w:rsidR="008C3DEC" w:rsidRPr="008937F3" w:rsidRDefault="008C3DEC"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410" w:type="dxa"/>
            <w:shd w:val="clear" w:color="auto" w:fill="auto"/>
            <w:vAlign w:val="center"/>
            <w:hideMark/>
          </w:tcPr>
          <w:p w14:paraId="5A6A9B3A" w14:textId="32C3026E" w:rsidR="008C3DEC" w:rsidRPr="008937F3" w:rsidRDefault="008C3DE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C673D0">
              <w:rPr>
                <w:rFonts w:ascii="Calibri" w:eastAsia="Times New Roman" w:hAnsi="Calibri" w:cs="Times New Roman"/>
                <w:color w:val="000000"/>
                <w:sz w:val="20"/>
                <w:lang w:eastAsia="en-GB"/>
              </w:rPr>
              <w:t>No description of period of follow-up reported</w:t>
            </w:r>
            <w:r>
              <w:rPr>
                <w:rFonts w:ascii="Calibri" w:eastAsia="Times New Roman" w:hAnsi="Calibri" w:cs="Times New Roman"/>
                <w:color w:val="000000"/>
                <w:sz w:val="20"/>
                <w:lang w:eastAsia="en-GB"/>
              </w:rPr>
              <w:t>.</w:t>
            </w:r>
          </w:p>
        </w:tc>
      </w:tr>
      <w:tr w:rsidR="00CA1FF2" w:rsidRPr="00CA1FF2" w14:paraId="1277AF1C" w14:textId="77777777" w:rsidTr="008937F3">
        <w:trPr>
          <w:trHeight w:val="40"/>
        </w:trPr>
        <w:tc>
          <w:tcPr>
            <w:tcW w:w="1847" w:type="dxa"/>
            <w:shd w:val="clear" w:color="auto" w:fill="auto"/>
            <w:vAlign w:val="center"/>
            <w:hideMark/>
          </w:tcPr>
          <w:p w14:paraId="7CBE2482" w14:textId="5325376A" w:rsidR="00CA1FF2" w:rsidRPr="008937F3" w:rsidRDefault="00CA1FF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w:t>
            </w:r>
            <w:r w:rsidR="005C260B">
              <w:rPr>
                <w:rFonts w:ascii="Calibri" w:eastAsia="Times New Roman" w:hAnsi="Calibri" w:cs="Calibri"/>
                <w:b/>
                <w:bCs/>
                <w:color w:val="000000"/>
                <w:sz w:val="20"/>
                <w:lang w:eastAsia="en-GB"/>
              </w:rPr>
              <w:t>cy of follow up of cohorts</w:t>
            </w:r>
          </w:p>
        </w:tc>
        <w:tc>
          <w:tcPr>
            <w:tcW w:w="1200" w:type="dxa"/>
            <w:shd w:val="clear" w:color="auto" w:fill="E2EFD9" w:themeFill="accent6" w:themeFillTint="33"/>
            <w:vAlign w:val="center"/>
            <w:hideMark/>
          </w:tcPr>
          <w:p w14:paraId="258B9CFE" w14:textId="77777777" w:rsidR="00CA1FF2" w:rsidRPr="008937F3" w:rsidRDefault="00CA1FF2" w:rsidP="008937F3">
            <w:pPr>
              <w:spacing w:after="0" w:line="240" w:lineRule="auto"/>
              <w:rPr>
                <w:rFonts w:ascii="Calibri" w:eastAsia="Times New Roman" w:hAnsi="Calibri" w:cs="Calibri"/>
                <w:color w:val="92D050"/>
                <w:sz w:val="20"/>
                <w:lang w:eastAsia="en-GB"/>
              </w:rPr>
            </w:pPr>
            <w:r w:rsidRPr="008937F3">
              <w:rPr>
                <w:rFonts w:ascii="Calibri" w:eastAsia="Times New Roman" w:hAnsi="Calibri" w:cs="Calibri"/>
                <w:color w:val="92D050"/>
                <w:sz w:val="20"/>
                <w:lang w:eastAsia="en-GB"/>
              </w:rPr>
              <w:t>1</w:t>
            </w:r>
          </w:p>
        </w:tc>
        <w:tc>
          <w:tcPr>
            <w:tcW w:w="2907" w:type="dxa"/>
            <w:shd w:val="clear" w:color="auto" w:fill="auto"/>
            <w:noWrap/>
            <w:vAlign w:val="center"/>
            <w:hideMark/>
          </w:tcPr>
          <w:p w14:paraId="78128939" w14:textId="41CB305E" w:rsidR="00CA1FF2" w:rsidRPr="008937F3" w:rsidRDefault="002942C0">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7A273E73" w14:textId="77777777" w:rsidR="00CA1FF2" w:rsidRPr="008937F3" w:rsidRDefault="00CA1FF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noWrap/>
            <w:vAlign w:val="center"/>
            <w:hideMark/>
          </w:tcPr>
          <w:p w14:paraId="4E93AD99" w14:textId="3978E572" w:rsidR="00CA1FF2" w:rsidRPr="008937F3" w:rsidRDefault="002942C0">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30CDC89E" w14:textId="2424BD2E" w:rsidR="00CA1FF2" w:rsidRDefault="00CA1FF2" w:rsidP="008937F3"/>
    <w:p w14:paraId="307A5D36" w14:textId="663AE51B" w:rsidR="00D71E20" w:rsidRDefault="00D71E20" w:rsidP="008937F3">
      <w:pPr>
        <w:pStyle w:val="Heading3"/>
      </w:pPr>
      <w:bookmarkStart w:id="21" w:name="_Toc52396343"/>
      <w:r>
        <w:t>Liao 2019, Mohebbi 2010</w:t>
      </w:r>
      <w:bookmarkEnd w:id="21"/>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33"/>
        <w:gridCol w:w="2975"/>
        <w:gridCol w:w="1417"/>
        <w:gridCol w:w="2410"/>
      </w:tblGrid>
      <w:tr w:rsidR="00F94C82" w:rsidRPr="00F94C82" w14:paraId="0904F3E6" w14:textId="77777777" w:rsidTr="008937F3">
        <w:trPr>
          <w:trHeight w:val="183"/>
        </w:trPr>
        <w:tc>
          <w:tcPr>
            <w:tcW w:w="1846" w:type="dxa"/>
            <w:shd w:val="clear" w:color="auto" w:fill="E7E6E6" w:themeFill="background2"/>
            <w:vAlign w:val="center"/>
            <w:hideMark/>
          </w:tcPr>
          <w:p w14:paraId="75AAA29B" w14:textId="77777777" w:rsidR="00F94C82" w:rsidRPr="008937F3" w:rsidRDefault="00F94C82">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133" w:type="dxa"/>
            <w:shd w:val="clear" w:color="auto" w:fill="E7E6E6" w:themeFill="background2"/>
            <w:vAlign w:val="center"/>
            <w:hideMark/>
          </w:tcPr>
          <w:p w14:paraId="4BAF62ED" w14:textId="420C89EC"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Liao </w:t>
            </w:r>
            <w:r w:rsidR="00CF1F2A" w:rsidRPr="00CF1F2A">
              <w:rPr>
                <w:rFonts w:ascii="Calibri" w:eastAsia="Times New Roman" w:hAnsi="Calibri" w:cs="Calibri"/>
                <w:b/>
                <w:bCs/>
                <w:noProof/>
                <w:color w:val="000000"/>
                <w:sz w:val="20"/>
                <w:vertAlign w:val="superscript"/>
                <w:lang w:eastAsia="en-GB"/>
              </w:rPr>
              <w:t>31</w:t>
            </w:r>
            <w:r w:rsidR="00C80B87">
              <w:rPr>
                <w:rFonts w:ascii="Calibri" w:eastAsia="Times New Roman" w:hAnsi="Calibri" w:cs="Calibri"/>
                <w:b/>
                <w:bCs/>
                <w:color w:val="000000"/>
                <w:sz w:val="20"/>
                <w:lang w:eastAsia="en-GB"/>
              </w:rPr>
              <w:t xml:space="preserve"> </w:t>
            </w:r>
          </w:p>
          <w:p w14:paraId="2E2CF8DD" w14:textId="41D2B67B"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2019 Judgement</w:t>
            </w:r>
          </w:p>
        </w:tc>
        <w:tc>
          <w:tcPr>
            <w:tcW w:w="2975" w:type="dxa"/>
            <w:shd w:val="clear" w:color="auto" w:fill="E7E6E6" w:themeFill="background2"/>
            <w:vAlign w:val="center"/>
            <w:hideMark/>
          </w:tcPr>
          <w:p w14:paraId="654B4C86" w14:textId="66525FC8"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Liao </w:t>
            </w:r>
            <w:r w:rsidR="00CF1F2A" w:rsidRPr="00CF1F2A">
              <w:rPr>
                <w:rFonts w:ascii="Calibri" w:eastAsia="Times New Roman" w:hAnsi="Calibri" w:cs="Calibri"/>
                <w:b/>
                <w:bCs/>
                <w:noProof/>
                <w:color w:val="000000"/>
                <w:sz w:val="20"/>
                <w:vertAlign w:val="superscript"/>
                <w:lang w:eastAsia="en-GB"/>
              </w:rPr>
              <w:t>31</w:t>
            </w:r>
            <w:r w:rsidR="00C80B87">
              <w:rPr>
                <w:rFonts w:ascii="Calibri" w:eastAsia="Times New Roman" w:hAnsi="Calibri" w:cs="Calibri"/>
                <w:b/>
                <w:bCs/>
                <w:color w:val="000000"/>
                <w:sz w:val="20"/>
                <w:lang w:eastAsia="en-GB"/>
              </w:rPr>
              <w:t xml:space="preserve"> </w:t>
            </w:r>
          </w:p>
          <w:p w14:paraId="45B8EE47" w14:textId="77777777"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2019 </w:t>
            </w:r>
          </w:p>
          <w:p w14:paraId="0E540723" w14:textId="35F9A843"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282AF0FA" w14:textId="0A5D6475"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Mohebbi </w:t>
            </w:r>
            <w:r w:rsidR="00CF1F2A" w:rsidRPr="00CF1F2A">
              <w:rPr>
                <w:rFonts w:ascii="Calibri" w:eastAsia="Times New Roman" w:hAnsi="Calibri" w:cs="Calibri"/>
                <w:b/>
                <w:bCs/>
                <w:noProof/>
                <w:color w:val="000000"/>
                <w:sz w:val="20"/>
                <w:vertAlign w:val="superscript"/>
                <w:lang w:eastAsia="en-GB"/>
              </w:rPr>
              <w:t>32</w:t>
            </w:r>
            <w:r w:rsidR="00C80B87">
              <w:rPr>
                <w:rFonts w:ascii="Calibri" w:eastAsia="Times New Roman" w:hAnsi="Calibri" w:cs="Calibri"/>
                <w:b/>
                <w:bCs/>
                <w:color w:val="000000"/>
                <w:sz w:val="20"/>
                <w:lang w:eastAsia="en-GB"/>
              </w:rPr>
              <w:t xml:space="preserve"> </w:t>
            </w:r>
          </w:p>
          <w:p w14:paraId="48A27CD1" w14:textId="464C24DA"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201</w:t>
            </w:r>
            <w:r w:rsidR="005C260B">
              <w:rPr>
                <w:rFonts w:ascii="Calibri" w:eastAsia="Times New Roman" w:hAnsi="Calibri" w:cs="Calibri"/>
                <w:b/>
                <w:bCs/>
                <w:color w:val="000000"/>
                <w:sz w:val="20"/>
                <w:lang w:eastAsia="en-GB"/>
              </w:rPr>
              <w:t>0</w:t>
            </w:r>
            <w:r w:rsidRPr="008937F3">
              <w:rPr>
                <w:rFonts w:ascii="Calibri" w:eastAsia="Times New Roman" w:hAnsi="Calibri" w:cs="Calibri"/>
                <w:b/>
                <w:bCs/>
                <w:color w:val="000000"/>
                <w:sz w:val="20"/>
                <w:lang w:eastAsia="en-GB"/>
              </w:rPr>
              <w:t xml:space="preserve"> Judgement</w:t>
            </w:r>
          </w:p>
        </w:tc>
        <w:tc>
          <w:tcPr>
            <w:tcW w:w="2410" w:type="dxa"/>
            <w:shd w:val="clear" w:color="auto" w:fill="E7E6E6" w:themeFill="background2"/>
            <w:vAlign w:val="center"/>
            <w:hideMark/>
          </w:tcPr>
          <w:p w14:paraId="385A2925" w14:textId="2B35ADB0"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Mohebbi </w:t>
            </w:r>
            <w:r w:rsidR="00CF1F2A" w:rsidRPr="00CF1F2A">
              <w:rPr>
                <w:rFonts w:ascii="Calibri" w:eastAsia="Times New Roman" w:hAnsi="Calibri" w:cs="Calibri"/>
                <w:b/>
                <w:bCs/>
                <w:noProof/>
                <w:color w:val="000000"/>
                <w:sz w:val="20"/>
                <w:vertAlign w:val="superscript"/>
                <w:lang w:eastAsia="en-GB"/>
              </w:rPr>
              <w:t>32</w:t>
            </w:r>
            <w:r w:rsidR="00C80B87">
              <w:rPr>
                <w:rFonts w:ascii="Calibri" w:eastAsia="Times New Roman" w:hAnsi="Calibri" w:cs="Calibri"/>
                <w:b/>
                <w:bCs/>
                <w:color w:val="000000"/>
                <w:sz w:val="20"/>
                <w:lang w:eastAsia="en-GB"/>
              </w:rPr>
              <w:t xml:space="preserve"> </w:t>
            </w:r>
          </w:p>
          <w:p w14:paraId="194164BD" w14:textId="77777777" w:rsidR="005C260B"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2010 </w:t>
            </w:r>
          </w:p>
          <w:p w14:paraId="1C9B331F" w14:textId="1C84446A"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F94C82" w:rsidRPr="00F94C82" w14:paraId="3487D3B3" w14:textId="77777777" w:rsidTr="008937F3">
        <w:trPr>
          <w:trHeight w:val="905"/>
        </w:trPr>
        <w:tc>
          <w:tcPr>
            <w:tcW w:w="1846" w:type="dxa"/>
            <w:shd w:val="clear" w:color="auto" w:fill="auto"/>
            <w:vAlign w:val="center"/>
            <w:hideMark/>
          </w:tcPr>
          <w:p w14:paraId="1E0D648C" w14:textId="77777777"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133" w:type="dxa"/>
            <w:shd w:val="clear" w:color="auto" w:fill="E2EFD9" w:themeFill="accent6" w:themeFillTint="33"/>
            <w:vAlign w:val="center"/>
            <w:hideMark/>
          </w:tcPr>
          <w:p w14:paraId="02D705DC"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0E0888D7" w14:textId="32273992" w:rsidR="00F94C82" w:rsidRPr="008937F3" w:rsidRDefault="005C260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Retrospective identification from established </w:t>
            </w:r>
            <w:r w:rsidR="00483F7A">
              <w:rPr>
                <w:rFonts w:ascii="Calibri" w:eastAsia="Times New Roman" w:hAnsi="Calibri" w:cs="Times New Roman"/>
                <w:color w:val="000000"/>
                <w:sz w:val="20"/>
                <w:lang w:eastAsia="en-GB"/>
              </w:rPr>
              <w:t>database</w:t>
            </w:r>
            <w:r w:rsidR="009138D7">
              <w:rPr>
                <w:rFonts w:ascii="Calibri" w:eastAsia="Times New Roman" w:hAnsi="Calibri" w:cs="Times New Roman"/>
                <w:color w:val="000000"/>
                <w:sz w:val="20"/>
                <w:lang w:eastAsia="en-GB"/>
              </w:rPr>
              <w:t>*</w:t>
            </w:r>
            <w:r w:rsidR="00483F7A">
              <w:rPr>
                <w:rFonts w:ascii="Calibri" w:eastAsia="Times New Roman" w:hAnsi="Calibri" w:cs="Times New Roman"/>
                <w:color w:val="000000"/>
                <w:sz w:val="20"/>
                <w:lang w:eastAsia="en-GB"/>
              </w:rPr>
              <w:t xml:space="preserve"> </w:t>
            </w: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78765142" w14:textId="77777777" w:rsidR="00F94C82" w:rsidRPr="008937F3" w:rsidRDefault="00F94C82"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6E1847CF" w14:textId="41C31B80" w:rsidR="00F94C82" w:rsidRPr="008937F3" w:rsidRDefault="005C260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5C260B" w:rsidRPr="00F94C82" w14:paraId="6FE45C01" w14:textId="77777777" w:rsidTr="008937F3">
        <w:trPr>
          <w:trHeight w:val="950"/>
        </w:trPr>
        <w:tc>
          <w:tcPr>
            <w:tcW w:w="1846" w:type="dxa"/>
            <w:shd w:val="clear" w:color="auto" w:fill="auto"/>
            <w:vAlign w:val="center"/>
            <w:hideMark/>
          </w:tcPr>
          <w:p w14:paraId="59D14B79" w14:textId="77777777" w:rsidR="005C260B" w:rsidRPr="008937F3" w:rsidRDefault="005C260B">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133" w:type="dxa"/>
            <w:shd w:val="clear" w:color="auto" w:fill="E2EFD9" w:themeFill="accent6" w:themeFillTint="33"/>
            <w:vAlign w:val="center"/>
            <w:hideMark/>
          </w:tcPr>
          <w:p w14:paraId="4D494BCE" w14:textId="2A992ED3" w:rsidR="005C260B" w:rsidRPr="008937F3" w:rsidRDefault="005C260B"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0FEDF86D" w14:textId="037E6B2F" w:rsidR="005C260B" w:rsidRPr="008937F3" w:rsidRDefault="005C260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Retrospective identification from established database. Description of population, setting, duration of study and selection of participants.</w:t>
            </w:r>
          </w:p>
        </w:tc>
        <w:tc>
          <w:tcPr>
            <w:tcW w:w="1417" w:type="dxa"/>
            <w:shd w:val="clear" w:color="auto" w:fill="E2EFD9" w:themeFill="accent6" w:themeFillTint="33"/>
            <w:vAlign w:val="center"/>
            <w:hideMark/>
          </w:tcPr>
          <w:p w14:paraId="3760383A" w14:textId="45B7D36F" w:rsidR="005C260B" w:rsidRPr="008937F3" w:rsidRDefault="005C260B"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0159DF9E" w14:textId="6BFDCB91" w:rsidR="005C260B" w:rsidRPr="008937F3" w:rsidRDefault="005C260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F94C82" w:rsidRPr="00F94C82" w14:paraId="721612BF" w14:textId="77777777" w:rsidTr="008937F3">
        <w:trPr>
          <w:trHeight w:val="996"/>
        </w:trPr>
        <w:tc>
          <w:tcPr>
            <w:tcW w:w="1846" w:type="dxa"/>
            <w:shd w:val="clear" w:color="auto" w:fill="auto"/>
            <w:vAlign w:val="center"/>
            <w:hideMark/>
          </w:tcPr>
          <w:p w14:paraId="26AA87A1" w14:textId="77777777"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133" w:type="dxa"/>
            <w:shd w:val="clear" w:color="auto" w:fill="E2EFD9" w:themeFill="accent6" w:themeFillTint="33"/>
            <w:vAlign w:val="center"/>
            <w:hideMark/>
          </w:tcPr>
          <w:p w14:paraId="7721F4D7"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6CBAD5A3" w14:textId="1C047F70" w:rsidR="00F94C82" w:rsidRPr="008937F3" w:rsidRDefault="00A7144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established mandated ADR reporting system. </w:t>
            </w:r>
          </w:p>
        </w:tc>
        <w:tc>
          <w:tcPr>
            <w:tcW w:w="1417" w:type="dxa"/>
            <w:shd w:val="clear" w:color="auto" w:fill="E2EFD9" w:themeFill="accent6" w:themeFillTint="33"/>
            <w:vAlign w:val="center"/>
            <w:hideMark/>
          </w:tcPr>
          <w:p w14:paraId="56A2C008"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3CADC973" w14:textId="3F7E852D" w:rsidR="00F94C82" w:rsidRPr="008937F3" w:rsidRDefault="00A7144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r>
      <w:tr w:rsidR="00D64747" w:rsidRPr="00F94C82" w14:paraId="0CD008D4" w14:textId="77777777" w:rsidTr="008937F3">
        <w:trPr>
          <w:trHeight w:val="40"/>
        </w:trPr>
        <w:tc>
          <w:tcPr>
            <w:tcW w:w="1846" w:type="dxa"/>
            <w:shd w:val="clear" w:color="auto" w:fill="auto"/>
            <w:vAlign w:val="center"/>
            <w:hideMark/>
          </w:tcPr>
          <w:p w14:paraId="53DA1EA6" w14:textId="77777777" w:rsidR="00D64747" w:rsidRPr="008937F3" w:rsidRDefault="00D64747">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133" w:type="dxa"/>
            <w:shd w:val="clear" w:color="auto" w:fill="F6D5D2"/>
            <w:vAlign w:val="center"/>
            <w:hideMark/>
          </w:tcPr>
          <w:p w14:paraId="71D6AA7B" w14:textId="601F81BE" w:rsidR="00D64747" w:rsidRPr="008937F3" w:rsidRDefault="00D6474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975" w:type="dxa"/>
            <w:shd w:val="clear" w:color="auto" w:fill="auto"/>
            <w:vAlign w:val="center"/>
            <w:hideMark/>
          </w:tcPr>
          <w:p w14:paraId="53572B44" w14:textId="6C574F05" w:rsidR="00D64747" w:rsidRPr="008937F3" w:rsidRDefault="00D6474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c>
          <w:tcPr>
            <w:tcW w:w="1417" w:type="dxa"/>
            <w:shd w:val="clear" w:color="auto" w:fill="F6D5D2"/>
            <w:vAlign w:val="center"/>
            <w:hideMark/>
          </w:tcPr>
          <w:p w14:paraId="5223AFD6" w14:textId="6EC5CB7F" w:rsidR="00D64747" w:rsidRPr="008937F3" w:rsidRDefault="00D6474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410" w:type="dxa"/>
            <w:shd w:val="clear" w:color="auto" w:fill="auto"/>
            <w:vAlign w:val="center"/>
            <w:hideMark/>
          </w:tcPr>
          <w:p w14:paraId="3E1D804E" w14:textId="2AD634D7" w:rsidR="00D64747" w:rsidRPr="008937F3" w:rsidRDefault="00D6474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F94C82" w:rsidRPr="00F94C82" w14:paraId="725413DB" w14:textId="77777777" w:rsidTr="008937F3">
        <w:trPr>
          <w:trHeight w:val="1174"/>
        </w:trPr>
        <w:tc>
          <w:tcPr>
            <w:tcW w:w="1846" w:type="dxa"/>
            <w:shd w:val="clear" w:color="auto" w:fill="auto"/>
            <w:vAlign w:val="center"/>
            <w:hideMark/>
          </w:tcPr>
          <w:p w14:paraId="23EF7459" w14:textId="09B06306"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133" w:type="dxa"/>
            <w:shd w:val="clear" w:color="auto" w:fill="E2EFD9" w:themeFill="accent6" w:themeFillTint="33"/>
            <w:vAlign w:val="center"/>
            <w:hideMark/>
          </w:tcPr>
          <w:p w14:paraId="344F512D"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61E9F2D4" w14:textId="6C092B27" w:rsidR="00F94C82" w:rsidRPr="008937F3" w:rsidRDefault="00D6474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c>
          <w:tcPr>
            <w:tcW w:w="1417" w:type="dxa"/>
            <w:shd w:val="clear" w:color="auto" w:fill="FFF2CC" w:themeFill="accent4" w:themeFillTint="33"/>
            <w:vAlign w:val="center"/>
            <w:hideMark/>
          </w:tcPr>
          <w:p w14:paraId="671593CB" w14:textId="77777777" w:rsidR="00F94C82" w:rsidRPr="008937F3" w:rsidRDefault="00F94C82">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C000" w:themeColor="accent4"/>
                <w:sz w:val="20"/>
                <w:lang w:eastAsia="en-GB"/>
              </w:rPr>
              <w:t>?</w:t>
            </w:r>
          </w:p>
        </w:tc>
        <w:tc>
          <w:tcPr>
            <w:tcW w:w="2410" w:type="dxa"/>
            <w:shd w:val="clear" w:color="auto" w:fill="auto"/>
            <w:vAlign w:val="center"/>
            <w:hideMark/>
          </w:tcPr>
          <w:p w14:paraId="41D3B859" w14:textId="44CC1E6A" w:rsidR="00F94C82" w:rsidRPr="008937F3" w:rsidRDefault="00D64747"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sz w:val="20"/>
                <w:lang w:eastAsia="en-GB"/>
              </w:rPr>
              <w:t xml:space="preserve">Unclear – methods outline ADR </w:t>
            </w:r>
            <w:r w:rsidR="00F94C82" w:rsidRPr="008937F3">
              <w:rPr>
                <w:rFonts w:ascii="Calibri" w:eastAsia="Times New Roman" w:hAnsi="Calibri" w:cs="Calibri"/>
                <w:color w:val="000000"/>
                <w:sz w:val="20"/>
                <w:lang w:eastAsia="en-GB"/>
              </w:rPr>
              <w:t>scoring systems</w:t>
            </w:r>
            <w:r>
              <w:rPr>
                <w:rFonts w:ascii="Calibri" w:eastAsia="Times New Roman" w:hAnsi="Calibri" w:cs="Calibri"/>
                <w:color w:val="000000"/>
                <w:sz w:val="20"/>
                <w:lang w:eastAsia="en-GB"/>
              </w:rPr>
              <w:t>. I</w:t>
            </w:r>
            <w:r w:rsidR="00F94C82" w:rsidRPr="008937F3">
              <w:rPr>
                <w:rFonts w:ascii="Calibri" w:eastAsia="Times New Roman" w:hAnsi="Calibri" w:cs="Calibri"/>
                <w:color w:val="000000"/>
                <w:sz w:val="20"/>
                <w:lang w:eastAsia="en-GB"/>
              </w:rPr>
              <w:t xml:space="preserve">nadequate detail as to by whom the assessment was conducted </w:t>
            </w:r>
          </w:p>
        </w:tc>
      </w:tr>
      <w:tr w:rsidR="00A64576" w:rsidRPr="00F94C82" w14:paraId="43C0E256" w14:textId="77777777" w:rsidTr="006A7A6F">
        <w:trPr>
          <w:trHeight w:val="183"/>
        </w:trPr>
        <w:tc>
          <w:tcPr>
            <w:tcW w:w="1846" w:type="dxa"/>
            <w:shd w:val="clear" w:color="auto" w:fill="E7E6E6" w:themeFill="background2"/>
            <w:vAlign w:val="center"/>
            <w:hideMark/>
          </w:tcPr>
          <w:p w14:paraId="0AB45CDB" w14:textId="6FC2769C" w:rsidR="00A64576" w:rsidRDefault="00F478FC" w:rsidP="006A7A6F">
            <w:pPr>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Contd.</w:t>
            </w:r>
          </w:p>
          <w:p w14:paraId="445AED83" w14:textId="77777777" w:rsidR="00A64576" w:rsidRPr="004B30EF" w:rsidRDefault="00A64576" w:rsidP="006A7A6F">
            <w:pPr>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Description </w:t>
            </w:r>
          </w:p>
        </w:tc>
        <w:tc>
          <w:tcPr>
            <w:tcW w:w="1133" w:type="dxa"/>
            <w:shd w:val="clear" w:color="auto" w:fill="E7E6E6" w:themeFill="background2"/>
            <w:vAlign w:val="center"/>
            <w:hideMark/>
          </w:tcPr>
          <w:p w14:paraId="6F569E04"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Liao </w:t>
            </w:r>
            <w:r w:rsidRPr="00CF1F2A">
              <w:rPr>
                <w:rFonts w:ascii="Calibri" w:eastAsia="Times New Roman" w:hAnsi="Calibri" w:cs="Calibri"/>
                <w:b/>
                <w:bCs/>
                <w:noProof/>
                <w:color w:val="000000"/>
                <w:sz w:val="20"/>
                <w:vertAlign w:val="superscript"/>
                <w:lang w:eastAsia="en-GB"/>
              </w:rPr>
              <w:t>31</w:t>
            </w:r>
            <w:r>
              <w:rPr>
                <w:rFonts w:ascii="Calibri" w:eastAsia="Times New Roman" w:hAnsi="Calibri" w:cs="Calibri"/>
                <w:b/>
                <w:bCs/>
                <w:color w:val="000000"/>
                <w:sz w:val="20"/>
                <w:lang w:eastAsia="en-GB"/>
              </w:rPr>
              <w:t xml:space="preserve"> </w:t>
            </w:r>
          </w:p>
          <w:p w14:paraId="68F90114"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2019 Judgement</w:t>
            </w:r>
          </w:p>
        </w:tc>
        <w:tc>
          <w:tcPr>
            <w:tcW w:w="2975" w:type="dxa"/>
            <w:shd w:val="clear" w:color="auto" w:fill="E7E6E6" w:themeFill="background2"/>
            <w:vAlign w:val="center"/>
            <w:hideMark/>
          </w:tcPr>
          <w:p w14:paraId="33AB3F66"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Liao </w:t>
            </w:r>
            <w:r w:rsidRPr="00CF1F2A">
              <w:rPr>
                <w:rFonts w:ascii="Calibri" w:eastAsia="Times New Roman" w:hAnsi="Calibri" w:cs="Calibri"/>
                <w:b/>
                <w:bCs/>
                <w:noProof/>
                <w:color w:val="000000"/>
                <w:sz w:val="20"/>
                <w:vertAlign w:val="superscript"/>
                <w:lang w:eastAsia="en-GB"/>
              </w:rPr>
              <w:t>31</w:t>
            </w:r>
            <w:r>
              <w:rPr>
                <w:rFonts w:ascii="Calibri" w:eastAsia="Times New Roman" w:hAnsi="Calibri" w:cs="Calibri"/>
                <w:b/>
                <w:bCs/>
                <w:color w:val="000000"/>
                <w:sz w:val="20"/>
                <w:lang w:eastAsia="en-GB"/>
              </w:rPr>
              <w:t xml:space="preserve"> </w:t>
            </w:r>
          </w:p>
          <w:p w14:paraId="4BABEB72"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2019 </w:t>
            </w:r>
          </w:p>
          <w:p w14:paraId="1D744185"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10023B46"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Mohebbi </w:t>
            </w:r>
            <w:r w:rsidRPr="00CF1F2A">
              <w:rPr>
                <w:rFonts w:ascii="Calibri" w:eastAsia="Times New Roman" w:hAnsi="Calibri" w:cs="Calibri"/>
                <w:b/>
                <w:bCs/>
                <w:noProof/>
                <w:color w:val="000000"/>
                <w:sz w:val="20"/>
                <w:vertAlign w:val="superscript"/>
                <w:lang w:eastAsia="en-GB"/>
              </w:rPr>
              <w:t>32</w:t>
            </w:r>
            <w:r>
              <w:rPr>
                <w:rFonts w:ascii="Calibri" w:eastAsia="Times New Roman" w:hAnsi="Calibri" w:cs="Calibri"/>
                <w:b/>
                <w:bCs/>
                <w:color w:val="000000"/>
                <w:sz w:val="20"/>
                <w:lang w:eastAsia="en-GB"/>
              </w:rPr>
              <w:t xml:space="preserve"> </w:t>
            </w:r>
          </w:p>
          <w:p w14:paraId="40A8A97F"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201</w:t>
            </w:r>
            <w:r>
              <w:rPr>
                <w:rFonts w:ascii="Calibri" w:eastAsia="Times New Roman" w:hAnsi="Calibri" w:cs="Calibri"/>
                <w:b/>
                <w:bCs/>
                <w:color w:val="000000"/>
                <w:sz w:val="20"/>
                <w:lang w:eastAsia="en-GB"/>
              </w:rPr>
              <w:t>0</w:t>
            </w:r>
            <w:r w:rsidRPr="004B30EF">
              <w:rPr>
                <w:rFonts w:ascii="Calibri" w:eastAsia="Times New Roman" w:hAnsi="Calibri" w:cs="Calibri"/>
                <w:b/>
                <w:bCs/>
                <w:color w:val="000000"/>
                <w:sz w:val="20"/>
                <w:lang w:eastAsia="en-GB"/>
              </w:rPr>
              <w:t xml:space="preserve"> Judgement</w:t>
            </w:r>
          </w:p>
        </w:tc>
        <w:tc>
          <w:tcPr>
            <w:tcW w:w="2410" w:type="dxa"/>
            <w:shd w:val="clear" w:color="auto" w:fill="E7E6E6" w:themeFill="background2"/>
            <w:vAlign w:val="center"/>
            <w:hideMark/>
          </w:tcPr>
          <w:p w14:paraId="217B4867"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Mohebbi </w:t>
            </w:r>
            <w:r w:rsidRPr="00CF1F2A">
              <w:rPr>
                <w:rFonts w:ascii="Calibri" w:eastAsia="Times New Roman" w:hAnsi="Calibri" w:cs="Calibri"/>
                <w:b/>
                <w:bCs/>
                <w:noProof/>
                <w:color w:val="000000"/>
                <w:sz w:val="20"/>
                <w:vertAlign w:val="superscript"/>
                <w:lang w:eastAsia="en-GB"/>
              </w:rPr>
              <w:t>32</w:t>
            </w:r>
            <w:r>
              <w:rPr>
                <w:rFonts w:ascii="Calibri" w:eastAsia="Times New Roman" w:hAnsi="Calibri" w:cs="Calibri"/>
                <w:b/>
                <w:bCs/>
                <w:color w:val="000000"/>
                <w:sz w:val="20"/>
                <w:lang w:eastAsia="en-GB"/>
              </w:rPr>
              <w:t xml:space="preserve"> </w:t>
            </w:r>
          </w:p>
          <w:p w14:paraId="1195540A" w14:textId="77777777" w:rsidR="00A64576"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2010 </w:t>
            </w:r>
          </w:p>
          <w:p w14:paraId="28C5B516" w14:textId="77777777" w:rsidR="00A64576" w:rsidRPr="004B30EF" w:rsidRDefault="00A645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r>
      <w:tr w:rsidR="00AE6550" w:rsidRPr="00F94C82" w14:paraId="796E5B5F" w14:textId="77777777" w:rsidTr="008937F3">
        <w:trPr>
          <w:trHeight w:val="40"/>
        </w:trPr>
        <w:tc>
          <w:tcPr>
            <w:tcW w:w="1846" w:type="dxa"/>
            <w:shd w:val="clear" w:color="auto" w:fill="auto"/>
            <w:vAlign w:val="center"/>
            <w:hideMark/>
          </w:tcPr>
          <w:p w14:paraId="1E8ABD7C" w14:textId="108D7D47" w:rsidR="00AE6550" w:rsidRPr="008937F3" w:rsidRDefault="00AE6550">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133" w:type="dxa"/>
            <w:shd w:val="clear" w:color="auto" w:fill="E2EFD9" w:themeFill="accent6" w:themeFillTint="33"/>
            <w:vAlign w:val="center"/>
            <w:hideMark/>
          </w:tcPr>
          <w:p w14:paraId="4B93FA83" w14:textId="77777777" w:rsidR="00AE6550" w:rsidRPr="008937F3" w:rsidRDefault="00AE6550"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06FE63D6" w14:textId="1F4186D8" w:rsidR="00AE6550" w:rsidRPr="008937F3" w:rsidRDefault="00AE6550"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417" w:type="dxa"/>
            <w:shd w:val="clear" w:color="auto" w:fill="F6D5D2"/>
            <w:vAlign w:val="center"/>
            <w:hideMark/>
          </w:tcPr>
          <w:p w14:paraId="6848BFF6" w14:textId="57632F7A" w:rsidR="00AE6550" w:rsidRPr="008937F3" w:rsidRDefault="00AE6550"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Times New Roman"/>
                <w:color w:val="FF0000"/>
                <w:sz w:val="20"/>
                <w:lang w:eastAsia="en-GB"/>
              </w:rPr>
              <w:t>0</w:t>
            </w:r>
          </w:p>
        </w:tc>
        <w:tc>
          <w:tcPr>
            <w:tcW w:w="2410" w:type="dxa"/>
            <w:shd w:val="clear" w:color="auto" w:fill="auto"/>
            <w:vAlign w:val="center"/>
            <w:hideMark/>
          </w:tcPr>
          <w:p w14:paraId="49F93B8D" w14:textId="7D8B05D8" w:rsidR="00AE6550" w:rsidRPr="008937F3" w:rsidRDefault="00AE6550"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C673D0">
              <w:rPr>
                <w:rFonts w:ascii="Calibri" w:eastAsia="Times New Roman" w:hAnsi="Calibri" w:cs="Times New Roman"/>
                <w:color w:val="000000"/>
                <w:sz w:val="20"/>
                <w:lang w:eastAsia="en-GB"/>
              </w:rPr>
              <w:t>No description of period of follow-up reported</w:t>
            </w:r>
            <w:r>
              <w:rPr>
                <w:rFonts w:ascii="Calibri" w:eastAsia="Times New Roman" w:hAnsi="Calibri" w:cs="Times New Roman"/>
                <w:color w:val="000000"/>
                <w:sz w:val="20"/>
                <w:lang w:eastAsia="en-GB"/>
              </w:rPr>
              <w:t>.</w:t>
            </w:r>
          </w:p>
        </w:tc>
      </w:tr>
      <w:tr w:rsidR="00F94C82" w:rsidRPr="00F94C82" w14:paraId="6976F445" w14:textId="77777777" w:rsidTr="008937F3">
        <w:trPr>
          <w:trHeight w:val="40"/>
        </w:trPr>
        <w:tc>
          <w:tcPr>
            <w:tcW w:w="1846" w:type="dxa"/>
            <w:shd w:val="clear" w:color="auto" w:fill="auto"/>
            <w:vAlign w:val="center"/>
            <w:hideMark/>
          </w:tcPr>
          <w:p w14:paraId="19B452D6" w14:textId="4B435AB2" w:rsidR="00F94C82" w:rsidRPr="008937F3" w:rsidRDefault="00F94C82">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Adequac</w:t>
            </w:r>
            <w:r w:rsidR="00AE6550">
              <w:rPr>
                <w:rFonts w:ascii="Calibri" w:eastAsia="Times New Roman" w:hAnsi="Calibri" w:cs="Calibri"/>
                <w:b/>
                <w:bCs/>
                <w:color w:val="000000"/>
                <w:sz w:val="20"/>
                <w:lang w:eastAsia="en-GB"/>
              </w:rPr>
              <w:t xml:space="preserve">y of follow up of cohorts </w:t>
            </w:r>
          </w:p>
        </w:tc>
        <w:tc>
          <w:tcPr>
            <w:tcW w:w="1133" w:type="dxa"/>
            <w:shd w:val="clear" w:color="auto" w:fill="E2EFD9" w:themeFill="accent6" w:themeFillTint="33"/>
            <w:vAlign w:val="center"/>
            <w:hideMark/>
          </w:tcPr>
          <w:p w14:paraId="35DA9104"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1CFA25EA" w14:textId="550D05F9" w:rsidR="00F94C82" w:rsidRPr="008937F3" w:rsidRDefault="00AE6550">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438D4538" w14:textId="77777777" w:rsidR="00F94C82" w:rsidRPr="008937F3" w:rsidRDefault="00F94C82"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1DA54C90" w14:textId="2A1D8CF7" w:rsidR="00F94C82" w:rsidRPr="008937F3" w:rsidRDefault="00AE6550">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72AA1D80" w14:textId="3BB18C64" w:rsidR="009138D7" w:rsidRPr="008937F3" w:rsidRDefault="009138D7" w:rsidP="008937F3">
      <w:pPr>
        <w:rPr>
          <w:i/>
        </w:rPr>
      </w:pPr>
      <w:r w:rsidRPr="008937F3">
        <w:rPr>
          <w:i/>
          <w:sz w:val="16"/>
        </w:rPr>
        <w:t>*Liao et al. was subsequently excluded from analyses based on concerns regarding potential reporting bias in the accuracy of the reported ADR rates in the database it was conducted from</w:t>
      </w:r>
    </w:p>
    <w:p w14:paraId="4066D533" w14:textId="771EC94B" w:rsidR="00D71E20" w:rsidRDefault="00D71E20" w:rsidP="008937F3">
      <w:pPr>
        <w:pStyle w:val="Heading3"/>
      </w:pPr>
      <w:bookmarkStart w:id="22" w:name="_Toc52396344"/>
      <w:r>
        <w:t>Mugosa 2015, O’Connor 2012</w:t>
      </w:r>
      <w:bookmarkEnd w:id="22"/>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33"/>
        <w:gridCol w:w="2975"/>
        <w:gridCol w:w="1417"/>
        <w:gridCol w:w="2410"/>
      </w:tblGrid>
      <w:tr w:rsidR="009E2218" w:rsidRPr="009E2218" w14:paraId="3764ED0E" w14:textId="77777777" w:rsidTr="008937F3">
        <w:trPr>
          <w:trHeight w:val="456"/>
        </w:trPr>
        <w:tc>
          <w:tcPr>
            <w:tcW w:w="1846" w:type="dxa"/>
            <w:shd w:val="clear" w:color="auto" w:fill="E7E6E6" w:themeFill="background2"/>
            <w:vAlign w:val="center"/>
            <w:hideMark/>
          </w:tcPr>
          <w:p w14:paraId="4F111DF6" w14:textId="77777777" w:rsidR="009E2218" w:rsidRPr="008937F3" w:rsidRDefault="009E2218">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133" w:type="dxa"/>
            <w:shd w:val="clear" w:color="auto" w:fill="E7E6E6" w:themeFill="background2"/>
            <w:vAlign w:val="center"/>
            <w:hideMark/>
          </w:tcPr>
          <w:p w14:paraId="5EB74B98" w14:textId="7993B01B" w:rsidR="009E2218" w:rsidRPr="008937F3" w:rsidRDefault="009E2218"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Mugosa </w:t>
            </w:r>
            <w:r w:rsidR="00CF1F2A" w:rsidRPr="00CF1F2A">
              <w:rPr>
                <w:rFonts w:ascii="Calibri" w:eastAsia="Times New Roman" w:hAnsi="Calibri" w:cs="Calibri"/>
                <w:b/>
                <w:bCs/>
                <w:noProof/>
                <w:color w:val="000000"/>
                <w:sz w:val="20"/>
                <w:vertAlign w:val="superscript"/>
                <w:lang w:eastAsia="en-GB"/>
              </w:rPr>
              <w:t>33</w:t>
            </w:r>
            <w:r w:rsidR="00C80B87">
              <w:rPr>
                <w:rFonts w:ascii="Calibri" w:eastAsia="Times New Roman" w:hAnsi="Calibri" w:cs="Calibri"/>
                <w:b/>
                <w:bCs/>
                <w:color w:val="000000"/>
                <w:sz w:val="20"/>
                <w:lang w:eastAsia="en-GB"/>
              </w:rPr>
              <w:t xml:space="preserve"> </w:t>
            </w:r>
            <w:r w:rsidRPr="008937F3">
              <w:rPr>
                <w:rFonts w:ascii="Calibri" w:eastAsia="Times New Roman" w:hAnsi="Calibri" w:cs="Calibri"/>
                <w:b/>
                <w:bCs/>
                <w:color w:val="000000"/>
                <w:sz w:val="20"/>
                <w:lang w:eastAsia="en-GB"/>
              </w:rPr>
              <w:t>2015 Judgement</w:t>
            </w:r>
          </w:p>
        </w:tc>
        <w:tc>
          <w:tcPr>
            <w:tcW w:w="2975" w:type="dxa"/>
            <w:shd w:val="clear" w:color="auto" w:fill="E7E6E6" w:themeFill="background2"/>
            <w:vAlign w:val="center"/>
            <w:hideMark/>
          </w:tcPr>
          <w:p w14:paraId="33140596" w14:textId="16E7083C" w:rsidR="00E758CE"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Mugosa </w:t>
            </w:r>
            <w:r w:rsidR="00CF1F2A" w:rsidRPr="00CF1F2A">
              <w:rPr>
                <w:rFonts w:ascii="Calibri" w:eastAsia="Times New Roman" w:hAnsi="Calibri" w:cs="Calibri"/>
                <w:b/>
                <w:bCs/>
                <w:noProof/>
                <w:color w:val="000000"/>
                <w:sz w:val="20"/>
                <w:vertAlign w:val="superscript"/>
                <w:lang w:eastAsia="en-GB"/>
              </w:rPr>
              <w:t>33</w:t>
            </w:r>
            <w:r w:rsidR="00C80B87">
              <w:rPr>
                <w:rFonts w:ascii="Calibri" w:eastAsia="Times New Roman" w:hAnsi="Calibri" w:cs="Calibri"/>
                <w:b/>
                <w:bCs/>
                <w:color w:val="000000"/>
                <w:sz w:val="20"/>
                <w:lang w:eastAsia="en-GB"/>
              </w:rPr>
              <w:t xml:space="preserve"> </w:t>
            </w:r>
          </w:p>
          <w:p w14:paraId="64F5753B" w14:textId="77777777" w:rsidR="00E758CE"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2015 </w:t>
            </w:r>
          </w:p>
          <w:p w14:paraId="38DBEF45" w14:textId="4CFB6F9B"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6876F6DE" w14:textId="0BF787CD" w:rsidR="009E2218" w:rsidRPr="008937F3" w:rsidRDefault="009E2218"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O'Connor </w:t>
            </w:r>
            <w:r w:rsidR="00CF1F2A" w:rsidRPr="00CF1F2A">
              <w:rPr>
                <w:rFonts w:ascii="Calibri" w:eastAsia="Times New Roman" w:hAnsi="Calibri" w:cs="Calibri"/>
                <w:b/>
                <w:bCs/>
                <w:noProof/>
                <w:color w:val="000000"/>
                <w:sz w:val="20"/>
                <w:vertAlign w:val="superscript"/>
                <w:lang w:eastAsia="en-GB"/>
              </w:rPr>
              <w:t>22</w:t>
            </w:r>
            <w:r w:rsidR="00C80B87">
              <w:rPr>
                <w:rFonts w:ascii="Calibri" w:eastAsia="Times New Roman" w:hAnsi="Calibri" w:cs="Calibri"/>
                <w:b/>
                <w:bCs/>
                <w:color w:val="000000"/>
                <w:sz w:val="20"/>
                <w:lang w:eastAsia="en-GB"/>
              </w:rPr>
              <w:t xml:space="preserve"> </w:t>
            </w:r>
            <w:r w:rsidRPr="008937F3">
              <w:rPr>
                <w:rFonts w:ascii="Calibri" w:eastAsia="Times New Roman" w:hAnsi="Calibri" w:cs="Calibri"/>
                <w:b/>
                <w:bCs/>
                <w:color w:val="000000"/>
                <w:sz w:val="20"/>
                <w:lang w:eastAsia="en-GB"/>
              </w:rPr>
              <w:t>2012 Judgement</w:t>
            </w:r>
          </w:p>
        </w:tc>
        <w:tc>
          <w:tcPr>
            <w:tcW w:w="2410" w:type="dxa"/>
            <w:shd w:val="clear" w:color="auto" w:fill="E7E6E6" w:themeFill="background2"/>
            <w:vAlign w:val="center"/>
            <w:hideMark/>
          </w:tcPr>
          <w:p w14:paraId="6346852A" w14:textId="3D9813EF" w:rsidR="00E758CE"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O'Connor </w:t>
            </w:r>
            <w:r w:rsidR="00CF1F2A" w:rsidRPr="00CF1F2A">
              <w:rPr>
                <w:rFonts w:ascii="Calibri" w:eastAsia="Times New Roman" w:hAnsi="Calibri" w:cs="Calibri"/>
                <w:b/>
                <w:bCs/>
                <w:noProof/>
                <w:color w:val="000000"/>
                <w:sz w:val="20"/>
                <w:vertAlign w:val="superscript"/>
                <w:lang w:eastAsia="en-GB"/>
              </w:rPr>
              <w:t>22</w:t>
            </w:r>
            <w:r w:rsidR="00C80B87">
              <w:rPr>
                <w:rFonts w:ascii="Calibri" w:eastAsia="Times New Roman" w:hAnsi="Calibri" w:cs="Calibri"/>
                <w:b/>
                <w:bCs/>
                <w:color w:val="000000"/>
                <w:sz w:val="20"/>
                <w:lang w:eastAsia="en-GB"/>
              </w:rPr>
              <w:t xml:space="preserve"> </w:t>
            </w:r>
          </w:p>
          <w:p w14:paraId="181856F6" w14:textId="77777777" w:rsidR="00E758CE"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2012 </w:t>
            </w:r>
          </w:p>
          <w:p w14:paraId="36E98375" w14:textId="754CA30E"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9E2218" w:rsidRPr="009E2218" w14:paraId="70B3C881" w14:textId="77777777" w:rsidTr="008937F3">
        <w:trPr>
          <w:trHeight w:val="488"/>
        </w:trPr>
        <w:tc>
          <w:tcPr>
            <w:tcW w:w="1846" w:type="dxa"/>
            <w:shd w:val="clear" w:color="auto" w:fill="auto"/>
            <w:vAlign w:val="center"/>
            <w:hideMark/>
          </w:tcPr>
          <w:p w14:paraId="35E70BDA"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133" w:type="dxa"/>
            <w:shd w:val="clear" w:color="auto" w:fill="FFF2CC" w:themeFill="accent4" w:themeFillTint="33"/>
            <w:vAlign w:val="center"/>
            <w:hideMark/>
          </w:tcPr>
          <w:p w14:paraId="7BBE74E5" w14:textId="77777777" w:rsidR="009E2218" w:rsidRPr="008937F3" w:rsidRDefault="009E2218">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C000" w:themeColor="accent4"/>
                <w:sz w:val="20"/>
                <w:lang w:eastAsia="en-GB"/>
              </w:rPr>
              <w:t>?</w:t>
            </w:r>
          </w:p>
        </w:tc>
        <w:tc>
          <w:tcPr>
            <w:tcW w:w="2975" w:type="dxa"/>
            <w:shd w:val="clear" w:color="auto" w:fill="auto"/>
            <w:vAlign w:val="center"/>
            <w:hideMark/>
          </w:tcPr>
          <w:p w14:paraId="54977910" w14:textId="587D80C1" w:rsidR="009E2218" w:rsidRPr="008937F3" w:rsidRDefault="00171B24"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population, setting, duration of study. However, selection of 200 participants is unclear.  </w:t>
            </w:r>
          </w:p>
        </w:tc>
        <w:tc>
          <w:tcPr>
            <w:tcW w:w="1417" w:type="dxa"/>
            <w:shd w:val="clear" w:color="auto" w:fill="E2EFD9" w:themeFill="accent6" w:themeFillTint="33"/>
            <w:vAlign w:val="center"/>
            <w:hideMark/>
          </w:tcPr>
          <w:p w14:paraId="520C4F07"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3D408ED1" w14:textId="72DC5860" w:rsidR="009E2218" w:rsidRPr="008937F3" w:rsidRDefault="00171B24"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9E2218" w:rsidRPr="009E2218" w14:paraId="5AEFC249" w14:textId="77777777" w:rsidTr="008937F3">
        <w:trPr>
          <w:trHeight w:val="771"/>
        </w:trPr>
        <w:tc>
          <w:tcPr>
            <w:tcW w:w="1846" w:type="dxa"/>
            <w:shd w:val="clear" w:color="auto" w:fill="auto"/>
            <w:vAlign w:val="center"/>
            <w:hideMark/>
          </w:tcPr>
          <w:p w14:paraId="3C20023C"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133" w:type="dxa"/>
            <w:shd w:val="clear" w:color="auto" w:fill="E2EFD9" w:themeFill="accent6" w:themeFillTint="33"/>
            <w:vAlign w:val="center"/>
            <w:hideMark/>
          </w:tcPr>
          <w:p w14:paraId="33029DED"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067156AE" w14:textId="35D112B4" w:rsidR="009E2218" w:rsidRPr="008937F3" w:rsidRDefault="00001F8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w:t>
            </w:r>
          </w:p>
        </w:tc>
        <w:tc>
          <w:tcPr>
            <w:tcW w:w="1417" w:type="dxa"/>
            <w:shd w:val="clear" w:color="auto" w:fill="E2EFD9" w:themeFill="accent6" w:themeFillTint="33"/>
            <w:vAlign w:val="center"/>
            <w:hideMark/>
          </w:tcPr>
          <w:p w14:paraId="451712EC" w14:textId="77777777" w:rsidR="009E2218" w:rsidRPr="008937F3" w:rsidRDefault="009E2218"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213DCD0A" w14:textId="015367B0" w:rsidR="009E2218" w:rsidRPr="008937F3" w:rsidRDefault="00001F8C"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9E2218" w:rsidRPr="009E2218" w14:paraId="539BC4B3" w14:textId="77777777" w:rsidTr="008937F3">
        <w:trPr>
          <w:trHeight w:val="358"/>
        </w:trPr>
        <w:tc>
          <w:tcPr>
            <w:tcW w:w="1846" w:type="dxa"/>
            <w:shd w:val="clear" w:color="auto" w:fill="auto"/>
            <w:vAlign w:val="center"/>
            <w:hideMark/>
          </w:tcPr>
          <w:p w14:paraId="3AFD5990"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133" w:type="dxa"/>
            <w:shd w:val="clear" w:color="auto" w:fill="F6D5D2"/>
            <w:vAlign w:val="center"/>
            <w:hideMark/>
          </w:tcPr>
          <w:p w14:paraId="2461CA7F"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975" w:type="dxa"/>
            <w:shd w:val="clear" w:color="auto" w:fill="auto"/>
            <w:vAlign w:val="center"/>
            <w:hideMark/>
          </w:tcPr>
          <w:p w14:paraId="56A2342A" w14:textId="6CD70791" w:rsidR="00001F8C" w:rsidRPr="008937F3" w:rsidRDefault="00001F8C" w:rsidP="008937F3">
            <w:pPr>
              <w:spacing w:after="0" w:line="240" w:lineRule="auto"/>
              <w:rPr>
                <w:rFonts w:ascii="Calibri" w:eastAsia="Times New Roman" w:hAnsi="Calibri" w:cs="Times New Roman"/>
                <w:color w:val="000000"/>
                <w:sz w:val="20"/>
                <w:lang w:eastAsia="en-GB"/>
              </w:rPr>
            </w:pPr>
            <w:r>
              <w:rPr>
                <w:rFonts w:ascii="Calibri" w:eastAsia="Times New Roman" w:hAnsi="Calibri" w:cs="Calibri"/>
                <w:color w:val="000000"/>
                <w:sz w:val="20"/>
                <w:lang w:eastAsia="en-GB"/>
              </w:rPr>
              <w:t xml:space="preserve">Inadequate – solely patient reported ADRs. No </w:t>
            </w:r>
            <w:r>
              <w:rPr>
                <w:rFonts w:ascii="Calibri" w:eastAsia="Times New Roman" w:hAnsi="Calibri" w:cs="Times New Roman"/>
                <w:color w:val="000000"/>
                <w:sz w:val="20"/>
                <w:lang w:eastAsia="en-GB"/>
              </w:rPr>
              <w:t>Description of objective patient/episode review; personnel conducting review, timing of review, data sources used and data extraction method.</w:t>
            </w:r>
          </w:p>
        </w:tc>
        <w:tc>
          <w:tcPr>
            <w:tcW w:w="1417" w:type="dxa"/>
            <w:shd w:val="clear" w:color="auto" w:fill="E2EFD9" w:themeFill="accent6" w:themeFillTint="33"/>
            <w:vAlign w:val="center"/>
            <w:hideMark/>
          </w:tcPr>
          <w:p w14:paraId="27B81AC8"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5CE8373B" w14:textId="7237D1BB" w:rsidR="009E2218" w:rsidRPr="008937F3" w:rsidRDefault="00001F8C"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r>
      <w:tr w:rsidR="009E2218" w:rsidRPr="009E2218" w14:paraId="56CA6D6F" w14:textId="77777777" w:rsidTr="008937F3">
        <w:trPr>
          <w:trHeight w:val="40"/>
        </w:trPr>
        <w:tc>
          <w:tcPr>
            <w:tcW w:w="1846" w:type="dxa"/>
            <w:shd w:val="clear" w:color="auto" w:fill="auto"/>
            <w:vAlign w:val="center"/>
            <w:hideMark/>
          </w:tcPr>
          <w:p w14:paraId="19D5E0F2"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133" w:type="dxa"/>
            <w:shd w:val="clear" w:color="auto" w:fill="F6D5D2"/>
            <w:vAlign w:val="center"/>
            <w:hideMark/>
          </w:tcPr>
          <w:p w14:paraId="3D235631"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975" w:type="dxa"/>
            <w:shd w:val="clear" w:color="auto" w:fill="auto"/>
            <w:vAlign w:val="center"/>
            <w:hideMark/>
          </w:tcPr>
          <w:p w14:paraId="0FAE6B13" w14:textId="696C06BC" w:rsidR="009E2218" w:rsidRPr="008937F3" w:rsidRDefault="00E710F1"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c>
          <w:tcPr>
            <w:tcW w:w="1417" w:type="dxa"/>
            <w:shd w:val="clear" w:color="auto" w:fill="F6D5D2"/>
            <w:vAlign w:val="center"/>
            <w:hideMark/>
          </w:tcPr>
          <w:p w14:paraId="314E6024"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410" w:type="dxa"/>
            <w:shd w:val="clear" w:color="auto" w:fill="auto"/>
            <w:vAlign w:val="center"/>
            <w:hideMark/>
          </w:tcPr>
          <w:p w14:paraId="26CB0D50" w14:textId="221C2A6E" w:rsidR="009E2218" w:rsidRPr="008937F3" w:rsidRDefault="00E710F1"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9E2218" w:rsidRPr="009E2218" w14:paraId="68407EC0" w14:textId="77777777" w:rsidTr="008937F3">
        <w:trPr>
          <w:trHeight w:val="624"/>
        </w:trPr>
        <w:tc>
          <w:tcPr>
            <w:tcW w:w="1846" w:type="dxa"/>
            <w:shd w:val="clear" w:color="auto" w:fill="auto"/>
            <w:vAlign w:val="center"/>
            <w:hideMark/>
          </w:tcPr>
          <w:p w14:paraId="2ED51E15"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133" w:type="dxa"/>
            <w:shd w:val="clear" w:color="auto" w:fill="FFF2CC" w:themeFill="accent4" w:themeFillTint="33"/>
            <w:vAlign w:val="center"/>
            <w:hideMark/>
          </w:tcPr>
          <w:p w14:paraId="40EFCE8A" w14:textId="77777777" w:rsidR="009E2218" w:rsidRPr="008937F3" w:rsidRDefault="009E2218">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C000" w:themeColor="accent4"/>
                <w:sz w:val="20"/>
                <w:lang w:eastAsia="en-GB"/>
              </w:rPr>
              <w:t>?</w:t>
            </w:r>
          </w:p>
        </w:tc>
        <w:tc>
          <w:tcPr>
            <w:tcW w:w="2975" w:type="dxa"/>
            <w:shd w:val="clear" w:color="auto" w:fill="auto"/>
            <w:vAlign w:val="center"/>
            <w:hideMark/>
          </w:tcPr>
          <w:p w14:paraId="4AD365D7" w14:textId="293E82EB" w:rsidR="009E2218" w:rsidRPr="008937F3" w:rsidRDefault="00E10D54"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sz w:val="20"/>
                <w:lang w:eastAsia="en-GB"/>
              </w:rPr>
              <w:t>Methods detail “</w:t>
            </w:r>
            <w:r w:rsidR="009E2218" w:rsidRPr="008937F3">
              <w:rPr>
                <w:rFonts w:ascii="Calibri" w:eastAsia="Times New Roman" w:hAnsi="Calibri" w:cs="Calibri"/>
                <w:color w:val="000000"/>
                <w:sz w:val="20"/>
                <w:lang w:eastAsia="en-GB"/>
              </w:rPr>
              <w:t>discussion</w:t>
            </w:r>
            <w:r>
              <w:rPr>
                <w:rFonts w:ascii="Calibri" w:eastAsia="Times New Roman" w:hAnsi="Calibri" w:cs="Calibri"/>
                <w:color w:val="000000"/>
                <w:sz w:val="20"/>
                <w:lang w:eastAsia="en-GB"/>
              </w:rPr>
              <w:t xml:space="preserve">” </w:t>
            </w:r>
            <w:r w:rsidR="009E2218" w:rsidRPr="008937F3">
              <w:rPr>
                <w:rFonts w:ascii="Calibri" w:eastAsia="Times New Roman" w:hAnsi="Calibri" w:cs="Calibri"/>
                <w:color w:val="000000"/>
                <w:sz w:val="20"/>
                <w:lang w:eastAsia="en-GB"/>
              </w:rPr>
              <w:t>between researcher and doctor after patient reports ADR</w:t>
            </w:r>
            <w:r>
              <w:rPr>
                <w:rFonts w:ascii="Calibri" w:eastAsia="Times New Roman" w:hAnsi="Calibri" w:cs="Calibri"/>
                <w:color w:val="000000"/>
                <w:sz w:val="20"/>
                <w:lang w:eastAsia="en-GB"/>
              </w:rPr>
              <w:t>. Unclear method of assessment and evaluation.</w:t>
            </w:r>
          </w:p>
        </w:tc>
        <w:tc>
          <w:tcPr>
            <w:tcW w:w="1417" w:type="dxa"/>
            <w:shd w:val="clear" w:color="auto" w:fill="E2EFD9" w:themeFill="accent6" w:themeFillTint="33"/>
            <w:vAlign w:val="center"/>
            <w:hideMark/>
          </w:tcPr>
          <w:p w14:paraId="2AF6BD8D"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56D298E5" w14:textId="6E608B3B" w:rsidR="009E2218" w:rsidRPr="008937F3" w:rsidRDefault="00E710F1"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r>
      <w:tr w:rsidR="009E2218" w:rsidRPr="009E2218" w14:paraId="61BBCD0B" w14:textId="77777777" w:rsidTr="008937F3">
        <w:trPr>
          <w:trHeight w:val="703"/>
        </w:trPr>
        <w:tc>
          <w:tcPr>
            <w:tcW w:w="1846" w:type="dxa"/>
            <w:shd w:val="clear" w:color="auto" w:fill="auto"/>
            <w:vAlign w:val="center"/>
            <w:hideMark/>
          </w:tcPr>
          <w:p w14:paraId="0D4B8BBB" w14:textId="77777777"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133" w:type="dxa"/>
            <w:shd w:val="clear" w:color="auto" w:fill="F6D5D2"/>
            <w:vAlign w:val="center"/>
            <w:hideMark/>
          </w:tcPr>
          <w:p w14:paraId="263C41B4"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975" w:type="dxa"/>
            <w:shd w:val="clear" w:color="auto" w:fill="auto"/>
            <w:vAlign w:val="center"/>
            <w:hideMark/>
          </w:tcPr>
          <w:p w14:paraId="70B155C7" w14:textId="445081ED" w:rsidR="009E2218" w:rsidRPr="008937F3" w:rsidRDefault="006644FF"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C673D0">
              <w:rPr>
                <w:rFonts w:ascii="Calibri" w:eastAsia="Times New Roman" w:hAnsi="Calibri" w:cs="Times New Roman"/>
                <w:color w:val="000000"/>
                <w:sz w:val="20"/>
                <w:lang w:eastAsia="en-GB"/>
              </w:rPr>
              <w:t>No description of period of follow-up reported</w:t>
            </w:r>
            <w:r>
              <w:rPr>
                <w:rFonts w:ascii="Calibri" w:eastAsia="Times New Roman" w:hAnsi="Calibri" w:cs="Times New Roman"/>
                <w:color w:val="000000"/>
                <w:sz w:val="20"/>
                <w:lang w:eastAsia="en-GB"/>
              </w:rPr>
              <w:t>.</w:t>
            </w:r>
          </w:p>
        </w:tc>
        <w:tc>
          <w:tcPr>
            <w:tcW w:w="1417" w:type="dxa"/>
            <w:shd w:val="clear" w:color="auto" w:fill="F6D5D2"/>
            <w:vAlign w:val="center"/>
            <w:hideMark/>
          </w:tcPr>
          <w:p w14:paraId="5E34A6C2"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410" w:type="dxa"/>
            <w:shd w:val="clear" w:color="auto" w:fill="auto"/>
            <w:vAlign w:val="center"/>
            <w:hideMark/>
          </w:tcPr>
          <w:p w14:paraId="24EE36DF" w14:textId="49AC31C7" w:rsidR="009E2218" w:rsidRPr="008937F3" w:rsidRDefault="006644FF" w:rsidP="008937F3">
            <w:pPr>
              <w:spacing w:after="0" w:line="240" w:lineRule="auto"/>
              <w:rPr>
                <w:rFonts w:ascii="Calibri" w:eastAsia="Times New Roman" w:hAnsi="Calibri" w:cs="Times New Roman"/>
                <w:color w:val="000000"/>
                <w:sz w:val="20"/>
                <w:lang w:eastAsia="en-GB"/>
              </w:rPr>
            </w:pPr>
            <w:r>
              <w:rPr>
                <w:rFonts w:ascii="Calibri" w:eastAsia="Times New Roman" w:hAnsi="Calibri" w:cs="Times New Roman"/>
                <w:color w:val="000000"/>
                <w:sz w:val="20"/>
                <w:lang w:eastAsia="en-GB"/>
              </w:rPr>
              <w:t>Inadequate – FUP on day 5 and day 10. Potential for ADRs to occur after this and prior to discharge.</w:t>
            </w:r>
          </w:p>
        </w:tc>
      </w:tr>
      <w:tr w:rsidR="009E2218" w:rsidRPr="009E2218" w14:paraId="7F0ACCC0" w14:textId="77777777" w:rsidTr="008937F3">
        <w:trPr>
          <w:trHeight w:val="40"/>
        </w:trPr>
        <w:tc>
          <w:tcPr>
            <w:tcW w:w="1846" w:type="dxa"/>
            <w:shd w:val="clear" w:color="auto" w:fill="auto"/>
            <w:vAlign w:val="center"/>
            <w:hideMark/>
          </w:tcPr>
          <w:p w14:paraId="7CB61C7F" w14:textId="77D87166" w:rsidR="009E2218" w:rsidRPr="008937F3" w:rsidRDefault="009E2218">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Adequacy</w:t>
            </w:r>
            <w:r w:rsidR="001758D1">
              <w:rPr>
                <w:rFonts w:ascii="Calibri" w:eastAsia="Times New Roman" w:hAnsi="Calibri" w:cs="Calibri"/>
                <w:b/>
                <w:bCs/>
                <w:color w:val="000000"/>
                <w:sz w:val="20"/>
                <w:lang w:eastAsia="en-GB"/>
              </w:rPr>
              <w:t xml:space="preserve"> of follow up of cohorts</w:t>
            </w:r>
          </w:p>
        </w:tc>
        <w:tc>
          <w:tcPr>
            <w:tcW w:w="1133" w:type="dxa"/>
            <w:shd w:val="clear" w:color="auto" w:fill="E2EFD9" w:themeFill="accent6" w:themeFillTint="33"/>
            <w:vAlign w:val="center"/>
            <w:hideMark/>
          </w:tcPr>
          <w:p w14:paraId="71703DDA"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5" w:type="dxa"/>
            <w:shd w:val="clear" w:color="auto" w:fill="auto"/>
            <w:vAlign w:val="center"/>
            <w:hideMark/>
          </w:tcPr>
          <w:p w14:paraId="7A01CF00" w14:textId="6CE8B08A" w:rsidR="009E2218" w:rsidRPr="008937F3" w:rsidRDefault="006644FF">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326F281D" w14:textId="77777777" w:rsidR="009E2218" w:rsidRPr="008937F3" w:rsidRDefault="009E2218"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6D62B6C6" w14:textId="25E5334B" w:rsidR="009E2218" w:rsidRPr="008937F3" w:rsidRDefault="006644FF">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3E7ED5F9" w14:textId="77777777" w:rsidR="006644FF" w:rsidRDefault="006644FF" w:rsidP="008937F3">
      <w:pPr>
        <w:pStyle w:val="Heading3"/>
      </w:pPr>
    </w:p>
    <w:p w14:paraId="075F1E11" w14:textId="26B31023" w:rsidR="009E2218" w:rsidRDefault="000C075A" w:rsidP="008937F3">
      <w:pPr>
        <w:pStyle w:val="Heading3"/>
      </w:pPr>
      <w:bookmarkStart w:id="23" w:name="_Toc52396345"/>
      <w:r>
        <w:t>Onder 2010, Reichel 1965</w:t>
      </w:r>
      <w:bookmarkEnd w:id="23"/>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136"/>
        <w:gridCol w:w="2977"/>
        <w:gridCol w:w="1417"/>
        <w:gridCol w:w="2410"/>
      </w:tblGrid>
      <w:tr w:rsidR="00730B1A" w:rsidRPr="00730B1A" w14:paraId="3792378D" w14:textId="77777777" w:rsidTr="008937F3">
        <w:trPr>
          <w:trHeight w:val="880"/>
        </w:trPr>
        <w:tc>
          <w:tcPr>
            <w:tcW w:w="1846" w:type="dxa"/>
            <w:shd w:val="clear" w:color="auto" w:fill="E7E6E6" w:themeFill="background2"/>
            <w:vAlign w:val="center"/>
            <w:hideMark/>
          </w:tcPr>
          <w:p w14:paraId="3EF4E525" w14:textId="77777777" w:rsidR="00730B1A" w:rsidRPr="008937F3" w:rsidRDefault="00730B1A">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136" w:type="dxa"/>
            <w:shd w:val="clear" w:color="auto" w:fill="E7E6E6" w:themeFill="background2"/>
            <w:vAlign w:val="center"/>
            <w:hideMark/>
          </w:tcPr>
          <w:p w14:paraId="54078439" w14:textId="6B4EBB6C" w:rsidR="00730B1A" w:rsidRPr="008937F3" w:rsidRDefault="00730B1A"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Onder </w:t>
            </w:r>
            <w:r w:rsidR="00CF1F2A" w:rsidRPr="00CF1F2A">
              <w:rPr>
                <w:rFonts w:ascii="Calibri" w:eastAsia="Times New Roman" w:hAnsi="Calibri" w:cs="Calibri"/>
                <w:b/>
                <w:bCs/>
                <w:noProof/>
                <w:color w:val="000000"/>
                <w:sz w:val="20"/>
                <w:vertAlign w:val="superscript"/>
                <w:lang w:eastAsia="en-GB"/>
              </w:rPr>
              <w:t>24</w:t>
            </w:r>
            <w:r w:rsidR="00C80B87">
              <w:rPr>
                <w:rFonts w:ascii="Calibri" w:eastAsia="Times New Roman" w:hAnsi="Calibri" w:cs="Calibri"/>
                <w:b/>
                <w:bCs/>
                <w:color w:val="000000"/>
                <w:sz w:val="20"/>
                <w:lang w:eastAsia="en-GB"/>
              </w:rPr>
              <w:t xml:space="preserve"> </w:t>
            </w:r>
            <w:r w:rsidRPr="008937F3">
              <w:rPr>
                <w:rFonts w:ascii="Calibri" w:eastAsia="Times New Roman" w:hAnsi="Calibri" w:cs="Calibri"/>
                <w:b/>
                <w:bCs/>
                <w:color w:val="000000"/>
                <w:sz w:val="20"/>
                <w:lang w:eastAsia="en-GB"/>
              </w:rPr>
              <w:t>2010 Judgement</w:t>
            </w:r>
          </w:p>
        </w:tc>
        <w:tc>
          <w:tcPr>
            <w:tcW w:w="2977" w:type="dxa"/>
            <w:shd w:val="clear" w:color="auto" w:fill="E7E6E6" w:themeFill="background2"/>
            <w:vAlign w:val="center"/>
            <w:hideMark/>
          </w:tcPr>
          <w:p w14:paraId="45DF3DEC" w14:textId="0AA6ACBE" w:rsidR="006644FF"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Onder </w:t>
            </w:r>
            <w:r w:rsidR="00CF1F2A" w:rsidRPr="00CF1F2A">
              <w:rPr>
                <w:rFonts w:ascii="Calibri" w:eastAsia="Times New Roman" w:hAnsi="Calibri" w:cs="Calibri"/>
                <w:b/>
                <w:bCs/>
                <w:noProof/>
                <w:color w:val="000000"/>
                <w:sz w:val="20"/>
                <w:vertAlign w:val="superscript"/>
                <w:lang w:eastAsia="en-GB"/>
              </w:rPr>
              <w:t>24</w:t>
            </w:r>
            <w:r w:rsidR="00C80B87">
              <w:rPr>
                <w:rFonts w:ascii="Calibri" w:eastAsia="Times New Roman" w:hAnsi="Calibri" w:cs="Calibri"/>
                <w:b/>
                <w:bCs/>
                <w:color w:val="000000"/>
                <w:sz w:val="20"/>
                <w:lang w:eastAsia="en-GB"/>
              </w:rPr>
              <w:t xml:space="preserve"> </w:t>
            </w:r>
          </w:p>
          <w:p w14:paraId="2F69AFED" w14:textId="77777777" w:rsidR="006644FF"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2010 </w:t>
            </w:r>
          </w:p>
          <w:p w14:paraId="3F6858FF" w14:textId="6A49E1D6"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17" w:type="dxa"/>
            <w:shd w:val="clear" w:color="auto" w:fill="E7E6E6" w:themeFill="background2"/>
            <w:vAlign w:val="center"/>
            <w:hideMark/>
          </w:tcPr>
          <w:p w14:paraId="14EFC778" w14:textId="0322FCED" w:rsidR="006644FF"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Reichel </w:t>
            </w:r>
            <w:r w:rsidR="00CF1F2A" w:rsidRPr="00CF1F2A">
              <w:rPr>
                <w:rFonts w:ascii="Calibri" w:eastAsia="Times New Roman" w:hAnsi="Calibri" w:cs="Calibri"/>
                <w:b/>
                <w:bCs/>
                <w:noProof/>
                <w:color w:val="000000"/>
                <w:sz w:val="20"/>
                <w:vertAlign w:val="superscript"/>
                <w:lang w:eastAsia="en-GB"/>
              </w:rPr>
              <w:t>26</w:t>
            </w:r>
            <w:r w:rsidR="00C80B87">
              <w:rPr>
                <w:rFonts w:ascii="Calibri" w:eastAsia="Times New Roman" w:hAnsi="Calibri" w:cs="Calibri"/>
                <w:b/>
                <w:bCs/>
                <w:color w:val="000000"/>
                <w:sz w:val="20"/>
                <w:lang w:eastAsia="en-GB"/>
              </w:rPr>
              <w:t xml:space="preserve"> </w:t>
            </w:r>
          </w:p>
          <w:p w14:paraId="212B03C2" w14:textId="11556AD2"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1965 Judgement</w:t>
            </w:r>
          </w:p>
        </w:tc>
        <w:tc>
          <w:tcPr>
            <w:tcW w:w="2410" w:type="dxa"/>
            <w:shd w:val="clear" w:color="auto" w:fill="E7E6E6" w:themeFill="background2"/>
            <w:vAlign w:val="center"/>
            <w:hideMark/>
          </w:tcPr>
          <w:p w14:paraId="4150F72E" w14:textId="4C92B607" w:rsidR="006644FF"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Reichel </w:t>
            </w:r>
            <w:r w:rsidR="00CF1F2A" w:rsidRPr="00CF1F2A">
              <w:rPr>
                <w:rFonts w:ascii="Calibri" w:eastAsia="Times New Roman" w:hAnsi="Calibri" w:cs="Calibri"/>
                <w:b/>
                <w:bCs/>
                <w:noProof/>
                <w:color w:val="000000"/>
                <w:sz w:val="20"/>
                <w:vertAlign w:val="superscript"/>
                <w:lang w:eastAsia="en-GB"/>
              </w:rPr>
              <w:t>26</w:t>
            </w:r>
            <w:r w:rsidR="00C80B87">
              <w:rPr>
                <w:rFonts w:ascii="Calibri" w:eastAsia="Times New Roman" w:hAnsi="Calibri" w:cs="Calibri"/>
                <w:b/>
                <w:bCs/>
                <w:color w:val="000000"/>
                <w:sz w:val="20"/>
                <w:lang w:eastAsia="en-GB"/>
              </w:rPr>
              <w:t xml:space="preserve"> </w:t>
            </w:r>
          </w:p>
          <w:p w14:paraId="31AEFC77" w14:textId="77777777" w:rsidR="006644FF"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1965 </w:t>
            </w:r>
          </w:p>
          <w:p w14:paraId="0A3BEA25" w14:textId="2676ABF1"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730B1A" w:rsidRPr="00730B1A" w14:paraId="52CF7BE3" w14:textId="77777777" w:rsidTr="008937F3">
        <w:trPr>
          <w:trHeight w:val="50"/>
        </w:trPr>
        <w:tc>
          <w:tcPr>
            <w:tcW w:w="1846" w:type="dxa"/>
            <w:shd w:val="clear" w:color="auto" w:fill="auto"/>
            <w:vAlign w:val="center"/>
            <w:hideMark/>
          </w:tcPr>
          <w:p w14:paraId="7F69F935" w14:textId="77777777"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136" w:type="dxa"/>
            <w:shd w:val="clear" w:color="auto" w:fill="E2EFD9" w:themeFill="accent6" w:themeFillTint="33"/>
            <w:vAlign w:val="center"/>
            <w:hideMark/>
          </w:tcPr>
          <w:p w14:paraId="1F8A500E"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182DEED9" w14:textId="62C89FB7" w:rsidR="00730B1A" w:rsidRPr="008937F3" w:rsidRDefault="006644FF"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3530B26E"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2839F743" w14:textId="18DB169F" w:rsidR="00730B1A" w:rsidRPr="008937F3" w:rsidRDefault="006644FF"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6644FF" w:rsidRPr="00730B1A" w14:paraId="61C5CB22" w14:textId="77777777" w:rsidTr="008937F3">
        <w:trPr>
          <w:trHeight w:val="841"/>
        </w:trPr>
        <w:tc>
          <w:tcPr>
            <w:tcW w:w="1846" w:type="dxa"/>
            <w:shd w:val="clear" w:color="auto" w:fill="auto"/>
            <w:vAlign w:val="center"/>
            <w:hideMark/>
          </w:tcPr>
          <w:p w14:paraId="7CD0964B" w14:textId="77777777" w:rsidR="006644FF" w:rsidRPr="008937F3" w:rsidRDefault="006644F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136" w:type="dxa"/>
            <w:shd w:val="clear" w:color="auto" w:fill="E2EFD9" w:themeFill="accent6" w:themeFillTint="33"/>
            <w:vAlign w:val="center"/>
            <w:hideMark/>
          </w:tcPr>
          <w:p w14:paraId="6922AB7D" w14:textId="59065CAC" w:rsidR="006644FF" w:rsidRPr="008937F3" w:rsidRDefault="006644FF"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7219B825" w14:textId="43F66407" w:rsidR="006644FF" w:rsidRPr="008937F3" w:rsidRDefault="006644FF"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17" w:type="dxa"/>
            <w:shd w:val="clear" w:color="auto" w:fill="E2EFD9" w:themeFill="accent6" w:themeFillTint="33"/>
            <w:vAlign w:val="center"/>
            <w:hideMark/>
          </w:tcPr>
          <w:p w14:paraId="5FBA4632" w14:textId="6121416D" w:rsidR="006644FF" w:rsidRPr="008937F3" w:rsidRDefault="006644FF"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0823D598" w14:textId="19BC2B80" w:rsidR="006644FF" w:rsidRPr="008937F3" w:rsidRDefault="006644FF"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730B1A" w:rsidRPr="00730B1A" w14:paraId="35363A7F" w14:textId="77777777" w:rsidTr="008937F3">
        <w:trPr>
          <w:trHeight w:val="1408"/>
        </w:trPr>
        <w:tc>
          <w:tcPr>
            <w:tcW w:w="1846" w:type="dxa"/>
            <w:shd w:val="clear" w:color="auto" w:fill="auto"/>
            <w:vAlign w:val="center"/>
            <w:hideMark/>
          </w:tcPr>
          <w:p w14:paraId="7C0EC9EA" w14:textId="77777777"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136" w:type="dxa"/>
            <w:shd w:val="clear" w:color="auto" w:fill="E2EFD9" w:themeFill="accent6" w:themeFillTint="33"/>
            <w:vAlign w:val="center"/>
            <w:hideMark/>
          </w:tcPr>
          <w:p w14:paraId="5E650BCB"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65825943" w14:textId="49EC01DC" w:rsidR="00730B1A" w:rsidRPr="008937F3" w:rsidRDefault="000A326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417" w:type="dxa"/>
            <w:shd w:val="clear" w:color="auto" w:fill="E2EFD9" w:themeFill="accent6" w:themeFillTint="33"/>
            <w:vAlign w:val="center"/>
            <w:hideMark/>
          </w:tcPr>
          <w:p w14:paraId="54A75C78"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33934E79" w14:textId="196C941D" w:rsidR="00730B1A" w:rsidRPr="008937F3" w:rsidRDefault="000A326B"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timing of review, data sources used and data extraction method.</w:t>
            </w:r>
          </w:p>
        </w:tc>
      </w:tr>
      <w:tr w:rsidR="00730B1A" w:rsidRPr="00730B1A" w14:paraId="0FF5F58A" w14:textId="77777777" w:rsidTr="008937F3">
        <w:trPr>
          <w:trHeight w:val="274"/>
        </w:trPr>
        <w:tc>
          <w:tcPr>
            <w:tcW w:w="1846" w:type="dxa"/>
            <w:shd w:val="clear" w:color="auto" w:fill="auto"/>
            <w:vAlign w:val="center"/>
            <w:hideMark/>
          </w:tcPr>
          <w:p w14:paraId="7C6ED900" w14:textId="77777777" w:rsidR="00730B1A" w:rsidRPr="008937F3" w:rsidRDefault="00730B1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136" w:type="dxa"/>
            <w:shd w:val="clear" w:color="auto" w:fill="E2EFD9" w:themeFill="accent6" w:themeFillTint="33"/>
            <w:vAlign w:val="center"/>
            <w:hideMark/>
          </w:tcPr>
          <w:p w14:paraId="4387BE0D"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4992C5AC" w14:textId="73E32839" w:rsidR="00730B1A" w:rsidRPr="008937F3" w:rsidRDefault="00782C5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 xml:space="preserve">. </w:t>
            </w:r>
            <w:r w:rsidR="00730B1A" w:rsidRPr="008937F3">
              <w:rPr>
                <w:rFonts w:ascii="Calibri" w:eastAsia="Times New Roman" w:hAnsi="Calibri" w:cs="Calibri"/>
                <w:color w:val="000000"/>
                <w:sz w:val="20"/>
                <w:lang w:eastAsia="en-GB"/>
              </w:rPr>
              <w:t xml:space="preserve">ADRs that were observed at hospital admission or that caused hospital admission were excluded. </w:t>
            </w:r>
          </w:p>
        </w:tc>
        <w:tc>
          <w:tcPr>
            <w:tcW w:w="1417" w:type="dxa"/>
            <w:shd w:val="clear" w:color="auto" w:fill="E2EFD9" w:themeFill="accent6" w:themeFillTint="33"/>
            <w:vAlign w:val="center"/>
            <w:hideMark/>
          </w:tcPr>
          <w:p w14:paraId="1EB6463B" w14:textId="77777777" w:rsidR="00730B1A" w:rsidRPr="008937F3" w:rsidRDefault="00730B1A"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51B10ABE" w14:textId="46B41C2C" w:rsidR="00730B1A" w:rsidRPr="008937F3" w:rsidRDefault="00782C5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Description of review for ADR </w:t>
            </w:r>
            <w:r w:rsidRPr="009E23F8">
              <w:rPr>
                <w:rFonts w:ascii="Calibri" w:eastAsia="Times New Roman" w:hAnsi="Calibri" w:cs="Times New Roman"/>
                <w:color w:val="000000"/>
                <w:sz w:val="20"/>
                <w:lang w:eastAsia="en-GB"/>
              </w:rPr>
              <w:t>at admission</w:t>
            </w:r>
            <w:r>
              <w:rPr>
                <w:rFonts w:ascii="Calibri" w:eastAsia="Times New Roman" w:hAnsi="Calibri" w:cs="Times New Roman"/>
                <w:color w:val="000000"/>
                <w:sz w:val="20"/>
                <w:lang w:eastAsia="en-GB"/>
              </w:rPr>
              <w:t>.</w:t>
            </w:r>
            <w:r>
              <w:rPr>
                <w:rFonts w:ascii="Calibri" w:eastAsia="Times New Roman" w:hAnsi="Calibri" w:cs="Calibri"/>
                <w:color w:val="000000"/>
                <w:sz w:val="20"/>
                <w:lang w:eastAsia="en-GB"/>
              </w:rPr>
              <w:t xml:space="preserve"> </w:t>
            </w:r>
            <w:r w:rsidR="00960DF9">
              <w:rPr>
                <w:rFonts w:ascii="Calibri" w:eastAsia="Times New Roman" w:hAnsi="Calibri" w:cs="Calibri"/>
                <w:color w:val="000000"/>
                <w:sz w:val="20"/>
                <w:lang w:eastAsia="en-GB"/>
              </w:rPr>
              <w:t>“</w:t>
            </w:r>
            <w:r w:rsidR="00730B1A" w:rsidRPr="008937F3">
              <w:rPr>
                <w:rFonts w:ascii="Calibri" w:eastAsia="Times New Roman" w:hAnsi="Calibri" w:cs="Calibri"/>
                <w:color w:val="000000"/>
                <w:sz w:val="20"/>
                <w:lang w:eastAsia="en-GB"/>
              </w:rPr>
              <w:t>the development of a new problem that was n</w:t>
            </w:r>
            <w:r w:rsidR="00960DF9">
              <w:rPr>
                <w:rFonts w:ascii="Calibri" w:eastAsia="Times New Roman" w:hAnsi="Calibri" w:cs="Calibri"/>
                <w:color w:val="000000"/>
                <w:sz w:val="20"/>
                <w:lang w:eastAsia="en-GB"/>
              </w:rPr>
              <w:t>ot present at the time of admis</w:t>
            </w:r>
            <w:r w:rsidR="00730B1A" w:rsidRPr="008937F3">
              <w:rPr>
                <w:rFonts w:ascii="Calibri" w:eastAsia="Times New Roman" w:hAnsi="Calibri" w:cs="Calibri"/>
                <w:color w:val="000000"/>
                <w:sz w:val="20"/>
                <w:lang w:eastAsia="en-GB"/>
              </w:rPr>
              <w:t>sion.</w:t>
            </w:r>
            <w:r w:rsidR="00960DF9">
              <w:rPr>
                <w:rFonts w:ascii="Calibri" w:eastAsia="Times New Roman" w:hAnsi="Calibri" w:cs="Calibri"/>
                <w:color w:val="000000"/>
                <w:sz w:val="20"/>
                <w:lang w:eastAsia="en-GB"/>
              </w:rPr>
              <w:t xml:space="preserve"> “</w:t>
            </w:r>
          </w:p>
        </w:tc>
      </w:tr>
      <w:tr w:rsidR="00DD7345" w:rsidRPr="00730B1A" w14:paraId="38574338" w14:textId="77777777" w:rsidTr="008937F3">
        <w:trPr>
          <w:trHeight w:val="932"/>
        </w:trPr>
        <w:tc>
          <w:tcPr>
            <w:tcW w:w="1846" w:type="dxa"/>
            <w:shd w:val="clear" w:color="auto" w:fill="auto"/>
            <w:vAlign w:val="center"/>
            <w:hideMark/>
          </w:tcPr>
          <w:p w14:paraId="69D972CA" w14:textId="77777777" w:rsidR="00DD7345" w:rsidRPr="008937F3" w:rsidRDefault="00DD7345">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136" w:type="dxa"/>
            <w:shd w:val="clear" w:color="auto" w:fill="F6D5D2"/>
            <w:vAlign w:val="center"/>
            <w:hideMark/>
          </w:tcPr>
          <w:p w14:paraId="5615B069" w14:textId="77777777" w:rsidR="00DD7345" w:rsidRPr="008937F3" w:rsidRDefault="00DD7345"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977" w:type="dxa"/>
            <w:shd w:val="clear" w:color="auto" w:fill="auto"/>
            <w:vAlign w:val="center"/>
            <w:hideMark/>
          </w:tcPr>
          <w:p w14:paraId="191D7DBF" w14:textId="31FC48A5" w:rsidR="00DD7345" w:rsidRPr="008937F3" w:rsidRDefault="00DD7345"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sz w:val="20"/>
                <w:lang w:eastAsia="en-GB"/>
              </w:rPr>
              <w:t xml:space="preserve">Inadequate – methods detail ADR </w:t>
            </w:r>
            <w:r w:rsidRPr="00C673D0">
              <w:rPr>
                <w:rFonts w:ascii="Calibri" w:eastAsia="Times New Roman" w:hAnsi="Calibri" w:cs="Calibri"/>
                <w:color w:val="000000"/>
                <w:sz w:val="20"/>
                <w:lang w:eastAsia="en-GB"/>
              </w:rPr>
              <w:t>scoring systems</w:t>
            </w:r>
            <w:r>
              <w:rPr>
                <w:rFonts w:ascii="Calibri" w:eastAsia="Times New Roman" w:hAnsi="Calibri" w:cs="Calibri"/>
                <w:color w:val="000000"/>
                <w:sz w:val="20"/>
                <w:lang w:eastAsia="en-GB"/>
              </w:rPr>
              <w:t>. I</w:t>
            </w:r>
            <w:r w:rsidRPr="00C673D0">
              <w:rPr>
                <w:rFonts w:ascii="Calibri" w:eastAsia="Times New Roman" w:hAnsi="Calibri" w:cs="Calibri"/>
                <w:color w:val="000000"/>
                <w:sz w:val="20"/>
                <w:lang w:eastAsia="en-GB"/>
              </w:rPr>
              <w:t>nadequate detail as to by whom the assessment was conducted</w:t>
            </w:r>
            <w:r>
              <w:rPr>
                <w:rFonts w:ascii="Calibri" w:eastAsia="Times New Roman" w:hAnsi="Calibri" w:cs="Calibri"/>
                <w:color w:val="000000"/>
                <w:sz w:val="20"/>
                <w:lang w:eastAsia="en-GB"/>
              </w:rPr>
              <w:t xml:space="preserve"> and evaluation.</w:t>
            </w:r>
          </w:p>
        </w:tc>
        <w:tc>
          <w:tcPr>
            <w:tcW w:w="1417" w:type="dxa"/>
            <w:shd w:val="clear" w:color="auto" w:fill="E2EFD9" w:themeFill="accent6" w:themeFillTint="33"/>
            <w:vAlign w:val="center"/>
            <w:hideMark/>
          </w:tcPr>
          <w:p w14:paraId="1B6DB472" w14:textId="77777777" w:rsidR="00DD7345" w:rsidRPr="008937F3" w:rsidRDefault="00DD7345"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5AB04BC2" w14:textId="34E591BA" w:rsidR="00DD7345" w:rsidRPr="008937F3" w:rsidRDefault="00DD7345"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method of ADR identification, method of assessment and evaluation.</w:t>
            </w:r>
          </w:p>
        </w:tc>
      </w:tr>
      <w:tr w:rsidR="00DD7345" w:rsidRPr="00730B1A" w14:paraId="6B78846D" w14:textId="77777777" w:rsidTr="008937F3">
        <w:trPr>
          <w:trHeight w:val="539"/>
        </w:trPr>
        <w:tc>
          <w:tcPr>
            <w:tcW w:w="1846" w:type="dxa"/>
            <w:shd w:val="clear" w:color="auto" w:fill="auto"/>
            <w:vAlign w:val="center"/>
            <w:hideMark/>
          </w:tcPr>
          <w:p w14:paraId="06BA8AD9" w14:textId="77777777" w:rsidR="00DD7345" w:rsidRPr="008937F3" w:rsidRDefault="00DD7345">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136" w:type="dxa"/>
            <w:shd w:val="clear" w:color="auto" w:fill="E2EFD9" w:themeFill="accent6" w:themeFillTint="33"/>
            <w:vAlign w:val="center"/>
            <w:hideMark/>
          </w:tcPr>
          <w:p w14:paraId="3D6D4F98" w14:textId="77777777" w:rsidR="00DD7345" w:rsidRPr="008937F3" w:rsidRDefault="00DD7345"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25934CDE" w14:textId="2421BB4B" w:rsidR="00DD7345" w:rsidRPr="008937F3" w:rsidRDefault="00B3693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417" w:type="dxa"/>
            <w:shd w:val="clear" w:color="auto" w:fill="E2EFD9" w:themeFill="accent6" w:themeFillTint="33"/>
            <w:vAlign w:val="center"/>
            <w:hideMark/>
          </w:tcPr>
          <w:p w14:paraId="1EF8A18A" w14:textId="77777777" w:rsidR="00DD7345" w:rsidRPr="008937F3" w:rsidRDefault="00DD7345"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4359EA26" w14:textId="6F368026" w:rsidR="00DD7345" w:rsidRPr="008937F3" w:rsidRDefault="00B3693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r>
      <w:tr w:rsidR="00DD7345" w:rsidRPr="00730B1A" w14:paraId="141071BC" w14:textId="77777777" w:rsidTr="008937F3">
        <w:trPr>
          <w:trHeight w:val="50"/>
        </w:trPr>
        <w:tc>
          <w:tcPr>
            <w:tcW w:w="1846" w:type="dxa"/>
            <w:shd w:val="clear" w:color="auto" w:fill="auto"/>
            <w:vAlign w:val="center"/>
            <w:hideMark/>
          </w:tcPr>
          <w:p w14:paraId="097D3486" w14:textId="27B89348" w:rsidR="00DD7345" w:rsidRPr="008937F3" w:rsidRDefault="00DD7345">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w:t>
            </w:r>
            <w:r w:rsidR="001758D1">
              <w:rPr>
                <w:rFonts w:ascii="Calibri" w:eastAsia="Times New Roman" w:hAnsi="Calibri" w:cs="Calibri"/>
                <w:b/>
                <w:bCs/>
                <w:color w:val="000000"/>
                <w:sz w:val="20"/>
                <w:lang w:eastAsia="en-GB"/>
              </w:rPr>
              <w:t xml:space="preserve">cy of follow up of cohorts </w:t>
            </w:r>
          </w:p>
        </w:tc>
        <w:tc>
          <w:tcPr>
            <w:tcW w:w="1136" w:type="dxa"/>
            <w:shd w:val="clear" w:color="auto" w:fill="E2EFD9" w:themeFill="accent6" w:themeFillTint="33"/>
            <w:vAlign w:val="center"/>
            <w:hideMark/>
          </w:tcPr>
          <w:p w14:paraId="2354B3F3" w14:textId="77777777" w:rsidR="00DD7345" w:rsidRPr="008937F3" w:rsidRDefault="00DD7345"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977" w:type="dxa"/>
            <w:shd w:val="clear" w:color="auto" w:fill="auto"/>
            <w:vAlign w:val="center"/>
            <w:hideMark/>
          </w:tcPr>
          <w:p w14:paraId="03883EC2" w14:textId="1E3843DD" w:rsidR="00DD7345" w:rsidRPr="008937F3" w:rsidRDefault="001758D1">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c>
          <w:tcPr>
            <w:tcW w:w="1417" w:type="dxa"/>
            <w:shd w:val="clear" w:color="auto" w:fill="E2EFD9" w:themeFill="accent6" w:themeFillTint="33"/>
            <w:vAlign w:val="center"/>
            <w:hideMark/>
          </w:tcPr>
          <w:p w14:paraId="1CDC44E9" w14:textId="77777777" w:rsidR="00DD7345" w:rsidRPr="008937F3" w:rsidRDefault="00DD7345"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410" w:type="dxa"/>
            <w:shd w:val="clear" w:color="auto" w:fill="auto"/>
            <w:vAlign w:val="center"/>
            <w:hideMark/>
          </w:tcPr>
          <w:p w14:paraId="494C6D78" w14:textId="2EE2B902" w:rsidR="00DD7345" w:rsidRPr="008937F3" w:rsidRDefault="001758D1">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06F038F9" w14:textId="078B9DCB" w:rsidR="00730B1A" w:rsidRDefault="00730B1A" w:rsidP="008937F3"/>
    <w:p w14:paraId="12312082" w14:textId="0AAC2A78" w:rsidR="00700D1C" w:rsidRDefault="00700D1C" w:rsidP="008937F3">
      <w:pPr>
        <w:pStyle w:val="Heading3"/>
      </w:pPr>
      <w:bookmarkStart w:id="24" w:name="_Toc52396346"/>
      <w:r>
        <w:t>Tangiisuran 2012, Tangiisuran 2014</w:t>
      </w:r>
      <w:bookmarkEnd w:id="24"/>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311"/>
        <w:gridCol w:w="2860"/>
        <w:gridCol w:w="1459"/>
        <w:gridCol w:w="2310"/>
      </w:tblGrid>
      <w:tr w:rsidR="0037357C" w:rsidRPr="0037357C" w14:paraId="376D9360" w14:textId="77777777" w:rsidTr="008937F3">
        <w:trPr>
          <w:trHeight w:val="880"/>
        </w:trPr>
        <w:tc>
          <w:tcPr>
            <w:tcW w:w="1846" w:type="dxa"/>
            <w:shd w:val="clear" w:color="auto" w:fill="E7E6E6" w:themeFill="background2"/>
            <w:vAlign w:val="center"/>
            <w:hideMark/>
          </w:tcPr>
          <w:p w14:paraId="627F21AC" w14:textId="77777777"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Description </w:t>
            </w:r>
          </w:p>
        </w:tc>
        <w:tc>
          <w:tcPr>
            <w:tcW w:w="1311" w:type="dxa"/>
            <w:shd w:val="clear" w:color="auto" w:fill="E7E6E6" w:themeFill="background2"/>
            <w:vAlign w:val="center"/>
            <w:hideMark/>
          </w:tcPr>
          <w:p w14:paraId="225EB598" w14:textId="1CC98387" w:rsidR="00C65506" w:rsidRDefault="0037357C"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Tangiisuran</w:t>
            </w:r>
            <w:r w:rsidR="00CF1F2A" w:rsidRPr="00CF1F2A">
              <w:rPr>
                <w:rFonts w:ascii="Calibri" w:eastAsia="Times New Roman" w:hAnsi="Calibri" w:cs="Calibri"/>
                <w:b/>
                <w:bCs/>
                <w:noProof/>
                <w:color w:val="000000"/>
                <w:sz w:val="20"/>
                <w:vertAlign w:val="superscript"/>
                <w:lang w:eastAsia="en-GB"/>
              </w:rPr>
              <w:t>34</w:t>
            </w:r>
            <w:r w:rsidRPr="008937F3">
              <w:rPr>
                <w:rFonts w:ascii="Calibri" w:eastAsia="Times New Roman" w:hAnsi="Calibri" w:cs="Calibri"/>
                <w:b/>
                <w:bCs/>
                <w:color w:val="000000"/>
                <w:sz w:val="20"/>
                <w:lang w:eastAsia="en-GB"/>
              </w:rPr>
              <w:t xml:space="preserve"> </w:t>
            </w:r>
          </w:p>
          <w:p w14:paraId="423BB440" w14:textId="13C5B288" w:rsidR="0037357C" w:rsidRPr="008937F3" w:rsidRDefault="0037357C"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2012 Judgement</w:t>
            </w:r>
          </w:p>
        </w:tc>
        <w:tc>
          <w:tcPr>
            <w:tcW w:w="2860" w:type="dxa"/>
            <w:shd w:val="clear" w:color="auto" w:fill="E7E6E6" w:themeFill="background2"/>
            <w:vAlign w:val="center"/>
            <w:hideMark/>
          </w:tcPr>
          <w:p w14:paraId="0D84E1C1" w14:textId="288C84CC" w:rsidR="00A013CD"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Tangiisuran </w:t>
            </w:r>
            <w:r w:rsidR="00CF1F2A" w:rsidRPr="00CF1F2A">
              <w:rPr>
                <w:rFonts w:ascii="Calibri" w:eastAsia="Times New Roman" w:hAnsi="Calibri" w:cs="Calibri"/>
                <w:b/>
                <w:bCs/>
                <w:noProof/>
                <w:color w:val="000000"/>
                <w:sz w:val="20"/>
                <w:vertAlign w:val="superscript"/>
                <w:lang w:eastAsia="en-GB"/>
              </w:rPr>
              <w:t>34</w:t>
            </w:r>
          </w:p>
          <w:p w14:paraId="2B8D2117" w14:textId="77777777" w:rsidR="00A013CD"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2012 </w:t>
            </w:r>
          </w:p>
          <w:p w14:paraId="077EE341" w14:textId="74744522"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c>
          <w:tcPr>
            <w:tcW w:w="1459" w:type="dxa"/>
            <w:shd w:val="clear" w:color="auto" w:fill="E7E6E6" w:themeFill="background2"/>
            <w:vAlign w:val="center"/>
            <w:hideMark/>
          </w:tcPr>
          <w:p w14:paraId="29E0EC96" w14:textId="132AA6D2" w:rsidR="0037357C" w:rsidRPr="008937F3" w:rsidRDefault="0037357C"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Tangiisuran </w:t>
            </w:r>
            <w:r w:rsidR="00CF1F2A" w:rsidRPr="00CF1F2A">
              <w:rPr>
                <w:rFonts w:ascii="Calibri" w:eastAsia="Times New Roman" w:hAnsi="Calibri" w:cs="Calibri"/>
                <w:b/>
                <w:bCs/>
                <w:noProof/>
                <w:color w:val="000000"/>
                <w:sz w:val="20"/>
                <w:vertAlign w:val="superscript"/>
                <w:lang w:eastAsia="en-GB"/>
              </w:rPr>
              <w:t>35</w:t>
            </w:r>
            <w:r w:rsidR="00AC5069">
              <w:rPr>
                <w:rFonts w:ascii="Calibri" w:eastAsia="Times New Roman" w:hAnsi="Calibri" w:cs="Calibri"/>
                <w:b/>
                <w:bCs/>
                <w:color w:val="000000"/>
                <w:sz w:val="20"/>
                <w:lang w:eastAsia="en-GB"/>
              </w:rPr>
              <w:t xml:space="preserve"> </w:t>
            </w:r>
            <w:r w:rsidRPr="008937F3">
              <w:rPr>
                <w:rFonts w:ascii="Calibri" w:eastAsia="Times New Roman" w:hAnsi="Calibri" w:cs="Calibri"/>
                <w:b/>
                <w:bCs/>
                <w:color w:val="000000"/>
                <w:sz w:val="20"/>
                <w:lang w:eastAsia="en-GB"/>
              </w:rPr>
              <w:t>2014 Judgement</w:t>
            </w:r>
          </w:p>
        </w:tc>
        <w:tc>
          <w:tcPr>
            <w:tcW w:w="2310" w:type="dxa"/>
            <w:shd w:val="clear" w:color="auto" w:fill="E7E6E6" w:themeFill="background2"/>
            <w:vAlign w:val="center"/>
            <w:hideMark/>
          </w:tcPr>
          <w:p w14:paraId="07FC8735" w14:textId="5BDD4709" w:rsidR="00A013CD"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Tangiisuran </w:t>
            </w:r>
            <w:r w:rsidR="00CF1F2A" w:rsidRPr="00CF1F2A">
              <w:rPr>
                <w:rFonts w:ascii="Calibri" w:eastAsia="Times New Roman" w:hAnsi="Calibri" w:cs="Calibri"/>
                <w:b/>
                <w:bCs/>
                <w:noProof/>
                <w:color w:val="000000"/>
                <w:sz w:val="20"/>
                <w:vertAlign w:val="superscript"/>
                <w:lang w:eastAsia="en-GB"/>
              </w:rPr>
              <w:t>35</w:t>
            </w:r>
          </w:p>
          <w:p w14:paraId="0FDCFDC4" w14:textId="77777777" w:rsidR="00A013CD"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2014 </w:t>
            </w:r>
          </w:p>
          <w:p w14:paraId="34E10445" w14:textId="03F95921"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Justification</w:t>
            </w:r>
          </w:p>
        </w:tc>
      </w:tr>
      <w:tr w:rsidR="00182EA7" w:rsidRPr="0037357C" w14:paraId="7585FB31" w14:textId="77777777" w:rsidTr="008937F3">
        <w:trPr>
          <w:trHeight w:val="50"/>
        </w:trPr>
        <w:tc>
          <w:tcPr>
            <w:tcW w:w="1846" w:type="dxa"/>
            <w:shd w:val="clear" w:color="auto" w:fill="auto"/>
            <w:vAlign w:val="center"/>
            <w:hideMark/>
          </w:tcPr>
          <w:p w14:paraId="01BB8838" w14:textId="77777777" w:rsidR="00182EA7" w:rsidRPr="008937F3" w:rsidRDefault="00182EA7">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1311" w:type="dxa"/>
            <w:shd w:val="clear" w:color="auto" w:fill="E2EFD9" w:themeFill="accent6" w:themeFillTint="33"/>
            <w:vAlign w:val="center"/>
            <w:hideMark/>
          </w:tcPr>
          <w:p w14:paraId="1265849E" w14:textId="003AC13A" w:rsidR="00182EA7" w:rsidRPr="008937F3" w:rsidRDefault="00182EA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5B9D64AF" w14:textId="4B23A7AA" w:rsidR="00182EA7" w:rsidRPr="008937F3" w:rsidRDefault="00182EA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59" w:type="dxa"/>
            <w:shd w:val="clear" w:color="auto" w:fill="E2EFD9" w:themeFill="accent6" w:themeFillTint="33"/>
            <w:vAlign w:val="center"/>
            <w:hideMark/>
          </w:tcPr>
          <w:p w14:paraId="402C82C3" w14:textId="145A31DC" w:rsidR="00182EA7" w:rsidRPr="008937F3" w:rsidRDefault="00182EA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06A14FFB" w14:textId="15E4996D" w:rsidR="00182EA7" w:rsidRPr="008937F3" w:rsidRDefault="00182EA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182EA7" w:rsidRPr="0037357C" w14:paraId="4E27B9AA" w14:textId="77777777" w:rsidTr="008937F3">
        <w:trPr>
          <w:trHeight w:val="229"/>
        </w:trPr>
        <w:tc>
          <w:tcPr>
            <w:tcW w:w="1846" w:type="dxa"/>
            <w:shd w:val="clear" w:color="auto" w:fill="auto"/>
            <w:vAlign w:val="center"/>
            <w:hideMark/>
          </w:tcPr>
          <w:p w14:paraId="30026AAE" w14:textId="77777777" w:rsidR="00182EA7" w:rsidRPr="008937F3" w:rsidRDefault="00182EA7">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tc>
        <w:tc>
          <w:tcPr>
            <w:tcW w:w="1311" w:type="dxa"/>
            <w:shd w:val="clear" w:color="auto" w:fill="E2EFD9" w:themeFill="accent6" w:themeFillTint="33"/>
            <w:vAlign w:val="center"/>
            <w:hideMark/>
          </w:tcPr>
          <w:p w14:paraId="67C373FE" w14:textId="2652F642" w:rsidR="00182EA7" w:rsidRPr="008937F3" w:rsidRDefault="00182EA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5045CEDC" w14:textId="2017FD8F" w:rsidR="00182EA7" w:rsidRPr="008937F3" w:rsidRDefault="00182EA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c>
          <w:tcPr>
            <w:tcW w:w="1459" w:type="dxa"/>
            <w:shd w:val="clear" w:color="auto" w:fill="E2EFD9" w:themeFill="accent6" w:themeFillTint="33"/>
            <w:vAlign w:val="center"/>
            <w:hideMark/>
          </w:tcPr>
          <w:p w14:paraId="211DA3DE" w14:textId="3680014F" w:rsidR="00182EA7" w:rsidRPr="008937F3" w:rsidRDefault="00182EA7" w:rsidP="008937F3">
            <w:pPr>
              <w:spacing w:after="0" w:line="240" w:lineRule="auto"/>
              <w:rPr>
                <w:rFonts w:ascii="Calibri" w:eastAsia="Times New Roman" w:hAnsi="Calibri" w:cs="Calibri"/>
                <w:color w:val="000000"/>
                <w:sz w:val="20"/>
                <w:lang w:eastAsia="en-GB"/>
              </w:rPr>
            </w:pPr>
            <w:r w:rsidRPr="00C673D0">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09243C3E" w14:textId="60088C9E" w:rsidR="00182EA7" w:rsidRPr="008937F3" w:rsidRDefault="00182EA7"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population, setting, duration of study and selection of participants.</w:t>
            </w:r>
          </w:p>
        </w:tc>
      </w:tr>
      <w:tr w:rsidR="0037357C" w:rsidRPr="0037357C" w14:paraId="442A2093" w14:textId="77777777" w:rsidTr="008937F3">
        <w:trPr>
          <w:trHeight w:val="50"/>
        </w:trPr>
        <w:tc>
          <w:tcPr>
            <w:tcW w:w="1846" w:type="dxa"/>
            <w:shd w:val="clear" w:color="auto" w:fill="auto"/>
            <w:vAlign w:val="center"/>
            <w:hideMark/>
          </w:tcPr>
          <w:p w14:paraId="650A8FDD" w14:textId="77777777"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tc>
        <w:tc>
          <w:tcPr>
            <w:tcW w:w="1311" w:type="dxa"/>
            <w:shd w:val="clear" w:color="auto" w:fill="E2EFD9" w:themeFill="accent6" w:themeFillTint="33"/>
            <w:vAlign w:val="center"/>
            <w:hideMark/>
          </w:tcPr>
          <w:p w14:paraId="613DFAB5" w14:textId="77777777" w:rsidR="0037357C" w:rsidRPr="008937F3" w:rsidRDefault="0037357C"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21C7E166" w14:textId="3B656354"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c>
          <w:tcPr>
            <w:tcW w:w="1459" w:type="dxa"/>
            <w:shd w:val="clear" w:color="auto" w:fill="E2EFD9" w:themeFill="accent6" w:themeFillTint="33"/>
            <w:vAlign w:val="center"/>
            <w:hideMark/>
          </w:tcPr>
          <w:p w14:paraId="0C1ED243" w14:textId="77777777" w:rsidR="0037357C" w:rsidRPr="008937F3" w:rsidRDefault="0037357C"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1574FD67" w14:textId="135F012A"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patient/episode review; personnel conducting review, timing of review, data sources used and data extraction method.</w:t>
            </w:r>
          </w:p>
        </w:tc>
      </w:tr>
      <w:tr w:rsidR="00F45B76" w:rsidRPr="0037357C" w14:paraId="66111704" w14:textId="77777777" w:rsidTr="00F45B76">
        <w:trPr>
          <w:trHeight w:val="880"/>
        </w:trPr>
        <w:tc>
          <w:tcPr>
            <w:tcW w:w="1846" w:type="dxa"/>
            <w:shd w:val="clear" w:color="auto" w:fill="E7E6E6" w:themeFill="background2"/>
            <w:vAlign w:val="center"/>
            <w:hideMark/>
          </w:tcPr>
          <w:p w14:paraId="67D671BA" w14:textId="1F449E53" w:rsidR="00F45B76" w:rsidRDefault="00F478FC" w:rsidP="006A7A6F">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Contd.</w:t>
            </w:r>
            <w:r w:rsidR="00F45B76">
              <w:rPr>
                <w:rFonts w:ascii="Calibri" w:eastAsia="Times New Roman" w:hAnsi="Calibri" w:cs="Calibri"/>
                <w:b/>
                <w:bCs/>
                <w:color w:val="000000"/>
                <w:sz w:val="20"/>
                <w:lang w:eastAsia="en-GB"/>
              </w:rPr>
              <w:t xml:space="preserve"> </w:t>
            </w:r>
          </w:p>
          <w:p w14:paraId="3766EA47" w14:textId="0A1F24E1"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Description </w:t>
            </w:r>
          </w:p>
        </w:tc>
        <w:tc>
          <w:tcPr>
            <w:tcW w:w="1311" w:type="dxa"/>
            <w:shd w:val="clear" w:color="auto" w:fill="E7E6E6" w:themeFill="background2"/>
            <w:vAlign w:val="center"/>
            <w:hideMark/>
          </w:tcPr>
          <w:p w14:paraId="02366FAD"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Tangiisuran</w:t>
            </w:r>
            <w:r w:rsidRPr="00CF1F2A">
              <w:rPr>
                <w:rFonts w:ascii="Calibri" w:eastAsia="Times New Roman" w:hAnsi="Calibri" w:cs="Calibri"/>
                <w:b/>
                <w:bCs/>
                <w:noProof/>
                <w:color w:val="000000"/>
                <w:sz w:val="20"/>
                <w:vertAlign w:val="superscript"/>
                <w:lang w:eastAsia="en-GB"/>
              </w:rPr>
              <w:t>34</w:t>
            </w:r>
            <w:r w:rsidRPr="004B30EF">
              <w:rPr>
                <w:rFonts w:ascii="Calibri" w:eastAsia="Times New Roman" w:hAnsi="Calibri" w:cs="Calibri"/>
                <w:b/>
                <w:bCs/>
                <w:color w:val="000000"/>
                <w:sz w:val="20"/>
                <w:lang w:eastAsia="en-GB"/>
              </w:rPr>
              <w:t xml:space="preserve"> </w:t>
            </w:r>
          </w:p>
          <w:p w14:paraId="7D66F711"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2012 Judgement</w:t>
            </w:r>
          </w:p>
        </w:tc>
        <w:tc>
          <w:tcPr>
            <w:tcW w:w="2860" w:type="dxa"/>
            <w:shd w:val="clear" w:color="auto" w:fill="E7E6E6" w:themeFill="background2"/>
            <w:vAlign w:val="center"/>
            <w:hideMark/>
          </w:tcPr>
          <w:p w14:paraId="7221425C"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Tangiisuran </w:t>
            </w:r>
            <w:r w:rsidRPr="00CF1F2A">
              <w:rPr>
                <w:rFonts w:ascii="Calibri" w:eastAsia="Times New Roman" w:hAnsi="Calibri" w:cs="Calibri"/>
                <w:b/>
                <w:bCs/>
                <w:noProof/>
                <w:color w:val="000000"/>
                <w:sz w:val="20"/>
                <w:vertAlign w:val="superscript"/>
                <w:lang w:eastAsia="en-GB"/>
              </w:rPr>
              <w:t>34</w:t>
            </w:r>
          </w:p>
          <w:p w14:paraId="00FBA5A8"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2012 </w:t>
            </w:r>
          </w:p>
          <w:p w14:paraId="510ED69A"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c>
          <w:tcPr>
            <w:tcW w:w="1459" w:type="dxa"/>
            <w:shd w:val="clear" w:color="auto" w:fill="E7E6E6" w:themeFill="background2"/>
            <w:vAlign w:val="center"/>
            <w:hideMark/>
          </w:tcPr>
          <w:p w14:paraId="414BB11B"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Tangiisuran </w:t>
            </w:r>
            <w:r w:rsidRPr="00CF1F2A">
              <w:rPr>
                <w:rFonts w:ascii="Calibri" w:eastAsia="Times New Roman" w:hAnsi="Calibri" w:cs="Calibri"/>
                <w:b/>
                <w:bCs/>
                <w:noProof/>
                <w:color w:val="000000"/>
                <w:sz w:val="20"/>
                <w:vertAlign w:val="superscript"/>
                <w:lang w:eastAsia="en-GB"/>
              </w:rPr>
              <w:t>35</w:t>
            </w:r>
            <w:r>
              <w:rPr>
                <w:rFonts w:ascii="Calibri" w:eastAsia="Times New Roman" w:hAnsi="Calibri" w:cs="Calibri"/>
                <w:b/>
                <w:bCs/>
                <w:color w:val="000000"/>
                <w:sz w:val="20"/>
                <w:lang w:eastAsia="en-GB"/>
              </w:rPr>
              <w:t xml:space="preserve"> </w:t>
            </w:r>
            <w:r w:rsidRPr="004B30EF">
              <w:rPr>
                <w:rFonts w:ascii="Calibri" w:eastAsia="Times New Roman" w:hAnsi="Calibri" w:cs="Calibri"/>
                <w:b/>
                <w:bCs/>
                <w:color w:val="000000"/>
                <w:sz w:val="20"/>
                <w:lang w:eastAsia="en-GB"/>
              </w:rPr>
              <w:t>2014 Judgement</w:t>
            </w:r>
          </w:p>
        </w:tc>
        <w:tc>
          <w:tcPr>
            <w:tcW w:w="2310" w:type="dxa"/>
            <w:shd w:val="clear" w:color="auto" w:fill="E7E6E6" w:themeFill="background2"/>
            <w:vAlign w:val="center"/>
            <w:hideMark/>
          </w:tcPr>
          <w:p w14:paraId="0FD631FA"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Tangiisuran </w:t>
            </w:r>
            <w:r w:rsidRPr="00CF1F2A">
              <w:rPr>
                <w:rFonts w:ascii="Calibri" w:eastAsia="Times New Roman" w:hAnsi="Calibri" w:cs="Calibri"/>
                <w:b/>
                <w:bCs/>
                <w:noProof/>
                <w:color w:val="000000"/>
                <w:sz w:val="20"/>
                <w:vertAlign w:val="superscript"/>
                <w:lang w:eastAsia="en-GB"/>
              </w:rPr>
              <w:t>35</w:t>
            </w:r>
          </w:p>
          <w:p w14:paraId="2747FD24"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 xml:space="preserve">2014 </w:t>
            </w:r>
          </w:p>
          <w:p w14:paraId="0FC72632"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Justification</w:t>
            </w:r>
          </w:p>
        </w:tc>
      </w:tr>
      <w:tr w:rsidR="0037357C" w:rsidRPr="0037357C" w14:paraId="59F06C3D" w14:textId="77777777" w:rsidTr="008937F3">
        <w:trPr>
          <w:trHeight w:val="574"/>
        </w:trPr>
        <w:tc>
          <w:tcPr>
            <w:tcW w:w="1846" w:type="dxa"/>
            <w:shd w:val="clear" w:color="auto" w:fill="auto"/>
            <w:vAlign w:val="center"/>
            <w:hideMark/>
          </w:tcPr>
          <w:p w14:paraId="1F307E2C" w14:textId="6326CFD7"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1311" w:type="dxa"/>
            <w:shd w:val="clear" w:color="auto" w:fill="F6D5D2"/>
            <w:vAlign w:val="center"/>
            <w:hideMark/>
          </w:tcPr>
          <w:p w14:paraId="22651E80" w14:textId="77777777" w:rsidR="0037357C" w:rsidRPr="008937F3" w:rsidRDefault="0037357C"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860" w:type="dxa"/>
            <w:shd w:val="clear" w:color="auto" w:fill="auto"/>
            <w:vAlign w:val="center"/>
            <w:hideMark/>
          </w:tcPr>
          <w:p w14:paraId="1C4FD70A" w14:textId="181DE338"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c>
          <w:tcPr>
            <w:tcW w:w="1459" w:type="dxa"/>
            <w:shd w:val="clear" w:color="auto" w:fill="F6D5D2"/>
            <w:vAlign w:val="center"/>
            <w:hideMark/>
          </w:tcPr>
          <w:p w14:paraId="3DF95980" w14:textId="77777777" w:rsidR="0037357C" w:rsidRPr="008937F3" w:rsidRDefault="0037357C" w:rsidP="008937F3">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FF0000"/>
                <w:sz w:val="20"/>
                <w:lang w:eastAsia="en-GB"/>
              </w:rPr>
              <w:t>0</w:t>
            </w:r>
          </w:p>
        </w:tc>
        <w:tc>
          <w:tcPr>
            <w:tcW w:w="2310" w:type="dxa"/>
            <w:shd w:val="clear" w:color="auto" w:fill="auto"/>
            <w:vAlign w:val="center"/>
            <w:hideMark/>
          </w:tcPr>
          <w:p w14:paraId="21EB4630" w14:textId="357F5465"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 xml:space="preserve">Inadequate - </w:t>
            </w:r>
            <w:r w:rsidRPr="009E23F8">
              <w:rPr>
                <w:rFonts w:ascii="Calibri" w:eastAsia="Times New Roman" w:hAnsi="Calibri" w:cs="Times New Roman"/>
                <w:color w:val="000000"/>
                <w:sz w:val="20"/>
                <w:lang w:eastAsia="en-GB"/>
              </w:rPr>
              <w:t>no mention of assessment of ADRs prior to admission</w:t>
            </w:r>
            <w:r>
              <w:rPr>
                <w:rFonts w:ascii="Calibri" w:eastAsia="Times New Roman" w:hAnsi="Calibri" w:cs="Times New Roman"/>
                <w:color w:val="000000"/>
                <w:sz w:val="20"/>
                <w:lang w:eastAsia="en-GB"/>
              </w:rPr>
              <w:t>.</w:t>
            </w:r>
          </w:p>
        </w:tc>
      </w:tr>
      <w:tr w:rsidR="0037357C" w:rsidRPr="0037357C" w14:paraId="47ED5C82" w14:textId="77777777" w:rsidTr="008937F3">
        <w:trPr>
          <w:trHeight w:val="509"/>
        </w:trPr>
        <w:tc>
          <w:tcPr>
            <w:tcW w:w="1846" w:type="dxa"/>
            <w:shd w:val="clear" w:color="auto" w:fill="auto"/>
            <w:vAlign w:val="center"/>
            <w:hideMark/>
          </w:tcPr>
          <w:p w14:paraId="777540F7" w14:textId="77777777"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E1 - Assessment of outcome </w:t>
            </w:r>
          </w:p>
        </w:tc>
        <w:tc>
          <w:tcPr>
            <w:tcW w:w="1311" w:type="dxa"/>
            <w:shd w:val="clear" w:color="auto" w:fill="E2EFD9" w:themeFill="accent6" w:themeFillTint="33"/>
            <w:vAlign w:val="center"/>
            <w:hideMark/>
          </w:tcPr>
          <w:p w14:paraId="684A37A4"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02458EC9" w14:textId="2CE12B0C" w:rsidR="0037357C" w:rsidRPr="008937F3" w:rsidRDefault="00533FB1"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c>
          <w:tcPr>
            <w:tcW w:w="1459" w:type="dxa"/>
            <w:shd w:val="clear" w:color="auto" w:fill="E2EFD9" w:themeFill="accent6" w:themeFillTint="33"/>
            <w:vAlign w:val="center"/>
            <w:hideMark/>
          </w:tcPr>
          <w:p w14:paraId="41836054"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68134FE8" w14:textId="0A737A33"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method of ADR identification, collection of pertaining details, method of assessment and independent evaluation.</w:t>
            </w:r>
          </w:p>
        </w:tc>
      </w:tr>
      <w:tr w:rsidR="0037357C" w:rsidRPr="0037357C" w14:paraId="74A28BF3" w14:textId="77777777" w:rsidTr="008937F3">
        <w:trPr>
          <w:trHeight w:val="175"/>
        </w:trPr>
        <w:tc>
          <w:tcPr>
            <w:tcW w:w="1846" w:type="dxa"/>
            <w:shd w:val="clear" w:color="auto" w:fill="auto"/>
            <w:vAlign w:val="center"/>
            <w:hideMark/>
          </w:tcPr>
          <w:p w14:paraId="7802D046" w14:textId="77777777"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 xml:space="preserve">E2 - Was follow-up long enough for outcomes to occur </w:t>
            </w:r>
          </w:p>
        </w:tc>
        <w:tc>
          <w:tcPr>
            <w:tcW w:w="1311" w:type="dxa"/>
            <w:shd w:val="clear" w:color="auto" w:fill="E2EFD9" w:themeFill="accent6" w:themeFillTint="33"/>
            <w:vAlign w:val="center"/>
            <w:hideMark/>
          </w:tcPr>
          <w:p w14:paraId="1EFD0099"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6B0CA819" w14:textId="56C6CEA5" w:rsidR="0037357C" w:rsidRPr="008937F3" w:rsidRDefault="00B62699">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c>
          <w:tcPr>
            <w:tcW w:w="1459" w:type="dxa"/>
            <w:shd w:val="clear" w:color="auto" w:fill="E2EFD9" w:themeFill="accent6" w:themeFillTint="33"/>
            <w:vAlign w:val="center"/>
            <w:hideMark/>
          </w:tcPr>
          <w:p w14:paraId="5F99C1F6"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28B2F660" w14:textId="426DE616" w:rsidR="0037357C" w:rsidRPr="008937F3" w:rsidRDefault="00B62699" w:rsidP="008937F3">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Description of FUP from</w:t>
            </w:r>
            <w:r w:rsidRPr="009E23F8">
              <w:rPr>
                <w:rFonts w:ascii="Calibri" w:eastAsia="Times New Roman" w:hAnsi="Calibri" w:cs="Times New Roman"/>
                <w:color w:val="000000"/>
                <w:sz w:val="20"/>
                <w:lang w:eastAsia="en-GB"/>
              </w:rPr>
              <w:t xml:space="preserve"> admission until discharge</w:t>
            </w:r>
            <w:r>
              <w:rPr>
                <w:rFonts w:ascii="Calibri" w:eastAsia="Times New Roman" w:hAnsi="Calibri" w:cs="Times New Roman"/>
                <w:color w:val="000000"/>
                <w:sz w:val="20"/>
                <w:lang w:eastAsia="en-GB"/>
              </w:rPr>
              <w:t>.</w:t>
            </w:r>
          </w:p>
        </w:tc>
      </w:tr>
      <w:tr w:rsidR="0037357C" w:rsidRPr="0037357C" w14:paraId="3224CD35" w14:textId="77777777" w:rsidTr="008937F3">
        <w:trPr>
          <w:trHeight w:val="50"/>
        </w:trPr>
        <w:tc>
          <w:tcPr>
            <w:tcW w:w="1846" w:type="dxa"/>
            <w:shd w:val="clear" w:color="auto" w:fill="auto"/>
            <w:vAlign w:val="center"/>
            <w:hideMark/>
          </w:tcPr>
          <w:p w14:paraId="1ADFE9A2" w14:textId="6F6973A6" w:rsidR="0037357C" w:rsidRPr="008937F3" w:rsidRDefault="0037357C">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w:t>
            </w:r>
            <w:r w:rsidR="00B62699">
              <w:rPr>
                <w:rFonts w:ascii="Calibri" w:eastAsia="Times New Roman" w:hAnsi="Calibri" w:cs="Calibri"/>
                <w:b/>
                <w:bCs/>
                <w:color w:val="000000"/>
                <w:sz w:val="20"/>
                <w:lang w:eastAsia="en-GB"/>
              </w:rPr>
              <w:t xml:space="preserve">cy of follow up of cohorts </w:t>
            </w:r>
          </w:p>
        </w:tc>
        <w:tc>
          <w:tcPr>
            <w:tcW w:w="1311" w:type="dxa"/>
            <w:shd w:val="clear" w:color="auto" w:fill="E2EFD9" w:themeFill="accent6" w:themeFillTint="33"/>
            <w:vAlign w:val="center"/>
            <w:hideMark/>
          </w:tcPr>
          <w:p w14:paraId="1B12A52D"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860" w:type="dxa"/>
            <w:shd w:val="clear" w:color="auto" w:fill="auto"/>
            <w:vAlign w:val="center"/>
            <w:hideMark/>
          </w:tcPr>
          <w:p w14:paraId="3557611A" w14:textId="24CF8CA2" w:rsidR="0037357C" w:rsidRPr="008937F3" w:rsidRDefault="0037357C">
            <w:pPr>
              <w:spacing w:after="0" w:line="240" w:lineRule="auto"/>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 </w:t>
            </w:r>
            <w:r w:rsidR="00533FB1">
              <w:rPr>
                <w:rFonts w:ascii="Calibri" w:eastAsia="Times New Roman" w:hAnsi="Calibri" w:cs="Times New Roman"/>
                <w:color w:val="000000"/>
                <w:sz w:val="20"/>
                <w:lang w:eastAsia="en-GB"/>
              </w:rPr>
              <w:t>All data accounted for, no evidence of inadequate FUP.</w:t>
            </w:r>
          </w:p>
        </w:tc>
        <w:tc>
          <w:tcPr>
            <w:tcW w:w="1459" w:type="dxa"/>
            <w:shd w:val="clear" w:color="auto" w:fill="E2EFD9" w:themeFill="accent6" w:themeFillTint="33"/>
            <w:vAlign w:val="center"/>
            <w:hideMark/>
          </w:tcPr>
          <w:p w14:paraId="7434ED4C" w14:textId="77777777" w:rsidR="0037357C" w:rsidRPr="008937F3" w:rsidRDefault="0037357C" w:rsidP="008937F3">
            <w:pPr>
              <w:spacing w:after="0" w:line="240" w:lineRule="auto"/>
              <w:rPr>
                <w:rFonts w:ascii="Calibri" w:eastAsia="Times New Roman" w:hAnsi="Calibri" w:cs="Calibri"/>
                <w:color w:val="70AD47" w:themeColor="accent6"/>
                <w:sz w:val="20"/>
                <w:lang w:eastAsia="en-GB"/>
              </w:rPr>
            </w:pPr>
            <w:r w:rsidRPr="008937F3">
              <w:rPr>
                <w:rFonts w:ascii="Calibri" w:eastAsia="Times New Roman" w:hAnsi="Calibri" w:cs="Calibri"/>
                <w:color w:val="70AD47" w:themeColor="accent6"/>
                <w:sz w:val="20"/>
                <w:lang w:eastAsia="en-GB"/>
              </w:rPr>
              <w:t>1</w:t>
            </w:r>
          </w:p>
        </w:tc>
        <w:tc>
          <w:tcPr>
            <w:tcW w:w="2310" w:type="dxa"/>
            <w:shd w:val="clear" w:color="auto" w:fill="auto"/>
            <w:vAlign w:val="center"/>
            <w:hideMark/>
          </w:tcPr>
          <w:p w14:paraId="2D80680F" w14:textId="1F2E76CD" w:rsidR="0037357C" w:rsidRPr="008937F3" w:rsidRDefault="00533FB1">
            <w:pPr>
              <w:spacing w:after="0" w:line="240" w:lineRule="auto"/>
              <w:rPr>
                <w:rFonts w:ascii="Calibri" w:eastAsia="Times New Roman" w:hAnsi="Calibri" w:cs="Calibri"/>
                <w:color w:val="000000"/>
                <w:sz w:val="20"/>
                <w:lang w:eastAsia="en-GB"/>
              </w:rPr>
            </w:pPr>
            <w:r>
              <w:rPr>
                <w:rFonts w:ascii="Calibri" w:eastAsia="Times New Roman" w:hAnsi="Calibri" w:cs="Times New Roman"/>
                <w:color w:val="000000"/>
                <w:sz w:val="20"/>
                <w:lang w:eastAsia="en-GB"/>
              </w:rPr>
              <w:t>All data accounted for, no evidence of inadequate FUP.</w:t>
            </w:r>
          </w:p>
        </w:tc>
      </w:tr>
    </w:tbl>
    <w:p w14:paraId="6F34D10F" w14:textId="16C86540" w:rsidR="008356D5" w:rsidRPr="008356D5" w:rsidRDefault="008356D5" w:rsidP="008937F3"/>
    <w:p w14:paraId="5984D382" w14:textId="77777777" w:rsidR="00F45B76" w:rsidRDefault="00F45B76">
      <w:pPr>
        <w:rPr>
          <w:rFonts w:asciiTheme="majorHAnsi" w:eastAsiaTheme="majorEastAsia" w:hAnsiTheme="majorHAnsi" w:cstheme="majorBidi"/>
          <w:color w:val="2E74B5" w:themeColor="accent1" w:themeShade="BF"/>
          <w:sz w:val="26"/>
          <w:szCs w:val="26"/>
        </w:rPr>
      </w:pPr>
      <w:r>
        <w:br w:type="page"/>
      </w:r>
    </w:p>
    <w:p w14:paraId="610C37FC" w14:textId="0D0AA0A6" w:rsidR="007D57FB" w:rsidRDefault="00737863" w:rsidP="005B3E6B">
      <w:pPr>
        <w:pStyle w:val="Heading2"/>
      </w:pPr>
      <w:bookmarkStart w:id="25" w:name="_Toc52396347"/>
      <w:r>
        <w:t>Appendix 4.</w:t>
      </w:r>
      <w:r w:rsidR="007D57FB">
        <w:t xml:space="preserve"> </w:t>
      </w:r>
      <w:r w:rsidR="00B25F6B">
        <w:t xml:space="preserve">Summary of </w:t>
      </w:r>
      <w:r w:rsidR="007D57FB">
        <w:t xml:space="preserve">Observational Studies </w:t>
      </w:r>
      <w:r w:rsidR="007D57FB" w:rsidRPr="00E04049">
        <w:t>Quality Assessment</w:t>
      </w:r>
      <w:bookmarkEnd w:id="25"/>
      <w:r w:rsidR="007D57FB" w:rsidRPr="00E04049">
        <w:t xml:space="preserve"> </w:t>
      </w:r>
    </w:p>
    <w:p w14:paraId="610C37FD" w14:textId="1337B6F4" w:rsidR="007D57FB" w:rsidRPr="00AA3F3F" w:rsidRDefault="00053F96" w:rsidP="005B3E6B">
      <w:r>
        <w:t xml:space="preserve">Quality / Risk of Bias </w:t>
      </w:r>
      <w:r w:rsidR="00BA2E5F">
        <w:t>a</w:t>
      </w:r>
      <w:r w:rsidR="007D57FB">
        <w:t xml:space="preserve">ssessment </w:t>
      </w:r>
      <w:r>
        <w:t xml:space="preserve">based on </w:t>
      </w:r>
      <w:r w:rsidR="007D57FB">
        <w:t>M</w:t>
      </w:r>
      <w:r w:rsidR="007D57FB" w:rsidRPr="00E04049">
        <w:t>odified Newcastle-Ottawa Scale</w:t>
      </w:r>
      <w:r w:rsidR="007D57FB">
        <w:t xml:space="preserve"> [NOS]</w:t>
      </w:r>
      <w:r w:rsidR="009138D7">
        <w:t xml:space="preserve"> domains.</w:t>
      </w:r>
    </w:p>
    <w:p w14:paraId="610C38BE" w14:textId="776127A2" w:rsidR="007D57FB" w:rsidRPr="00CE18F6" w:rsidRDefault="007D57FB" w:rsidP="005B3E6B">
      <w:pPr>
        <w:rPr>
          <w:sz w:val="16"/>
        </w:rPr>
      </w:pPr>
    </w:p>
    <w:tbl>
      <w:tblPr>
        <w:tblW w:w="92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93"/>
        <w:gridCol w:w="622"/>
        <w:gridCol w:w="673"/>
        <w:gridCol w:w="724"/>
        <w:gridCol w:w="724"/>
        <w:gridCol w:w="673"/>
        <w:gridCol w:w="724"/>
        <w:gridCol w:w="673"/>
        <w:gridCol w:w="724"/>
        <w:gridCol w:w="473"/>
        <w:gridCol w:w="1206"/>
      </w:tblGrid>
      <w:tr w:rsidR="00E73E6B" w:rsidRPr="004E2AFE" w14:paraId="4D47ED32" w14:textId="77777777" w:rsidTr="008937F3">
        <w:trPr>
          <w:cantSplit/>
          <w:trHeight w:val="312"/>
        </w:trPr>
        <w:tc>
          <w:tcPr>
            <w:tcW w:w="1993" w:type="dxa"/>
            <w:tcBorders>
              <w:top w:val="nil"/>
              <w:left w:val="nil"/>
              <w:bottom w:val="nil"/>
            </w:tcBorders>
            <w:shd w:val="clear" w:color="auto" w:fill="auto"/>
            <w:vAlign w:val="bottom"/>
          </w:tcPr>
          <w:p w14:paraId="186154EE" w14:textId="77777777" w:rsidR="00E73E6B" w:rsidRPr="00E73E6B" w:rsidRDefault="00E73E6B" w:rsidP="00E73E6B">
            <w:pPr>
              <w:rPr>
                <w:rFonts w:ascii="Calibri" w:eastAsia="Times New Roman" w:hAnsi="Calibri" w:cs="Calibri"/>
                <w:b/>
                <w:bCs/>
                <w:color w:val="000000"/>
                <w:sz w:val="20"/>
                <w:lang w:eastAsia="en-GB"/>
              </w:rPr>
            </w:pPr>
          </w:p>
        </w:tc>
        <w:tc>
          <w:tcPr>
            <w:tcW w:w="622" w:type="dxa"/>
            <w:tcBorders>
              <w:top w:val="nil"/>
              <w:bottom w:val="nil"/>
            </w:tcBorders>
            <w:shd w:val="clear" w:color="auto" w:fill="auto"/>
            <w:vAlign w:val="bottom"/>
          </w:tcPr>
          <w:p w14:paraId="6903ED2C" w14:textId="77777777" w:rsidR="00E73E6B" w:rsidRPr="00E73E6B" w:rsidRDefault="00E73E6B" w:rsidP="00E73E6B">
            <w:pPr>
              <w:spacing w:after="0" w:line="240" w:lineRule="auto"/>
              <w:rPr>
                <w:rFonts w:ascii="Calibri" w:eastAsia="Times New Roman" w:hAnsi="Calibri" w:cs="Calibri"/>
                <w:b/>
                <w:bCs/>
                <w:color w:val="000000"/>
                <w:sz w:val="20"/>
                <w:lang w:eastAsia="en-GB"/>
              </w:rPr>
            </w:pPr>
          </w:p>
        </w:tc>
        <w:tc>
          <w:tcPr>
            <w:tcW w:w="5334" w:type="dxa"/>
            <w:gridSpan w:val="8"/>
            <w:tcBorders>
              <w:top w:val="nil"/>
              <w:bottom w:val="single" w:sz="4" w:space="0" w:color="auto"/>
            </w:tcBorders>
            <w:shd w:val="clear" w:color="auto" w:fill="auto"/>
            <w:vAlign w:val="bottom"/>
          </w:tcPr>
          <w:p w14:paraId="22FD020A" w14:textId="3336453A" w:rsidR="00E73E6B" w:rsidRPr="00E73E6B" w:rsidRDefault="00E73E6B" w:rsidP="00E73E6B">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 xml:space="preserve">NOS Domain </w:t>
            </w:r>
          </w:p>
        </w:tc>
        <w:tc>
          <w:tcPr>
            <w:tcW w:w="1260" w:type="dxa"/>
            <w:tcBorders>
              <w:top w:val="nil"/>
              <w:right w:val="nil"/>
            </w:tcBorders>
            <w:vAlign w:val="bottom"/>
          </w:tcPr>
          <w:p w14:paraId="5F43F62C" w14:textId="77777777" w:rsidR="00E73E6B" w:rsidRDefault="00E73E6B" w:rsidP="00E73E6B">
            <w:pPr>
              <w:spacing w:after="0" w:line="240" w:lineRule="auto"/>
              <w:rPr>
                <w:rFonts w:ascii="Calibri" w:eastAsia="Times New Roman" w:hAnsi="Calibri" w:cs="Calibri"/>
                <w:b/>
                <w:bCs/>
                <w:color w:val="000000"/>
                <w:sz w:val="20"/>
                <w:lang w:eastAsia="en-GB"/>
              </w:rPr>
            </w:pPr>
          </w:p>
        </w:tc>
      </w:tr>
      <w:tr w:rsidR="00350F02" w:rsidRPr="004E2AFE" w14:paraId="398A48B4" w14:textId="2F8C2104" w:rsidTr="008937F3">
        <w:trPr>
          <w:trHeight w:val="3656"/>
        </w:trPr>
        <w:tc>
          <w:tcPr>
            <w:tcW w:w="1993" w:type="dxa"/>
            <w:tcBorders>
              <w:top w:val="nil"/>
              <w:left w:val="nil"/>
              <w:bottom w:val="single" w:sz="4" w:space="0" w:color="auto"/>
            </w:tcBorders>
            <w:shd w:val="clear" w:color="auto" w:fill="auto"/>
            <w:vAlign w:val="bottom"/>
            <w:hideMark/>
          </w:tcPr>
          <w:p w14:paraId="7AB98A6D" w14:textId="77777777" w:rsidR="00E73E6B" w:rsidRPr="008937F3" w:rsidRDefault="00E73E6B" w:rsidP="008937F3">
            <w:pPr>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Author</w:t>
            </w:r>
          </w:p>
        </w:tc>
        <w:tc>
          <w:tcPr>
            <w:tcW w:w="622" w:type="dxa"/>
            <w:tcBorders>
              <w:top w:val="nil"/>
              <w:bottom w:val="single" w:sz="4" w:space="0" w:color="auto"/>
            </w:tcBorders>
            <w:shd w:val="clear" w:color="auto" w:fill="auto"/>
            <w:vAlign w:val="bottom"/>
            <w:hideMark/>
          </w:tcPr>
          <w:p w14:paraId="3B0082F7" w14:textId="77777777" w:rsidR="00E73E6B" w:rsidRPr="008937F3"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Year</w:t>
            </w:r>
          </w:p>
        </w:tc>
        <w:tc>
          <w:tcPr>
            <w:tcW w:w="673" w:type="dxa"/>
            <w:tcBorders>
              <w:top w:val="single" w:sz="4" w:space="0" w:color="auto"/>
              <w:bottom w:val="nil"/>
              <w:right w:val="single" w:sz="4" w:space="0" w:color="auto"/>
            </w:tcBorders>
            <w:shd w:val="clear" w:color="auto" w:fill="auto"/>
            <w:textDirection w:val="btLr"/>
            <w:vAlign w:val="bottom"/>
            <w:hideMark/>
          </w:tcPr>
          <w:p w14:paraId="1DAD11E1" w14:textId="77777777" w:rsidR="00E73E6B" w:rsidRPr="008937F3"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S1 -Representativeness of the exposed cohort</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47617582" w14:textId="65B33252" w:rsidR="00E73E6B"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S2 - Selection of the non exposed cohort</w:t>
            </w:r>
          </w:p>
          <w:p w14:paraId="269E6755" w14:textId="77777777" w:rsidR="00954606" w:rsidRDefault="00954606" w:rsidP="008937F3">
            <w:pPr>
              <w:spacing w:after="0" w:line="240" w:lineRule="auto"/>
              <w:rPr>
                <w:rFonts w:ascii="Calibri" w:eastAsia="Times New Roman" w:hAnsi="Calibri" w:cs="Calibri"/>
                <w:b/>
                <w:bCs/>
                <w:color w:val="000000"/>
                <w:sz w:val="20"/>
                <w:lang w:eastAsia="en-GB"/>
              </w:rPr>
            </w:pPr>
          </w:p>
          <w:p w14:paraId="1393978B" w14:textId="27642162" w:rsidR="00954606" w:rsidRPr="008937F3" w:rsidRDefault="00954606" w:rsidP="008937F3">
            <w:pPr>
              <w:spacing w:after="0" w:line="240" w:lineRule="auto"/>
              <w:rPr>
                <w:rFonts w:ascii="Calibri" w:eastAsia="Times New Roman" w:hAnsi="Calibri" w:cs="Calibri"/>
                <w:b/>
                <w:bCs/>
                <w:color w:val="000000"/>
                <w:sz w:val="20"/>
                <w:lang w:eastAsia="en-GB"/>
              </w:rPr>
            </w:pP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75492E3B" w14:textId="33648349" w:rsidR="00E73E6B"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S3 - Ascertainment of exposure</w:t>
            </w:r>
          </w:p>
          <w:p w14:paraId="320D5EF6" w14:textId="77777777" w:rsidR="00954606" w:rsidRDefault="00954606" w:rsidP="008937F3">
            <w:pPr>
              <w:spacing w:after="0" w:line="240" w:lineRule="auto"/>
              <w:rPr>
                <w:rFonts w:ascii="Calibri" w:eastAsia="Times New Roman" w:hAnsi="Calibri" w:cs="Calibri"/>
                <w:b/>
                <w:bCs/>
                <w:color w:val="000000"/>
                <w:sz w:val="20"/>
                <w:lang w:eastAsia="en-GB"/>
              </w:rPr>
            </w:pPr>
          </w:p>
          <w:p w14:paraId="202968D2" w14:textId="4B8CD80C" w:rsidR="00954606" w:rsidRPr="008937F3" w:rsidRDefault="00954606" w:rsidP="008937F3">
            <w:pPr>
              <w:spacing w:after="0" w:line="240" w:lineRule="auto"/>
              <w:rPr>
                <w:rFonts w:ascii="Calibri" w:eastAsia="Times New Roman" w:hAnsi="Calibri" w:cs="Calibri"/>
                <w:b/>
                <w:bCs/>
                <w:color w:val="000000"/>
                <w:sz w:val="20"/>
                <w:lang w:eastAsia="en-GB"/>
              </w:rPr>
            </w:pPr>
          </w:p>
        </w:tc>
        <w:tc>
          <w:tcPr>
            <w:tcW w:w="673" w:type="dxa"/>
            <w:tcBorders>
              <w:top w:val="single" w:sz="4" w:space="0" w:color="auto"/>
              <w:left w:val="single" w:sz="4" w:space="0" w:color="auto"/>
              <w:bottom w:val="nil"/>
              <w:right w:val="single" w:sz="4" w:space="0" w:color="auto"/>
            </w:tcBorders>
            <w:shd w:val="clear" w:color="auto" w:fill="auto"/>
            <w:textDirection w:val="btLr"/>
            <w:vAlign w:val="bottom"/>
            <w:hideMark/>
          </w:tcPr>
          <w:p w14:paraId="6FA6F20A" w14:textId="77777777" w:rsidR="00E73E6B" w:rsidRPr="008937F3"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S4 - Demonstration that outcome of interest was not present at start of study</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7836C9FD" w14:textId="2478C6D5" w:rsidR="00E73E6B"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E1 - Assessment of outcome</w:t>
            </w:r>
          </w:p>
          <w:p w14:paraId="487099F8" w14:textId="77777777" w:rsidR="00954606" w:rsidRDefault="00954606" w:rsidP="008937F3">
            <w:pPr>
              <w:spacing w:after="0" w:line="240" w:lineRule="auto"/>
              <w:rPr>
                <w:rFonts w:ascii="Calibri" w:eastAsia="Times New Roman" w:hAnsi="Calibri" w:cs="Calibri"/>
                <w:b/>
                <w:bCs/>
                <w:color w:val="000000"/>
                <w:sz w:val="20"/>
                <w:lang w:eastAsia="en-GB"/>
              </w:rPr>
            </w:pPr>
          </w:p>
          <w:p w14:paraId="72A05AD9" w14:textId="34E960E4" w:rsidR="00954606" w:rsidRPr="008937F3" w:rsidRDefault="00954606" w:rsidP="008937F3">
            <w:pPr>
              <w:spacing w:after="0" w:line="240" w:lineRule="auto"/>
              <w:rPr>
                <w:rFonts w:ascii="Calibri" w:eastAsia="Times New Roman" w:hAnsi="Calibri" w:cs="Calibri"/>
                <w:b/>
                <w:bCs/>
                <w:color w:val="000000"/>
                <w:sz w:val="20"/>
                <w:lang w:eastAsia="en-GB"/>
              </w:rPr>
            </w:pPr>
          </w:p>
        </w:tc>
        <w:tc>
          <w:tcPr>
            <w:tcW w:w="673" w:type="dxa"/>
            <w:tcBorders>
              <w:top w:val="single" w:sz="4" w:space="0" w:color="auto"/>
              <w:left w:val="single" w:sz="4" w:space="0" w:color="auto"/>
              <w:bottom w:val="nil"/>
              <w:right w:val="single" w:sz="4" w:space="0" w:color="auto"/>
            </w:tcBorders>
            <w:shd w:val="clear" w:color="auto" w:fill="auto"/>
            <w:textDirection w:val="btLr"/>
            <w:vAlign w:val="bottom"/>
            <w:hideMark/>
          </w:tcPr>
          <w:p w14:paraId="0CCA225C" w14:textId="77777777" w:rsidR="00E73E6B" w:rsidRPr="008937F3"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E2 - Was follow-up long enough for outcomes to occur</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3C3242C9" w14:textId="5C901F77" w:rsidR="00E73E6B"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E3 - Adequacy of follow up of cohorts</w:t>
            </w:r>
          </w:p>
          <w:p w14:paraId="2014022E" w14:textId="77777777" w:rsidR="00954606" w:rsidRDefault="00954606" w:rsidP="008937F3">
            <w:pPr>
              <w:spacing w:after="0" w:line="240" w:lineRule="auto"/>
              <w:rPr>
                <w:rFonts w:ascii="Calibri" w:eastAsia="Times New Roman" w:hAnsi="Calibri" w:cs="Calibri"/>
                <w:b/>
                <w:bCs/>
                <w:color w:val="000000"/>
                <w:sz w:val="20"/>
                <w:lang w:eastAsia="en-GB"/>
              </w:rPr>
            </w:pPr>
          </w:p>
          <w:p w14:paraId="4194C9B6" w14:textId="7EDE9620" w:rsidR="00954606" w:rsidRPr="008937F3" w:rsidRDefault="00954606" w:rsidP="008937F3">
            <w:pPr>
              <w:spacing w:after="0" w:line="240" w:lineRule="auto"/>
              <w:rPr>
                <w:rFonts w:ascii="Calibri" w:eastAsia="Times New Roman" w:hAnsi="Calibri" w:cs="Calibri"/>
                <w:b/>
                <w:bCs/>
                <w:color w:val="000000"/>
                <w:sz w:val="20"/>
                <w:lang w:eastAsia="en-GB"/>
              </w:rPr>
            </w:pPr>
          </w:p>
        </w:tc>
        <w:tc>
          <w:tcPr>
            <w:tcW w:w="467" w:type="dxa"/>
            <w:tcBorders>
              <w:top w:val="single" w:sz="4" w:space="0" w:color="auto"/>
              <w:left w:val="single" w:sz="4" w:space="0" w:color="auto"/>
              <w:bottom w:val="nil"/>
            </w:tcBorders>
            <w:shd w:val="clear" w:color="auto" w:fill="auto"/>
            <w:textDirection w:val="btLr"/>
            <w:vAlign w:val="bottom"/>
            <w:hideMark/>
          </w:tcPr>
          <w:p w14:paraId="040B1DFE" w14:textId="77777777" w:rsidR="00E73E6B" w:rsidRPr="008937F3" w:rsidRDefault="00E73E6B" w:rsidP="008937F3">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NOS Score Total</w:t>
            </w:r>
          </w:p>
        </w:tc>
        <w:tc>
          <w:tcPr>
            <w:tcW w:w="1260" w:type="dxa"/>
            <w:tcBorders>
              <w:bottom w:val="nil"/>
              <w:right w:val="nil"/>
            </w:tcBorders>
            <w:vAlign w:val="bottom"/>
          </w:tcPr>
          <w:p w14:paraId="2DDB5731" w14:textId="1C981CFD" w:rsidR="00E73E6B" w:rsidRPr="00E73E6B" w:rsidRDefault="00E73E6B" w:rsidP="00E73E6B">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ADR proportion (95% CI)</w:t>
            </w:r>
          </w:p>
        </w:tc>
      </w:tr>
      <w:tr w:rsidR="00350F02" w:rsidRPr="004E2AFE" w14:paraId="3621840B" w14:textId="6C251123"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0913FA69" w14:textId="354806D2" w:rsidR="00E73E6B" w:rsidRPr="008937F3" w:rsidRDefault="00DD067B" w:rsidP="00CE134F">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Ayub</w:t>
            </w:r>
            <w:r w:rsidR="00CE134F" w:rsidRPr="00CE134F">
              <w:rPr>
                <w:rFonts w:ascii="Calibri" w:eastAsia="Times New Roman" w:hAnsi="Calibri" w:cs="Calibri"/>
                <w:b/>
                <w:bCs/>
                <w:noProof/>
                <w:color w:val="000000"/>
                <w:sz w:val="20"/>
                <w:vertAlign w:val="superscript"/>
                <w:lang w:eastAsia="en-GB"/>
              </w:rPr>
              <w:t>7</w:t>
            </w:r>
          </w:p>
        </w:tc>
        <w:tc>
          <w:tcPr>
            <w:tcW w:w="622" w:type="dxa"/>
            <w:tcBorders>
              <w:top w:val="single" w:sz="4" w:space="0" w:color="auto"/>
              <w:bottom w:val="single" w:sz="4" w:space="0" w:color="auto"/>
            </w:tcBorders>
            <w:shd w:val="clear" w:color="auto" w:fill="auto"/>
            <w:noWrap/>
            <w:vAlign w:val="bottom"/>
            <w:hideMark/>
          </w:tcPr>
          <w:p w14:paraId="5E7A3987"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2009</w:t>
            </w:r>
          </w:p>
        </w:tc>
        <w:tc>
          <w:tcPr>
            <w:tcW w:w="673" w:type="dxa"/>
            <w:tcBorders>
              <w:top w:val="nil"/>
              <w:bottom w:val="single" w:sz="4" w:space="0" w:color="auto"/>
            </w:tcBorders>
            <w:shd w:val="clear" w:color="auto" w:fill="E2EFD9" w:themeFill="accent6" w:themeFillTint="33"/>
            <w:noWrap/>
            <w:vAlign w:val="bottom"/>
            <w:hideMark/>
          </w:tcPr>
          <w:p w14:paraId="11FDD067" w14:textId="74070420" w:rsidR="00DD067B" w:rsidRPr="008937F3" w:rsidRDefault="00E73E6B">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nil"/>
              <w:bottom w:val="single" w:sz="4" w:space="0" w:color="auto"/>
            </w:tcBorders>
            <w:shd w:val="clear" w:color="auto" w:fill="E2EFD9" w:themeFill="accent6" w:themeFillTint="33"/>
            <w:noWrap/>
            <w:vAlign w:val="bottom"/>
            <w:hideMark/>
          </w:tcPr>
          <w:p w14:paraId="5130C985"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nil"/>
              <w:bottom w:val="single" w:sz="4" w:space="0" w:color="auto"/>
            </w:tcBorders>
            <w:shd w:val="clear" w:color="auto" w:fill="E2EFD9" w:themeFill="accent6" w:themeFillTint="33"/>
            <w:noWrap/>
            <w:vAlign w:val="bottom"/>
            <w:hideMark/>
          </w:tcPr>
          <w:p w14:paraId="57AFE5CE"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nil"/>
              <w:bottom w:val="single" w:sz="4" w:space="0" w:color="auto"/>
            </w:tcBorders>
            <w:shd w:val="clear" w:color="auto" w:fill="F7D3D1"/>
            <w:noWrap/>
            <w:vAlign w:val="bottom"/>
            <w:hideMark/>
          </w:tcPr>
          <w:p w14:paraId="120FFEA8" w14:textId="77777777" w:rsidR="00E73E6B" w:rsidRPr="008937F3" w:rsidRDefault="00E73E6B" w:rsidP="004E2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nil"/>
              <w:bottom w:val="single" w:sz="4" w:space="0" w:color="auto"/>
            </w:tcBorders>
            <w:shd w:val="clear" w:color="auto" w:fill="E2EFD9" w:themeFill="accent6" w:themeFillTint="33"/>
            <w:noWrap/>
            <w:vAlign w:val="bottom"/>
            <w:hideMark/>
          </w:tcPr>
          <w:p w14:paraId="0AA93F50"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nil"/>
              <w:bottom w:val="single" w:sz="4" w:space="0" w:color="auto"/>
            </w:tcBorders>
            <w:shd w:val="clear" w:color="auto" w:fill="E2EFD9" w:themeFill="accent6" w:themeFillTint="33"/>
            <w:noWrap/>
            <w:vAlign w:val="bottom"/>
            <w:hideMark/>
          </w:tcPr>
          <w:p w14:paraId="19EE9018"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nil"/>
              <w:bottom w:val="single" w:sz="4" w:space="0" w:color="auto"/>
            </w:tcBorders>
            <w:shd w:val="clear" w:color="auto" w:fill="E2EFD9" w:themeFill="accent6" w:themeFillTint="33"/>
            <w:noWrap/>
            <w:vAlign w:val="bottom"/>
            <w:hideMark/>
          </w:tcPr>
          <w:p w14:paraId="701AACC0"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nil"/>
              <w:bottom w:val="single" w:sz="4" w:space="0" w:color="auto"/>
            </w:tcBorders>
            <w:shd w:val="clear" w:color="auto" w:fill="auto"/>
            <w:noWrap/>
            <w:vAlign w:val="bottom"/>
            <w:hideMark/>
          </w:tcPr>
          <w:p w14:paraId="4A623F41"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6</w:t>
            </w:r>
          </w:p>
        </w:tc>
        <w:tc>
          <w:tcPr>
            <w:tcW w:w="1260" w:type="dxa"/>
            <w:tcBorders>
              <w:top w:val="nil"/>
              <w:bottom w:val="single" w:sz="4" w:space="0" w:color="auto"/>
              <w:right w:val="nil"/>
            </w:tcBorders>
          </w:tcPr>
          <w:p w14:paraId="53FAD29B" w14:textId="77777777" w:rsidR="00954606" w:rsidRDefault="00E1297B" w:rsidP="008937F3">
            <w:pPr>
              <w:spacing w:after="0" w:line="240" w:lineRule="auto"/>
              <w:rPr>
                <w:rFonts w:ascii="Calibri" w:eastAsia="Times New Roman" w:hAnsi="Calibri" w:cs="Calibri"/>
                <w:color w:val="000000"/>
                <w:sz w:val="20"/>
                <w:lang w:eastAsia="en-GB"/>
              </w:rPr>
            </w:pPr>
            <w:r w:rsidRPr="00E1297B">
              <w:rPr>
                <w:rFonts w:ascii="Calibri" w:eastAsia="Times New Roman" w:hAnsi="Calibri" w:cs="Calibri"/>
                <w:color w:val="000000"/>
                <w:sz w:val="20"/>
                <w:lang w:eastAsia="en-GB"/>
              </w:rPr>
              <w:t xml:space="preserve">0.07 </w:t>
            </w:r>
          </w:p>
          <w:p w14:paraId="650F5450" w14:textId="7F900ACA" w:rsidR="00E73E6B" w:rsidRPr="00E73E6B" w:rsidRDefault="00E1297B" w:rsidP="008937F3">
            <w:pPr>
              <w:spacing w:after="0" w:line="240" w:lineRule="auto"/>
              <w:rPr>
                <w:rFonts w:ascii="Calibri" w:eastAsia="Times New Roman" w:hAnsi="Calibri" w:cs="Calibri"/>
                <w:color w:val="000000"/>
                <w:sz w:val="20"/>
                <w:lang w:eastAsia="en-GB"/>
              </w:rPr>
            </w:pPr>
            <w:r w:rsidRPr="00E1297B">
              <w:rPr>
                <w:rFonts w:ascii="Calibri" w:eastAsia="Times New Roman" w:hAnsi="Calibri" w:cs="Calibri"/>
                <w:color w:val="000000"/>
                <w:sz w:val="20"/>
                <w:lang w:eastAsia="en-GB"/>
              </w:rPr>
              <w:t>(0.03-0.14)</w:t>
            </w:r>
          </w:p>
        </w:tc>
      </w:tr>
      <w:tr w:rsidR="00350F02" w:rsidRPr="004E2AFE" w14:paraId="51A0A4CA" w14:textId="43943F52"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3ED37542" w14:textId="00DB0CA5" w:rsidR="00E73E6B" w:rsidRPr="008937F3" w:rsidRDefault="00E73E6B" w:rsidP="00CE134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Bowman</w:t>
            </w:r>
            <w:r w:rsidR="00CE134F" w:rsidRPr="00CE134F">
              <w:rPr>
                <w:rFonts w:ascii="Calibri" w:eastAsia="Times New Roman" w:hAnsi="Calibri" w:cs="Calibri"/>
                <w:b/>
                <w:bCs/>
                <w:noProof/>
                <w:color w:val="000000"/>
                <w:sz w:val="20"/>
                <w:vertAlign w:val="superscript"/>
                <w:lang w:eastAsia="en-GB"/>
              </w:rPr>
              <w:t>8</w:t>
            </w:r>
            <w:r w:rsidRPr="008937F3">
              <w:rPr>
                <w:rFonts w:ascii="Calibri" w:eastAsia="Times New Roman" w:hAnsi="Calibri" w:cs="Calibri"/>
                <w:b/>
                <w:bCs/>
                <w:color w:val="000000"/>
                <w:sz w:val="20"/>
                <w:lang w:eastAsia="en-GB"/>
              </w:rPr>
              <w:t xml:space="preserve"> </w:t>
            </w:r>
          </w:p>
        </w:tc>
        <w:tc>
          <w:tcPr>
            <w:tcW w:w="622" w:type="dxa"/>
            <w:tcBorders>
              <w:top w:val="single" w:sz="4" w:space="0" w:color="auto"/>
              <w:bottom w:val="single" w:sz="4" w:space="0" w:color="auto"/>
            </w:tcBorders>
            <w:shd w:val="clear" w:color="auto" w:fill="auto"/>
            <w:noWrap/>
            <w:vAlign w:val="bottom"/>
            <w:hideMark/>
          </w:tcPr>
          <w:p w14:paraId="514647F5"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1996</w:t>
            </w:r>
          </w:p>
        </w:tc>
        <w:tc>
          <w:tcPr>
            <w:tcW w:w="673" w:type="dxa"/>
            <w:tcBorders>
              <w:top w:val="single" w:sz="4" w:space="0" w:color="auto"/>
              <w:bottom w:val="single" w:sz="4" w:space="0" w:color="auto"/>
            </w:tcBorders>
            <w:shd w:val="clear" w:color="auto" w:fill="E2EFD9" w:themeFill="accent6" w:themeFillTint="33"/>
            <w:noWrap/>
            <w:vAlign w:val="bottom"/>
            <w:hideMark/>
          </w:tcPr>
          <w:p w14:paraId="104359D3"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2D9A2A3"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240F66B"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413A5159"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54F9214"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08A405CD"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77F38C1"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06B10F32"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7</w:t>
            </w:r>
          </w:p>
        </w:tc>
        <w:tc>
          <w:tcPr>
            <w:tcW w:w="1260" w:type="dxa"/>
            <w:tcBorders>
              <w:top w:val="single" w:sz="4" w:space="0" w:color="auto"/>
              <w:bottom w:val="single" w:sz="4" w:space="0" w:color="auto"/>
              <w:right w:val="nil"/>
            </w:tcBorders>
          </w:tcPr>
          <w:p w14:paraId="1CAD0D3A" w14:textId="77777777" w:rsidR="00954606" w:rsidRDefault="00E1297B"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0.30 </w:t>
            </w:r>
          </w:p>
          <w:p w14:paraId="294DF565" w14:textId="1E86EA92" w:rsidR="00E73E6B" w:rsidRPr="00E73E6B" w:rsidRDefault="00E1297B"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(0.24-0.35)</w:t>
            </w:r>
          </w:p>
        </w:tc>
      </w:tr>
      <w:tr w:rsidR="00350F02" w:rsidRPr="004E2AFE" w14:paraId="4F830789" w14:textId="2604161C"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1ADEB8FE" w14:textId="0773BBC1" w:rsidR="00E73E6B" w:rsidRPr="008937F3" w:rsidRDefault="00A66CD2" w:rsidP="00CE134F">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Calderon</w:t>
            </w:r>
            <w:r w:rsidR="00E73E6B" w:rsidRPr="008937F3">
              <w:rPr>
                <w:rFonts w:ascii="Calibri" w:eastAsia="Times New Roman" w:hAnsi="Calibri" w:cs="Calibri"/>
                <w:b/>
                <w:bCs/>
                <w:color w:val="000000"/>
                <w:sz w:val="20"/>
                <w:lang w:eastAsia="en-GB"/>
              </w:rPr>
              <w:t>-Ospina</w:t>
            </w:r>
            <w:r w:rsidR="00CE134F" w:rsidRPr="00CE134F">
              <w:rPr>
                <w:rFonts w:ascii="Calibri" w:eastAsia="Times New Roman" w:hAnsi="Calibri" w:cs="Calibri"/>
                <w:b/>
                <w:bCs/>
                <w:noProof/>
                <w:color w:val="000000"/>
                <w:sz w:val="20"/>
                <w:vertAlign w:val="superscript"/>
                <w:lang w:eastAsia="en-GB"/>
              </w:rPr>
              <w:t>9</w:t>
            </w:r>
          </w:p>
        </w:tc>
        <w:tc>
          <w:tcPr>
            <w:tcW w:w="622" w:type="dxa"/>
            <w:tcBorders>
              <w:top w:val="single" w:sz="4" w:space="0" w:color="auto"/>
              <w:bottom w:val="single" w:sz="4" w:space="0" w:color="auto"/>
            </w:tcBorders>
            <w:shd w:val="clear" w:color="auto" w:fill="auto"/>
            <w:noWrap/>
            <w:vAlign w:val="bottom"/>
            <w:hideMark/>
          </w:tcPr>
          <w:p w14:paraId="6D6BB96B"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2010</w:t>
            </w:r>
          </w:p>
        </w:tc>
        <w:tc>
          <w:tcPr>
            <w:tcW w:w="673" w:type="dxa"/>
            <w:tcBorders>
              <w:top w:val="single" w:sz="4" w:space="0" w:color="auto"/>
              <w:bottom w:val="single" w:sz="4" w:space="0" w:color="auto"/>
            </w:tcBorders>
            <w:shd w:val="clear" w:color="auto" w:fill="E2EFD9" w:themeFill="accent6" w:themeFillTint="33"/>
            <w:noWrap/>
            <w:vAlign w:val="bottom"/>
            <w:hideMark/>
          </w:tcPr>
          <w:p w14:paraId="58B53335"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3A7A637A"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4471664"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3632B05A"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1A4451C"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FF2CC" w:themeFill="accent4" w:themeFillTint="33"/>
            <w:noWrap/>
            <w:vAlign w:val="bottom"/>
            <w:hideMark/>
          </w:tcPr>
          <w:p w14:paraId="25FC29E7" w14:textId="77777777" w:rsidR="00E73E6B" w:rsidRPr="008937F3" w:rsidRDefault="00E73E6B" w:rsidP="004E2AFE">
            <w:pPr>
              <w:spacing w:after="0" w:line="240" w:lineRule="auto"/>
              <w:jc w:val="center"/>
              <w:rPr>
                <w:rFonts w:ascii="Calibri" w:eastAsia="Times New Roman" w:hAnsi="Calibri" w:cs="Calibri"/>
                <w:color w:val="FFC000"/>
                <w:sz w:val="20"/>
                <w:lang w:eastAsia="en-GB"/>
              </w:rPr>
            </w:pPr>
            <w:r w:rsidRPr="008937F3">
              <w:rPr>
                <w:rFonts w:ascii="Calibri" w:eastAsia="Times New Roman" w:hAnsi="Calibri" w:cs="Calibri"/>
                <w:color w:val="FFC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5E03784"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15BEB06D"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6</w:t>
            </w:r>
          </w:p>
        </w:tc>
        <w:tc>
          <w:tcPr>
            <w:tcW w:w="1260" w:type="dxa"/>
            <w:tcBorders>
              <w:top w:val="single" w:sz="4" w:space="0" w:color="auto"/>
              <w:bottom w:val="single" w:sz="4" w:space="0" w:color="auto"/>
              <w:right w:val="nil"/>
            </w:tcBorders>
          </w:tcPr>
          <w:p w14:paraId="540FCB3B" w14:textId="77777777" w:rsidR="00954606" w:rsidRDefault="00E1297B"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0.23 </w:t>
            </w:r>
          </w:p>
          <w:p w14:paraId="05D10046" w14:textId="08C3A14D" w:rsidR="00E73E6B" w:rsidRPr="00E73E6B" w:rsidRDefault="00E1297B"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(0.12-0.37)</w:t>
            </w:r>
          </w:p>
        </w:tc>
      </w:tr>
      <w:tr w:rsidR="00954606" w:rsidRPr="00170627" w14:paraId="7EC0DE38" w14:textId="7ACD0B4C"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70C4E69D" w14:textId="55A66C08" w:rsidR="00E73E6B" w:rsidRPr="008937F3" w:rsidRDefault="00E73E6B" w:rsidP="00CE134F">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Choeng</w:t>
            </w:r>
            <w:r w:rsidR="00CE134F" w:rsidRPr="00CE134F">
              <w:rPr>
                <w:rFonts w:ascii="Calibri" w:eastAsia="Times New Roman" w:hAnsi="Calibri" w:cs="Calibri"/>
                <w:b/>
                <w:bCs/>
                <w:i/>
                <w:noProof/>
                <w:color w:val="000000"/>
                <w:sz w:val="20"/>
                <w:vertAlign w:val="superscript"/>
                <w:lang w:eastAsia="en-GB"/>
              </w:rPr>
              <w:t>10,11</w:t>
            </w:r>
          </w:p>
        </w:tc>
        <w:tc>
          <w:tcPr>
            <w:tcW w:w="622" w:type="dxa"/>
            <w:tcBorders>
              <w:top w:val="single" w:sz="4" w:space="0" w:color="auto"/>
              <w:bottom w:val="single" w:sz="4" w:space="0" w:color="auto"/>
            </w:tcBorders>
            <w:shd w:val="clear" w:color="auto" w:fill="auto"/>
            <w:noWrap/>
            <w:vAlign w:val="bottom"/>
            <w:hideMark/>
          </w:tcPr>
          <w:p w14:paraId="4CCFF8B0"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2018</w:t>
            </w:r>
          </w:p>
        </w:tc>
        <w:tc>
          <w:tcPr>
            <w:tcW w:w="673" w:type="dxa"/>
            <w:tcBorders>
              <w:top w:val="single" w:sz="4" w:space="0" w:color="auto"/>
              <w:bottom w:val="single" w:sz="4" w:space="0" w:color="auto"/>
            </w:tcBorders>
            <w:shd w:val="clear" w:color="auto" w:fill="FFF2CC" w:themeFill="accent4" w:themeFillTint="33"/>
            <w:noWrap/>
            <w:vAlign w:val="bottom"/>
            <w:hideMark/>
          </w:tcPr>
          <w:p w14:paraId="61846841"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FA06A2B"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7D3D1"/>
            <w:noWrap/>
            <w:vAlign w:val="bottom"/>
            <w:hideMark/>
          </w:tcPr>
          <w:p w14:paraId="3815C452" w14:textId="77777777"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36194951" w14:textId="77777777"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031E85DE"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4502362B" w14:textId="77777777"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F7D3D1"/>
            <w:noWrap/>
            <w:vAlign w:val="bottom"/>
            <w:hideMark/>
          </w:tcPr>
          <w:p w14:paraId="00E4E306" w14:textId="77777777"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467" w:type="dxa"/>
            <w:tcBorders>
              <w:top w:val="single" w:sz="4" w:space="0" w:color="auto"/>
              <w:bottom w:val="single" w:sz="4" w:space="0" w:color="auto"/>
            </w:tcBorders>
            <w:shd w:val="clear" w:color="auto" w:fill="auto"/>
            <w:noWrap/>
            <w:vAlign w:val="bottom"/>
            <w:hideMark/>
          </w:tcPr>
          <w:p w14:paraId="67E607A9"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1</w:t>
            </w:r>
          </w:p>
        </w:tc>
        <w:tc>
          <w:tcPr>
            <w:tcW w:w="1260" w:type="dxa"/>
            <w:tcBorders>
              <w:top w:val="single" w:sz="4" w:space="0" w:color="auto"/>
              <w:bottom w:val="single" w:sz="4" w:space="0" w:color="auto"/>
              <w:right w:val="nil"/>
            </w:tcBorders>
          </w:tcPr>
          <w:p w14:paraId="083F42AF" w14:textId="77777777" w:rsidR="00954606" w:rsidRDefault="00E1297B" w:rsidP="008937F3">
            <w:pPr>
              <w:spacing w:after="0" w:line="240" w:lineRule="auto"/>
              <w:rPr>
                <w:rFonts w:ascii="Calibri" w:eastAsia="Times New Roman" w:hAnsi="Calibri" w:cs="Calibri"/>
                <w:i/>
                <w:color w:val="000000"/>
                <w:lang w:eastAsia="en-GB"/>
              </w:rPr>
            </w:pPr>
            <w:r w:rsidRPr="00170627">
              <w:rPr>
                <w:rFonts w:ascii="Calibri" w:eastAsia="Times New Roman" w:hAnsi="Calibri" w:cs="Calibri"/>
                <w:i/>
                <w:color w:val="000000"/>
                <w:lang w:eastAsia="en-GB"/>
              </w:rPr>
              <w:t xml:space="preserve">0.69 </w:t>
            </w:r>
          </w:p>
          <w:p w14:paraId="2737522E" w14:textId="6B03B4E2" w:rsidR="00E73E6B" w:rsidRPr="008937F3" w:rsidRDefault="00E1297B" w:rsidP="008937F3">
            <w:pPr>
              <w:spacing w:after="0" w:line="240" w:lineRule="auto"/>
              <w:rPr>
                <w:rFonts w:ascii="Calibri" w:eastAsia="Times New Roman" w:hAnsi="Calibri" w:cs="Calibri"/>
                <w:i/>
                <w:color w:val="000000"/>
                <w:sz w:val="20"/>
                <w:lang w:eastAsia="en-GB"/>
              </w:rPr>
            </w:pPr>
            <w:r w:rsidRPr="00170627">
              <w:rPr>
                <w:rFonts w:ascii="Calibri" w:eastAsia="Times New Roman" w:hAnsi="Calibri" w:cs="Calibri"/>
                <w:i/>
                <w:color w:val="000000"/>
                <w:lang w:eastAsia="en-GB"/>
              </w:rPr>
              <w:t>(0.61-0.77)</w:t>
            </w:r>
          </w:p>
        </w:tc>
      </w:tr>
      <w:tr w:rsidR="00350F02" w:rsidRPr="00170627" w14:paraId="30817EED" w14:textId="22FD868B"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481A115D" w14:textId="39432ACF" w:rsidR="00E73E6B" w:rsidRPr="008937F3" w:rsidRDefault="00E73E6B" w:rsidP="00CE134F">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Conforti</w:t>
            </w:r>
            <w:r w:rsidR="00CE134F" w:rsidRPr="00CE134F">
              <w:rPr>
                <w:rFonts w:ascii="Calibri" w:eastAsia="Times New Roman" w:hAnsi="Calibri" w:cs="Calibri"/>
                <w:b/>
                <w:bCs/>
                <w:i/>
                <w:noProof/>
                <w:color w:val="000000"/>
                <w:sz w:val="20"/>
                <w:vertAlign w:val="superscript"/>
                <w:lang w:eastAsia="en-GB"/>
              </w:rPr>
              <w:t>12</w:t>
            </w:r>
          </w:p>
        </w:tc>
        <w:tc>
          <w:tcPr>
            <w:tcW w:w="622" w:type="dxa"/>
            <w:tcBorders>
              <w:top w:val="single" w:sz="4" w:space="0" w:color="auto"/>
              <w:bottom w:val="single" w:sz="4" w:space="0" w:color="auto"/>
            </w:tcBorders>
            <w:shd w:val="clear" w:color="auto" w:fill="auto"/>
            <w:noWrap/>
            <w:vAlign w:val="bottom"/>
            <w:hideMark/>
          </w:tcPr>
          <w:p w14:paraId="2B1902EA"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2012</w:t>
            </w:r>
          </w:p>
        </w:tc>
        <w:tc>
          <w:tcPr>
            <w:tcW w:w="673" w:type="dxa"/>
            <w:tcBorders>
              <w:top w:val="single" w:sz="4" w:space="0" w:color="auto"/>
              <w:bottom w:val="single" w:sz="4" w:space="0" w:color="auto"/>
            </w:tcBorders>
            <w:shd w:val="clear" w:color="auto" w:fill="E2EFD9" w:themeFill="accent6" w:themeFillTint="33"/>
            <w:noWrap/>
            <w:vAlign w:val="bottom"/>
            <w:hideMark/>
          </w:tcPr>
          <w:p w14:paraId="79919496"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0FE2691"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111A6E0F"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3DFCDFB6"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291F0DAE"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275C8768"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3C3674A"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1A5E58CD"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5</w:t>
            </w:r>
          </w:p>
        </w:tc>
        <w:tc>
          <w:tcPr>
            <w:tcW w:w="1260" w:type="dxa"/>
            <w:tcBorders>
              <w:top w:val="single" w:sz="4" w:space="0" w:color="auto"/>
              <w:bottom w:val="single" w:sz="4" w:space="0" w:color="auto"/>
              <w:right w:val="nil"/>
            </w:tcBorders>
          </w:tcPr>
          <w:p w14:paraId="3DFD139F" w14:textId="77777777" w:rsidR="00954606" w:rsidRDefault="00E1297B"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0.25 </w:t>
            </w:r>
          </w:p>
          <w:p w14:paraId="731F36CB" w14:textId="69FA2F7F" w:rsidR="00E73E6B" w:rsidRPr="008937F3" w:rsidRDefault="00E1297B"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(0.22-0.28)</w:t>
            </w:r>
          </w:p>
        </w:tc>
      </w:tr>
      <w:tr w:rsidR="00350F02" w:rsidRPr="00170627" w14:paraId="07415EA4" w14:textId="44792391"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72EF0464" w14:textId="59E0D7FD" w:rsidR="00E73E6B" w:rsidRPr="008937F3" w:rsidRDefault="00E73E6B" w:rsidP="00CE134F">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Corsonello</w:t>
            </w:r>
            <w:r w:rsidR="00CE134F" w:rsidRPr="00CE134F">
              <w:rPr>
                <w:rFonts w:ascii="Calibri" w:eastAsia="Times New Roman" w:hAnsi="Calibri" w:cs="Calibri"/>
                <w:b/>
                <w:bCs/>
                <w:i/>
                <w:noProof/>
                <w:color w:val="000000"/>
                <w:sz w:val="20"/>
                <w:vertAlign w:val="superscript"/>
                <w:lang w:eastAsia="en-GB"/>
              </w:rPr>
              <w:t>13</w:t>
            </w:r>
          </w:p>
        </w:tc>
        <w:tc>
          <w:tcPr>
            <w:tcW w:w="622" w:type="dxa"/>
            <w:tcBorders>
              <w:top w:val="single" w:sz="4" w:space="0" w:color="auto"/>
              <w:bottom w:val="single" w:sz="4" w:space="0" w:color="auto"/>
            </w:tcBorders>
            <w:shd w:val="clear" w:color="auto" w:fill="auto"/>
            <w:noWrap/>
            <w:vAlign w:val="bottom"/>
            <w:hideMark/>
          </w:tcPr>
          <w:p w14:paraId="5688564E"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2009</w:t>
            </w:r>
          </w:p>
        </w:tc>
        <w:tc>
          <w:tcPr>
            <w:tcW w:w="673" w:type="dxa"/>
            <w:tcBorders>
              <w:top w:val="single" w:sz="4" w:space="0" w:color="auto"/>
              <w:bottom w:val="single" w:sz="4" w:space="0" w:color="auto"/>
            </w:tcBorders>
            <w:shd w:val="clear" w:color="auto" w:fill="E2EFD9" w:themeFill="accent6" w:themeFillTint="33"/>
            <w:noWrap/>
            <w:vAlign w:val="bottom"/>
            <w:hideMark/>
          </w:tcPr>
          <w:p w14:paraId="4763D06B"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B3F69CB"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ACA712E"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3364C2C9"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3B916107"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5344125F"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581B5A1"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0C21C9A4"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7</w:t>
            </w:r>
          </w:p>
        </w:tc>
        <w:tc>
          <w:tcPr>
            <w:tcW w:w="1260" w:type="dxa"/>
            <w:tcBorders>
              <w:top w:val="single" w:sz="4" w:space="0" w:color="auto"/>
              <w:bottom w:val="single" w:sz="4" w:space="0" w:color="auto"/>
              <w:right w:val="nil"/>
            </w:tcBorders>
          </w:tcPr>
          <w:p w14:paraId="551BAC33" w14:textId="77777777" w:rsidR="00954606" w:rsidRDefault="00B15AFE"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0.11 </w:t>
            </w:r>
          </w:p>
          <w:p w14:paraId="765638EE" w14:textId="5317DA39" w:rsidR="00E73E6B" w:rsidRPr="008937F3" w:rsidRDefault="00B15AFE"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(0.09-0.15)</w:t>
            </w:r>
          </w:p>
        </w:tc>
      </w:tr>
      <w:tr w:rsidR="00350F02" w:rsidRPr="004E2AFE" w14:paraId="548CA7DB" w14:textId="4CBFE2A2"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71D866AF" w14:textId="33EEAA4F" w:rsidR="00E73E6B" w:rsidRPr="008937F3" w:rsidRDefault="00E73E6B" w:rsidP="00CE134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Davies</w:t>
            </w:r>
            <w:r w:rsidR="00CE134F" w:rsidRPr="00CE134F">
              <w:rPr>
                <w:rFonts w:ascii="Calibri" w:eastAsia="Times New Roman" w:hAnsi="Calibri" w:cs="Calibri"/>
                <w:b/>
                <w:bCs/>
                <w:noProof/>
                <w:color w:val="000000"/>
                <w:sz w:val="20"/>
                <w:vertAlign w:val="superscript"/>
                <w:lang w:eastAsia="en-GB"/>
              </w:rPr>
              <w:t>14</w:t>
            </w:r>
          </w:p>
        </w:tc>
        <w:tc>
          <w:tcPr>
            <w:tcW w:w="622" w:type="dxa"/>
            <w:tcBorders>
              <w:top w:val="single" w:sz="4" w:space="0" w:color="auto"/>
              <w:bottom w:val="single" w:sz="4" w:space="0" w:color="auto"/>
            </w:tcBorders>
            <w:shd w:val="clear" w:color="auto" w:fill="auto"/>
            <w:noWrap/>
            <w:vAlign w:val="bottom"/>
            <w:hideMark/>
          </w:tcPr>
          <w:p w14:paraId="15E82EC1"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2009</w:t>
            </w:r>
          </w:p>
        </w:tc>
        <w:tc>
          <w:tcPr>
            <w:tcW w:w="673" w:type="dxa"/>
            <w:tcBorders>
              <w:top w:val="single" w:sz="4" w:space="0" w:color="auto"/>
              <w:bottom w:val="single" w:sz="4" w:space="0" w:color="auto"/>
            </w:tcBorders>
            <w:shd w:val="clear" w:color="auto" w:fill="E2EFD9" w:themeFill="accent6" w:themeFillTint="33"/>
            <w:noWrap/>
            <w:vAlign w:val="bottom"/>
            <w:hideMark/>
          </w:tcPr>
          <w:p w14:paraId="07565A3D"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6D08B83"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984E0A7"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59AB4C1F"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B9418DB"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1B8A4A00"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3459D92"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40BAAD06"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7</w:t>
            </w:r>
          </w:p>
        </w:tc>
        <w:tc>
          <w:tcPr>
            <w:tcW w:w="1260" w:type="dxa"/>
            <w:tcBorders>
              <w:top w:val="single" w:sz="4" w:space="0" w:color="auto"/>
              <w:bottom w:val="single" w:sz="4" w:space="0" w:color="auto"/>
              <w:right w:val="nil"/>
            </w:tcBorders>
          </w:tcPr>
          <w:p w14:paraId="1D2B29FE" w14:textId="77777777" w:rsidR="00954606" w:rsidRDefault="00B15AFE"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0.18 </w:t>
            </w:r>
          </w:p>
          <w:p w14:paraId="786641BB" w14:textId="063AE9E2" w:rsidR="00E73E6B" w:rsidRPr="00E73E6B" w:rsidRDefault="00B15AFE"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(0.17-0.20)</w:t>
            </w:r>
          </w:p>
        </w:tc>
      </w:tr>
      <w:tr w:rsidR="00350F02" w:rsidRPr="00170627" w14:paraId="147064E5" w14:textId="6FEF1C1D"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33104CE2" w14:textId="57393A68" w:rsidR="00E73E6B" w:rsidRPr="008937F3" w:rsidRDefault="00E73E6B"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Fernandez-Regueiro</w:t>
            </w:r>
            <w:r w:rsidR="00CF1F2A" w:rsidRPr="00CF1F2A">
              <w:rPr>
                <w:rFonts w:ascii="Calibri" w:eastAsia="Times New Roman" w:hAnsi="Calibri" w:cs="Calibri"/>
                <w:b/>
                <w:bCs/>
                <w:i/>
                <w:noProof/>
                <w:color w:val="000000"/>
                <w:sz w:val="20"/>
                <w:vertAlign w:val="superscript"/>
                <w:lang w:eastAsia="en-GB"/>
              </w:rPr>
              <w:t>27</w:t>
            </w:r>
          </w:p>
        </w:tc>
        <w:tc>
          <w:tcPr>
            <w:tcW w:w="622" w:type="dxa"/>
            <w:tcBorders>
              <w:top w:val="single" w:sz="4" w:space="0" w:color="auto"/>
              <w:bottom w:val="single" w:sz="4" w:space="0" w:color="auto"/>
            </w:tcBorders>
            <w:shd w:val="clear" w:color="auto" w:fill="auto"/>
            <w:noWrap/>
            <w:vAlign w:val="bottom"/>
            <w:hideMark/>
          </w:tcPr>
          <w:p w14:paraId="13624927"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2011</w:t>
            </w:r>
          </w:p>
        </w:tc>
        <w:tc>
          <w:tcPr>
            <w:tcW w:w="673" w:type="dxa"/>
            <w:tcBorders>
              <w:top w:val="single" w:sz="4" w:space="0" w:color="auto"/>
              <w:bottom w:val="single" w:sz="4" w:space="0" w:color="auto"/>
            </w:tcBorders>
            <w:shd w:val="clear" w:color="auto" w:fill="FFF2CC" w:themeFill="accent4" w:themeFillTint="33"/>
            <w:noWrap/>
            <w:vAlign w:val="bottom"/>
            <w:hideMark/>
          </w:tcPr>
          <w:p w14:paraId="3C9D28D9"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434D1D7"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29630A1C" w14:textId="77777777" w:rsidR="00E73E6B" w:rsidRPr="008937F3" w:rsidRDefault="00E73E6B" w:rsidP="004E2AFE">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5787A851"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7D3D1"/>
            <w:noWrap/>
            <w:vAlign w:val="bottom"/>
            <w:hideMark/>
          </w:tcPr>
          <w:p w14:paraId="0A510498" w14:textId="77777777"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6129F48A"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1972A40"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3F3CA41B"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4</w:t>
            </w:r>
          </w:p>
        </w:tc>
        <w:tc>
          <w:tcPr>
            <w:tcW w:w="1260" w:type="dxa"/>
            <w:tcBorders>
              <w:top w:val="single" w:sz="4" w:space="0" w:color="auto"/>
              <w:bottom w:val="single" w:sz="4" w:space="0" w:color="auto"/>
              <w:right w:val="nil"/>
            </w:tcBorders>
          </w:tcPr>
          <w:p w14:paraId="02249620" w14:textId="77777777" w:rsidR="00954606" w:rsidRDefault="00B15AFE"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0.12 </w:t>
            </w:r>
          </w:p>
          <w:p w14:paraId="431684E3" w14:textId="2FAFB0F6" w:rsidR="00E73E6B" w:rsidRPr="008937F3" w:rsidRDefault="00B15AFE"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(0.07-0.21)</w:t>
            </w:r>
          </w:p>
        </w:tc>
      </w:tr>
      <w:tr w:rsidR="00350F02" w:rsidRPr="004E2AFE" w14:paraId="3983CA42" w14:textId="75F78596"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36DB6ACD" w14:textId="44959E0A" w:rsidR="00B15AFE" w:rsidRPr="008937F3" w:rsidRDefault="00B15AFE" w:rsidP="00CE134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Ganeva</w:t>
            </w:r>
            <w:r w:rsidR="00CE134F" w:rsidRPr="00CE134F">
              <w:rPr>
                <w:rFonts w:ascii="Calibri" w:eastAsia="Times New Roman" w:hAnsi="Calibri" w:cs="Calibri"/>
                <w:b/>
                <w:bCs/>
                <w:noProof/>
                <w:color w:val="000000"/>
                <w:sz w:val="20"/>
                <w:vertAlign w:val="superscript"/>
                <w:lang w:eastAsia="en-GB"/>
              </w:rPr>
              <w:t>16</w:t>
            </w:r>
          </w:p>
        </w:tc>
        <w:tc>
          <w:tcPr>
            <w:tcW w:w="622" w:type="dxa"/>
            <w:tcBorders>
              <w:top w:val="single" w:sz="4" w:space="0" w:color="auto"/>
              <w:bottom w:val="single" w:sz="4" w:space="0" w:color="auto"/>
            </w:tcBorders>
            <w:shd w:val="clear" w:color="auto" w:fill="auto"/>
            <w:noWrap/>
            <w:vAlign w:val="bottom"/>
            <w:hideMark/>
          </w:tcPr>
          <w:p w14:paraId="1A9D0A80"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2016</w:t>
            </w:r>
          </w:p>
        </w:tc>
        <w:tc>
          <w:tcPr>
            <w:tcW w:w="673" w:type="dxa"/>
            <w:tcBorders>
              <w:top w:val="single" w:sz="4" w:space="0" w:color="auto"/>
              <w:bottom w:val="single" w:sz="4" w:space="0" w:color="auto"/>
            </w:tcBorders>
            <w:shd w:val="clear" w:color="auto" w:fill="E2EFD9" w:themeFill="accent6" w:themeFillTint="33"/>
            <w:noWrap/>
            <w:vAlign w:val="bottom"/>
            <w:hideMark/>
          </w:tcPr>
          <w:p w14:paraId="15A883AE"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CD06002"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1001699"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5B6FDEBF"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DC12631"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25E319B7"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45E5B53"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02E22A77"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7</w:t>
            </w:r>
          </w:p>
        </w:tc>
        <w:tc>
          <w:tcPr>
            <w:tcW w:w="1260" w:type="dxa"/>
            <w:tcBorders>
              <w:top w:val="single" w:sz="4" w:space="0" w:color="auto"/>
              <w:bottom w:val="single" w:sz="4" w:space="0" w:color="auto"/>
              <w:right w:val="nil"/>
            </w:tcBorders>
          </w:tcPr>
          <w:p w14:paraId="206E6013" w14:textId="77777777" w:rsidR="00954606" w:rsidRDefault="00B15AFE"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0.05 </w:t>
            </w:r>
          </w:p>
          <w:p w14:paraId="33CCB6F1" w14:textId="6A8F8F03" w:rsidR="00B15AFE" w:rsidRPr="00E73E6B" w:rsidRDefault="00B15AFE"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(0.02-0.09)</w:t>
            </w:r>
          </w:p>
        </w:tc>
      </w:tr>
      <w:tr w:rsidR="00350F02" w:rsidRPr="004E2AFE" w14:paraId="044A79A4" w14:textId="5F0051B1"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0FF31435" w14:textId="54E3AE37" w:rsidR="00B15AFE" w:rsidRPr="008937F3" w:rsidRDefault="00B15AFE" w:rsidP="00CE134F">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Ganeva</w:t>
            </w:r>
            <w:r w:rsidR="00CE134F" w:rsidRPr="00CE134F">
              <w:rPr>
                <w:rFonts w:ascii="Calibri" w:eastAsia="Times New Roman" w:hAnsi="Calibri" w:cs="Calibri"/>
                <w:b/>
                <w:bCs/>
                <w:noProof/>
                <w:color w:val="000000"/>
                <w:sz w:val="20"/>
                <w:vertAlign w:val="superscript"/>
                <w:lang w:eastAsia="en-GB"/>
              </w:rPr>
              <w:t>17</w:t>
            </w:r>
          </w:p>
        </w:tc>
        <w:tc>
          <w:tcPr>
            <w:tcW w:w="622" w:type="dxa"/>
            <w:tcBorders>
              <w:top w:val="single" w:sz="4" w:space="0" w:color="auto"/>
              <w:bottom w:val="single" w:sz="4" w:space="0" w:color="auto"/>
            </w:tcBorders>
            <w:shd w:val="clear" w:color="auto" w:fill="auto"/>
            <w:noWrap/>
            <w:vAlign w:val="bottom"/>
            <w:hideMark/>
          </w:tcPr>
          <w:p w14:paraId="7B5AF1A5"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2013</w:t>
            </w:r>
          </w:p>
        </w:tc>
        <w:tc>
          <w:tcPr>
            <w:tcW w:w="673" w:type="dxa"/>
            <w:tcBorders>
              <w:top w:val="single" w:sz="4" w:space="0" w:color="auto"/>
              <w:bottom w:val="single" w:sz="4" w:space="0" w:color="auto"/>
            </w:tcBorders>
            <w:shd w:val="clear" w:color="auto" w:fill="E2EFD9" w:themeFill="accent6" w:themeFillTint="33"/>
            <w:noWrap/>
            <w:vAlign w:val="bottom"/>
            <w:hideMark/>
          </w:tcPr>
          <w:p w14:paraId="6AF53037"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B478FC3"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3630753"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691CF309"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16A49217" w14:textId="77777777" w:rsidR="00B15AFE" w:rsidRPr="008937F3" w:rsidRDefault="00B15AFE" w:rsidP="00B15AFE">
            <w:pPr>
              <w:spacing w:after="0" w:line="240" w:lineRule="auto"/>
              <w:jc w:val="center"/>
              <w:rPr>
                <w:rFonts w:ascii="Calibri" w:eastAsia="Times New Roman" w:hAnsi="Calibri" w:cs="Calibri"/>
                <w:color w:val="FFC000"/>
                <w:sz w:val="20"/>
                <w:lang w:eastAsia="en-GB"/>
              </w:rPr>
            </w:pPr>
            <w:r w:rsidRPr="008937F3">
              <w:rPr>
                <w:rFonts w:ascii="Calibri" w:eastAsia="Times New Roman" w:hAnsi="Calibri" w:cs="Calibri"/>
                <w:color w:val="FFC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42852C76" w14:textId="77777777" w:rsidR="00B15AFE" w:rsidRPr="008937F3" w:rsidRDefault="00B15AFE" w:rsidP="00B15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A0775E0"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5B41BF08"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5</w:t>
            </w:r>
          </w:p>
        </w:tc>
        <w:tc>
          <w:tcPr>
            <w:tcW w:w="1260" w:type="dxa"/>
            <w:tcBorders>
              <w:top w:val="single" w:sz="4" w:space="0" w:color="auto"/>
              <w:bottom w:val="single" w:sz="4" w:space="0" w:color="auto"/>
              <w:right w:val="nil"/>
            </w:tcBorders>
          </w:tcPr>
          <w:p w14:paraId="39DCFDC1" w14:textId="77777777" w:rsidR="00954606" w:rsidRDefault="00B15AFE"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0.09 </w:t>
            </w:r>
          </w:p>
          <w:p w14:paraId="2A4AD037" w14:textId="6415F821" w:rsidR="00B15AFE" w:rsidRPr="00E73E6B" w:rsidRDefault="00B15AFE"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(0.06-0.14)</w:t>
            </w:r>
          </w:p>
        </w:tc>
      </w:tr>
      <w:tr w:rsidR="00350F02" w:rsidRPr="004E2AFE" w14:paraId="2C9EE494" w14:textId="65CC359D"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382932FD" w14:textId="7F739640" w:rsidR="00B15AFE" w:rsidRPr="008937F3" w:rsidRDefault="00B15AFE"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Ganeva</w:t>
            </w:r>
            <w:r w:rsidR="00CF1F2A" w:rsidRPr="00CF1F2A">
              <w:rPr>
                <w:rFonts w:ascii="Calibri" w:eastAsia="Times New Roman" w:hAnsi="Calibri" w:cs="Calibri"/>
                <w:b/>
                <w:bCs/>
                <w:noProof/>
                <w:color w:val="000000"/>
                <w:sz w:val="20"/>
                <w:vertAlign w:val="superscript"/>
                <w:lang w:eastAsia="en-GB"/>
              </w:rPr>
              <w:t>15</w:t>
            </w:r>
            <w:r w:rsidRPr="008937F3">
              <w:rPr>
                <w:rFonts w:ascii="Calibri" w:eastAsia="Times New Roman" w:hAnsi="Calibri" w:cs="Calibri"/>
                <w:b/>
                <w:bCs/>
                <w:color w:val="000000"/>
                <w:sz w:val="20"/>
                <w:lang w:eastAsia="en-GB"/>
              </w:rPr>
              <w:t xml:space="preserve"> </w:t>
            </w:r>
          </w:p>
        </w:tc>
        <w:tc>
          <w:tcPr>
            <w:tcW w:w="622" w:type="dxa"/>
            <w:tcBorders>
              <w:top w:val="single" w:sz="4" w:space="0" w:color="auto"/>
              <w:bottom w:val="single" w:sz="4" w:space="0" w:color="auto"/>
            </w:tcBorders>
            <w:shd w:val="clear" w:color="auto" w:fill="auto"/>
            <w:noWrap/>
            <w:vAlign w:val="bottom"/>
            <w:hideMark/>
          </w:tcPr>
          <w:p w14:paraId="1F95E669"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2007</w:t>
            </w:r>
          </w:p>
        </w:tc>
        <w:tc>
          <w:tcPr>
            <w:tcW w:w="673" w:type="dxa"/>
            <w:tcBorders>
              <w:top w:val="single" w:sz="4" w:space="0" w:color="auto"/>
              <w:bottom w:val="single" w:sz="4" w:space="0" w:color="auto"/>
            </w:tcBorders>
            <w:shd w:val="clear" w:color="auto" w:fill="E2EFD9" w:themeFill="accent6" w:themeFillTint="33"/>
            <w:noWrap/>
            <w:vAlign w:val="bottom"/>
            <w:hideMark/>
          </w:tcPr>
          <w:p w14:paraId="54B4FD18"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3E5E6F57"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7E22C7B"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4AD13649"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71C72EC"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7971B0DB" w14:textId="77777777" w:rsidR="00B15AFE" w:rsidRPr="008937F3" w:rsidRDefault="00B15AFE" w:rsidP="00B15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99ABBB2" w14:textId="77777777" w:rsidR="00B15AFE" w:rsidRPr="008937F3" w:rsidRDefault="00B15AFE" w:rsidP="00B15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601F5223" w14:textId="77777777" w:rsidR="00B15AFE" w:rsidRPr="008937F3" w:rsidRDefault="00B15AFE" w:rsidP="00B15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6</w:t>
            </w:r>
          </w:p>
        </w:tc>
        <w:tc>
          <w:tcPr>
            <w:tcW w:w="1260" w:type="dxa"/>
            <w:tcBorders>
              <w:top w:val="single" w:sz="4" w:space="0" w:color="auto"/>
              <w:bottom w:val="single" w:sz="4" w:space="0" w:color="auto"/>
              <w:right w:val="nil"/>
            </w:tcBorders>
          </w:tcPr>
          <w:p w14:paraId="2F594285" w14:textId="77777777" w:rsidR="00954606" w:rsidRDefault="00B15AFE"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0.06 </w:t>
            </w:r>
          </w:p>
          <w:p w14:paraId="6631C337" w14:textId="02667313" w:rsidR="00B15AFE" w:rsidRPr="00E73E6B" w:rsidRDefault="00B15AFE"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(0.03-0.10)</w:t>
            </w:r>
          </w:p>
        </w:tc>
      </w:tr>
      <w:tr w:rsidR="00350F02" w:rsidRPr="004E2AFE" w14:paraId="26C64989" w14:textId="42E3CF35"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66B3CFC4" w14:textId="190A4ACC" w:rsidR="00E73E6B" w:rsidRPr="008937F3" w:rsidRDefault="00E73E6B" w:rsidP="00CF1F2A">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Giardina</w:t>
            </w:r>
            <w:r w:rsidR="00CF1F2A" w:rsidRPr="00CF1F2A">
              <w:rPr>
                <w:rFonts w:ascii="Calibri" w:eastAsia="Times New Roman" w:hAnsi="Calibri" w:cs="Calibri"/>
                <w:b/>
                <w:bCs/>
                <w:noProof/>
                <w:color w:val="000000"/>
                <w:sz w:val="20"/>
                <w:vertAlign w:val="superscript"/>
                <w:lang w:eastAsia="en-GB"/>
              </w:rPr>
              <w:t>28</w:t>
            </w:r>
          </w:p>
        </w:tc>
        <w:tc>
          <w:tcPr>
            <w:tcW w:w="622" w:type="dxa"/>
            <w:tcBorders>
              <w:top w:val="single" w:sz="4" w:space="0" w:color="auto"/>
              <w:bottom w:val="single" w:sz="4" w:space="0" w:color="auto"/>
            </w:tcBorders>
            <w:shd w:val="clear" w:color="auto" w:fill="auto"/>
            <w:noWrap/>
            <w:vAlign w:val="bottom"/>
            <w:hideMark/>
          </w:tcPr>
          <w:p w14:paraId="1B366F6B"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2018</w:t>
            </w:r>
          </w:p>
        </w:tc>
        <w:tc>
          <w:tcPr>
            <w:tcW w:w="673" w:type="dxa"/>
            <w:tcBorders>
              <w:top w:val="single" w:sz="4" w:space="0" w:color="auto"/>
              <w:bottom w:val="single" w:sz="4" w:space="0" w:color="auto"/>
            </w:tcBorders>
            <w:shd w:val="clear" w:color="auto" w:fill="E2EFD9" w:themeFill="accent6" w:themeFillTint="33"/>
            <w:noWrap/>
            <w:vAlign w:val="bottom"/>
            <w:hideMark/>
          </w:tcPr>
          <w:p w14:paraId="125D0DDA"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6E91D98"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82108F1"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7660CC48"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A89D1FA"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14494C59"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B02B4CB"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11DEAE02"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7</w:t>
            </w:r>
          </w:p>
        </w:tc>
        <w:tc>
          <w:tcPr>
            <w:tcW w:w="1260" w:type="dxa"/>
            <w:tcBorders>
              <w:top w:val="single" w:sz="4" w:space="0" w:color="auto"/>
              <w:bottom w:val="single" w:sz="4" w:space="0" w:color="auto"/>
              <w:right w:val="nil"/>
            </w:tcBorders>
          </w:tcPr>
          <w:p w14:paraId="3ACFD967"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0.03 </w:t>
            </w:r>
          </w:p>
          <w:p w14:paraId="3890F5C7" w14:textId="4E80B5EB" w:rsidR="00E73E6B"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(0.03-0.04)</w:t>
            </w:r>
          </w:p>
        </w:tc>
      </w:tr>
      <w:tr w:rsidR="00350F02" w:rsidRPr="004E2AFE" w14:paraId="6C37B8CB" w14:textId="57362B90"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1FFFD933" w14:textId="34AD864C" w:rsidR="00E73E6B" w:rsidRPr="008937F3" w:rsidRDefault="00E73E6B"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Gonzalez-Martin</w:t>
            </w:r>
            <w:r w:rsidR="00CF1F2A" w:rsidRPr="00CF1F2A">
              <w:rPr>
                <w:rFonts w:ascii="Calibri" w:eastAsia="Times New Roman" w:hAnsi="Calibri" w:cs="Calibri"/>
                <w:b/>
                <w:bCs/>
                <w:noProof/>
                <w:color w:val="000000"/>
                <w:sz w:val="20"/>
                <w:vertAlign w:val="superscript"/>
                <w:lang w:eastAsia="en-GB"/>
              </w:rPr>
              <w:t>18</w:t>
            </w:r>
          </w:p>
        </w:tc>
        <w:tc>
          <w:tcPr>
            <w:tcW w:w="622" w:type="dxa"/>
            <w:tcBorders>
              <w:top w:val="single" w:sz="4" w:space="0" w:color="auto"/>
              <w:bottom w:val="single" w:sz="4" w:space="0" w:color="auto"/>
            </w:tcBorders>
            <w:shd w:val="clear" w:color="auto" w:fill="auto"/>
            <w:noWrap/>
            <w:vAlign w:val="bottom"/>
            <w:hideMark/>
          </w:tcPr>
          <w:p w14:paraId="353C377E"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1997</w:t>
            </w:r>
          </w:p>
        </w:tc>
        <w:tc>
          <w:tcPr>
            <w:tcW w:w="673" w:type="dxa"/>
            <w:tcBorders>
              <w:top w:val="single" w:sz="4" w:space="0" w:color="auto"/>
              <w:bottom w:val="single" w:sz="4" w:space="0" w:color="auto"/>
            </w:tcBorders>
            <w:shd w:val="clear" w:color="auto" w:fill="E2EFD9" w:themeFill="accent6" w:themeFillTint="33"/>
            <w:noWrap/>
            <w:vAlign w:val="bottom"/>
            <w:hideMark/>
          </w:tcPr>
          <w:p w14:paraId="6229BEEE"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68E8859"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511C102"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25263B2D" w14:textId="77777777" w:rsidR="00E73E6B" w:rsidRPr="008937F3" w:rsidRDefault="00E73E6B" w:rsidP="004E2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6B8F1D5"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402252F8" w14:textId="77777777" w:rsidR="00E73E6B" w:rsidRPr="008937F3" w:rsidRDefault="00E73E6B" w:rsidP="004E2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FD5BEB8"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460295C0"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5</w:t>
            </w:r>
          </w:p>
        </w:tc>
        <w:tc>
          <w:tcPr>
            <w:tcW w:w="1260" w:type="dxa"/>
            <w:tcBorders>
              <w:top w:val="single" w:sz="4" w:space="0" w:color="auto"/>
              <w:bottom w:val="single" w:sz="4" w:space="0" w:color="auto"/>
              <w:right w:val="nil"/>
            </w:tcBorders>
          </w:tcPr>
          <w:p w14:paraId="0A0E2234"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0.33 </w:t>
            </w:r>
          </w:p>
          <w:p w14:paraId="54320655" w14:textId="324B33C7" w:rsidR="00E73E6B"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(0.24-0.43)</w:t>
            </w:r>
          </w:p>
        </w:tc>
      </w:tr>
      <w:tr w:rsidR="00350F02" w:rsidRPr="00170627" w14:paraId="5DCFF76E" w14:textId="147272EA" w:rsidTr="008937F3">
        <w:trPr>
          <w:trHeight w:val="290"/>
        </w:trPr>
        <w:tc>
          <w:tcPr>
            <w:tcW w:w="1993" w:type="dxa"/>
            <w:tcBorders>
              <w:top w:val="single" w:sz="4" w:space="0" w:color="auto"/>
              <w:left w:val="nil"/>
              <w:bottom w:val="single" w:sz="4" w:space="0" w:color="auto"/>
            </w:tcBorders>
            <w:shd w:val="clear" w:color="auto" w:fill="auto"/>
            <w:noWrap/>
            <w:vAlign w:val="bottom"/>
          </w:tcPr>
          <w:p w14:paraId="204ECE44" w14:textId="58E56306" w:rsidR="00E73E6B" w:rsidRPr="008937F3" w:rsidRDefault="00E73E6B"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Hailu</w:t>
            </w:r>
            <w:r w:rsidR="00CF1F2A" w:rsidRPr="00CF1F2A">
              <w:rPr>
                <w:rFonts w:ascii="Calibri" w:eastAsia="Times New Roman" w:hAnsi="Calibri" w:cs="Calibri"/>
                <w:b/>
                <w:bCs/>
                <w:i/>
                <w:noProof/>
                <w:color w:val="000000"/>
                <w:sz w:val="20"/>
                <w:vertAlign w:val="superscript"/>
                <w:lang w:eastAsia="en-GB"/>
              </w:rPr>
              <w:t>19</w:t>
            </w:r>
          </w:p>
        </w:tc>
        <w:tc>
          <w:tcPr>
            <w:tcW w:w="622" w:type="dxa"/>
            <w:tcBorders>
              <w:top w:val="single" w:sz="4" w:space="0" w:color="auto"/>
              <w:bottom w:val="single" w:sz="4" w:space="0" w:color="auto"/>
            </w:tcBorders>
            <w:shd w:val="clear" w:color="auto" w:fill="auto"/>
            <w:noWrap/>
            <w:vAlign w:val="bottom"/>
          </w:tcPr>
          <w:p w14:paraId="0A4BB949" w14:textId="23D4CE05"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2020</w:t>
            </w:r>
          </w:p>
        </w:tc>
        <w:tc>
          <w:tcPr>
            <w:tcW w:w="673" w:type="dxa"/>
            <w:tcBorders>
              <w:top w:val="single" w:sz="4" w:space="0" w:color="auto"/>
              <w:bottom w:val="single" w:sz="4" w:space="0" w:color="auto"/>
            </w:tcBorders>
            <w:shd w:val="clear" w:color="auto" w:fill="E2EFD9" w:themeFill="accent6" w:themeFillTint="33"/>
            <w:noWrap/>
            <w:vAlign w:val="bottom"/>
          </w:tcPr>
          <w:p w14:paraId="160FC9F0" w14:textId="79BF45FB"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tcPr>
          <w:p w14:paraId="76C2BA4D" w14:textId="0D5D2F36"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tcPr>
          <w:p w14:paraId="27720C11" w14:textId="6B307C98"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tcPr>
          <w:p w14:paraId="5D45B7D3" w14:textId="79350CF8" w:rsidR="00E73E6B" w:rsidRPr="008937F3" w:rsidRDefault="00E73E6B" w:rsidP="004E2AFE">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tcPr>
          <w:p w14:paraId="56A9F6B6" w14:textId="4D120CCB"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tcPr>
          <w:p w14:paraId="516A94E2" w14:textId="07B43B51" w:rsidR="00E73E6B" w:rsidRPr="008937F3" w:rsidRDefault="00C6300F" w:rsidP="004E2AFE">
            <w:pPr>
              <w:spacing w:after="0" w:line="240" w:lineRule="auto"/>
              <w:jc w:val="center"/>
              <w:rPr>
                <w:rFonts w:ascii="Calibri" w:eastAsia="Times New Roman" w:hAnsi="Calibri" w:cs="Calibri"/>
                <w:i/>
                <w:color w:val="FF0000"/>
                <w:sz w:val="20"/>
                <w:lang w:eastAsia="en-GB"/>
              </w:rPr>
            </w:pPr>
            <w:r w:rsidRPr="00B71A92">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tcPr>
          <w:p w14:paraId="00DE8A1B" w14:textId="0689F709"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tcPr>
          <w:p w14:paraId="7464E5C7" w14:textId="40FBA120"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5</w:t>
            </w:r>
          </w:p>
        </w:tc>
        <w:tc>
          <w:tcPr>
            <w:tcW w:w="1260" w:type="dxa"/>
            <w:tcBorders>
              <w:top w:val="single" w:sz="4" w:space="0" w:color="auto"/>
              <w:bottom w:val="single" w:sz="4" w:space="0" w:color="auto"/>
              <w:right w:val="nil"/>
            </w:tcBorders>
          </w:tcPr>
          <w:p w14:paraId="6998D7CF" w14:textId="77777777" w:rsidR="00954606"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 xml:space="preserve">0.02 </w:t>
            </w:r>
          </w:p>
          <w:p w14:paraId="05AF2DF7" w14:textId="0618343E" w:rsidR="00E73E6B" w:rsidRPr="008937F3"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(0.01-0.07)</w:t>
            </w:r>
          </w:p>
        </w:tc>
      </w:tr>
      <w:tr w:rsidR="00350F02" w:rsidRPr="004E2AFE" w14:paraId="69DF0E7D" w14:textId="5807D29A"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30B93FFA" w14:textId="5779BE0D" w:rsidR="00E73E6B" w:rsidRPr="008937F3" w:rsidRDefault="00E73E6B"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Harugeri</w:t>
            </w:r>
            <w:r w:rsidR="00CF1F2A" w:rsidRPr="00CF1F2A">
              <w:rPr>
                <w:rFonts w:ascii="Calibri" w:eastAsia="Times New Roman" w:hAnsi="Calibri" w:cs="Calibri"/>
                <w:b/>
                <w:bCs/>
                <w:noProof/>
                <w:color w:val="000000"/>
                <w:sz w:val="20"/>
                <w:vertAlign w:val="superscript"/>
                <w:lang w:eastAsia="en-GB"/>
              </w:rPr>
              <w:t>29</w:t>
            </w:r>
          </w:p>
        </w:tc>
        <w:tc>
          <w:tcPr>
            <w:tcW w:w="622" w:type="dxa"/>
            <w:tcBorders>
              <w:top w:val="single" w:sz="4" w:space="0" w:color="auto"/>
              <w:bottom w:val="single" w:sz="4" w:space="0" w:color="auto"/>
            </w:tcBorders>
            <w:shd w:val="clear" w:color="auto" w:fill="auto"/>
            <w:noWrap/>
            <w:vAlign w:val="bottom"/>
            <w:hideMark/>
          </w:tcPr>
          <w:p w14:paraId="4DD839F4"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2011</w:t>
            </w:r>
          </w:p>
        </w:tc>
        <w:tc>
          <w:tcPr>
            <w:tcW w:w="673" w:type="dxa"/>
            <w:tcBorders>
              <w:top w:val="single" w:sz="4" w:space="0" w:color="auto"/>
              <w:bottom w:val="single" w:sz="4" w:space="0" w:color="auto"/>
            </w:tcBorders>
            <w:shd w:val="clear" w:color="auto" w:fill="E2EFD9" w:themeFill="accent6" w:themeFillTint="33"/>
            <w:noWrap/>
            <w:vAlign w:val="bottom"/>
            <w:hideMark/>
          </w:tcPr>
          <w:p w14:paraId="7B342133"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9EAA062"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9179702"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79090589" w14:textId="77777777" w:rsidR="00E73E6B" w:rsidRPr="008937F3" w:rsidRDefault="00E73E6B" w:rsidP="004E2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A26427E"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58D1C100"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1E6060E"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7082ED86"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6</w:t>
            </w:r>
          </w:p>
        </w:tc>
        <w:tc>
          <w:tcPr>
            <w:tcW w:w="1260" w:type="dxa"/>
            <w:tcBorders>
              <w:top w:val="single" w:sz="4" w:space="0" w:color="auto"/>
              <w:bottom w:val="single" w:sz="4" w:space="0" w:color="auto"/>
              <w:right w:val="nil"/>
            </w:tcBorders>
          </w:tcPr>
          <w:p w14:paraId="5E2CDDE2"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0.30 </w:t>
            </w:r>
          </w:p>
          <w:p w14:paraId="3F274259" w14:textId="7B469772" w:rsidR="00E73E6B"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(0.26-0.35)</w:t>
            </w:r>
          </w:p>
        </w:tc>
      </w:tr>
      <w:tr w:rsidR="00350F02" w:rsidRPr="004E2AFE" w14:paraId="0BD8A92D" w14:textId="6D39871D"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2D3BB60A" w14:textId="24BFE33F" w:rsidR="00E73E6B" w:rsidRPr="008937F3" w:rsidRDefault="00E73E6B"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Kau</w:t>
            </w:r>
            <w:r>
              <w:rPr>
                <w:rFonts w:ascii="Calibri" w:eastAsia="Times New Roman" w:hAnsi="Calibri" w:cs="Calibri"/>
                <w:b/>
                <w:bCs/>
                <w:color w:val="000000"/>
                <w:sz w:val="20"/>
                <w:lang w:eastAsia="en-GB"/>
              </w:rPr>
              <w:t>r</w:t>
            </w:r>
            <w:r w:rsidR="00CF1F2A" w:rsidRPr="00CF1F2A">
              <w:rPr>
                <w:rFonts w:ascii="Calibri" w:eastAsia="Times New Roman" w:hAnsi="Calibri" w:cs="Calibri"/>
                <w:b/>
                <w:bCs/>
                <w:noProof/>
                <w:color w:val="000000"/>
                <w:sz w:val="20"/>
                <w:vertAlign w:val="superscript"/>
                <w:lang w:eastAsia="en-GB"/>
              </w:rPr>
              <w:t>20</w:t>
            </w:r>
          </w:p>
        </w:tc>
        <w:tc>
          <w:tcPr>
            <w:tcW w:w="622" w:type="dxa"/>
            <w:tcBorders>
              <w:top w:val="single" w:sz="4" w:space="0" w:color="auto"/>
              <w:bottom w:val="single" w:sz="4" w:space="0" w:color="auto"/>
            </w:tcBorders>
            <w:shd w:val="clear" w:color="auto" w:fill="auto"/>
            <w:noWrap/>
            <w:vAlign w:val="bottom"/>
            <w:hideMark/>
          </w:tcPr>
          <w:p w14:paraId="66C3754C"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2018</w:t>
            </w:r>
          </w:p>
        </w:tc>
        <w:tc>
          <w:tcPr>
            <w:tcW w:w="673" w:type="dxa"/>
            <w:tcBorders>
              <w:top w:val="single" w:sz="4" w:space="0" w:color="auto"/>
              <w:bottom w:val="single" w:sz="4" w:space="0" w:color="auto"/>
            </w:tcBorders>
            <w:shd w:val="clear" w:color="auto" w:fill="E2EFD9" w:themeFill="accent6" w:themeFillTint="33"/>
            <w:noWrap/>
            <w:vAlign w:val="bottom"/>
            <w:hideMark/>
          </w:tcPr>
          <w:p w14:paraId="7377D260"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6CEB10C"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26B0315"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6E6221C8" w14:textId="77777777" w:rsidR="00E73E6B" w:rsidRPr="008937F3" w:rsidRDefault="00E73E6B" w:rsidP="004E2AFE">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5B6D7BD"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127F3EA9"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36939A6F" w14:textId="77777777" w:rsidR="00E73E6B" w:rsidRPr="008937F3" w:rsidRDefault="00E73E6B" w:rsidP="004E2AFE">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57986146" w14:textId="77777777" w:rsidR="00E73E6B" w:rsidRPr="008937F3" w:rsidRDefault="00E73E6B" w:rsidP="004E2AFE">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6</w:t>
            </w:r>
          </w:p>
        </w:tc>
        <w:tc>
          <w:tcPr>
            <w:tcW w:w="1260" w:type="dxa"/>
            <w:tcBorders>
              <w:top w:val="single" w:sz="4" w:space="0" w:color="auto"/>
              <w:bottom w:val="single" w:sz="4" w:space="0" w:color="auto"/>
              <w:right w:val="nil"/>
            </w:tcBorders>
          </w:tcPr>
          <w:p w14:paraId="32E34C12"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0.15 </w:t>
            </w:r>
          </w:p>
          <w:p w14:paraId="530157D3" w14:textId="28DFF5BE" w:rsidR="00E73E6B"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(0.12-0.19)</w:t>
            </w:r>
          </w:p>
        </w:tc>
      </w:tr>
      <w:tr w:rsidR="00F45B76" w:rsidRPr="004E2AFE" w14:paraId="391712F0" w14:textId="77777777" w:rsidTr="006A7A6F">
        <w:trPr>
          <w:trHeight w:val="3656"/>
        </w:trPr>
        <w:tc>
          <w:tcPr>
            <w:tcW w:w="1993" w:type="dxa"/>
            <w:tcBorders>
              <w:top w:val="nil"/>
              <w:left w:val="nil"/>
              <w:bottom w:val="single" w:sz="4" w:space="0" w:color="auto"/>
            </w:tcBorders>
            <w:shd w:val="clear" w:color="auto" w:fill="auto"/>
            <w:vAlign w:val="bottom"/>
            <w:hideMark/>
          </w:tcPr>
          <w:p w14:paraId="71DC5512" w14:textId="77777777" w:rsidR="00F45B76" w:rsidRPr="004B30EF" w:rsidRDefault="00F45B76" w:rsidP="006A7A6F">
            <w:pPr>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Author</w:t>
            </w:r>
          </w:p>
        </w:tc>
        <w:tc>
          <w:tcPr>
            <w:tcW w:w="622" w:type="dxa"/>
            <w:tcBorders>
              <w:top w:val="nil"/>
              <w:bottom w:val="single" w:sz="4" w:space="0" w:color="auto"/>
            </w:tcBorders>
            <w:shd w:val="clear" w:color="auto" w:fill="auto"/>
            <w:vAlign w:val="bottom"/>
            <w:hideMark/>
          </w:tcPr>
          <w:p w14:paraId="2CB88462"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Year</w:t>
            </w:r>
          </w:p>
        </w:tc>
        <w:tc>
          <w:tcPr>
            <w:tcW w:w="673" w:type="dxa"/>
            <w:tcBorders>
              <w:top w:val="single" w:sz="4" w:space="0" w:color="auto"/>
              <w:bottom w:val="nil"/>
              <w:right w:val="single" w:sz="4" w:space="0" w:color="auto"/>
            </w:tcBorders>
            <w:shd w:val="clear" w:color="auto" w:fill="auto"/>
            <w:textDirection w:val="btLr"/>
            <w:vAlign w:val="bottom"/>
            <w:hideMark/>
          </w:tcPr>
          <w:p w14:paraId="3DBB6C5B"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S1 -Representativeness of the exposed cohort</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5A38C735"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S2 - Selection of the non exposed cohort</w:t>
            </w:r>
          </w:p>
          <w:p w14:paraId="4F3F2886" w14:textId="77777777" w:rsidR="00F45B76" w:rsidRDefault="00F45B76" w:rsidP="006A7A6F">
            <w:pPr>
              <w:spacing w:after="0" w:line="240" w:lineRule="auto"/>
              <w:rPr>
                <w:rFonts w:ascii="Calibri" w:eastAsia="Times New Roman" w:hAnsi="Calibri" w:cs="Calibri"/>
                <w:b/>
                <w:bCs/>
                <w:color w:val="000000"/>
                <w:sz w:val="20"/>
                <w:lang w:eastAsia="en-GB"/>
              </w:rPr>
            </w:pPr>
          </w:p>
          <w:p w14:paraId="45028894" w14:textId="77777777" w:rsidR="00F45B76" w:rsidRPr="004B30EF" w:rsidRDefault="00F45B76" w:rsidP="006A7A6F">
            <w:pPr>
              <w:spacing w:after="0" w:line="240" w:lineRule="auto"/>
              <w:rPr>
                <w:rFonts w:ascii="Calibri" w:eastAsia="Times New Roman" w:hAnsi="Calibri" w:cs="Calibri"/>
                <w:b/>
                <w:bCs/>
                <w:color w:val="000000"/>
                <w:sz w:val="20"/>
                <w:lang w:eastAsia="en-GB"/>
              </w:rPr>
            </w:pP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0D3E5ED3"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S3 - Ascertainment of exposure</w:t>
            </w:r>
          </w:p>
          <w:p w14:paraId="2CC87BF3" w14:textId="77777777" w:rsidR="00F45B76" w:rsidRDefault="00F45B76" w:rsidP="006A7A6F">
            <w:pPr>
              <w:spacing w:after="0" w:line="240" w:lineRule="auto"/>
              <w:rPr>
                <w:rFonts w:ascii="Calibri" w:eastAsia="Times New Roman" w:hAnsi="Calibri" w:cs="Calibri"/>
                <w:b/>
                <w:bCs/>
                <w:color w:val="000000"/>
                <w:sz w:val="20"/>
                <w:lang w:eastAsia="en-GB"/>
              </w:rPr>
            </w:pPr>
          </w:p>
          <w:p w14:paraId="2247F511" w14:textId="77777777" w:rsidR="00F45B76" w:rsidRPr="004B30EF" w:rsidRDefault="00F45B76" w:rsidP="006A7A6F">
            <w:pPr>
              <w:spacing w:after="0" w:line="240" w:lineRule="auto"/>
              <w:rPr>
                <w:rFonts w:ascii="Calibri" w:eastAsia="Times New Roman" w:hAnsi="Calibri" w:cs="Calibri"/>
                <w:b/>
                <w:bCs/>
                <w:color w:val="000000"/>
                <w:sz w:val="20"/>
                <w:lang w:eastAsia="en-GB"/>
              </w:rPr>
            </w:pPr>
          </w:p>
        </w:tc>
        <w:tc>
          <w:tcPr>
            <w:tcW w:w="673" w:type="dxa"/>
            <w:tcBorders>
              <w:top w:val="single" w:sz="4" w:space="0" w:color="auto"/>
              <w:left w:val="single" w:sz="4" w:space="0" w:color="auto"/>
              <w:bottom w:val="nil"/>
              <w:right w:val="single" w:sz="4" w:space="0" w:color="auto"/>
            </w:tcBorders>
            <w:shd w:val="clear" w:color="auto" w:fill="auto"/>
            <w:textDirection w:val="btLr"/>
            <w:vAlign w:val="bottom"/>
            <w:hideMark/>
          </w:tcPr>
          <w:p w14:paraId="3D915435"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S4 - Demonstration that outcome of interest was not present at start of study</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0B585697"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E1 - Assessment of outcome</w:t>
            </w:r>
          </w:p>
          <w:p w14:paraId="56FE9075" w14:textId="77777777" w:rsidR="00F45B76" w:rsidRDefault="00F45B76" w:rsidP="006A7A6F">
            <w:pPr>
              <w:spacing w:after="0" w:line="240" w:lineRule="auto"/>
              <w:rPr>
                <w:rFonts w:ascii="Calibri" w:eastAsia="Times New Roman" w:hAnsi="Calibri" w:cs="Calibri"/>
                <w:b/>
                <w:bCs/>
                <w:color w:val="000000"/>
                <w:sz w:val="20"/>
                <w:lang w:eastAsia="en-GB"/>
              </w:rPr>
            </w:pPr>
          </w:p>
          <w:p w14:paraId="7EF8BBC8" w14:textId="77777777" w:rsidR="00F45B76" w:rsidRPr="004B30EF" w:rsidRDefault="00F45B76" w:rsidP="006A7A6F">
            <w:pPr>
              <w:spacing w:after="0" w:line="240" w:lineRule="auto"/>
              <w:rPr>
                <w:rFonts w:ascii="Calibri" w:eastAsia="Times New Roman" w:hAnsi="Calibri" w:cs="Calibri"/>
                <w:b/>
                <w:bCs/>
                <w:color w:val="000000"/>
                <w:sz w:val="20"/>
                <w:lang w:eastAsia="en-GB"/>
              </w:rPr>
            </w:pPr>
          </w:p>
        </w:tc>
        <w:tc>
          <w:tcPr>
            <w:tcW w:w="673" w:type="dxa"/>
            <w:tcBorders>
              <w:top w:val="single" w:sz="4" w:space="0" w:color="auto"/>
              <w:left w:val="single" w:sz="4" w:space="0" w:color="auto"/>
              <w:bottom w:val="nil"/>
              <w:right w:val="single" w:sz="4" w:space="0" w:color="auto"/>
            </w:tcBorders>
            <w:shd w:val="clear" w:color="auto" w:fill="auto"/>
            <w:textDirection w:val="btLr"/>
            <w:vAlign w:val="bottom"/>
            <w:hideMark/>
          </w:tcPr>
          <w:p w14:paraId="2748DB59"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E2 - Was follow-up long enough for outcomes to occur</w:t>
            </w:r>
          </w:p>
        </w:tc>
        <w:tc>
          <w:tcPr>
            <w:tcW w:w="712" w:type="dxa"/>
            <w:tcBorders>
              <w:top w:val="single" w:sz="4" w:space="0" w:color="auto"/>
              <w:left w:val="single" w:sz="4" w:space="0" w:color="auto"/>
              <w:bottom w:val="nil"/>
              <w:right w:val="single" w:sz="4" w:space="0" w:color="auto"/>
            </w:tcBorders>
            <w:shd w:val="clear" w:color="auto" w:fill="auto"/>
            <w:textDirection w:val="btLr"/>
            <w:vAlign w:val="bottom"/>
            <w:hideMark/>
          </w:tcPr>
          <w:p w14:paraId="3113AA31" w14:textId="77777777" w:rsidR="00F45B76"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E3 - Adequacy of follow up of cohorts</w:t>
            </w:r>
          </w:p>
          <w:p w14:paraId="5A74F0DE" w14:textId="77777777" w:rsidR="00F45B76" w:rsidRDefault="00F45B76" w:rsidP="006A7A6F">
            <w:pPr>
              <w:spacing w:after="0" w:line="240" w:lineRule="auto"/>
              <w:rPr>
                <w:rFonts w:ascii="Calibri" w:eastAsia="Times New Roman" w:hAnsi="Calibri" w:cs="Calibri"/>
                <w:b/>
                <w:bCs/>
                <w:color w:val="000000"/>
                <w:sz w:val="20"/>
                <w:lang w:eastAsia="en-GB"/>
              </w:rPr>
            </w:pPr>
          </w:p>
          <w:p w14:paraId="53495109" w14:textId="77777777" w:rsidR="00F45B76" w:rsidRPr="004B30EF" w:rsidRDefault="00F45B76" w:rsidP="006A7A6F">
            <w:pPr>
              <w:spacing w:after="0" w:line="240" w:lineRule="auto"/>
              <w:rPr>
                <w:rFonts w:ascii="Calibri" w:eastAsia="Times New Roman" w:hAnsi="Calibri" w:cs="Calibri"/>
                <w:b/>
                <w:bCs/>
                <w:color w:val="000000"/>
                <w:sz w:val="20"/>
                <w:lang w:eastAsia="en-GB"/>
              </w:rPr>
            </w:pPr>
          </w:p>
        </w:tc>
        <w:tc>
          <w:tcPr>
            <w:tcW w:w="467" w:type="dxa"/>
            <w:tcBorders>
              <w:top w:val="single" w:sz="4" w:space="0" w:color="auto"/>
              <w:left w:val="single" w:sz="4" w:space="0" w:color="auto"/>
              <w:bottom w:val="nil"/>
            </w:tcBorders>
            <w:shd w:val="clear" w:color="auto" w:fill="auto"/>
            <w:textDirection w:val="btLr"/>
            <w:vAlign w:val="bottom"/>
            <w:hideMark/>
          </w:tcPr>
          <w:p w14:paraId="3EB69EAF" w14:textId="77777777" w:rsidR="00F45B76" w:rsidRPr="004B30EF" w:rsidRDefault="00F45B76" w:rsidP="006A7A6F">
            <w:pPr>
              <w:spacing w:after="0" w:line="240" w:lineRule="auto"/>
              <w:rPr>
                <w:rFonts w:ascii="Calibri" w:eastAsia="Times New Roman" w:hAnsi="Calibri" w:cs="Calibri"/>
                <w:b/>
                <w:bCs/>
                <w:color w:val="000000"/>
                <w:sz w:val="20"/>
                <w:lang w:eastAsia="en-GB"/>
              </w:rPr>
            </w:pPr>
            <w:r w:rsidRPr="004B30EF">
              <w:rPr>
                <w:rFonts w:ascii="Calibri" w:eastAsia="Times New Roman" w:hAnsi="Calibri" w:cs="Calibri"/>
                <w:b/>
                <w:bCs/>
                <w:color w:val="000000"/>
                <w:sz w:val="20"/>
                <w:lang w:eastAsia="en-GB"/>
              </w:rPr>
              <w:t>NOS Score Total</w:t>
            </w:r>
          </w:p>
        </w:tc>
        <w:tc>
          <w:tcPr>
            <w:tcW w:w="1260" w:type="dxa"/>
            <w:tcBorders>
              <w:bottom w:val="nil"/>
              <w:right w:val="nil"/>
            </w:tcBorders>
            <w:vAlign w:val="bottom"/>
          </w:tcPr>
          <w:p w14:paraId="7EF2864C" w14:textId="77777777" w:rsidR="00F45B76" w:rsidRPr="00E73E6B" w:rsidRDefault="00F45B76" w:rsidP="006A7A6F">
            <w:pPr>
              <w:spacing w:after="0" w:line="240" w:lineRule="auto"/>
              <w:rPr>
                <w:rFonts w:ascii="Calibri" w:eastAsia="Times New Roman" w:hAnsi="Calibri" w:cs="Calibri"/>
                <w:b/>
                <w:bCs/>
                <w:color w:val="000000"/>
                <w:sz w:val="20"/>
                <w:lang w:eastAsia="en-GB"/>
              </w:rPr>
            </w:pPr>
            <w:r>
              <w:rPr>
                <w:rFonts w:ascii="Calibri" w:eastAsia="Times New Roman" w:hAnsi="Calibri" w:cs="Calibri"/>
                <w:b/>
                <w:bCs/>
                <w:color w:val="000000"/>
                <w:sz w:val="20"/>
                <w:lang w:eastAsia="en-GB"/>
              </w:rPr>
              <w:t>ADR proportion (95% CI)</w:t>
            </w:r>
          </w:p>
        </w:tc>
      </w:tr>
      <w:tr w:rsidR="00350F02" w:rsidRPr="00170627" w14:paraId="0E44C00C" w14:textId="0F810634"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11DEE8A9" w14:textId="25F900CB" w:rsidR="00E73E6B" w:rsidRPr="008937F3" w:rsidRDefault="00E73E6B"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Lavan</w:t>
            </w:r>
            <w:r w:rsidR="00CF1F2A" w:rsidRPr="00CF1F2A">
              <w:rPr>
                <w:rFonts w:ascii="Calibri" w:eastAsia="Times New Roman" w:hAnsi="Calibri" w:cs="Calibri"/>
                <w:b/>
                <w:bCs/>
                <w:i/>
                <w:noProof/>
                <w:color w:val="000000"/>
                <w:sz w:val="20"/>
                <w:vertAlign w:val="superscript"/>
                <w:lang w:eastAsia="en-GB"/>
              </w:rPr>
              <w:t>30</w:t>
            </w:r>
          </w:p>
        </w:tc>
        <w:tc>
          <w:tcPr>
            <w:tcW w:w="622" w:type="dxa"/>
            <w:tcBorders>
              <w:top w:val="single" w:sz="4" w:space="0" w:color="auto"/>
              <w:bottom w:val="single" w:sz="4" w:space="0" w:color="auto"/>
            </w:tcBorders>
            <w:shd w:val="clear" w:color="auto" w:fill="auto"/>
            <w:noWrap/>
            <w:vAlign w:val="bottom"/>
            <w:hideMark/>
          </w:tcPr>
          <w:p w14:paraId="2F904F8C"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2017</w:t>
            </w:r>
          </w:p>
        </w:tc>
        <w:tc>
          <w:tcPr>
            <w:tcW w:w="673" w:type="dxa"/>
            <w:tcBorders>
              <w:top w:val="single" w:sz="4" w:space="0" w:color="auto"/>
              <w:bottom w:val="single" w:sz="4" w:space="0" w:color="auto"/>
            </w:tcBorders>
            <w:shd w:val="clear" w:color="auto" w:fill="E2EFD9" w:themeFill="accent6" w:themeFillTint="33"/>
            <w:noWrap/>
            <w:vAlign w:val="bottom"/>
            <w:hideMark/>
          </w:tcPr>
          <w:p w14:paraId="4E487185"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C37D5FB"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518CFC9"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73E7FE13"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60B179D"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1295AD7E"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32D6AE1" w14:textId="77777777" w:rsidR="00E73E6B" w:rsidRPr="008937F3" w:rsidRDefault="00E73E6B" w:rsidP="004E2AFE">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506A04BE" w14:textId="77777777" w:rsidR="00E73E6B" w:rsidRPr="008937F3" w:rsidRDefault="00E73E6B" w:rsidP="004E2AFE">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7</w:t>
            </w:r>
          </w:p>
        </w:tc>
        <w:tc>
          <w:tcPr>
            <w:tcW w:w="1260" w:type="dxa"/>
            <w:tcBorders>
              <w:top w:val="single" w:sz="4" w:space="0" w:color="auto"/>
              <w:bottom w:val="single" w:sz="4" w:space="0" w:color="auto"/>
              <w:right w:val="nil"/>
            </w:tcBorders>
          </w:tcPr>
          <w:p w14:paraId="4C0F1E36" w14:textId="77777777" w:rsidR="00954606" w:rsidRDefault="005C4256"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0.22 </w:t>
            </w:r>
          </w:p>
          <w:p w14:paraId="63D7C311" w14:textId="65356275" w:rsidR="00E73E6B" w:rsidRPr="008937F3"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(0.18-0.25)</w:t>
            </w:r>
          </w:p>
        </w:tc>
      </w:tr>
      <w:tr w:rsidR="00350F02" w:rsidRPr="00170627" w14:paraId="62CC7B10" w14:textId="28D9F6E0"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7E8849B9" w14:textId="7CE8C3FD" w:rsidR="005C4256" w:rsidRPr="008937F3" w:rsidRDefault="005C4256"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Leach</w:t>
            </w:r>
            <w:r w:rsidR="00CF1F2A" w:rsidRPr="00CF1F2A">
              <w:rPr>
                <w:rFonts w:ascii="Calibri" w:eastAsia="Times New Roman" w:hAnsi="Calibri" w:cs="Calibri"/>
                <w:b/>
                <w:bCs/>
                <w:i/>
                <w:noProof/>
                <w:color w:val="000000"/>
                <w:sz w:val="20"/>
                <w:vertAlign w:val="superscript"/>
                <w:lang w:eastAsia="en-GB"/>
              </w:rPr>
              <w:t>21</w:t>
            </w:r>
          </w:p>
        </w:tc>
        <w:tc>
          <w:tcPr>
            <w:tcW w:w="622" w:type="dxa"/>
            <w:tcBorders>
              <w:top w:val="single" w:sz="4" w:space="0" w:color="auto"/>
              <w:bottom w:val="single" w:sz="4" w:space="0" w:color="auto"/>
            </w:tcBorders>
            <w:shd w:val="clear" w:color="auto" w:fill="auto"/>
            <w:noWrap/>
            <w:vAlign w:val="bottom"/>
            <w:hideMark/>
          </w:tcPr>
          <w:p w14:paraId="4D813558"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1986</w:t>
            </w:r>
          </w:p>
        </w:tc>
        <w:tc>
          <w:tcPr>
            <w:tcW w:w="673" w:type="dxa"/>
            <w:tcBorders>
              <w:top w:val="single" w:sz="4" w:space="0" w:color="auto"/>
              <w:bottom w:val="single" w:sz="4" w:space="0" w:color="auto"/>
            </w:tcBorders>
            <w:shd w:val="clear" w:color="auto" w:fill="E2EFD9" w:themeFill="accent6" w:themeFillTint="33"/>
            <w:noWrap/>
            <w:vAlign w:val="bottom"/>
            <w:hideMark/>
          </w:tcPr>
          <w:p w14:paraId="70E8439D"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976C54A"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C7B670B"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252D15EC"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4DAEBB33" w14:textId="77777777" w:rsidR="005C4256" w:rsidRPr="008937F3" w:rsidRDefault="005C4256" w:rsidP="005C4256">
            <w:pPr>
              <w:spacing w:after="0" w:line="240" w:lineRule="auto"/>
              <w:jc w:val="center"/>
              <w:rPr>
                <w:rFonts w:ascii="Calibri" w:eastAsia="Times New Roman" w:hAnsi="Calibri" w:cs="Calibri"/>
                <w:i/>
                <w:color w:val="FFC000"/>
                <w:sz w:val="20"/>
                <w:lang w:eastAsia="en-GB"/>
              </w:rPr>
            </w:pPr>
            <w:r w:rsidRPr="008937F3">
              <w:rPr>
                <w:rFonts w:ascii="Calibri" w:eastAsia="Times New Roman" w:hAnsi="Calibri" w:cs="Calibri"/>
                <w:i/>
                <w:color w:val="FFC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435083C5"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2DBFA28"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4C187EFD"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4</w:t>
            </w:r>
          </w:p>
        </w:tc>
        <w:tc>
          <w:tcPr>
            <w:tcW w:w="1260" w:type="dxa"/>
            <w:tcBorders>
              <w:top w:val="single" w:sz="4" w:space="0" w:color="auto"/>
              <w:bottom w:val="single" w:sz="4" w:space="0" w:color="auto"/>
              <w:right w:val="nil"/>
            </w:tcBorders>
          </w:tcPr>
          <w:p w14:paraId="016B8C51" w14:textId="77777777" w:rsidR="00954606" w:rsidRDefault="005C4256"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0.19 </w:t>
            </w:r>
          </w:p>
          <w:p w14:paraId="4CE0C23F" w14:textId="191623E3" w:rsidR="005C4256" w:rsidRPr="008937F3"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(0.15-0.23)</w:t>
            </w:r>
          </w:p>
        </w:tc>
      </w:tr>
      <w:tr w:rsidR="00350F02" w:rsidRPr="00170627" w14:paraId="5D1876CD" w14:textId="2D5FFED2" w:rsidTr="00350F02">
        <w:trPr>
          <w:trHeight w:val="290"/>
        </w:trPr>
        <w:tc>
          <w:tcPr>
            <w:tcW w:w="1993" w:type="dxa"/>
            <w:tcBorders>
              <w:top w:val="single" w:sz="4" w:space="0" w:color="auto"/>
              <w:left w:val="nil"/>
              <w:bottom w:val="single" w:sz="4" w:space="0" w:color="auto"/>
            </w:tcBorders>
            <w:shd w:val="clear" w:color="auto" w:fill="auto"/>
            <w:noWrap/>
            <w:vAlign w:val="bottom"/>
            <w:hideMark/>
          </w:tcPr>
          <w:p w14:paraId="599A0CC5" w14:textId="3017B147" w:rsidR="005C4256" w:rsidRPr="008937F3" w:rsidRDefault="005C4256"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Liao</w:t>
            </w:r>
            <w:r w:rsidR="00A310F9">
              <w:rPr>
                <w:rFonts w:ascii="Calibri" w:eastAsia="Times New Roman" w:hAnsi="Calibri" w:cs="Calibri"/>
                <w:b/>
                <w:bCs/>
                <w:i/>
                <w:color w:val="000000"/>
                <w:sz w:val="20"/>
                <w:lang w:eastAsia="en-GB"/>
              </w:rPr>
              <w:t>*</w:t>
            </w:r>
            <w:r w:rsidR="00CF1F2A" w:rsidRPr="00CF1F2A">
              <w:rPr>
                <w:rFonts w:ascii="Calibri" w:eastAsia="Times New Roman" w:hAnsi="Calibri" w:cs="Calibri"/>
                <w:b/>
                <w:bCs/>
                <w:i/>
                <w:noProof/>
                <w:color w:val="000000"/>
                <w:sz w:val="20"/>
                <w:vertAlign w:val="superscript"/>
                <w:lang w:eastAsia="en-GB"/>
              </w:rPr>
              <w:t>31</w:t>
            </w:r>
          </w:p>
        </w:tc>
        <w:tc>
          <w:tcPr>
            <w:tcW w:w="622" w:type="dxa"/>
            <w:tcBorders>
              <w:top w:val="single" w:sz="4" w:space="0" w:color="auto"/>
              <w:bottom w:val="single" w:sz="4" w:space="0" w:color="auto"/>
            </w:tcBorders>
            <w:shd w:val="clear" w:color="auto" w:fill="auto"/>
            <w:noWrap/>
            <w:vAlign w:val="bottom"/>
            <w:hideMark/>
          </w:tcPr>
          <w:p w14:paraId="05E8DA5B"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2019</w:t>
            </w:r>
          </w:p>
        </w:tc>
        <w:tc>
          <w:tcPr>
            <w:tcW w:w="673" w:type="dxa"/>
            <w:tcBorders>
              <w:top w:val="single" w:sz="4" w:space="0" w:color="auto"/>
              <w:bottom w:val="single" w:sz="4" w:space="0" w:color="auto"/>
            </w:tcBorders>
            <w:shd w:val="clear" w:color="auto" w:fill="E2EFD9" w:themeFill="accent6" w:themeFillTint="33"/>
            <w:noWrap/>
            <w:vAlign w:val="bottom"/>
            <w:hideMark/>
          </w:tcPr>
          <w:p w14:paraId="510D810A"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E1C4E61"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EF7885F"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29379A00"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51BC4A5"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2553D532"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1C269E2E"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108F1B56" w14:textId="0A063B11" w:rsidR="00954606" w:rsidRPr="008937F3" w:rsidRDefault="005C4256" w:rsidP="0068675A">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6</w:t>
            </w:r>
          </w:p>
        </w:tc>
        <w:tc>
          <w:tcPr>
            <w:tcW w:w="1260" w:type="dxa"/>
            <w:tcBorders>
              <w:top w:val="single" w:sz="4" w:space="0" w:color="auto"/>
              <w:bottom w:val="single" w:sz="4" w:space="0" w:color="auto"/>
              <w:right w:val="nil"/>
            </w:tcBorders>
          </w:tcPr>
          <w:p w14:paraId="255F3319" w14:textId="4D5F450D" w:rsidR="006A7A6F" w:rsidRDefault="006A7A6F" w:rsidP="008937F3">
            <w:pPr>
              <w:spacing w:after="0" w:line="240" w:lineRule="auto"/>
              <w:rPr>
                <w:rFonts w:ascii="Calibri" w:eastAsia="Times New Roman" w:hAnsi="Calibri" w:cs="Calibri"/>
                <w:i/>
                <w:color w:val="000000"/>
                <w:sz w:val="20"/>
                <w:lang w:eastAsia="en-GB"/>
              </w:rPr>
            </w:pPr>
            <w:r>
              <w:rPr>
                <w:rFonts w:ascii="Calibri" w:eastAsia="Times New Roman" w:hAnsi="Calibri" w:cs="Calibri"/>
                <w:i/>
                <w:color w:val="000000"/>
                <w:sz w:val="20"/>
                <w:lang w:eastAsia="en-GB"/>
              </w:rPr>
              <w:t>0.01</w:t>
            </w:r>
          </w:p>
          <w:p w14:paraId="56BF7848" w14:textId="19DAA467" w:rsidR="005C4256" w:rsidRPr="008937F3" w:rsidRDefault="006A7A6F" w:rsidP="008937F3">
            <w:pPr>
              <w:spacing w:after="0" w:line="240" w:lineRule="auto"/>
              <w:rPr>
                <w:rFonts w:ascii="Calibri" w:eastAsia="Times New Roman" w:hAnsi="Calibri" w:cs="Calibri"/>
                <w:i/>
                <w:color w:val="000000"/>
                <w:sz w:val="20"/>
                <w:lang w:eastAsia="en-GB"/>
              </w:rPr>
            </w:pPr>
            <w:r>
              <w:rPr>
                <w:rFonts w:ascii="Calibri" w:eastAsia="Times New Roman" w:hAnsi="Calibri" w:cs="Calibri"/>
                <w:i/>
                <w:color w:val="000000"/>
                <w:sz w:val="20"/>
                <w:lang w:eastAsia="en-GB"/>
              </w:rPr>
              <w:t>(0.01-0.01)</w:t>
            </w:r>
          </w:p>
        </w:tc>
      </w:tr>
      <w:tr w:rsidR="00350F02" w:rsidRPr="004E2AFE" w14:paraId="7C781B47" w14:textId="2C46D612"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0E927808" w14:textId="0F6EA48F" w:rsidR="005C4256" w:rsidRPr="008937F3" w:rsidRDefault="005C4256"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Mohebbi</w:t>
            </w:r>
            <w:r w:rsidR="00CF1F2A" w:rsidRPr="00CF1F2A">
              <w:rPr>
                <w:rFonts w:ascii="Calibri" w:eastAsia="Times New Roman" w:hAnsi="Calibri" w:cs="Calibri"/>
                <w:b/>
                <w:bCs/>
                <w:noProof/>
                <w:color w:val="000000"/>
                <w:sz w:val="20"/>
                <w:vertAlign w:val="superscript"/>
                <w:lang w:eastAsia="en-GB"/>
              </w:rPr>
              <w:t>32</w:t>
            </w:r>
          </w:p>
        </w:tc>
        <w:tc>
          <w:tcPr>
            <w:tcW w:w="622" w:type="dxa"/>
            <w:tcBorders>
              <w:top w:val="single" w:sz="4" w:space="0" w:color="auto"/>
              <w:bottom w:val="single" w:sz="4" w:space="0" w:color="auto"/>
            </w:tcBorders>
            <w:shd w:val="clear" w:color="auto" w:fill="auto"/>
            <w:noWrap/>
            <w:vAlign w:val="bottom"/>
            <w:hideMark/>
          </w:tcPr>
          <w:p w14:paraId="2413916A"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2010</w:t>
            </w:r>
          </w:p>
        </w:tc>
        <w:tc>
          <w:tcPr>
            <w:tcW w:w="673" w:type="dxa"/>
            <w:tcBorders>
              <w:top w:val="single" w:sz="4" w:space="0" w:color="auto"/>
              <w:bottom w:val="single" w:sz="4" w:space="0" w:color="auto"/>
            </w:tcBorders>
            <w:shd w:val="clear" w:color="auto" w:fill="E2EFD9" w:themeFill="accent6" w:themeFillTint="33"/>
            <w:noWrap/>
            <w:vAlign w:val="bottom"/>
            <w:hideMark/>
          </w:tcPr>
          <w:p w14:paraId="1DBE666D"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C6C320D"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DC8D704"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2CED9A6F" w14:textId="77777777" w:rsidR="005C4256" w:rsidRPr="008937F3" w:rsidRDefault="005C4256" w:rsidP="005C4256">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324A4FF8" w14:textId="77777777" w:rsidR="005C4256" w:rsidRPr="008937F3" w:rsidRDefault="005C4256" w:rsidP="005C4256">
            <w:pPr>
              <w:spacing w:after="0" w:line="240" w:lineRule="auto"/>
              <w:jc w:val="center"/>
              <w:rPr>
                <w:rFonts w:ascii="Calibri" w:eastAsia="Times New Roman" w:hAnsi="Calibri" w:cs="Calibri"/>
                <w:color w:val="FFC000"/>
                <w:sz w:val="20"/>
                <w:lang w:eastAsia="en-GB"/>
              </w:rPr>
            </w:pPr>
            <w:r w:rsidRPr="008937F3">
              <w:rPr>
                <w:rFonts w:ascii="Calibri" w:eastAsia="Times New Roman" w:hAnsi="Calibri" w:cs="Calibri"/>
                <w:color w:val="FFC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67EAA70C" w14:textId="77777777" w:rsidR="005C4256" w:rsidRPr="008937F3" w:rsidRDefault="005C4256" w:rsidP="005C4256">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30175BEA"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0B2DF0B6"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4</w:t>
            </w:r>
          </w:p>
        </w:tc>
        <w:tc>
          <w:tcPr>
            <w:tcW w:w="1260" w:type="dxa"/>
            <w:tcBorders>
              <w:top w:val="single" w:sz="4" w:space="0" w:color="auto"/>
              <w:bottom w:val="single" w:sz="4" w:space="0" w:color="auto"/>
              <w:right w:val="nil"/>
            </w:tcBorders>
          </w:tcPr>
          <w:p w14:paraId="08E48FF9"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0.23 </w:t>
            </w:r>
          </w:p>
          <w:p w14:paraId="348F3CE4" w14:textId="5B528C7D" w:rsidR="005C4256"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(0.17-0.29)</w:t>
            </w:r>
          </w:p>
        </w:tc>
      </w:tr>
      <w:tr w:rsidR="00954606" w:rsidRPr="004E2AFE" w14:paraId="64501573" w14:textId="57601312"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26BB7698" w14:textId="34707A54" w:rsidR="005C4256" w:rsidRPr="008937F3" w:rsidRDefault="005C4256"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Mugosa</w:t>
            </w:r>
            <w:r w:rsidR="00CF1F2A" w:rsidRPr="00CF1F2A">
              <w:rPr>
                <w:rFonts w:ascii="Calibri" w:eastAsia="Times New Roman" w:hAnsi="Calibri" w:cs="Calibri"/>
                <w:b/>
                <w:bCs/>
                <w:noProof/>
                <w:color w:val="000000"/>
                <w:sz w:val="20"/>
                <w:vertAlign w:val="superscript"/>
                <w:lang w:eastAsia="en-GB"/>
              </w:rPr>
              <w:t>33</w:t>
            </w:r>
          </w:p>
        </w:tc>
        <w:tc>
          <w:tcPr>
            <w:tcW w:w="622" w:type="dxa"/>
            <w:tcBorders>
              <w:top w:val="single" w:sz="4" w:space="0" w:color="auto"/>
              <w:bottom w:val="single" w:sz="4" w:space="0" w:color="auto"/>
            </w:tcBorders>
            <w:shd w:val="clear" w:color="auto" w:fill="auto"/>
            <w:noWrap/>
            <w:vAlign w:val="bottom"/>
            <w:hideMark/>
          </w:tcPr>
          <w:p w14:paraId="00C16C2E"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2015</w:t>
            </w:r>
          </w:p>
        </w:tc>
        <w:tc>
          <w:tcPr>
            <w:tcW w:w="673" w:type="dxa"/>
            <w:tcBorders>
              <w:top w:val="single" w:sz="4" w:space="0" w:color="auto"/>
              <w:bottom w:val="single" w:sz="4" w:space="0" w:color="auto"/>
            </w:tcBorders>
            <w:shd w:val="clear" w:color="auto" w:fill="FFF2CC" w:themeFill="accent4" w:themeFillTint="33"/>
            <w:noWrap/>
            <w:vAlign w:val="bottom"/>
            <w:hideMark/>
          </w:tcPr>
          <w:p w14:paraId="175FD4B7" w14:textId="77777777" w:rsidR="005C4256" w:rsidRPr="008937F3" w:rsidRDefault="005C4256" w:rsidP="005C4256">
            <w:pPr>
              <w:spacing w:after="0" w:line="240" w:lineRule="auto"/>
              <w:jc w:val="center"/>
              <w:rPr>
                <w:rFonts w:ascii="Calibri" w:eastAsia="Times New Roman" w:hAnsi="Calibri" w:cs="Calibri"/>
                <w:color w:val="FFC000"/>
                <w:sz w:val="20"/>
                <w:lang w:eastAsia="en-GB"/>
              </w:rPr>
            </w:pPr>
            <w:r w:rsidRPr="008937F3">
              <w:rPr>
                <w:rFonts w:ascii="Calibri" w:eastAsia="Times New Roman" w:hAnsi="Calibri" w:cs="Calibri"/>
                <w:color w:val="FFC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2702634"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F7D3D1"/>
            <w:noWrap/>
            <w:vAlign w:val="bottom"/>
            <w:hideMark/>
          </w:tcPr>
          <w:p w14:paraId="3376874C" w14:textId="77777777" w:rsidR="005C4256" w:rsidRPr="008937F3" w:rsidRDefault="005C4256" w:rsidP="005C4256">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65314E11" w14:textId="77777777" w:rsidR="005C4256" w:rsidRPr="008937F3" w:rsidRDefault="005C4256" w:rsidP="005C4256">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FFF2CC" w:themeFill="accent4" w:themeFillTint="33"/>
            <w:noWrap/>
            <w:vAlign w:val="bottom"/>
            <w:hideMark/>
          </w:tcPr>
          <w:p w14:paraId="2F8CCBC0" w14:textId="77777777" w:rsidR="005C4256" w:rsidRPr="008937F3" w:rsidRDefault="005C4256" w:rsidP="005C4256">
            <w:pPr>
              <w:spacing w:after="0" w:line="240" w:lineRule="auto"/>
              <w:jc w:val="center"/>
              <w:rPr>
                <w:rFonts w:ascii="Calibri" w:eastAsia="Times New Roman" w:hAnsi="Calibri" w:cs="Calibri"/>
                <w:color w:val="FFC000"/>
                <w:sz w:val="20"/>
                <w:lang w:eastAsia="en-GB"/>
              </w:rPr>
            </w:pPr>
            <w:r w:rsidRPr="008937F3">
              <w:rPr>
                <w:rFonts w:ascii="Calibri" w:eastAsia="Times New Roman" w:hAnsi="Calibri" w:cs="Calibri"/>
                <w:color w:val="FFC000"/>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47715BF7" w14:textId="77777777" w:rsidR="005C4256" w:rsidRPr="008937F3" w:rsidRDefault="005C4256" w:rsidP="005C4256">
            <w:pPr>
              <w:spacing w:after="0" w:line="240" w:lineRule="auto"/>
              <w:jc w:val="center"/>
              <w:rPr>
                <w:rFonts w:ascii="Calibri" w:eastAsia="Times New Roman" w:hAnsi="Calibri" w:cs="Calibri"/>
                <w:color w:val="FF0000"/>
                <w:sz w:val="20"/>
                <w:lang w:eastAsia="en-GB"/>
              </w:rPr>
            </w:pPr>
            <w:r w:rsidRPr="008937F3">
              <w:rPr>
                <w:rFonts w:ascii="Calibri" w:eastAsia="Times New Roman" w:hAnsi="Calibri" w:cs="Calibr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2E1FD0D"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12B5D243"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2</w:t>
            </w:r>
          </w:p>
        </w:tc>
        <w:tc>
          <w:tcPr>
            <w:tcW w:w="1260" w:type="dxa"/>
            <w:tcBorders>
              <w:top w:val="single" w:sz="4" w:space="0" w:color="auto"/>
              <w:bottom w:val="single" w:sz="4" w:space="0" w:color="auto"/>
              <w:right w:val="nil"/>
            </w:tcBorders>
          </w:tcPr>
          <w:p w14:paraId="1B7B584A" w14:textId="77777777" w:rsidR="00954606" w:rsidRDefault="005C4256" w:rsidP="008937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0.42 </w:t>
            </w:r>
          </w:p>
          <w:p w14:paraId="1BC88058" w14:textId="14BC6BAC" w:rsidR="005C4256" w:rsidRPr="00E73E6B" w:rsidRDefault="005C4256" w:rsidP="008937F3">
            <w:pPr>
              <w:spacing w:after="0" w:line="240" w:lineRule="auto"/>
              <w:rPr>
                <w:rFonts w:ascii="Calibri" w:eastAsia="Times New Roman" w:hAnsi="Calibri" w:cs="Calibri"/>
                <w:color w:val="000000"/>
                <w:sz w:val="20"/>
                <w:lang w:eastAsia="en-GB"/>
              </w:rPr>
            </w:pPr>
            <w:r>
              <w:rPr>
                <w:rFonts w:ascii="Calibri" w:eastAsia="Times New Roman" w:hAnsi="Calibri" w:cs="Calibri"/>
                <w:color w:val="000000"/>
                <w:lang w:eastAsia="en-GB"/>
              </w:rPr>
              <w:t>(0.30-0.55)</w:t>
            </w:r>
          </w:p>
        </w:tc>
      </w:tr>
      <w:tr w:rsidR="00954606" w:rsidRPr="00170627" w14:paraId="0D674A06" w14:textId="5AC077B9"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6F53D70F" w14:textId="429AF89D" w:rsidR="005C4256" w:rsidRPr="008937F3" w:rsidRDefault="005C4256"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O'Connor</w:t>
            </w:r>
            <w:r w:rsidR="00CF1F2A" w:rsidRPr="00CF1F2A">
              <w:rPr>
                <w:rFonts w:ascii="Calibri" w:eastAsia="Times New Roman" w:hAnsi="Calibri" w:cs="Calibri"/>
                <w:b/>
                <w:bCs/>
                <w:i/>
                <w:noProof/>
                <w:color w:val="000000"/>
                <w:sz w:val="20"/>
                <w:vertAlign w:val="superscript"/>
                <w:lang w:eastAsia="en-GB"/>
              </w:rPr>
              <w:t>22</w:t>
            </w:r>
          </w:p>
        </w:tc>
        <w:tc>
          <w:tcPr>
            <w:tcW w:w="622" w:type="dxa"/>
            <w:tcBorders>
              <w:top w:val="single" w:sz="4" w:space="0" w:color="auto"/>
              <w:bottom w:val="single" w:sz="4" w:space="0" w:color="auto"/>
            </w:tcBorders>
            <w:shd w:val="clear" w:color="auto" w:fill="auto"/>
            <w:noWrap/>
            <w:vAlign w:val="bottom"/>
            <w:hideMark/>
          </w:tcPr>
          <w:p w14:paraId="7E6E4512"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2012</w:t>
            </w:r>
          </w:p>
        </w:tc>
        <w:tc>
          <w:tcPr>
            <w:tcW w:w="673" w:type="dxa"/>
            <w:tcBorders>
              <w:top w:val="single" w:sz="4" w:space="0" w:color="auto"/>
              <w:bottom w:val="single" w:sz="4" w:space="0" w:color="auto"/>
            </w:tcBorders>
            <w:shd w:val="clear" w:color="auto" w:fill="E2EFD9" w:themeFill="accent6" w:themeFillTint="33"/>
            <w:noWrap/>
            <w:vAlign w:val="bottom"/>
            <w:hideMark/>
          </w:tcPr>
          <w:p w14:paraId="675CAFA9"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9CBC46D"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93B883A"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0BE5F1DD"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F7C6821"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32B38059"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B4F9F50"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289F96C2"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5</w:t>
            </w:r>
          </w:p>
        </w:tc>
        <w:tc>
          <w:tcPr>
            <w:tcW w:w="1260" w:type="dxa"/>
            <w:tcBorders>
              <w:top w:val="single" w:sz="4" w:space="0" w:color="auto"/>
              <w:bottom w:val="single" w:sz="4" w:space="0" w:color="auto"/>
              <w:right w:val="nil"/>
            </w:tcBorders>
          </w:tcPr>
          <w:p w14:paraId="497B9F3A" w14:textId="77777777" w:rsidR="00954606" w:rsidRDefault="005C4256"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0.26 </w:t>
            </w:r>
          </w:p>
          <w:p w14:paraId="24BDD278" w14:textId="22CDBA95" w:rsidR="005C4256" w:rsidRPr="008937F3"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(0.23-0.30)</w:t>
            </w:r>
          </w:p>
        </w:tc>
      </w:tr>
      <w:tr w:rsidR="00954606" w:rsidRPr="00170627" w14:paraId="509EC9A5" w14:textId="7D561DCB"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4E8F8ED6" w14:textId="4DC73164" w:rsidR="005C4256" w:rsidRPr="008937F3" w:rsidRDefault="005C4256"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Onder</w:t>
            </w:r>
            <w:r w:rsidR="00CF1F2A" w:rsidRPr="00CF1F2A">
              <w:rPr>
                <w:rFonts w:ascii="Calibri" w:eastAsia="Times New Roman" w:hAnsi="Calibri" w:cs="Calibri"/>
                <w:b/>
                <w:bCs/>
                <w:i/>
                <w:noProof/>
                <w:color w:val="000000"/>
                <w:sz w:val="20"/>
                <w:vertAlign w:val="superscript"/>
                <w:lang w:eastAsia="en-GB"/>
              </w:rPr>
              <w:t>24</w:t>
            </w:r>
          </w:p>
        </w:tc>
        <w:tc>
          <w:tcPr>
            <w:tcW w:w="622" w:type="dxa"/>
            <w:tcBorders>
              <w:top w:val="single" w:sz="4" w:space="0" w:color="auto"/>
              <w:bottom w:val="single" w:sz="4" w:space="0" w:color="auto"/>
            </w:tcBorders>
            <w:shd w:val="clear" w:color="auto" w:fill="auto"/>
            <w:noWrap/>
            <w:vAlign w:val="bottom"/>
            <w:hideMark/>
          </w:tcPr>
          <w:p w14:paraId="74678C98"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2010</w:t>
            </w:r>
          </w:p>
        </w:tc>
        <w:tc>
          <w:tcPr>
            <w:tcW w:w="673" w:type="dxa"/>
            <w:tcBorders>
              <w:top w:val="single" w:sz="4" w:space="0" w:color="auto"/>
              <w:bottom w:val="single" w:sz="4" w:space="0" w:color="auto"/>
            </w:tcBorders>
            <w:shd w:val="clear" w:color="auto" w:fill="E2EFD9" w:themeFill="accent6" w:themeFillTint="33"/>
            <w:noWrap/>
            <w:vAlign w:val="bottom"/>
            <w:hideMark/>
          </w:tcPr>
          <w:p w14:paraId="43898FCA"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0F5E19DE"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8131930"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7FBA2179"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F7D3D1"/>
            <w:noWrap/>
            <w:vAlign w:val="bottom"/>
            <w:hideMark/>
          </w:tcPr>
          <w:p w14:paraId="22A31366" w14:textId="77777777" w:rsidR="005C4256" w:rsidRPr="008937F3" w:rsidRDefault="005C4256" w:rsidP="005C4256">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652BEE05"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615717F9" w14:textId="77777777" w:rsidR="005C4256" w:rsidRPr="008937F3" w:rsidRDefault="005C4256" w:rsidP="005C4256">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653F8359" w14:textId="77777777" w:rsidR="005C4256" w:rsidRPr="008937F3" w:rsidRDefault="005C4256" w:rsidP="005C4256">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6</w:t>
            </w:r>
          </w:p>
        </w:tc>
        <w:tc>
          <w:tcPr>
            <w:tcW w:w="1260" w:type="dxa"/>
            <w:tcBorders>
              <w:top w:val="single" w:sz="4" w:space="0" w:color="auto"/>
              <w:bottom w:val="single" w:sz="4" w:space="0" w:color="auto"/>
              <w:right w:val="nil"/>
            </w:tcBorders>
          </w:tcPr>
          <w:p w14:paraId="0A311DB6" w14:textId="77777777" w:rsidR="00954606" w:rsidRDefault="005C4256"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0.07 </w:t>
            </w:r>
          </w:p>
          <w:p w14:paraId="6BC1FD43" w14:textId="0E7DC667" w:rsidR="005C4256" w:rsidRPr="008937F3" w:rsidRDefault="005C4256"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(0.06-0.07)</w:t>
            </w:r>
          </w:p>
        </w:tc>
      </w:tr>
      <w:tr w:rsidR="00954606" w:rsidRPr="00170627" w14:paraId="33F0F7FB" w14:textId="0B445682"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76AA9063" w14:textId="576F70E6" w:rsidR="005C4256" w:rsidRPr="008937F3" w:rsidRDefault="005C4256" w:rsidP="00CF1F2A">
            <w:pPr>
              <w:spacing w:after="0" w:line="240" w:lineRule="auto"/>
              <w:rPr>
                <w:rFonts w:ascii="Calibri" w:eastAsia="Times New Roman" w:hAnsi="Calibri" w:cs="Calibri"/>
                <w:b/>
                <w:bCs/>
                <w:color w:val="000000"/>
                <w:sz w:val="20"/>
                <w:lang w:eastAsia="en-GB"/>
              </w:rPr>
            </w:pPr>
            <w:r w:rsidRPr="008937F3">
              <w:rPr>
                <w:rFonts w:ascii="Calibri" w:eastAsia="Times New Roman" w:hAnsi="Calibri" w:cs="Calibri"/>
                <w:b/>
                <w:bCs/>
                <w:color w:val="000000"/>
                <w:sz w:val="20"/>
                <w:lang w:eastAsia="en-GB"/>
              </w:rPr>
              <w:t>Reichel</w:t>
            </w:r>
            <w:r w:rsidR="00CF1F2A" w:rsidRPr="00CF1F2A">
              <w:rPr>
                <w:rFonts w:ascii="Calibri" w:eastAsia="Times New Roman" w:hAnsi="Calibri" w:cs="Calibri"/>
                <w:b/>
                <w:bCs/>
                <w:noProof/>
                <w:color w:val="000000"/>
                <w:sz w:val="20"/>
                <w:vertAlign w:val="superscript"/>
                <w:lang w:eastAsia="en-GB"/>
              </w:rPr>
              <w:t>26</w:t>
            </w:r>
          </w:p>
        </w:tc>
        <w:tc>
          <w:tcPr>
            <w:tcW w:w="622" w:type="dxa"/>
            <w:tcBorders>
              <w:top w:val="single" w:sz="4" w:space="0" w:color="auto"/>
              <w:bottom w:val="single" w:sz="4" w:space="0" w:color="auto"/>
            </w:tcBorders>
            <w:shd w:val="clear" w:color="auto" w:fill="auto"/>
            <w:noWrap/>
            <w:vAlign w:val="bottom"/>
            <w:hideMark/>
          </w:tcPr>
          <w:p w14:paraId="087210D1"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1965</w:t>
            </w:r>
          </w:p>
        </w:tc>
        <w:tc>
          <w:tcPr>
            <w:tcW w:w="673" w:type="dxa"/>
            <w:tcBorders>
              <w:top w:val="single" w:sz="4" w:space="0" w:color="auto"/>
              <w:bottom w:val="single" w:sz="4" w:space="0" w:color="auto"/>
            </w:tcBorders>
            <w:shd w:val="clear" w:color="auto" w:fill="E2EFD9" w:themeFill="accent6" w:themeFillTint="33"/>
            <w:noWrap/>
            <w:vAlign w:val="bottom"/>
            <w:hideMark/>
          </w:tcPr>
          <w:p w14:paraId="1AFBD64E"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A59208A"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8421C6F"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7B49A10B"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52B41137"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61054C50"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34D7108" w14:textId="77777777" w:rsidR="005C4256" w:rsidRPr="008937F3" w:rsidRDefault="005C4256" w:rsidP="005C4256">
            <w:pPr>
              <w:spacing w:after="0" w:line="240" w:lineRule="auto"/>
              <w:jc w:val="center"/>
              <w:rPr>
                <w:rFonts w:ascii="Calibri" w:eastAsia="Times New Roman" w:hAnsi="Calibri" w:cs="Calibri"/>
                <w:color w:val="70AD47"/>
                <w:sz w:val="20"/>
                <w:lang w:eastAsia="en-GB"/>
              </w:rPr>
            </w:pPr>
            <w:r w:rsidRPr="008937F3">
              <w:rPr>
                <w:rFonts w:ascii="Calibri" w:eastAsia="Times New Roman" w:hAnsi="Calibri" w:cs="Calibr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6CF5FCD2" w14:textId="77777777" w:rsidR="005C4256" w:rsidRPr="008937F3" w:rsidRDefault="005C4256" w:rsidP="005C4256">
            <w:pPr>
              <w:spacing w:after="0" w:line="240" w:lineRule="auto"/>
              <w:jc w:val="right"/>
              <w:rPr>
                <w:rFonts w:ascii="Calibri" w:eastAsia="Times New Roman" w:hAnsi="Calibri" w:cs="Calibri"/>
                <w:color w:val="000000"/>
                <w:sz w:val="20"/>
                <w:lang w:eastAsia="en-GB"/>
              </w:rPr>
            </w:pPr>
            <w:r w:rsidRPr="008937F3">
              <w:rPr>
                <w:rFonts w:ascii="Calibri" w:eastAsia="Times New Roman" w:hAnsi="Calibri" w:cs="Calibri"/>
                <w:color w:val="000000"/>
                <w:sz w:val="20"/>
                <w:lang w:eastAsia="en-GB"/>
              </w:rPr>
              <w:t>7</w:t>
            </w:r>
          </w:p>
        </w:tc>
        <w:tc>
          <w:tcPr>
            <w:tcW w:w="1260" w:type="dxa"/>
            <w:tcBorders>
              <w:top w:val="single" w:sz="4" w:space="0" w:color="auto"/>
              <w:bottom w:val="single" w:sz="4" w:space="0" w:color="auto"/>
              <w:right w:val="nil"/>
            </w:tcBorders>
          </w:tcPr>
          <w:p w14:paraId="06A483D2" w14:textId="77777777" w:rsidR="00954606" w:rsidRDefault="005C4256" w:rsidP="008937F3">
            <w:pPr>
              <w:spacing w:after="0" w:line="240" w:lineRule="auto"/>
              <w:rPr>
                <w:rFonts w:ascii="Calibri" w:eastAsia="Times New Roman" w:hAnsi="Calibri" w:cs="Calibri"/>
                <w:color w:val="000000"/>
                <w:lang w:eastAsia="en-GB"/>
              </w:rPr>
            </w:pPr>
            <w:r w:rsidRPr="00170627">
              <w:rPr>
                <w:rFonts w:ascii="Calibri" w:eastAsia="Times New Roman" w:hAnsi="Calibri" w:cs="Calibri"/>
                <w:color w:val="000000"/>
                <w:lang w:eastAsia="en-GB"/>
              </w:rPr>
              <w:t xml:space="preserve">0.11 </w:t>
            </w:r>
          </w:p>
          <w:p w14:paraId="57B77A7D" w14:textId="286D5D64" w:rsidR="005C4256" w:rsidRPr="0068675A" w:rsidRDefault="005C4256" w:rsidP="008937F3">
            <w:pPr>
              <w:spacing w:after="0" w:line="240" w:lineRule="auto"/>
              <w:rPr>
                <w:rFonts w:ascii="Calibri" w:eastAsia="Times New Roman" w:hAnsi="Calibri" w:cs="Calibri"/>
                <w:color w:val="000000"/>
                <w:sz w:val="20"/>
                <w:lang w:eastAsia="en-GB"/>
              </w:rPr>
            </w:pPr>
            <w:r w:rsidRPr="00170627">
              <w:rPr>
                <w:rFonts w:ascii="Calibri" w:eastAsia="Times New Roman" w:hAnsi="Calibri" w:cs="Calibri"/>
                <w:color w:val="000000"/>
                <w:lang w:eastAsia="en-GB"/>
              </w:rPr>
              <w:t>(0.08-0.14)</w:t>
            </w:r>
          </w:p>
        </w:tc>
      </w:tr>
      <w:tr w:rsidR="00954606" w:rsidRPr="00170627" w14:paraId="535EDECC" w14:textId="40E4A06D" w:rsidTr="008937F3">
        <w:trPr>
          <w:trHeight w:val="290"/>
        </w:trPr>
        <w:tc>
          <w:tcPr>
            <w:tcW w:w="1993" w:type="dxa"/>
            <w:tcBorders>
              <w:top w:val="single" w:sz="4" w:space="0" w:color="auto"/>
              <w:left w:val="nil"/>
              <w:bottom w:val="single" w:sz="4" w:space="0" w:color="auto"/>
            </w:tcBorders>
            <w:shd w:val="clear" w:color="auto" w:fill="auto"/>
            <w:noWrap/>
            <w:vAlign w:val="bottom"/>
            <w:hideMark/>
          </w:tcPr>
          <w:p w14:paraId="3E661D0B" w14:textId="6EE4FA34" w:rsidR="007D707B" w:rsidRPr="008937F3" w:rsidRDefault="007D707B"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Tangiisuran</w:t>
            </w:r>
            <w:r w:rsidR="00CF1F2A" w:rsidRPr="00CF1F2A">
              <w:rPr>
                <w:rFonts w:ascii="Calibri" w:eastAsia="Times New Roman" w:hAnsi="Calibri" w:cs="Calibri"/>
                <w:b/>
                <w:bCs/>
                <w:i/>
                <w:noProof/>
                <w:color w:val="000000"/>
                <w:sz w:val="20"/>
                <w:vertAlign w:val="superscript"/>
                <w:lang w:eastAsia="en-GB"/>
              </w:rPr>
              <w:t>34</w:t>
            </w:r>
          </w:p>
        </w:tc>
        <w:tc>
          <w:tcPr>
            <w:tcW w:w="622" w:type="dxa"/>
            <w:tcBorders>
              <w:top w:val="single" w:sz="4" w:space="0" w:color="auto"/>
              <w:bottom w:val="single" w:sz="4" w:space="0" w:color="auto"/>
            </w:tcBorders>
            <w:shd w:val="clear" w:color="auto" w:fill="auto"/>
            <w:noWrap/>
            <w:vAlign w:val="bottom"/>
            <w:hideMark/>
          </w:tcPr>
          <w:p w14:paraId="6E75060F" w14:textId="77777777" w:rsidR="007D707B" w:rsidRPr="008937F3" w:rsidRDefault="007D707B" w:rsidP="007D707B">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2012</w:t>
            </w:r>
          </w:p>
        </w:tc>
        <w:tc>
          <w:tcPr>
            <w:tcW w:w="673" w:type="dxa"/>
            <w:tcBorders>
              <w:top w:val="single" w:sz="4" w:space="0" w:color="auto"/>
              <w:bottom w:val="single" w:sz="4" w:space="0" w:color="auto"/>
            </w:tcBorders>
            <w:shd w:val="clear" w:color="auto" w:fill="E2EFD9" w:themeFill="accent6" w:themeFillTint="33"/>
            <w:noWrap/>
            <w:vAlign w:val="bottom"/>
            <w:hideMark/>
          </w:tcPr>
          <w:p w14:paraId="1A767034"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CBB2D04"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43BAE026"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F7D3D1"/>
            <w:noWrap/>
            <w:vAlign w:val="bottom"/>
            <w:hideMark/>
          </w:tcPr>
          <w:p w14:paraId="7335E8A5" w14:textId="77777777" w:rsidR="007D707B" w:rsidRPr="008937F3" w:rsidRDefault="007D707B" w:rsidP="007D707B">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762AEFC9"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single" w:sz="4" w:space="0" w:color="auto"/>
            </w:tcBorders>
            <w:shd w:val="clear" w:color="auto" w:fill="E2EFD9" w:themeFill="accent6" w:themeFillTint="33"/>
            <w:noWrap/>
            <w:vAlign w:val="bottom"/>
            <w:hideMark/>
          </w:tcPr>
          <w:p w14:paraId="683DD6F2"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single" w:sz="4" w:space="0" w:color="auto"/>
            </w:tcBorders>
            <w:shd w:val="clear" w:color="auto" w:fill="E2EFD9" w:themeFill="accent6" w:themeFillTint="33"/>
            <w:noWrap/>
            <w:vAlign w:val="bottom"/>
            <w:hideMark/>
          </w:tcPr>
          <w:p w14:paraId="276BF588"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single" w:sz="4" w:space="0" w:color="auto"/>
            </w:tcBorders>
            <w:shd w:val="clear" w:color="auto" w:fill="auto"/>
            <w:noWrap/>
            <w:vAlign w:val="bottom"/>
            <w:hideMark/>
          </w:tcPr>
          <w:p w14:paraId="73B7204B" w14:textId="77777777" w:rsidR="007D707B" w:rsidRPr="008937F3" w:rsidRDefault="007D707B" w:rsidP="007D707B">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6</w:t>
            </w:r>
          </w:p>
        </w:tc>
        <w:tc>
          <w:tcPr>
            <w:tcW w:w="1260" w:type="dxa"/>
            <w:tcBorders>
              <w:top w:val="single" w:sz="4" w:space="0" w:color="auto"/>
              <w:bottom w:val="single" w:sz="4" w:space="0" w:color="auto"/>
              <w:right w:val="nil"/>
            </w:tcBorders>
          </w:tcPr>
          <w:p w14:paraId="14E2DAA6" w14:textId="77777777" w:rsidR="00954606" w:rsidRDefault="007D707B"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0.13 </w:t>
            </w:r>
          </w:p>
          <w:p w14:paraId="1DEB458D" w14:textId="77BC7BB6" w:rsidR="007D707B" w:rsidRPr="008937F3" w:rsidRDefault="007D707B"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(0.11-0.16)</w:t>
            </w:r>
          </w:p>
        </w:tc>
      </w:tr>
      <w:tr w:rsidR="00954606" w:rsidRPr="00170627" w14:paraId="2386BEB1" w14:textId="2FE1374C" w:rsidTr="008937F3">
        <w:trPr>
          <w:trHeight w:val="290"/>
        </w:trPr>
        <w:tc>
          <w:tcPr>
            <w:tcW w:w="1993" w:type="dxa"/>
            <w:tcBorders>
              <w:top w:val="single" w:sz="4" w:space="0" w:color="auto"/>
              <w:left w:val="nil"/>
              <w:bottom w:val="nil"/>
            </w:tcBorders>
            <w:shd w:val="clear" w:color="auto" w:fill="auto"/>
            <w:noWrap/>
            <w:vAlign w:val="bottom"/>
            <w:hideMark/>
          </w:tcPr>
          <w:p w14:paraId="79961431" w14:textId="31838A85" w:rsidR="007D707B" w:rsidRPr="008937F3" w:rsidRDefault="007D707B" w:rsidP="00CF1F2A">
            <w:pPr>
              <w:spacing w:after="0" w:line="240" w:lineRule="auto"/>
              <w:rPr>
                <w:rFonts w:ascii="Calibri" w:eastAsia="Times New Roman" w:hAnsi="Calibri" w:cs="Calibri"/>
                <w:b/>
                <w:bCs/>
                <w:i/>
                <w:color w:val="000000"/>
                <w:sz w:val="20"/>
                <w:lang w:eastAsia="en-GB"/>
              </w:rPr>
            </w:pPr>
            <w:r w:rsidRPr="008937F3">
              <w:rPr>
                <w:rFonts w:ascii="Calibri" w:eastAsia="Times New Roman" w:hAnsi="Calibri" w:cs="Calibri"/>
                <w:b/>
                <w:bCs/>
                <w:i/>
                <w:color w:val="000000"/>
                <w:sz w:val="20"/>
                <w:lang w:eastAsia="en-GB"/>
              </w:rPr>
              <w:t>Tangiisuran</w:t>
            </w:r>
            <w:r w:rsidR="00CF1F2A" w:rsidRPr="00CF1F2A">
              <w:rPr>
                <w:rFonts w:ascii="Calibri" w:eastAsia="Times New Roman" w:hAnsi="Calibri" w:cs="Calibri"/>
                <w:b/>
                <w:bCs/>
                <w:i/>
                <w:noProof/>
                <w:color w:val="000000"/>
                <w:sz w:val="20"/>
                <w:vertAlign w:val="superscript"/>
                <w:lang w:eastAsia="en-GB"/>
              </w:rPr>
              <w:t>35</w:t>
            </w:r>
          </w:p>
        </w:tc>
        <w:tc>
          <w:tcPr>
            <w:tcW w:w="622" w:type="dxa"/>
            <w:tcBorders>
              <w:top w:val="single" w:sz="4" w:space="0" w:color="auto"/>
              <w:bottom w:val="nil"/>
            </w:tcBorders>
            <w:shd w:val="clear" w:color="auto" w:fill="auto"/>
            <w:noWrap/>
            <w:vAlign w:val="bottom"/>
            <w:hideMark/>
          </w:tcPr>
          <w:p w14:paraId="0D91A513" w14:textId="77777777" w:rsidR="007D707B" w:rsidRPr="008937F3" w:rsidRDefault="007D707B" w:rsidP="007D707B">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2014</w:t>
            </w:r>
          </w:p>
        </w:tc>
        <w:tc>
          <w:tcPr>
            <w:tcW w:w="673" w:type="dxa"/>
            <w:tcBorders>
              <w:top w:val="single" w:sz="4" w:space="0" w:color="auto"/>
              <w:bottom w:val="nil"/>
            </w:tcBorders>
            <w:shd w:val="clear" w:color="auto" w:fill="E2EFD9" w:themeFill="accent6" w:themeFillTint="33"/>
            <w:noWrap/>
            <w:vAlign w:val="bottom"/>
            <w:hideMark/>
          </w:tcPr>
          <w:p w14:paraId="27767463"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nil"/>
            </w:tcBorders>
            <w:shd w:val="clear" w:color="auto" w:fill="E2EFD9" w:themeFill="accent6" w:themeFillTint="33"/>
            <w:noWrap/>
            <w:vAlign w:val="bottom"/>
            <w:hideMark/>
          </w:tcPr>
          <w:p w14:paraId="065BD36F"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nil"/>
            </w:tcBorders>
            <w:shd w:val="clear" w:color="auto" w:fill="E2EFD9" w:themeFill="accent6" w:themeFillTint="33"/>
            <w:noWrap/>
            <w:vAlign w:val="bottom"/>
            <w:hideMark/>
          </w:tcPr>
          <w:p w14:paraId="0BCAF828"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nil"/>
            </w:tcBorders>
            <w:shd w:val="clear" w:color="auto" w:fill="F7D3D1"/>
            <w:noWrap/>
            <w:vAlign w:val="bottom"/>
            <w:hideMark/>
          </w:tcPr>
          <w:p w14:paraId="049EDE2B" w14:textId="77777777" w:rsidR="007D707B" w:rsidRPr="008937F3" w:rsidRDefault="007D707B" w:rsidP="007D707B">
            <w:pPr>
              <w:spacing w:after="0" w:line="240" w:lineRule="auto"/>
              <w:jc w:val="center"/>
              <w:rPr>
                <w:rFonts w:ascii="Calibri" w:eastAsia="Times New Roman" w:hAnsi="Calibri" w:cs="Calibri"/>
                <w:i/>
                <w:color w:val="FF0000"/>
                <w:sz w:val="20"/>
                <w:lang w:eastAsia="en-GB"/>
              </w:rPr>
            </w:pPr>
            <w:r w:rsidRPr="008937F3">
              <w:rPr>
                <w:rFonts w:ascii="Calibri" w:eastAsia="Times New Roman" w:hAnsi="Calibri" w:cs="Calibri"/>
                <w:i/>
                <w:color w:val="FF0000"/>
                <w:sz w:val="20"/>
                <w:lang w:eastAsia="en-GB"/>
              </w:rPr>
              <w:t>-</w:t>
            </w:r>
          </w:p>
        </w:tc>
        <w:tc>
          <w:tcPr>
            <w:tcW w:w="712" w:type="dxa"/>
            <w:tcBorders>
              <w:top w:val="single" w:sz="4" w:space="0" w:color="auto"/>
              <w:bottom w:val="nil"/>
            </w:tcBorders>
            <w:shd w:val="clear" w:color="auto" w:fill="E2EFD9" w:themeFill="accent6" w:themeFillTint="33"/>
            <w:noWrap/>
            <w:vAlign w:val="bottom"/>
            <w:hideMark/>
          </w:tcPr>
          <w:p w14:paraId="5DBDBD9C"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673" w:type="dxa"/>
            <w:tcBorders>
              <w:top w:val="single" w:sz="4" w:space="0" w:color="auto"/>
              <w:bottom w:val="nil"/>
            </w:tcBorders>
            <w:shd w:val="clear" w:color="auto" w:fill="E2EFD9" w:themeFill="accent6" w:themeFillTint="33"/>
            <w:noWrap/>
            <w:vAlign w:val="bottom"/>
            <w:hideMark/>
          </w:tcPr>
          <w:p w14:paraId="531FE708"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712" w:type="dxa"/>
            <w:tcBorders>
              <w:top w:val="single" w:sz="4" w:space="0" w:color="auto"/>
              <w:bottom w:val="nil"/>
            </w:tcBorders>
            <w:shd w:val="clear" w:color="auto" w:fill="E2EFD9" w:themeFill="accent6" w:themeFillTint="33"/>
            <w:noWrap/>
            <w:vAlign w:val="bottom"/>
            <w:hideMark/>
          </w:tcPr>
          <w:p w14:paraId="09EF0430" w14:textId="77777777" w:rsidR="007D707B" w:rsidRPr="008937F3" w:rsidRDefault="007D707B" w:rsidP="007D707B">
            <w:pPr>
              <w:spacing w:after="0" w:line="240" w:lineRule="auto"/>
              <w:jc w:val="center"/>
              <w:rPr>
                <w:rFonts w:ascii="Calibri" w:eastAsia="Times New Roman" w:hAnsi="Calibri" w:cs="Calibri"/>
                <w:i/>
                <w:color w:val="70AD47"/>
                <w:sz w:val="20"/>
                <w:lang w:eastAsia="en-GB"/>
              </w:rPr>
            </w:pPr>
            <w:r w:rsidRPr="008937F3">
              <w:rPr>
                <w:rFonts w:ascii="Calibri" w:eastAsia="Times New Roman" w:hAnsi="Calibri" w:cs="Calibri"/>
                <w:i/>
                <w:color w:val="70AD47"/>
                <w:sz w:val="20"/>
                <w:lang w:eastAsia="en-GB"/>
              </w:rPr>
              <w:t>+</w:t>
            </w:r>
          </w:p>
        </w:tc>
        <w:tc>
          <w:tcPr>
            <w:tcW w:w="467" w:type="dxa"/>
            <w:tcBorders>
              <w:top w:val="single" w:sz="4" w:space="0" w:color="auto"/>
              <w:bottom w:val="nil"/>
            </w:tcBorders>
            <w:shd w:val="clear" w:color="auto" w:fill="auto"/>
            <w:noWrap/>
            <w:vAlign w:val="bottom"/>
            <w:hideMark/>
          </w:tcPr>
          <w:p w14:paraId="31805697" w14:textId="77777777" w:rsidR="007D707B" w:rsidRPr="008937F3" w:rsidRDefault="007D707B" w:rsidP="007D707B">
            <w:pPr>
              <w:spacing w:after="0" w:line="240" w:lineRule="auto"/>
              <w:jc w:val="right"/>
              <w:rPr>
                <w:rFonts w:ascii="Calibri" w:eastAsia="Times New Roman" w:hAnsi="Calibri" w:cs="Calibri"/>
                <w:i/>
                <w:color w:val="000000"/>
                <w:sz w:val="20"/>
                <w:lang w:eastAsia="en-GB"/>
              </w:rPr>
            </w:pPr>
            <w:r w:rsidRPr="008937F3">
              <w:rPr>
                <w:rFonts w:ascii="Calibri" w:eastAsia="Times New Roman" w:hAnsi="Calibri" w:cs="Calibri"/>
                <w:i/>
                <w:color w:val="000000"/>
                <w:sz w:val="20"/>
                <w:lang w:eastAsia="en-GB"/>
              </w:rPr>
              <w:t>6</w:t>
            </w:r>
          </w:p>
        </w:tc>
        <w:tc>
          <w:tcPr>
            <w:tcW w:w="1260" w:type="dxa"/>
            <w:tcBorders>
              <w:top w:val="single" w:sz="4" w:space="0" w:color="auto"/>
              <w:bottom w:val="nil"/>
              <w:right w:val="nil"/>
            </w:tcBorders>
          </w:tcPr>
          <w:p w14:paraId="2B6C60CE" w14:textId="77777777" w:rsidR="00954606" w:rsidRDefault="007D707B" w:rsidP="008937F3">
            <w:pPr>
              <w:spacing w:after="0" w:line="240" w:lineRule="auto"/>
              <w:rPr>
                <w:rFonts w:ascii="Calibri" w:eastAsia="Times New Roman" w:hAnsi="Calibri" w:cs="Calibri"/>
                <w:i/>
                <w:color w:val="000000"/>
                <w:lang w:eastAsia="en-GB"/>
              </w:rPr>
            </w:pPr>
            <w:r w:rsidRPr="008937F3">
              <w:rPr>
                <w:rFonts w:ascii="Calibri" w:eastAsia="Times New Roman" w:hAnsi="Calibri" w:cs="Calibri"/>
                <w:i/>
                <w:color w:val="000000"/>
                <w:lang w:eastAsia="en-GB"/>
              </w:rPr>
              <w:t xml:space="preserve">0.12 </w:t>
            </w:r>
          </w:p>
          <w:p w14:paraId="6E131B73" w14:textId="406CDD23" w:rsidR="007D707B" w:rsidRPr="008937F3" w:rsidRDefault="007D707B" w:rsidP="008937F3">
            <w:pPr>
              <w:spacing w:after="0" w:line="240" w:lineRule="auto"/>
              <w:rPr>
                <w:rFonts w:ascii="Calibri" w:eastAsia="Times New Roman" w:hAnsi="Calibri" w:cs="Calibri"/>
                <w:i/>
                <w:color w:val="000000"/>
                <w:sz w:val="20"/>
                <w:lang w:eastAsia="en-GB"/>
              </w:rPr>
            </w:pPr>
            <w:r w:rsidRPr="008937F3">
              <w:rPr>
                <w:rFonts w:ascii="Calibri" w:eastAsia="Times New Roman" w:hAnsi="Calibri" w:cs="Calibri"/>
                <w:i/>
                <w:color w:val="000000"/>
                <w:lang w:eastAsia="en-GB"/>
              </w:rPr>
              <w:t>(0.10-0.14)</w:t>
            </w:r>
          </w:p>
        </w:tc>
      </w:tr>
    </w:tbl>
    <w:p w14:paraId="0BBF1305" w14:textId="4E1B5359" w:rsidR="005C4256" w:rsidRDefault="007D707B" w:rsidP="005C4256">
      <w:pPr>
        <w:rPr>
          <w:sz w:val="16"/>
          <w:lang w:eastAsia="en-GB"/>
        </w:rPr>
      </w:pPr>
      <w:r>
        <w:rPr>
          <w:sz w:val="16"/>
          <w:lang w:eastAsia="en-GB"/>
        </w:rPr>
        <w:t>+</w:t>
      </w:r>
      <w:r w:rsidR="005C4256" w:rsidRPr="00CE18F6">
        <w:rPr>
          <w:sz w:val="16"/>
          <w:lang w:eastAsia="en-GB"/>
        </w:rPr>
        <w:t xml:space="preserve"> </w:t>
      </w:r>
      <w:r w:rsidR="005D3A36">
        <w:rPr>
          <w:sz w:val="16"/>
          <w:lang w:eastAsia="en-GB"/>
        </w:rPr>
        <w:t xml:space="preserve"> </w:t>
      </w:r>
      <w:r w:rsidR="005D3A36" w:rsidRPr="008937F3">
        <w:rPr>
          <w:color w:val="00B050"/>
          <w:sz w:val="16"/>
          <w:lang w:eastAsia="en-GB"/>
        </w:rPr>
        <w:t xml:space="preserve">green </w:t>
      </w:r>
      <w:r w:rsidR="005C4256" w:rsidRPr="00CE18F6">
        <w:rPr>
          <w:sz w:val="16"/>
          <w:lang w:eastAsia="en-GB"/>
        </w:rPr>
        <w:t>indicates study w</w:t>
      </w:r>
      <w:r>
        <w:rPr>
          <w:sz w:val="16"/>
          <w:lang w:eastAsia="en-GB"/>
        </w:rPr>
        <w:t>as awarded item on assessment</w:t>
      </w:r>
      <w:r w:rsidR="00200A99">
        <w:rPr>
          <w:sz w:val="16"/>
          <w:lang w:eastAsia="en-GB"/>
        </w:rPr>
        <w:t xml:space="preserve"> low risk of bias</w:t>
      </w:r>
      <w:r>
        <w:rPr>
          <w:sz w:val="16"/>
          <w:lang w:eastAsia="en-GB"/>
        </w:rPr>
        <w:t>; ?</w:t>
      </w:r>
      <w:r w:rsidR="005C4256" w:rsidRPr="00CE18F6">
        <w:rPr>
          <w:sz w:val="16"/>
          <w:lang w:eastAsia="en-GB"/>
        </w:rPr>
        <w:t xml:space="preserve"> </w:t>
      </w:r>
      <w:r w:rsidR="005D3A36" w:rsidRPr="008937F3">
        <w:rPr>
          <w:color w:val="FFC000" w:themeColor="accent4"/>
          <w:sz w:val="16"/>
          <w:lang w:eastAsia="en-GB"/>
        </w:rPr>
        <w:t xml:space="preserve">yellow </w:t>
      </w:r>
      <w:r w:rsidR="005C4256" w:rsidRPr="00CE18F6">
        <w:rPr>
          <w:sz w:val="16"/>
          <w:lang w:eastAsia="en-GB"/>
        </w:rPr>
        <w:t>i</w:t>
      </w:r>
      <w:r>
        <w:rPr>
          <w:sz w:val="16"/>
          <w:lang w:eastAsia="en-GB"/>
        </w:rPr>
        <w:t>ndicates description of the item was unclear</w:t>
      </w:r>
      <w:r w:rsidR="00200A99">
        <w:rPr>
          <w:sz w:val="16"/>
          <w:lang w:eastAsia="en-GB"/>
        </w:rPr>
        <w:t xml:space="preserve"> unclear risk of bias</w:t>
      </w:r>
      <w:r>
        <w:rPr>
          <w:sz w:val="16"/>
          <w:lang w:eastAsia="en-GB"/>
        </w:rPr>
        <w:t>; -</w:t>
      </w:r>
      <w:r w:rsidR="005D3A36">
        <w:rPr>
          <w:sz w:val="16"/>
          <w:lang w:eastAsia="en-GB"/>
        </w:rPr>
        <w:t xml:space="preserve"> </w:t>
      </w:r>
      <w:r w:rsidR="005D3A36" w:rsidRPr="008937F3">
        <w:rPr>
          <w:color w:val="FF0000"/>
          <w:sz w:val="16"/>
          <w:lang w:eastAsia="en-GB"/>
        </w:rPr>
        <w:t>red</w:t>
      </w:r>
      <w:r>
        <w:rPr>
          <w:sz w:val="16"/>
          <w:lang w:eastAsia="en-GB"/>
        </w:rPr>
        <w:t xml:space="preserve"> - indicates the item was</w:t>
      </w:r>
      <w:r w:rsidR="005C4256" w:rsidRPr="00CE18F6">
        <w:rPr>
          <w:sz w:val="16"/>
          <w:lang w:eastAsia="en-GB"/>
        </w:rPr>
        <w:t xml:space="preserve"> not described</w:t>
      </w:r>
      <w:r w:rsidR="00200A99">
        <w:rPr>
          <w:sz w:val="16"/>
          <w:lang w:eastAsia="en-GB"/>
        </w:rPr>
        <w:t xml:space="preserve"> high risk of bias</w:t>
      </w:r>
      <w:r w:rsidR="005C4256" w:rsidRPr="00CE18F6">
        <w:rPr>
          <w:sz w:val="16"/>
          <w:lang w:eastAsia="en-GB"/>
        </w:rPr>
        <w:t xml:space="preserve">; </w:t>
      </w:r>
      <w:r w:rsidR="005C4256" w:rsidRPr="00CE18F6">
        <w:rPr>
          <w:i/>
          <w:sz w:val="16"/>
          <w:lang w:eastAsia="en-GB"/>
        </w:rPr>
        <w:t>italics</w:t>
      </w:r>
      <w:r w:rsidR="005C4256" w:rsidRPr="00CE18F6">
        <w:rPr>
          <w:sz w:val="16"/>
          <w:lang w:eastAsia="en-GB"/>
        </w:rPr>
        <w:t xml:space="preserve"> identifies studies where all participants were ≥ 65 years</w:t>
      </w:r>
      <w:r>
        <w:rPr>
          <w:sz w:val="16"/>
          <w:lang w:eastAsia="en-GB"/>
        </w:rPr>
        <w:t>.</w:t>
      </w:r>
    </w:p>
    <w:p w14:paraId="11EB8B26" w14:textId="5EF4D614" w:rsidR="00097866" w:rsidRDefault="00A310F9" w:rsidP="008937F3">
      <w:r>
        <w:t>*Liao et al. was subsequently excluded from analyses based on concerns regarding</w:t>
      </w:r>
      <w:r w:rsidR="008356D5">
        <w:t xml:space="preserve"> potential reporting bias in </w:t>
      </w:r>
      <w:r>
        <w:t xml:space="preserve">the accuracy of the reported ADR rates </w:t>
      </w:r>
      <w:r w:rsidR="008356D5">
        <w:t xml:space="preserve">in </w:t>
      </w:r>
      <w:r>
        <w:t>the database it was conducted from</w:t>
      </w:r>
      <w:r w:rsidR="008356D5">
        <w:t xml:space="preserve"> i.e. </w:t>
      </w:r>
      <w:r w:rsidR="006A2E19">
        <w:t xml:space="preserve">retrospective </w:t>
      </w:r>
      <w:r w:rsidR="008356D5" w:rsidRPr="008356D5">
        <w:t xml:space="preserve">study retrospective </w:t>
      </w:r>
      <w:r w:rsidR="008356D5">
        <w:t xml:space="preserve">based on </w:t>
      </w:r>
      <w:r w:rsidR="008356D5" w:rsidRPr="008356D5">
        <w:t>all reported ADR cases</w:t>
      </w:r>
      <w:r w:rsidR="008356D5">
        <w:t xml:space="preserve"> </w:t>
      </w:r>
      <w:r w:rsidR="006A2E19">
        <w:t>over</w:t>
      </w:r>
      <w:r w:rsidR="008356D5">
        <w:t xml:space="preserve"> 6 year period in a single medical centre. It is well established that ADRs are consistently underreported and potentially only 6% of </w:t>
      </w:r>
      <w:r w:rsidR="006A2E19">
        <w:t xml:space="preserve">true </w:t>
      </w:r>
      <w:r w:rsidR="008356D5">
        <w:t>ADRs are recorded in reporting systems.</w:t>
      </w:r>
      <w:r w:rsidR="00CF1F2A" w:rsidRPr="00CF1F2A">
        <w:rPr>
          <w:noProof/>
          <w:vertAlign w:val="superscript"/>
        </w:rPr>
        <w:t>36</w:t>
      </w:r>
      <w:r w:rsidR="008356D5">
        <w:t xml:space="preserve"> </w:t>
      </w:r>
    </w:p>
    <w:p w14:paraId="04DE16B6" w14:textId="4E23BD49" w:rsidR="00AA4022" w:rsidRDefault="00AA4022">
      <w:pPr>
        <w:rPr>
          <w:rFonts w:asciiTheme="majorHAnsi" w:eastAsiaTheme="majorEastAsia" w:hAnsiTheme="majorHAnsi" w:cstheme="majorBidi"/>
          <w:color w:val="2E74B5" w:themeColor="accent1" w:themeShade="BF"/>
          <w:sz w:val="26"/>
          <w:szCs w:val="26"/>
        </w:rPr>
      </w:pPr>
    </w:p>
    <w:p w14:paraId="7736B5D9" w14:textId="77777777" w:rsidR="00725BEE" w:rsidRDefault="00725BEE" w:rsidP="00742295">
      <w:pPr>
        <w:pStyle w:val="Heading2"/>
        <w:sectPr w:rsidR="00725BEE" w:rsidSect="005B3E6B">
          <w:pgSz w:w="11906" w:h="16838"/>
          <w:pgMar w:top="1440" w:right="1440" w:bottom="1440" w:left="1440" w:header="708" w:footer="708" w:gutter="0"/>
          <w:cols w:space="708"/>
          <w:docGrid w:linePitch="360"/>
        </w:sectPr>
      </w:pPr>
    </w:p>
    <w:p w14:paraId="0F27AFDD" w14:textId="527E0D24" w:rsidR="006331F4" w:rsidRDefault="00737863">
      <w:pPr>
        <w:pStyle w:val="Heading2"/>
      </w:pPr>
      <w:bookmarkStart w:id="26" w:name="_Toc52396348"/>
      <w:r>
        <w:t>Appendix 5.</w:t>
      </w:r>
      <w:r w:rsidR="00742295">
        <w:t xml:space="preserve"> </w:t>
      </w:r>
      <w:r w:rsidR="006331F4">
        <w:t xml:space="preserve">Observational studies grouped by study quality </w:t>
      </w:r>
      <w:r w:rsidR="00510E0A">
        <w:t>(p=0.003)</w:t>
      </w:r>
      <w:bookmarkEnd w:id="26"/>
    </w:p>
    <w:p w14:paraId="37F43CBE" w14:textId="4563394A" w:rsidR="00AA4022" w:rsidRDefault="00AA4022" w:rsidP="008937F3">
      <w:r w:rsidRPr="00AA4022">
        <w:rPr>
          <w:noProof/>
          <w:lang w:eastAsia="en-GB"/>
        </w:rPr>
        <w:drawing>
          <wp:inline distT="0" distB="0" distL="0" distR="0" wp14:anchorId="320DEC25" wp14:editId="51EF1D41">
            <wp:extent cx="7468234" cy="4476307"/>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472389" cy="4478798"/>
                    </a:xfrm>
                    <a:prstGeom prst="rect">
                      <a:avLst/>
                    </a:prstGeom>
                  </pic:spPr>
                </pic:pic>
              </a:graphicData>
            </a:graphic>
          </wp:inline>
        </w:drawing>
      </w:r>
    </w:p>
    <w:p w14:paraId="2D3FF8B7" w14:textId="66D360EF" w:rsidR="00293B56" w:rsidRDefault="00AA4022" w:rsidP="008937F3">
      <w:r>
        <w:t>Low – low risk of bias/good quality. High – high risk of bias/poor quality</w:t>
      </w:r>
    </w:p>
    <w:p w14:paraId="610C38C3" w14:textId="4BD8E8FF" w:rsidR="007D57FB" w:rsidRDefault="007D57FB" w:rsidP="005B3E6B">
      <w:pPr>
        <w:pStyle w:val="Heading2"/>
      </w:pPr>
    </w:p>
    <w:p w14:paraId="18A67C7D" w14:textId="4AF9F48D" w:rsidR="009B3D0B" w:rsidRDefault="00737863" w:rsidP="008356D5">
      <w:pPr>
        <w:pStyle w:val="Heading2"/>
      </w:pPr>
      <w:bookmarkStart w:id="27" w:name="_Toc52396349"/>
      <w:r>
        <w:t>Appendix 6.</w:t>
      </w:r>
      <w:r w:rsidR="00F21C9B">
        <w:t xml:space="preserve"> </w:t>
      </w:r>
      <w:r w:rsidR="00A91FB5">
        <w:t xml:space="preserve">Forrest plot showing proportion of patients aged 65 years or older experiencing an in-hospital ADR - </w:t>
      </w:r>
      <w:r w:rsidR="009B3D0B">
        <w:t>including Liao</w:t>
      </w:r>
      <w:r w:rsidR="00EF1BFC">
        <w:t xml:space="preserve"> </w:t>
      </w:r>
      <w:r w:rsidR="00EF1BFC" w:rsidRPr="008937F3">
        <w:rPr>
          <w:i/>
        </w:rPr>
        <w:t>et al</w:t>
      </w:r>
      <w:r w:rsidR="00F219D0">
        <w:rPr>
          <w:i/>
        </w:rPr>
        <w:t>.*</w:t>
      </w:r>
      <w:r w:rsidR="00CF1F2A" w:rsidRPr="00CF1F2A">
        <w:rPr>
          <w:noProof/>
          <w:vertAlign w:val="superscript"/>
        </w:rPr>
        <w:t>31</w:t>
      </w:r>
      <w:bookmarkEnd w:id="27"/>
    </w:p>
    <w:p w14:paraId="1EEB2418" w14:textId="2648BB5E" w:rsidR="009B3D0B" w:rsidRDefault="00A91FB5" w:rsidP="008937F3">
      <w:r w:rsidRPr="00A91FB5">
        <w:rPr>
          <w:noProof/>
          <w:lang w:eastAsia="en-GB"/>
        </w:rPr>
        <w:drawing>
          <wp:inline distT="0" distB="0" distL="0" distR="0" wp14:anchorId="7269771C" wp14:editId="3817C2DB">
            <wp:extent cx="7176847" cy="4301655"/>
            <wp:effectExtent l="0" t="0" r="508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91336" cy="4310339"/>
                    </a:xfrm>
                    <a:prstGeom prst="rect">
                      <a:avLst/>
                    </a:prstGeom>
                  </pic:spPr>
                </pic:pic>
              </a:graphicData>
            </a:graphic>
          </wp:inline>
        </w:drawing>
      </w:r>
    </w:p>
    <w:p w14:paraId="51B120B3" w14:textId="77777777" w:rsidR="00033C60" w:rsidRDefault="00CE134F" w:rsidP="008937F3">
      <w:r>
        <w:t xml:space="preserve">Pooled estimate by random effects (RE) model </w:t>
      </w:r>
      <w:r w:rsidR="00A91FB5">
        <w:t>0.1423 (0.0970-0.2039) I</w:t>
      </w:r>
      <w:r w:rsidR="00A91FB5" w:rsidRPr="008937F3">
        <w:rPr>
          <w:vertAlign w:val="superscript"/>
        </w:rPr>
        <w:t>2</w:t>
      </w:r>
      <w:r w:rsidR="00A91FB5">
        <w:t xml:space="preserve">=99.15% </w:t>
      </w:r>
      <w:r w:rsidR="00A91FB5" w:rsidRPr="008937F3">
        <w:rPr>
          <w:rFonts w:ascii="Symbol" w:hAnsi="Symbol"/>
        </w:rPr>
        <w:t></w:t>
      </w:r>
      <w:r w:rsidR="00A91FB5" w:rsidRPr="008937F3">
        <w:rPr>
          <w:vertAlign w:val="superscript"/>
        </w:rPr>
        <w:t>2</w:t>
      </w:r>
      <w:r w:rsidR="00A91FB5">
        <w:t>=1.28</w:t>
      </w:r>
    </w:p>
    <w:p w14:paraId="003BB298" w14:textId="2175FA49" w:rsidR="00033C60" w:rsidRDefault="00033C60" w:rsidP="008937F3">
      <w:r w:rsidRPr="00033C60">
        <w:t xml:space="preserve">*Liao et al. was subsequently excluded from analyses based on concerns regarding potential reporting bias in the accuracy of the reported ADR rates in the database it was conducted from i.e. </w:t>
      </w:r>
      <w:r w:rsidR="006A2E19">
        <w:t>retrospective study retrospective</w:t>
      </w:r>
      <w:r w:rsidRPr="00033C60">
        <w:t xml:space="preserve"> ba</w:t>
      </w:r>
      <w:r w:rsidR="006A2E19">
        <w:t>sed on all reported ADR cases over a</w:t>
      </w:r>
      <w:r w:rsidRPr="00033C60">
        <w:t xml:space="preserve"> 6 year period in a single medical centre. It is well established that ADRs are consistently underreported and potentially only 6% of </w:t>
      </w:r>
      <w:r w:rsidR="006A2E19">
        <w:t xml:space="preserve">true </w:t>
      </w:r>
      <w:r w:rsidRPr="00033C60">
        <w:t>ADRs are recorded in reporting systems.</w:t>
      </w:r>
      <w:r w:rsidRPr="004643D1">
        <w:rPr>
          <w:vertAlign w:val="superscript"/>
        </w:rPr>
        <w:t>36</w:t>
      </w:r>
    </w:p>
    <w:p w14:paraId="79B8DB87" w14:textId="65DBFF94" w:rsidR="00866014" w:rsidRDefault="00737863">
      <w:pPr>
        <w:pStyle w:val="Heading2"/>
      </w:pPr>
      <w:bookmarkStart w:id="28" w:name="_Toc52396350"/>
      <w:r>
        <w:t>Appendix 7.</w:t>
      </w:r>
      <w:r w:rsidR="00866014">
        <w:t xml:space="preserve"> </w:t>
      </w:r>
      <w:r w:rsidR="0014501B">
        <w:t xml:space="preserve">Observational studies grouped according to </w:t>
      </w:r>
      <w:r w:rsidR="00866014">
        <w:t xml:space="preserve">NOS Domain </w:t>
      </w:r>
      <w:r w:rsidR="0059102F">
        <w:t>S</w:t>
      </w:r>
      <w:r w:rsidR="00866014">
        <w:t xml:space="preserve">4 </w:t>
      </w:r>
      <w:r w:rsidR="00013E6C">
        <w:t xml:space="preserve">- </w:t>
      </w:r>
      <w:r w:rsidR="0059102F">
        <w:t>d</w:t>
      </w:r>
      <w:r w:rsidR="0059102F" w:rsidRPr="0059102F">
        <w:t>emonstration that outcome of interest</w:t>
      </w:r>
      <w:r w:rsidR="006A7A6F">
        <w:t xml:space="preserve"> (ADR)</w:t>
      </w:r>
      <w:r w:rsidR="0059102F" w:rsidRPr="0059102F">
        <w:t xml:space="preserve"> was not present at start of study</w:t>
      </w:r>
      <w:bookmarkEnd w:id="28"/>
    </w:p>
    <w:p w14:paraId="673D5CAE" w14:textId="5F8F7EDB" w:rsidR="00866014" w:rsidRDefault="00866014" w:rsidP="008937F3">
      <w:r w:rsidRPr="00866014">
        <w:rPr>
          <w:noProof/>
          <w:lang w:eastAsia="en-GB"/>
        </w:rPr>
        <w:drawing>
          <wp:inline distT="0" distB="0" distL="0" distR="0" wp14:anchorId="512C4DD4" wp14:editId="192C3DF3">
            <wp:extent cx="8053630" cy="4827181"/>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067110" cy="4835261"/>
                    </a:xfrm>
                    <a:prstGeom prst="rect">
                      <a:avLst/>
                    </a:prstGeom>
                  </pic:spPr>
                </pic:pic>
              </a:graphicData>
            </a:graphic>
          </wp:inline>
        </w:drawing>
      </w:r>
    </w:p>
    <w:p w14:paraId="2FBA2F12" w14:textId="77777777" w:rsidR="004526AD" w:rsidRDefault="00866014" w:rsidP="004526AD">
      <w:r>
        <w:t>Clearly incident – study illustrated that ADRs were not present at admission/enrolment into study; Not clearly incident – study did not adequately describe if ADRs were present at admission/enrolment</w:t>
      </w:r>
    </w:p>
    <w:p w14:paraId="13252DD0" w14:textId="77777777" w:rsidR="004526AD" w:rsidRDefault="004526AD" w:rsidP="004526AD">
      <w:pPr>
        <w:pStyle w:val="Heading2"/>
        <w:sectPr w:rsidR="004526AD" w:rsidSect="00725BEE">
          <w:pgSz w:w="16838" w:h="11906" w:orient="landscape"/>
          <w:pgMar w:top="1440" w:right="1440" w:bottom="1440" w:left="1440" w:header="709" w:footer="709" w:gutter="0"/>
          <w:cols w:space="708"/>
          <w:docGrid w:linePitch="360"/>
        </w:sectPr>
      </w:pPr>
    </w:p>
    <w:p w14:paraId="5B6F527B" w14:textId="526452F6" w:rsidR="00F21C9B" w:rsidRPr="008937F3" w:rsidRDefault="00737863">
      <w:pPr>
        <w:pStyle w:val="Heading2"/>
        <w:rPr>
          <w:rFonts w:asciiTheme="minorHAnsi" w:eastAsiaTheme="minorHAnsi" w:hAnsiTheme="minorHAnsi" w:cstheme="minorBidi"/>
          <w:color w:val="auto"/>
          <w:sz w:val="22"/>
          <w:szCs w:val="22"/>
        </w:rPr>
      </w:pPr>
      <w:bookmarkStart w:id="29" w:name="_Toc52396351"/>
      <w:r>
        <w:t>Appendix 8.</w:t>
      </w:r>
      <w:r w:rsidR="009B3D0B">
        <w:t xml:space="preserve"> </w:t>
      </w:r>
      <w:r w:rsidR="00F21C9B">
        <w:t xml:space="preserve">Funnel </w:t>
      </w:r>
      <w:r w:rsidR="00904092">
        <w:t xml:space="preserve">plots </w:t>
      </w:r>
      <w:r w:rsidR="00F21C9B">
        <w:t>of included studies</w:t>
      </w:r>
      <w:bookmarkEnd w:id="29"/>
      <w:r w:rsidR="00F21C9B">
        <w:t xml:space="preserve"> </w:t>
      </w:r>
    </w:p>
    <w:p w14:paraId="63CA1971" w14:textId="54C24BA9" w:rsidR="0010015E" w:rsidRPr="008937F3" w:rsidRDefault="0010015E" w:rsidP="0010015E">
      <w:bookmarkStart w:id="30" w:name="_Toc52396352"/>
      <w:r>
        <w:rPr>
          <w:rStyle w:val="Heading3Char"/>
        </w:rPr>
        <w:t xml:space="preserve">Funnel plot </w:t>
      </w:r>
      <w:r w:rsidRPr="008937F3">
        <w:rPr>
          <w:rStyle w:val="Heading3Char"/>
        </w:rPr>
        <w:t>excluding Lia</w:t>
      </w:r>
      <w:r w:rsidR="00642CB3">
        <w:rPr>
          <w:rStyle w:val="Heading3Char"/>
        </w:rPr>
        <w:t xml:space="preserve">o </w:t>
      </w:r>
      <w:r w:rsidR="00642CB3" w:rsidRPr="008937F3">
        <w:rPr>
          <w:rStyle w:val="Heading3Char"/>
          <w:i/>
        </w:rPr>
        <w:t>et al.</w:t>
      </w:r>
      <w:r w:rsidR="00CF1F2A" w:rsidRPr="00CF1F2A">
        <w:rPr>
          <w:rStyle w:val="Heading3Char"/>
          <w:i/>
          <w:noProof/>
          <w:vertAlign w:val="superscript"/>
        </w:rPr>
        <w:t>31</w:t>
      </w:r>
      <w:bookmarkEnd w:id="30"/>
      <w:r w:rsidRPr="00A425C7">
        <w:rPr>
          <w:bCs/>
          <w:noProof/>
          <w:lang w:eastAsia="en-GB"/>
        </w:rPr>
        <w:drawing>
          <wp:inline distT="0" distB="0" distL="0" distR="0" wp14:anchorId="79EAC87B" wp14:editId="3F1A1E87">
            <wp:extent cx="5731510" cy="34353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435350"/>
                    </a:xfrm>
                    <a:prstGeom prst="rect">
                      <a:avLst/>
                    </a:prstGeom>
                  </pic:spPr>
                </pic:pic>
              </a:graphicData>
            </a:graphic>
          </wp:inline>
        </w:drawing>
      </w:r>
    </w:p>
    <w:p w14:paraId="5B3F006E" w14:textId="78A5A9EA" w:rsidR="0010015E" w:rsidRDefault="0010015E" w:rsidP="008937F3">
      <w:pPr>
        <w:pStyle w:val="Heading3"/>
      </w:pPr>
      <w:bookmarkStart w:id="31" w:name="_Toc52396353"/>
      <w:r>
        <w:t>Funnel plot including Liao</w:t>
      </w:r>
      <w:r w:rsidR="00A425C7">
        <w:t xml:space="preserve"> </w:t>
      </w:r>
      <w:r w:rsidR="00A425C7" w:rsidRPr="008937F3">
        <w:rPr>
          <w:i/>
        </w:rPr>
        <w:t>et al.</w:t>
      </w:r>
      <w:r w:rsidR="00CF1F2A" w:rsidRPr="00CF1F2A">
        <w:rPr>
          <w:noProof/>
          <w:vertAlign w:val="superscript"/>
        </w:rPr>
        <w:t>31</w:t>
      </w:r>
      <w:bookmarkEnd w:id="31"/>
    </w:p>
    <w:p w14:paraId="03EA94AD" w14:textId="12ECDC2D" w:rsidR="00642CB3" w:rsidRDefault="00642CB3">
      <w:r>
        <w:rPr>
          <w:noProof/>
          <w:lang w:eastAsia="en-GB"/>
        </w:rPr>
        <w:drawing>
          <wp:inline distT="0" distB="0" distL="0" distR="0" wp14:anchorId="2CA18402" wp14:editId="0B865BFE">
            <wp:extent cx="5825366" cy="349123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31186" cy="3494718"/>
                    </a:xfrm>
                    <a:prstGeom prst="rect">
                      <a:avLst/>
                    </a:prstGeom>
                    <a:noFill/>
                  </pic:spPr>
                </pic:pic>
              </a:graphicData>
            </a:graphic>
          </wp:inline>
        </w:drawing>
      </w:r>
    </w:p>
    <w:p w14:paraId="23C75330" w14:textId="77777777" w:rsidR="004526AD" w:rsidRPr="00642CB3" w:rsidRDefault="004526AD"/>
    <w:p w14:paraId="23445F30" w14:textId="62CB3449" w:rsidR="008F5843" w:rsidRDefault="008F5843">
      <w:pPr>
        <w:rPr>
          <w:rFonts w:asciiTheme="majorHAnsi" w:eastAsiaTheme="majorEastAsia" w:hAnsiTheme="majorHAnsi" w:cstheme="majorBidi"/>
          <w:color w:val="2E74B5" w:themeColor="accent1" w:themeShade="BF"/>
          <w:sz w:val="26"/>
          <w:szCs w:val="26"/>
        </w:rPr>
      </w:pPr>
      <w:r>
        <w:br w:type="page"/>
      </w:r>
    </w:p>
    <w:p w14:paraId="610C38C5" w14:textId="6B96D30D" w:rsidR="007D57FB" w:rsidRPr="00F448F9" w:rsidRDefault="00737863" w:rsidP="005B3E6B">
      <w:pPr>
        <w:pStyle w:val="Heading2"/>
      </w:pPr>
      <w:bookmarkStart w:id="32" w:name="_Toc52396354"/>
      <w:r>
        <w:t>Appendix 9.</w:t>
      </w:r>
      <w:r w:rsidR="007D57FB">
        <w:t xml:space="preserve"> </w:t>
      </w:r>
      <w:r w:rsidR="007D57FB" w:rsidRPr="00F448F9">
        <w:t>C</w:t>
      </w:r>
      <w:r w:rsidR="007D57FB">
        <w:t>ochrane Risk of Bias (RoB) 2.0 A</w:t>
      </w:r>
      <w:r w:rsidR="007D57FB" w:rsidRPr="00F448F9">
        <w:t>ssessm</w:t>
      </w:r>
      <w:r w:rsidR="007D57FB">
        <w:t xml:space="preserve">ent of Randomised Control Trials </w:t>
      </w:r>
      <w:r w:rsidR="007D57FB" w:rsidRPr="00F448F9">
        <w:t>(RCT)</w:t>
      </w:r>
      <w:r w:rsidR="007D57FB">
        <w:t>.</w:t>
      </w:r>
      <w:bookmarkEnd w:id="32"/>
    </w:p>
    <w:tbl>
      <w:tblPr>
        <w:tblW w:w="9697" w:type="dxa"/>
        <w:tblLook w:val="04A0" w:firstRow="1" w:lastRow="0" w:firstColumn="1" w:lastColumn="0" w:noHBand="0" w:noVBand="1"/>
      </w:tblPr>
      <w:tblGrid>
        <w:gridCol w:w="1360"/>
        <w:gridCol w:w="1225"/>
        <w:gridCol w:w="3364"/>
        <w:gridCol w:w="1273"/>
        <w:gridCol w:w="2475"/>
      </w:tblGrid>
      <w:tr w:rsidR="007D57FB" w:rsidRPr="003A1965" w14:paraId="610C38CB" w14:textId="77777777" w:rsidTr="005B3E6B">
        <w:trPr>
          <w:trHeight w:val="290"/>
        </w:trPr>
        <w:tc>
          <w:tcPr>
            <w:tcW w:w="13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0C38C6" w14:textId="77777777" w:rsidR="007D57FB" w:rsidRPr="008937F3"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Description</w:t>
            </w:r>
          </w:p>
        </w:tc>
        <w:tc>
          <w:tcPr>
            <w:tcW w:w="1225" w:type="dxa"/>
            <w:tcBorders>
              <w:top w:val="single" w:sz="4" w:space="0" w:color="auto"/>
              <w:left w:val="nil"/>
              <w:bottom w:val="single" w:sz="4" w:space="0" w:color="auto"/>
              <w:right w:val="single" w:sz="4" w:space="0" w:color="auto"/>
            </w:tcBorders>
            <w:shd w:val="clear" w:color="auto" w:fill="auto"/>
            <w:vAlign w:val="bottom"/>
            <w:hideMark/>
          </w:tcPr>
          <w:p w14:paraId="70CB45E4" w14:textId="5A7AFFAF" w:rsidR="00EF1BFC"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O'Connor</w:t>
            </w:r>
            <w:r w:rsidR="00EF1BFC">
              <w:rPr>
                <w:rFonts w:ascii="Calibri" w:eastAsia="Times New Roman" w:hAnsi="Calibri" w:cs="Calibri"/>
                <w:b/>
                <w:bCs/>
                <w:color w:val="000000"/>
                <w:sz w:val="16"/>
                <w:szCs w:val="16"/>
                <w:lang w:eastAsia="en-GB"/>
              </w:rPr>
              <w:t xml:space="preserve"> </w:t>
            </w:r>
            <w:r w:rsidR="00CF1F2A" w:rsidRPr="00CF1F2A">
              <w:rPr>
                <w:rFonts w:ascii="Calibri" w:eastAsia="Times New Roman" w:hAnsi="Calibri" w:cs="Calibri"/>
                <w:b/>
                <w:bCs/>
                <w:noProof/>
                <w:color w:val="000000"/>
                <w:sz w:val="16"/>
                <w:szCs w:val="16"/>
                <w:vertAlign w:val="superscript"/>
                <w:lang w:eastAsia="en-GB"/>
              </w:rPr>
              <w:t>23</w:t>
            </w:r>
            <w:r w:rsidRPr="008937F3">
              <w:rPr>
                <w:rFonts w:ascii="Calibri" w:eastAsia="Times New Roman" w:hAnsi="Calibri" w:cs="Calibri"/>
                <w:b/>
                <w:bCs/>
                <w:color w:val="000000"/>
                <w:sz w:val="16"/>
                <w:szCs w:val="16"/>
                <w:lang w:eastAsia="en-GB"/>
              </w:rPr>
              <w:t xml:space="preserve"> </w:t>
            </w:r>
          </w:p>
          <w:p w14:paraId="610C38C7" w14:textId="45053A32" w:rsidR="007D57FB" w:rsidRPr="008937F3"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2016</w:t>
            </w:r>
            <w:r w:rsidR="00EF1BFC">
              <w:rPr>
                <w:rFonts w:ascii="Calibri" w:eastAsia="Times New Roman" w:hAnsi="Calibri" w:cs="Calibri"/>
                <w:b/>
                <w:bCs/>
                <w:color w:val="000000"/>
                <w:sz w:val="16"/>
                <w:szCs w:val="16"/>
                <w:lang w:eastAsia="en-GB"/>
              </w:rPr>
              <w:t xml:space="preserve"> </w:t>
            </w:r>
            <w:r w:rsidRPr="008937F3">
              <w:rPr>
                <w:rFonts w:ascii="Calibri" w:eastAsia="Times New Roman" w:hAnsi="Calibri" w:cs="Calibri"/>
                <w:b/>
                <w:bCs/>
                <w:color w:val="000000"/>
                <w:sz w:val="16"/>
                <w:szCs w:val="16"/>
                <w:lang w:eastAsia="en-GB"/>
              </w:rPr>
              <w:t>Judgement</w:t>
            </w:r>
          </w:p>
        </w:tc>
        <w:tc>
          <w:tcPr>
            <w:tcW w:w="3364" w:type="dxa"/>
            <w:tcBorders>
              <w:top w:val="single" w:sz="4" w:space="0" w:color="auto"/>
              <w:left w:val="nil"/>
              <w:bottom w:val="single" w:sz="4" w:space="0" w:color="auto"/>
              <w:right w:val="single" w:sz="4" w:space="0" w:color="auto"/>
            </w:tcBorders>
            <w:shd w:val="clear" w:color="auto" w:fill="auto"/>
            <w:vAlign w:val="bottom"/>
            <w:hideMark/>
          </w:tcPr>
          <w:p w14:paraId="610C38C8" w14:textId="074F838B" w:rsidR="007D57FB" w:rsidRPr="008937F3" w:rsidRDefault="007D57FB" w:rsidP="00CF1F2A">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Justification (O'Connor</w:t>
            </w:r>
            <w:r w:rsidR="00CF1F2A" w:rsidRPr="00CF1F2A">
              <w:rPr>
                <w:rFonts w:ascii="Calibri" w:eastAsia="Times New Roman" w:hAnsi="Calibri" w:cs="Calibri"/>
                <w:b/>
                <w:bCs/>
                <w:noProof/>
                <w:color w:val="000000"/>
                <w:sz w:val="16"/>
                <w:szCs w:val="16"/>
                <w:vertAlign w:val="superscript"/>
                <w:lang w:eastAsia="en-GB"/>
              </w:rPr>
              <w:t>23</w:t>
            </w:r>
            <w:r w:rsidRPr="008937F3">
              <w:rPr>
                <w:rFonts w:ascii="Calibri" w:eastAsia="Times New Roman" w:hAnsi="Calibri" w:cs="Calibri"/>
                <w:b/>
                <w:bCs/>
                <w:color w:val="000000"/>
                <w:sz w:val="16"/>
                <w:szCs w:val="16"/>
                <w:lang w:eastAsia="en-GB"/>
              </w:rPr>
              <w:t>)</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14:paraId="2FBB76BE" w14:textId="2E0FD7EB" w:rsidR="00EF1BFC"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O'Sullivan</w:t>
            </w:r>
            <w:r w:rsidR="00CF1F2A" w:rsidRPr="00CF1F2A">
              <w:rPr>
                <w:rFonts w:ascii="Calibri" w:eastAsia="Times New Roman" w:hAnsi="Calibri" w:cs="Calibri"/>
                <w:b/>
                <w:bCs/>
                <w:noProof/>
                <w:color w:val="000000"/>
                <w:sz w:val="16"/>
                <w:szCs w:val="16"/>
                <w:vertAlign w:val="superscript"/>
                <w:lang w:eastAsia="en-GB"/>
              </w:rPr>
              <w:t>25</w:t>
            </w:r>
            <w:r w:rsidRPr="008937F3">
              <w:rPr>
                <w:rFonts w:ascii="Calibri" w:eastAsia="Times New Roman" w:hAnsi="Calibri" w:cs="Calibri"/>
                <w:b/>
                <w:bCs/>
                <w:color w:val="000000"/>
                <w:sz w:val="16"/>
                <w:szCs w:val="16"/>
                <w:lang w:eastAsia="en-GB"/>
              </w:rPr>
              <w:t xml:space="preserve"> </w:t>
            </w:r>
          </w:p>
          <w:p w14:paraId="46F0EC16" w14:textId="264E951E" w:rsidR="00EF1BFC"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2016</w:t>
            </w:r>
            <w:r w:rsidR="00EF1BFC">
              <w:rPr>
                <w:rFonts w:ascii="Calibri" w:eastAsia="Times New Roman" w:hAnsi="Calibri" w:cs="Calibri"/>
                <w:b/>
                <w:bCs/>
                <w:color w:val="000000"/>
                <w:sz w:val="16"/>
                <w:szCs w:val="16"/>
                <w:lang w:eastAsia="en-GB"/>
              </w:rPr>
              <w:t xml:space="preserve"> </w:t>
            </w:r>
          </w:p>
          <w:p w14:paraId="610C38C9" w14:textId="47960F3F" w:rsidR="007D57FB" w:rsidRPr="008937F3" w:rsidRDefault="007D57FB" w:rsidP="005B3E6B">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Judgement</w:t>
            </w:r>
          </w:p>
        </w:tc>
        <w:tc>
          <w:tcPr>
            <w:tcW w:w="2475" w:type="dxa"/>
            <w:tcBorders>
              <w:top w:val="single" w:sz="4" w:space="0" w:color="auto"/>
              <w:left w:val="nil"/>
              <w:bottom w:val="single" w:sz="4" w:space="0" w:color="auto"/>
              <w:right w:val="single" w:sz="4" w:space="0" w:color="auto"/>
            </w:tcBorders>
            <w:shd w:val="clear" w:color="auto" w:fill="auto"/>
            <w:vAlign w:val="bottom"/>
            <w:hideMark/>
          </w:tcPr>
          <w:p w14:paraId="610C38CA" w14:textId="4E5EC987" w:rsidR="007D57FB" w:rsidRPr="008937F3" w:rsidRDefault="007D57FB" w:rsidP="00CF1F2A">
            <w:pPr>
              <w:spacing w:after="0" w:line="240" w:lineRule="auto"/>
              <w:rPr>
                <w:rFonts w:ascii="Calibri" w:eastAsia="Times New Roman" w:hAnsi="Calibri" w:cs="Calibri"/>
                <w:b/>
                <w:bCs/>
                <w:color w:val="000000"/>
                <w:sz w:val="16"/>
                <w:szCs w:val="16"/>
                <w:lang w:eastAsia="en-GB"/>
              </w:rPr>
            </w:pPr>
            <w:r w:rsidRPr="008937F3">
              <w:rPr>
                <w:rFonts w:ascii="Calibri" w:eastAsia="Times New Roman" w:hAnsi="Calibri" w:cs="Calibri"/>
                <w:b/>
                <w:bCs/>
                <w:color w:val="000000"/>
                <w:sz w:val="16"/>
                <w:szCs w:val="16"/>
                <w:lang w:eastAsia="en-GB"/>
              </w:rPr>
              <w:t>Justification (O'Sullivan</w:t>
            </w:r>
            <w:r w:rsidR="00CF1F2A" w:rsidRPr="00CF1F2A">
              <w:rPr>
                <w:rFonts w:ascii="Calibri" w:eastAsia="Times New Roman" w:hAnsi="Calibri" w:cs="Calibri"/>
                <w:b/>
                <w:bCs/>
                <w:noProof/>
                <w:color w:val="000000"/>
                <w:sz w:val="16"/>
                <w:szCs w:val="16"/>
                <w:vertAlign w:val="superscript"/>
                <w:lang w:eastAsia="en-GB"/>
              </w:rPr>
              <w:t>25</w:t>
            </w:r>
            <w:r w:rsidRPr="008937F3">
              <w:rPr>
                <w:rFonts w:ascii="Calibri" w:eastAsia="Times New Roman" w:hAnsi="Calibri" w:cs="Calibri"/>
                <w:b/>
                <w:bCs/>
                <w:color w:val="000000"/>
                <w:sz w:val="16"/>
                <w:szCs w:val="16"/>
                <w:lang w:eastAsia="en-GB"/>
              </w:rPr>
              <w:t>)</w:t>
            </w:r>
          </w:p>
        </w:tc>
      </w:tr>
      <w:tr w:rsidR="007D57FB" w:rsidRPr="003A1965" w14:paraId="610C38D1" w14:textId="77777777" w:rsidTr="008937F3">
        <w:trPr>
          <w:trHeight w:val="2106"/>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CC"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Random sequence generation</w:t>
            </w:r>
          </w:p>
        </w:tc>
        <w:tc>
          <w:tcPr>
            <w:tcW w:w="1225" w:type="dxa"/>
            <w:tcBorders>
              <w:top w:val="nil"/>
              <w:left w:val="nil"/>
              <w:bottom w:val="single" w:sz="4" w:space="0" w:color="auto"/>
              <w:right w:val="single" w:sz="4" w:space="0" w:color="auto"/>
            </w:tcBorders>
            <w:shd w:val="clear" w:color="000000" w:fill="FFFF00"/>
            <w:vAlign w:val="bottom"/>
            <w:hideMark/>
          </w:tcPr>
          <w:p w14:paraId="610C38CD"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Unclear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CE"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Quote: Two lists of attending consultants were generated such that the combined rates of ADRs in these groups were known to be comparable from an ADR assessment study completed shortly before the initiation of the present clinical trial. Having finalized the composition of the lists, one list of specialist consultants was assigned as the intervention arm of the study and the other list of specialist consultants as the control arm. Comment: no evidence of random sequence generation</w:t>
            </w:r>
          </w:p>
        </w:tc>
        <w:tc>
          <w:tcPr>
            <w:tcW w:w="1273" w:type="dxa"/>
            <w:tcBorders>
              <w:top w:val="nil"/>
              <w:left w:val="nil"/>
              <w:bottom w:val="single" w:sz="4" w:space="0" w:color="auto"/>
              <w:right w:val="single" w:sz="4" w:space="0" w:color="auto"/>
            </w:tcBorders>
            <w:shd w:val="clear" w:color="000000" w:fill="FFFF00"/>
            <w:vAlign w:val="bottom"/>
            <w:hideMark/>
          </w:tcPr>
          <w:p w14:paraId="610C38CF"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Unclear risk of bias</w:t>
            </w:r>
          </w:p>
        </w:tc>
        <w:tc>
          <w:tcPr>
            <w:tcW w:w="2475" w:type="dxa"/>
            <w:tcBorders>
              <w:top w:val="nil"/>
              <w:left w:val="nil"/>
              <w:bottom w:val="single" w:sz="4" w:space="0" w:color="auto"/>
              <w:right w:val="single" w:sz="4" w:space="0" w:color="auto"/>
            </w:tcBorders>
            <w:shd w:val="clear" w:color="auto" w:fill="auto"/>
            <w:vAlign w:val="bottom"/>
            <w:hideMark/>
          </w:tcPr>
          <w:p w14:paraId="610C38D0"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Quote: we generated two clusters of attending consultants… one group (cluster) of specialist consultants was allocated the intervention arm of the study while the other group (cluster) of specialist consultants was allocated the control arm. Comment: no evidence of random sequence generation</w:t>
            </w:r>
          </w:p>
        </w:tc>
      </w:tr>
      <w:tr w:rsidR="007D57FB" w:rsidRPr="003A1965" w14:paraId="610C38D7" w14:textId="77777777" w:rsidTr="008937F3">
        <w:trPr>
          <w:trHeight w:val="1088"/>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D2"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Allocation concealment</w:t>
            </w:r>
          </w:p>
        </w:tc>
        <w:tc>
          <w:tcPr>
            <w:tcW w:w="1225" w:type="dxa"/>
            <w:tcBorders>
              <w:top w:val="nil"/>
              <w:left w:val="nil"/>
              <w:bottom w:val="single" w:sz="4" w:space="0" w:color="auto"/>
              <w:right w:val="single" w:sz="4" w:space="0" w:color="auto"/>
            </w:tcBorders>
            <w:shd w:val="clear" w:color="000000" w:fill="92D050"/>
            <w:vAlign w:val="bottom"/>
            <w:hideMark/>
          </w:tcPr>
          <w:p w14:paraId="610C38D3"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D4"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 xml:space="preserve">Quote: to avoid potentially biased selection of subjects into either arm of the study, we approached prospective trial participants in the order of their admission to the hospital Comment: </w:t>
            </w:r>
          </w:p>
        </w:tc>
        <w:tc>
          <w:tcPr>
            <w:tcW w:w="1273" w:type="dxa"/>
            <w:tcBorders>
              <w:top w:val="nil"/>
              <w:left w:val="nil"/>
              <w:bottom w:val="single" w:sz="4" w:space="0" w:color="auto"/>
              <w:right w:val="single" w:sz="4" w:space="0" w:color="auto"/>
            </w:tcBorders>
            <w:shd w:val="clear" w:color="000000" w:fill="92D050"/>
            <w:vAlign w:val="bottom"/>
            <w:hideMark/>
          </w:tcPr>
          <w:p w14:paraId="610C38D5"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2475" w:type="dxa"/>
            <w:tcBorders>
              <w:top w:val="nil"/>
              <w:left w:val="nil"/>
              <w:bottom w:val="single" w:sz="4" w:space="0" w:color="auto"/>
              <w:right w:val="single" w:sz="4" w:space="0" w:color="auto"/>
            </w:tcBorders>
            <w:shd w:val="clear" w:color="auto" w:fill="auto"/>
            <w:vAlign w:val="bottom"/>
            <w:hideMark/>
          </w:tcPr>
          <w:p w14:paraId="610C38D6"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 xml:space="preserve">Quote: to avoid potentially biased selection of subjects into either arm of the study, the primary researcher approached prospective trial participants in the order of their admission to the hospital Comment: </w:t>
            </w:r>
          </w:p>
        </w:tc>
      </w:tr>
      <w:tr w:rsidR="007D57FB" w:rsidRPr="003A1965" w14:paraId="610C38DD" w14:textId="77777777" w:rsidTr="005B3E6B">
        <w:trPr>
          <w:trHeight w:val="1450"/>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D8"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Blinding of participants and personnel. Assessments should be made for each main outcome (or class of outcomes).</w:t>
            </w:r>
          </w:p>
        </w:tc>
        <w:tc>
          <w:tcPr>
            <w:tcW w:w="1225" w:type="dxa"/>
            <w:tcBorders>
              <w:top w:val="nil"/>
              <w:left w:val="nil"/>
              <w:bottom w:val="single" w:sz="4" w:space="0" w:color="auto"/>
              <w:right w:val="single" w:sz="4" w:space="0" w:color="auto"/>
            </w:tcBorders>
            <w:shd w:val="clear" w:color="000000" w:fill="FF0000"/>
            <w:vAlign w:val="bottom"/>
            <w:hideMark/>
          </w:tcPr>
          <w:p w14:paraId="610C38D9"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High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DA"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Quote: cluster RCT design was chosen for two reasons, namely the intervention could not be double blinded (because of its nature) and the need to avoid possible "training effect". MNO'C recruited and conducted intervention and then screened for outcome.</w:t>
            </w:r>
          </w:p>
        </w:tc>
        <w:tc>
          <w:tcPr>
            <w:tcW w:w="1273" w:type="dxa"/>
            <w:tcBorders>
              <w:top w:val="nil"/>
              <w:left w:val="nil"/>
              <w:bottom w:val="single" w:sz="4" w:space="0" w:color="auto"/>
              <w:right w:val="single" w:sz="4" w:space="0" w:color="auto"/>
            </w:tcBorders>
            <w:shd w:val="clear" w:color="000000" w:fill="FF0000"/>
            <w:vAlign w:val="bottom"/>
            <w:hideMark/>
          </w:tcPr>
          <w:p w14:paraId="610C38DB"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 xml:space="preserve">High risk of bias </w:t>
            </w:r>
          </w:p>
        </w:tc>
        <w:tc>
          <w:tcPr>
            <w:tcW w:w="2475" w:type="dxa"/>
            <w:tcBorders>
              <w:top w:val="nil"/>
              <w:left w:val="nil"/>
              <w:bottom w:val="single" w:sz="4" w:space="0" w:color="auto"/>
              <w:right w:val="single" w:sz="4" w:space="0" w:color="auto"/>
            </w:tcBorders>
            <w:shd w:val="clear" w:color="auto" w:fill="auto"/>
            <w:vAlign w:val="bottom"/>
            <w:hideMark/>
          </w:tcPr>
          <w:p w14:paraId="610C38DC"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Primary researcher who recruited patients was the same researcher who carried out the intervention, so researcher was not blinded</w:t>
            </w:r>
          </w:p>
        </w:tc>
      </w:tr>
      <w:tr w:rsidR="007D57FB" w:rsidRPr="003A1965" w14:paraId="610C38E3" w14:textId="77777777" w:rsidTr="008937F3">
        <w:trPr>
          <w:trHeight w:val="1540"/>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DE"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Blinding of outcome assessment. Assessments should be made for each main outcome (or class of outcomes).</w:t>
            </w:r>
          </w:p>
        </w:tc>
        <w:tc>
          <w:tcPr>
            <w:tcW w:w="1225" w:type="dxa"/>
            <w:tcBorders>
              <w:top w:val="nil"/>
              <w:left w:val="nil"/>
              <w:bottom w:val="single" w:sz="4" w:space="0" w:color="auto"/>
              <w:right w:val="single" w:sz="4" w:space="0" w:color="auto"/>
            </w:tcBorders>
            <w:shd w:val="clear" w:color="000000" w:fill="92D050"/>
            <w:vAlign w:val="bottom"/>
            <w:hideMark/>
          </w:tcPr>
          <w:p w14:paraId="610C38DF" w14:textId="62D3AEBD"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E0" w14:textId="6DE3741B"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 xml:space="preserve">Quote: The primary researcher judged whether an ADR had occurred… and corroboration of the </w:t>
            </w:r>
            <w:r w:rsidR="003A1965" w:rsidRPr="003A1965">
              <w:rPr>
                <w:rFonts w:ascii="Calibri" w:eastAsia="Times New Roman" w:hAnsi="Calibri" w:cs="Calibri"/>
                <w:color w:val="000000"/>
                <w:sz w:val="16"/>
                <w:szCs w:val="16"/>
                <w:lang w:eastAsia="en-GB"/>
              </w:rPr>
              <w:t>clinical</w:t>
            </w:r>
            <w:r w:rsidRPr="008937F3">
              <w:rPr>
                <w:rFonts w:ascii="Calibri" w:eastAsia="Times New Roman" w:hAnsi="Calibri" w:cs="Calibri"/>
                <w:color w:val="000000"/>
                <w:sz w:val="16"/>
                <w:szCs w:val="16"/>
                <w:lang w:eastAsia="en-GB"/>
              </w:rPr>
              <w:t xml:space="preserve"> event or observation by a second researcher who was blinded to the randomization group of the participant</w:t>
            </w:r>
          </w:p>
        </w:tc>
        <w:tc>
          <w:tcPr>
            <w:tcW w:w="1273" w:type="dxa"/>
            <w:tcBorders>
              <w:top w:val="nil"/>
              <w:left w:val="nil"/>
              <w:bottom w:val="single" w:sz="4" w:space="0" w:color="auto"/>
              <w:right w:val="single" w:sz="4" w:space="0" w:color="auto"/>
            </w:tcBorders>
            <w:shd w:val="clear" w:color="000000" w:fill="FFFF00"/>
            <w:vAlign w:val="bottom"/>
            <w:hideMark/>
          </w:tcPr>
          <w:p w14:paraId="610C38E1"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Unclear risk of bias</w:t>
            </w:r>
          </w:p>
        </w:tc>
        <w:tc>
          <w:tcPr>
            <w:tcW w:w="2475" w:type="dxa"/>
            <w:tcBorders>
              <w:top w:val="nil"/>
              <w:left w:val="nil"/>
              <w:bottom w:val="single" w:sz="4" w:space="0" w:color="auto"/>
              <w:right w:val="single" w:sz="4" w:space="0" w:color="auto"/>
            </w:tcBorders>
            <w:shd w:val="clear" w:color="auto" w:fill="auto"/>
            <w:vAlign w:val="bottom"/>
            <w:hideMark/>
          </w:tcPr>
          <w:p w14:paraId="610C38E2" w14:textId="49EA1BC8"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 xml:space="preserve">Quote: the research pharmacist performed ADR ascertainment… a physician trained in geriatric pharmacology / therapeutics reviewed and verified all </w:t>
            </w:r>
            <w:r w:rsidR="003A1965" w:rsidRPr="003A1965">
              <w:rPr>
                <w:rFonts w:ascii="Calibri" w:eastAsia="Times New Roman" w:hAnsi="Calibri" w:cs="Calibri"/>
                <w:color w:val="000000"/>
                <w:sz w:val="16"/>
                <w:szCs w:val="16"/>
                <w:lang w:eastAsia="en-GB"/>
              </w:rPr>
              <w:t>putative</w:t>
            </w:r>
            <w:r w:rsidRPr="008937F3">
              <w:rPr>
                <w:rFonts w:ascii="Calibri" w:eastAsia="Times New Roman" w:hAnsi="Calibri" w:cs="Calibri"/>
                <w:color w:val="000000"/>
                <w:sz w:val="16"/>
                <w:szCs w:val="16"/>
                <w:lang w:eastAsia="en-GB"/>
              </w:rPr>
              <w:t xml:space="preserve"> ADRs… subsequently two experienced pharmacists verified ADRs. Comment: unclear of blinding</w:t>
            </w:r>
          </w:p>
        </w:tc>
      </w:tr>
      <w:tr w:rsidR="007D57FB" w:rsidRPr="003A1965" w14:paraId="610C38F5" w14:textId="77777777" w:rsidTr="005B3E6B">
        <w:trPr>
          <w:trHeight w:val="1160"/>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F0"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Incomplete outcome data. Assessments should be made for each main outcome (or class of outcomes).</w:t>
            </w:r>
          </w:p>
        </w:tc>
        <w:tc>
          <w:tcPr>
            <w:tcW w:w="1225" w:type="dxa"/>
            <w:tcBorders>
              <w:top w:val="nil"/>
              <w:left w:val="nil"/>
              <w:bottom w:val="single" w:sz="4" w:space="0" w:color="auto"/>
              <w:right w:val="single" w:sz="4" w:space="0" w:color="auto"/>
            </w:tcBorders>
            <w:shd w:val="clear" w:color="000000" w:fill="92D050"/>
            <w:vAlign w:val="bottom"/>
            <w:hideMark/>
          </w:tcPr>
          <w:p w14:paraId="610C38F1"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F2"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All patients included in reporting including those who died during their hospitalisation</w:t>
            </w:r>
          </w:p>
        </w:tc>
        <w:tc>
          <w:tcPr>
            <w:tcW w:w="1273" w:type="dxa"/>
            <w:tcBorders>
              <w:top w:val="nil"/>
              <w:left w:val="nil"/>
              <w:bottom w:val="single" w:sz="4" w:space="0" w:color="auto"/>
              <w:right w:val="single" w:sz="4" w:space="0" w:color="auto"/>
            </w:tcBorders>
            <w:shd w:val="clear" w:color="000000" w:fill="92D050"/>
            <w:vAlign w:val="bottom"/>
            <w:hideMark/>
          </w:tcPr>
          <w:p w14:paraId="610C38F3"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2475" w:type="dxa"/>
            <w:tcBorders>
              <w:top w:val="nil"/>
              <w:left w:val="nil"/>
              <w:bottom w:val="single" w:sz="4" w:space="0" w:color="auto"/>
              <w:right w:val="single" w:sz="4" w:space="0" w:color="auto"/>
            </w:tcBorders>
            <w:shd w:val="clear" w:color="auto" w:fill="auto"/>
            <w:vAlign w:val="bottom"/>
            <w:hideMark/>
          </w:tcPr>
          <w:p w14:paraId="610C38F4"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All patients included in reporting including those who died during their hospitalisation</w:t>
            </w:r>
          </w:p>
        </w:tc>
      </w:tr>
      <w:tr w:rsidR="007D57FB" w:rsidRPr="003A1965" w14:paraId="610C38FB" w14:textId="77777777" w:rsidTr="005B3E6B">
        <w:trPr>
          <w:trHeight w:val="580"/>
        </w:trPr>
        <w:tc>
          <w:tcPr>
            <w:tcW w:w="1360" w:type="dxa"/>
            <w:tcBorders>
              <w:top w:val="nil"/>
              <w:left w:val="single" w:sz="4" w:space="0" w:color="auto"/>
              <w:bottom w:val="single" w:sz="4" w:space="0" w:color="auto"/>
              <w:right w:val="single" w:sz="4" w:space="0" w:color="auto"/>
            </w:tcBorders>
            <w:shd w:val="clear" w:color="auto" w:fill="auto"/>
            <w:vAlign w:val="bottom"/>
            <w:hideMark/>
          </w:tcPr>
          <w:p w14:paraId="610C38F6"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Selective reporting</w:t>
            </w:r>
          </w:p>
        </w:tc>
        <w:tc>
          <w:tcPr>
            <w:tcW w:w="1225" w:type="dxa"/>
            <w:tcBorders>
              <w:top w:val="nil"/>
              <w:left w:val="nil"/>
              <w:bottom w:val="single" w:sz="4" w:space="0" w:color="auto"/>
              <w:right w:val="single" w:sz="4" w:space="0" w:color="auto"/>
            </w:tcBorders>
            <w:shd w:val="clear" w:color="000000" w:fill="92D050"/>
            <w:vAlign w:val="bottom"/>
            <w:hideMark/>
          </w:tcPr>
          <w:p w14:paraId="610C38F7"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3364" w:type="dxa"/>
            <w:tcBorders>
              <w:top w:val="nil"/>
              <w:left w:val="nil"/>
              <w:bottom w:val="single" w:sz="4" w:space="0" w:color="auto"/>
              <w:right w:val="single" w:sz="4" w:space="0" w:color="auto"/>
            </w:tcBorders>
            <w:shd w:val="clear" w:color="auto" w:fill="auto"/>
            <w:vAlign w:val="bottom"/>
            <w:hideMark/>
          </w:tcPr>
          <w:p w14:paraId="610C38F8"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Authors reported data on each outcome from the aims</w:t>
            </w:r>
          </w:p>
        </w:tc>
        <w:tc>
          <w:tcPr>
            <w:tcW w:w="1273" w:type="dxa"/>
            <w:tcBorders>
              <w:top w:val="nil"/>
              <w:left w:val="nil"/>
              <w:bottom w:val="single" w:sz="4" w:space="0" w:color="auto"/>
              <w:right w:val="single" w:sz="4" w:space="0" w:color="auto"/>
            </w:tcBorders>
            <w:shd w:val="clear" w:color="000000" w:fill="92D050"/>
            <w:vAlign w:val="bottom"/>
            <w:hideMark/>
          </w:tcPr>
          <w:p w14:paraId="610C38F9"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Low risk of bias</w:t>
            </w:r>
          </w:p>
        </w:tc>
        <w:tc>
          <w:tcPr>
            <w:tcW w:w="2475" w:type="dxa"/>
            <w:tcBorders>
              <w:top w:val="nil"/>
              <w:left w:val="nil"/>
              <w:bottom w:val="single" w:sz="4" w:space="0" w:color="auto"/>
              <w:right w:val="single" w:sz="4" w:space="0" w:color="auto"/>
            </w:tcBorders>
            <w:shd w:val="clear" w:color="auto" w:fill="auto"/>
            <w:vAlign w:val="bottom"/>
            <w:hideMark/>
          </w:tcPr>
          <w:p w14:paraId="610C38FA"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Authors reported data on each outcome from the aims</w:t>
            </w:r>
          </w:p>
        </w:tc>
      </w:tr>
      <w:tr w:rsidR="007D57FB" w:rsidRPr="003A1965" w14:paraId="610C3901" w14:textId="77777777" w:rsidTr="005B3E6B">
        <w:trPr>
          <w:trHeight w:val="290"/>
        </w:trPr>
        <w:tc>
          <w:tcPr>
            <w:tcW w:w="1360" w:type="dxa"/>
            <w:tcBorders>
              <w:top w:val="nil"/>
              <w:left w:val="single" w:sz="4" w:space="0" w:color="auto"/>
              <w:bottom w:val="nil"/>
              <w:right w:val="single" w:sz="4" w:space="0" w:color="auto"/>
            </w:tcBorders>
            <w:shd w:val="clear" w:color="auto" w:fill="auto"/>
            <w:vAlign w:val="bottom"/>
            <w:hideMark/>
          </w:tcPr>
          <w:p w14:paraId="610C38FC"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r w:rsidRPr="008937F3">
              <w:rPr>
                <w:rFonts w:ascii="Calibri" w:eastAsia="Times New Roman" w:hAnsi="Calibri" w:cs="Calibri"/>
                <w:i/>
                <w:iCs/>
                <w:color w:val="000000"/>
                <w:sz w:val="16"/>
                <w:szCs w:val="16"/>
                <w:lang w:eastAsia="en-GB"/>
              </w:rPr>
              <w:t>Other sources of bias</w:t>
            </w:r>
          </w:p>
        </w:tc>
        <w:tc>
          <w:tcPr>
            <w:tcW w:w="1225" w:type="dxa"/>
            <w:tcBorders>
              <w:top w:val="nil"/>
              <w:left w:val="nil"/>
              <w:bottom w:val="nil"/>
              <w:right w:val="single" w:sz="4" w:space="0" w:color="auto"/>
            </w:tcBorders>
            <w:shd w:val="clear" w:color="auto" w:fill="auto"/>
            <w:vAlign w:val="bottom"/>
            <w:hideMark/>
          </w:tcPr>
          <w:p w14:paraId="610C38FD"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N/A</w:t>
            </w:r>
          </w:p>
        </w:tc>
        <w:tc>
          <w:tcPr>
            <w:tcW w:w="3364" w:type="dxa"/>
            <w:tcBorders>
              <w:top w:val="nil"/>
              <w:left w:val="nil"/>
              <w:bottom w:val="nil"/>
              <w:right w:val="single" w:sz="4" w:space="0" w:color="auto"/>
            </w:tcBorders>
            <w:shd w:val="clear" w:color="auto" w:fill="auto"/>
            <w:vAlign w:val="bottom"/>
            <w:hideMark/>
          </w:tcPr>
          <w:p w14:paraId="610C38FE"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w:t>
            </w:r>
          </w:p>
        </w:tc>
        <w:tc>
          <w:tcPr>
            <w:tcW w:w="1273" w:type="dxa"/>
            <w:tcBorders>
              <w:top w:val="nil"/>
              <w:left w:val="nil"/>
              <w:bottom w:val="nil"/>
              <w:right w:val="single" w:sz="4" w:space="0" w:color="auto"/>
            </w:tcBorders>
            <w:shd w:val="clear" w:color="auto" w:fill="auto"/>
            <w:vAlign w:val="bottom"/>
            <w:hideMark/>
          </w:tcPr>
          <w:p w14:paraId="610C38FF"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N/A</w:t>
            </w:r>
          </w:p>
        </w:tc>
        <w:tc>
          <w:tcPr>
            <w:tcW w:w="2475" w:type="dxa"/>
            <w:tcBorders>
              <w:top w:val="nil"/>
              <w:left w:val="nil"/>
              <w:bottom w:val="nil"/>
              <w:right w:val="single" w:sz="4" w:space="0" w:color="auto"/>
            </w:tcBorders>
            <w:shd w:val="clear" w:color="auto" w:fill="auto"/>
            <w:vAlign w:val="bottom"/>
            <w:hideMark/>
          </w:tcPr>
          <w:p w14:paraId="610C3900"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r w:rsidRPr="008937F3">
              <w:rPr>
                <w:rFonts w:ascii="Calibri" w:eastAsia="Times New Roman" w:hAnsi="Calibri" w:cs="Calibri"/>
                <w:color w:val="000000"/>
                <w:sz w:val="16"/>
                <w:szCs w:val="16"/>
                <w:lang w:eastAsia="en-GB"/>
              </w:rPr>
              <w:t>-</w:t>
            </w:r>
          </w:p>
        </w:tc>
      </w:tr>
      <w:tr w:rsidR="007D57FB" w:rsidRPr="003A1965" w14:paraId="610C3907" w14:textId="77777777" w:rsidTr="005B3E6B">
        <w:trPr>
          <w:trHeight w:val="290"/>
        </w:trPr>
        <w:tc>
          <w:tcPr>
            <w:tcW w:w="1360" w:type="dxa"/>
            <w:tcBorders>
              <w:top w:val="nil"/>
              <w:left w:val="single" w:sz="4" w:space="0" w:color="auto"/>
              <w:bottom w:val="single" w:sz="4" w:space="0" w:color="auto"/>
              <w:right w:val="single" w:sz="4" w:space="0" w:color="auto"/>
            </w:tcBorders>
            <w:shd w:val="clear" w:color="auto" w:fill="auto"/>
            <w:vAlign w:val="bottom"/>
          </w:tcPr>
          <w:p w14:paraId="610C3902" w14:textId="77777777" w:rsidR="007D57FB" w:rsidRPr="008937F3" w:rsidRDefault="007D57FB" w:rsidP="005B3E6B">
            <w:pPr>
              <w:spacing w:after="0" w:line="240" w:lineRule="auto"/>
              <w:rPr>
                <w:rFonts w:ascii="Calibri" w:eastAsia="Times New Roman" w:hAnsi="Calibri" w:cs="Calibri"/>
                <w:i/>
                <w:iCs/>
                <w:color w:val="000000"/>
                <w:sz w:val="16"/>
                <w:szCs w:val="16"/>
                <w:lang w:eastAsia="en-GB"/>
              </w:rPr>
            </w:pPr>
          </w:p>
        </w:tc>
        <w:tc>
          <w:tcPr>
            <w:tcW w:w="1225" w:type="dxa"/>
            <w:tcBorders>
              <w:top w:val="nil"/>
              <w:left w:val="nil"/>
              <w:bottom w:val="single" w:sz="4" w:space="0" w:color="auto"/>
              <w:right w:val="single" w:sz="4" w:space="0" w:color="auto"/>
            </w:tcBorders>
            <w:shd w:val="clear" w:color="auto" w:fill="auto"/>
            <w:vAlign w:val="bottom"/>
          </w:tcPr>
          <w:p w14:paraId="610C3903"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p>
        </w:tc>
        <w:tc>
          <w:tcPr>
            <w:tcW w:w="3364" w:type="dxa"/>
            <w:tcBorders>
              <w:top w:val="nil"/>
              <w:left w:val="nil"/>
              <w:bottom w:val="single" w:sz="4" w:space="0" w:color="auto"/>
              <w:right w:val="single" w:sz="4" w:space="0" w:color="auto"/>
            </w:tcBorders>
            <w:shd w:val="clear" w:color="auto" w:fill="auto"/>
            <w:vAlign w:val="bottom"/>
          </w:tcPr>
          <w:p w14:paraId="610C3904"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p>
        </w:tc>
        <w:tc>
          <w:tcPr>
            <w:tcW w:w="1273" w:type="dxa"/>
            <w:tcBorders>
              <w:top w:val="nil"/>
              <w:left w:val="nil"/>
              <w:bottom w:val="single" w:sz="4" w:space="0" w:color="auto"/>
              <w:right w:val="single" w:sz="4" w:space="0" w:color="auto"/>
            </w:tcBorders>
            <w:shd w:val="clear" w:color="auto" w:fill="auto"/>
            <w:vAlign w:val="bottom"/>
          </w:tcPr>
          <w:p w14:paraId="610C3905"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p>
        </w:tc>
        <w:tc>
          <w:tcPr>
            <w:tcW w:w="2475" w:type="dxa"/>
            <w:tcBorders>
              <w:top w:val="nil"/>
              <w:left w:val="nil"/>
              <w:bottom w:val="single" w:sz="4" w:space="0" w:color="auto"/>
              <w:right w:val="single" w:sz="4" w:space="0" w:color="auto"/>
            </w:tcBorders>
            <w:shd w:val="clear" w:color="auto" w:fill="auto"/>
            <w:vAlign w:val="bottom"/>
          </w:tcPr>
          <w:p w14:paraId="610C3906" w14:textId="77777777" w:rsidR="007D57FB" w:rsidRPr="008937F3" w:rsidRDefault="007D57FB" w:rsidP="005B3E6B">
            <w:pPr>
              <w:spacing w:after="0" w:line="240" w:lineRule="auto"/>
              <w:rPr>
                <w:rFonts w:ascii="Calibri" w:eastAsia="Times New Roman" w:hAnsi="Calibri" w:cs="Calibri"/>
                <w:color w:val="000000"/>
                <w:sz w:val="16"/>
                <w:szCs w:val="16"/>
                <w:lang w:eastAsia="en-GB"/>
              </w:rPr>
            </w:pPr>
          </w:p>
        </w:tc>
      </w:tr>
    </w:tbl>
    <w:p w14:paraId="2DD29EF1" w14:textId="77777777" w:rsidR="008F5843" w:rsidRDefault="007D57FB">
      <w:r w:rsidRPr="00531DB7">
        <w:t>Green – low risk of bias, yellow – unclear of risk of bias, red high risk of bias</w:t>
      </w:r>
    </w:p>
    <w:p w14:paraId="20860D9B" w14:textId="77777777" w:rsidR="008F5843" w:rsidRDefault="008F5843">
      <w:r>
        <w:br w:type="page"/>
      </w:r>
    </w:p>
    <w:p w14:paraId="4FC7A7DF" w14:textId="0184872D" w:rsidR="00155B8C" w:rsidRDefault="00155B8C" w:rsidP="008937F3">
      <w:pPr>
        <w:pStyle w:val="Heading1"/>
      </w:pPr>
      <w:bookmarkStart w:id="33" w:name="_Toc52396355"/>
      <w:r>
        <w:t>Regression diagnostics</w:t>
      </w:r>
      <w:bookmarkEnd w:id="33"/>
    </w:p>
    <w:p w14:paraId="07AE5202" w14:textId="2C2AA36C" w:rsidR="00155B8C" w:rsidRDefault="005A0A29" w:rsidP="005B3E6B">
      <w:pPr>
        <w:rPr>
          <w:b/>
        </w:rPr>
      </w:pPr>
      <w:r w:rsidRPr="005A0A29">
        <w:rPr>
          <w:noProof/>
          <w:lang w:eastAsia="en-GB"/>
        </w:rPr>
        <w:drawing>
          <wp:inline distT="0" distB="0" distL="0" distR="0" wp14:anchorId="37205913" wp14:editId="6AD809DE">
            <wp:extent cx="5731510" cy="3446145"/>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446145"/>
                    </a:xfrm>
                    <a:prstGeom prst="rect">
                      <a:avLst/>
                    </a:prstGeom>
                  </pic:spPr>
                </pic:pic>
              </a:graphicData>
            </a:graphic>
          </wp:inline>
        </w:drawing>
      </w:r>
    </w:p>
    <w:p w14:paraId="7ACC28B1" w14:textId="7E1E36F8" w:rsidR="005A0A29" w:rsidRDefault="005A0A29" w:rsidP="005B3E6B">
      <w:pPr>
        <w:rPr>
          <w:b/>
        </w:rPr>
      </w:pPr>
      <w:r>
        <w:rPr>
          <w:noProof/>
          <w:lang w:eastAsia="en-GB"/>
        </w:rPr>
        <w:drawing>
          <wp:inline distT="0" distB="0" distL="0" distR="0" wp14:anchorId="2565B3EF" wp14:editId="750DE5ED">
            <wp:extent cx="5731510" cy="341376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413760"/>
                    </a:xfrm>
                    <a:prstGeom prst="rect">
                      <a:avLst/>
                    </a:prstGeom>
                  </pic:spPr>
                </pic:pic>
              </a:graphicData>
            </a:graphic>
          </wp:inline>
        </w:drawing>
      </w:r>
    </w:p>
    <w:p w14:paraId="6085D5CF" w14:textId="29D34697" w:rsidR="00697A58" w:rsidRDefault="00697A58" w:rsidP="005B3E6B">
      <w:r>
        <w:t xml:space="preserve">Regression diagnostics illustrating the pooled estimates when excluding one study at a time – these values do not change considerably therefore no one study </w:t>
      </w:r>
      <w:r w:rsidR="001532AD">
        <w:t xml:space="preserve">is highly influential. </w:t>
      </w:r>
    </w:p>
    <w:p w14:paraId="18818FA9" w14:textId="03B7C442" w:rsidR="007C5117" w:rsidRDefault="007C5117" w:rsidP="007C5117">
      <w:r w:rsidRPr="0008615D">
        <w:t xml:space="preserve">4 = Cheong </w:t>
      </w:r>
      <w:r w:rsidR="00082FCF">
        <w:t>(</w:t>
      </w:r>
      <w:r w:rsidRPr="0008615D">
        <w:t>2018</w:t>
      </w:r>
      <w:r w:rsidR="00082FCF">
        <w:t>)</w:t>
      </w:r>
      <w:r w:rsidRPr="00276CAE">
        <w:rPr>
          <w:noProof/>
          <w:vertAlign w:val="superscript"/>
        </w:rPr>
        <w:t>10,11</w:t>
      </w:r>
      <w:r w:rsidRPr="0008615D">
        <w:t xml:space="preserve">, 12 = Giardina </w:t>
      </w:r>
      <w:r w:rsidR="00082FCF">
        <w:t>(</w:t>
      </w:r>
      <w:r w:rsidRPr="0008615D">
        <w:t>2018</w:t>
      </w:r>
      <w:r w:rsidR="00082FCF">
        <w:t>)</w:t>
      </w:r>
      <w:r w:rsidRPr="00276CAE">
        <w:rPr>
          <w:noProof/>
          <w:vertAlign w:val="superscript"/>
        </w:rPr>
        <w:t>28</w:t>
      </w:r>
      <w:r w:rsidRPr="0008615D">
        <w:t>, 23 = Onder</w:t>
      </w:r>
      <w:r>
        <w:t xml:space="preserve"> (2010)</w:t>
      </w:r>
      <w:r w:rsidRPr="00276CAE">
        <w:rPr>
          <w:noProof/>
          <w:vertAlign w:val="superscript"/>
        </w:rPr>
        <w:t>24</w:t>
      </w:r>
    </w:p>
    <w:p w14:paraId="7F984896" w14:textId="77777777" w:rsidR="007C5117" w:rsidRPr="008937F3" w:rsidRDefault="007C5117" w:rsidP="005B3E6B"/>
    <w:p w14:paraId="54BF2FD4" w14:textId="77777777" w:rsidR="00A438D3" w:rsidRDefault="00A438D3">
      <w:pPr>
        <w:rPr>
          <w:rFonts w:asciiTheme="majorHAnsi" w:eastAsiaTheme="majorEastAsia" w:hAnsiTheme="majorHAnsi" w:cstheme="majorBidi"/>
          <w:color w:val="2E74B5" w:themeColor="accent1" w:themeShade="BF"/>
          <w:sz w:val="32"/>
          <w:szCs w:val="32"/>
        </w:rPr>
      </w:pPr>
      <w:r>
        <w:br w:type="page"/>
      </w:r>
    </w:p>
    <w:p w14:paraId="2D3BA3C9" w14:textId="77777777" w:rsidR="00A438D3" w:rsidRDefault="00A438D3" w:rsidP="00A438D3">
      <w:pPr>
        <w:pStyle w:val="Heading1"/>
        <w:sectPr w:rsidR="00A438D3" w:rsidSect="005B3E6B">
          <w:pgSz w:w="11906" w:h="16838"/>
          <w:pgMar w:top="1440" w:right="1440" w:bottom="1440" w:left="1440" w:header="708" w:footer="708" w:gutter="0"/>
          <w:cols w:space="708"/>
          <w:docGrid w:linePitch="360"/>
        </w:sectPr>
      </w:pPr>
    </w:p>
    <w:p w14:paraId="4222EA3B" w14:textId="147B0817" w:rsidR="00A438D3" w:rsidRDefault="00A438D3">
      <w:pPr>
        <w:pStyle w:val="Heading1"/>
      </w:pPr>
      <w:bookmarkStart w:id="34" w:name="_Toc52396356"/>
      <w:r>
        <w:t>Subgroup Analyses</w:t>
      </w:r>
      <w:bookmarkEnd w:id="34"/>
      <w:r>
        <w:t xml:space="preserve"> </w:t>
      </w:r>
    </w:p>
    <w:p w14:paraId="789F5424" w14:textId="77777777" w:rsidR="009D7A6E" w:rsidRDefault="00737863" w:rsidP="009D7A6E">
      <w:pPr>
        <w:pStyle w:val="Heading2"/>
      </w:pPr>
      <w:bookmarkStart w:id="35" w:name="_Toc52396357"/>
      <w:r>
        <w:t>Appendix 10.</w:t>
      </w:r>
      <w:r w:rsidR="00C77762">
        <w:t xml:space="preserve"> Reported ADR events and ADR proportions for all included papers/studies, grouped by specialist service setting (p=0.051)</w:t>
      </w:r>
      <w:bookmarkEnd w:id="35"/>
    </w:p>
    <w:p w14:paraId="610C390C" w14:textId="6E06094A" w:rsidR="007D57FB" w:rsidRDefault="00CA6BED" w:rsidP="009D7A6E">
      <w:pPr>
        <w:pStyle w:val="Heading2"/>
      </w:pPr>
      <w:bookmarkStart w:id="36" w:name="_GoBack"/>
      <w:r w:rsidRPr="00CA6BED">
        <w:rPr>
          <w:noProof/>
          <w:lang w:eastAsia="en-GB"/>
        </w:rPr>
        <w:drawing>
          <wp:inline distT="0" distB="0" distL="0" distR="0" wp14:anchorId="7AAF82E6" wp14:editId="39ED334D">
            <wp:extent cx="7721600" cy="4628169"/>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725357" cy="4630421"/>
                    </a:xfrm>
                    <a:prstGeom prst="rect">
                      <a:avLst/>
                    </a:prstGeom>
                  </pic:spPr>
                </pic:pic>
              </a:graphicData>
            </a:graphic>
          </wp:inline>
        </w:drawing>
      </w:r>
      <w:bookmarkEnd w:id="36"/>
      <w:r w:rsidDel="00CA6BED">
        <w:rPr>
          <w:lang w:eastAsia="en-GB"/>
        </w:rPr>
        <w:t xml:space="preserve"> </w:t>
      </w:r>
    </w:p>
    <w:p w14:paraId="7E461052" w14:textId="77777777" w:rsidR="00A438D3" w:rsidRDefault="00A438D3" w:rsidP="00CA6BED">
      <w:pPr>
        <w:pStyle w:val="Heading1"/>
        <w:rPr>
          <w:rFonts w:ascii="Calibri" w:eastAsia="Times New Roman" w:hAnsi="Calibri" w:cs="Calibri"/>
          <w:b/>
          <w:bCs/>
          <w:sz w:val="20"/>
          <w:szCs w:val="20"/>
          <w:lang w:eastAsia="en-GB"/>
        </w:rPr>
        <w:sectPr w:rsidR="00A438D3" w:rsidSect="008937F3">
          <w:pgSz w:w="16838" w:h="11906" w:orient="landscape"/>
          <w:pgMar w:top="1440" w:right="1440" w:bottom="1440" w:left="1440" w:header="709" w:footer="709" w:gutter="0"/>
          <w:cols w:space="708"/>
          <w:docGrid w:linePitch="360"/>
        </w:sectPr>
      </w:pPr>
    </w:p>
    <w:tbl>
      <w:tblPr>
        <w:tblStyle w:val="TableGrid"/>
        <w:tblW w:w="14706" w:type="dxa"/>
        <w:tblLook w:val="04A0" w:firstRow="1" w:lastRow="0" w:firstColumn="1" w:lastColumn="0" w:noHBand="0" w:noVBand="1"/>
      </w:tblPr>
      <w:tblGrid>
        <w:gridCol w:w="1672"/>
        <w:gridCol w:w="909"/>
        <w:gridCol w:w="1416"/>
        <w:gridCol w:w="3450"/>
        <w:gridCol w:w="1310"/>
        <w:gridCol w:w="2579"/>
        <w:gridCol w:w="1544"/>
        <w:gridCol w:w="1826"/>
      </w:tblGrid>
      <w:tr w:rsidR="007D57FB" w:rsidRPr="00B00B11" w14:paraId="610C3A3A" w14:textId="77777777" w:rsidTr="005B3E6B">
        <w:trPr>
          <w:trHeight w:val="194"/>
        </w:trPr>
        <w:tc>
          <w:tcPr>
            <w:tcW w:w="14706" w:type="dxa"/>
            <w:gridSpan w:val="8"/>
            <w:tcBorders>
              <w:top w:val="nil"/>
              <w:left w:val="nil"/>
              <w:bottom w:val="single" w:sz="4" w:space="0" w:color="auto"/>
              <w:right w:val="nil"/>
            </w:tcBorders>
            <w:vAlign w:val="center"/>
          </w:tcPr>
          <w:p w14:paraId="4CC60B93" w14:textId="77777777" w:rsidR="0014501B" w:rsidRDefault="00576619" w:rsidP="008937F3">
            <w:pPr>
              <w:pStyle w:val="Heading2"/>
              <w:outlineLvl w:val="1"/>
            </w:pPr>
            <w:bookmarkStart w:id="37" w:name="_Toc52396358"/>
            <w:r>
              <w:t>Description of ADR Identification and Assessment Methodologies Employed by all Included Papers/studies</w:t>
            </w:r>
            <w:bookmarkEnd w:id="37"/>
          </w:p>
          <w:p w14:paraId="610C3A39" w14:textId="2DB19066" w:rsidR="007D57FB" w:rsidRPr="00B00B11" w:rsidRDefault="00737863" w:rsidP="008937F3">
            <w:pPr>
              <w:pStyle w:val="Heading3"/>
              <w:outlineLvl w:val="2"/>
              <w:rPr>
                <w:rFonts w:cstheme="minorHAnsi"/>
                <w:b/>
                <w:sz w:val="20"/>
                <w:szCs w:val="20"/>
                <w:u w:val="single"/>
              </w:rPr>
            </w:pPr>
            <w:bookmarkStart w:id="38" w:name="_Toc52396359"/>
            <w:r>
              <w:t>Appendix 11.</w:t>
            </w:r>
            <w:r w:rsidR="00E812B8">
              <w:t xml:space="preserve"> </w:t>
            </w:r>
            <w:r w:rsidR="00576619">
              <w:t>Description of ADR Identification and Assessment Methodologies Employed by all Included Papers/studies</w:t>
            </w:r>
            <w:bookmarkEnd w:id="38"/>
          </w:p>
        </w:tc>
      </w:tr>
      <w:tr w:rsidR="007D57FB" w:rsidRPr="00B00B11" w14:paraId="610C3A43" w14:textId="77777777" w:rsidTr="008937F3">
        <w:tc>
          <w:tcPr>
            <w:tcW w:w="1672" w:type="dxa"/>
            <w:tcBorders>
              <w:top w:val="single" w:sz="4" w:space="0" w:color="auto"/>
              <w:left w:val="single" w:sz="4" w:space="0" w:color="auto"/>
              <w:bottom w:val="single" w:sz="4" w:space="0" w:color="auto"/>
              <w:right w:val="nil"/>
            </w:tcBorders>
          </w:tcPr>
          <w:p w14:paraId="610C3A3B"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Author</w:t>
            </w:r>
          </w:p>
        </w:tc>
        <w:tc>
          <w:tcPr>
            <w:tcW w:w="909" w:type="dxa"/>
            <w:tcBorders>
              <w:top w:val="single" w:sz="4" w:space="0" w:color="auto"/>
              <w:left w:val="nil"/>
              <w:bottom w:val="single" w:sz="4" w:space="0" w:color="auto"/>
              <w:right w:val="nil"/>
            </w:tcBorders>
          </w:tcPr>
          <w:p w14:paraId="610C3A3C"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Year</w:t>
            </w:r>
          </w:p>
        </w:tc>
        <w:tc>
          <w:tcPr>
            <w:tcW w:w="1416" w:type="dxa"/>
            <w:tcBorders>
              <w:top w:val="single" w:sz="4" w:space="0" w:color="auto"/>
              <w:left w:val="nil"/>
              <w:bottom w:val="single" w:sz="4" w:space="0" w:color="auto"/>
              <w:right w:val="nil"/>
            </w:tcBorders>
          </w:tcPr>
          <w:p w14:paraId="610C3A3D"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ADR Definition</w:t>
            </w:r>
          </w:p>
        </w:tc>
        <w:tc>
          <w:tcPr>
            <w:tcW w:w="3450" w:type="dxa"/>
            <w:tcBorders>
              <w:top w:val="single" w:sz="4" w:space="0" w:color="auto"/>
              <w:left w:val="nil"/>
              <w:bottom w:val="single" w:sz="4" w:space="0" w:color="auto"/>
              <w:right w:val="nil"/>
            </w:tcBorders>
          </w:tcPr>
          <w:p w14:paraId="610C3A3E"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Identification Method</w:t>
            </w:r>
          </w:p>
        </w:tc>
        <w:tc>
          <w:tcPr>
            <w:tcW w:w="1310" w:type="dxa"/>
            <w:tcBorders>
              <w:top w:val="single" w:sz="4" w:space="0" w:color="auto"/>
              <w:left w:val="nil"/>
              <w:bottom w:val="single" w:sz="4" w:space="0" w:color="auto"/>
              <w:right w:val="nil"/>
            </w:tcBorders>
          </w:tcPr>
          <w:p w14:paraId="610C3A3F"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Causality</w:t>
            </w:r>
          </w:p>
        </w:tc>
        <w:tc>
          <w:tcPr>
            <w:tcW w:w="2579" w:type="dxa"/>
            <w:tcBorders>
              <w:top w:val="single" w:sz="4" w:space="0" w:color="auto"/>
              <w:left w:val="nil"/>
              <w:bottom w:val="single" w:sz="4" w:space="0" w:color="auto"/>
              <w:right w:val="nil"/>
            </w:tcBorders>
          </w:tcPr>
          <w:p w14:paraId="610C3A40"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Severity</w:t>
            </w:r>
          </w:p>
        </w:tc>
        <w:tc>
          <w:tcPr>
            <w:tcW w:w="1544" w:type="dxa"/>
            <w:tcBorders>
              <w:top w:val="single" w:sz="4" w:space="0" w:color="auto"/>
              <w:left w:val="nil"/>
              <w:bottom w:val="single" w:sz="4" w:space="0" w:color="auto"/>
              <w:right w:val="nil"/>
            </w:tcBorders>
          </w:tcPr>
          <w:p w14:paraId="610C3A41"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Classification</w:t>
            </w:r>
          </w:p>
        </w:tc>
        <w:tc>
          <w:tcPr>
            <w:tcW w:w="1826" w:type="dxa"/>
            <w:tcBorders>
              <w:top w:val="single" w:sz="4" w:space="0" w:color="auto"/>
              <w:left w:val="nil"/>
              <w:bottom w:val="single" w:sz="4" w:space="0" w:color="auto"/>
              <w:right w:val="single" w:sz="4" w:space="0" w:color="auto"/>
            </w:tcBorders>
          </w:tcPr>
          <w:p w14:paraId="610C3A42"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 xml:space="preserve">Preventability </w:t>
            </w:r>
          </w:p>
        </w:tc>
      </w:tr>
      <w:tr w:rsidR="007D57FB" w:rsidRPr="00B00B11" w14:paraId="610C3A4C" w14:textId="77777777" w:rsidTr="008937F3">
        <w:tc>
          <w:tcPr>
            <w:tcW w:w="1672" w:type="dxa"/>
            <w:tcBorders>
              <w:top w:val="single" w:sz="4" w:space="0" w:color="auto"/>
              <w:left w:val="single" w:sz="4" w:space="0" w:color="auto"/>
              <w:bottom w:val="nil"/>
              <w:right w:val="nil"/>
            </w:tcBorders>
          </w:tcPr>
          <w:p w14:paraId="610C3A44" w14:textId="0B9282A1" w:rsidR="007D57FB" w:rsidRPr="00B00B11" w:rsidRDefault="007D57FB" w:rsidP="00137F37">
            <w:pPr>
              <w:spacing w:line="360" w:lineRule="auto"/>
              <w:rPr>
                <w:rFonts w:cstheme="minorHAnsi"/>
                <w:b/>
                <w:sz w:val="20"/>
                <w:szCs w:val="20"/>
              </w:rPr>
            </w:pPr>
            <w:r w:rsidRPr="00B00B11">
              <w:rPr>
                <w:rFonts w:cstheme="minorHAnsi"/>
                <w:b/>
                <w:sz w:val="20"/>
                <w:szCs w:val="20"/>
              </w:rPr>
              <w:t>Ayub</w:t>
            </w:r>
            <w:r w:rsidR="00137F37" w:rsidRPr="00137F37">
              <w:rPr>
                <w:rFonts w:cstheme="minorHAnsi"/>
                <w:b/>
                <w:noProof/>
                <w:sz w:val="20"/>
                <w:szCs w:val="20"/>
                <w:vertAlign w:val="superscript"/>
              </w:rPr>
              <w:t>7</w:t>
            </w:r>
          </w:p>
        </w:tc>
        <w:tc>
          <w:tcPr>
            <w:tcW w:w="909" w:type="dxa"/>
            <w:tcBorders>
              <w:top w:val="single" w:sz="4" w:space="0" w:color="auto"/>
              <w:left w:val="nil"/>
              <w:bottom w:val="nil"/>
              <w:right w:val="nil"/>
            </w:tcBorders>
          </w:tcPr>
          <w:p w14:paraId="610C3A45" w14:textId="77777777" w:rsidR="007D57FB" w:rsidRPr="00B00B11" w:rsidRDefault="007D57FB" w:rsidP="005B3E6B">
            <w:pPr>
              <w:spacing w:line="360" w:lineRule="auto"/>
              <w:rPr>
                <w:rFonts w:cstheme="minorHAnsi"/>
                <w:sz w:val="20"/>
                <w:szCs w:val="20"/>
              </w:rPr>
            </w:pPr>
            <w:r w:rsidRPr="00B00B11">
              <w:rPr>
                <w:rFonts w:cstheme="minorHAnsi"/>
                <w:sz w:val="20"/>
                <w:szCs w:val="20"/>
              </w:rPr>
              <w:t>2009</w:t>
            </w:r>
          </w:p>
        </w:tc>
        <w:tc>
          <w:tcPr>
            <w:tcW w:w="1416" w:type="dxa"/>
            <w:tcBorders>
              <w:top w:val="single" w:sz="4" w:space="0" w:color="auto"/>
              <w:left w:val="nil"/>
              <w:bottom w:val="nil"/>
              <w:right w:val="nil"/>
            </w:tcBorders>
          </w:tcPr>
          <w:p w14:paraId="610C3A46"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single" w:sz="4" w:space="0" w:color="auto"/>
              <w:left w:val="nil"/>
              <w:bottom w:val="nil"/>
              <w:right w:val="nil"/>
            </w:tcBorders>
          </w:tcPr>
          <w:p w14:paraId="610C3A47" w14:textId="77777777" w:rsidR="007D57FB" w:rsidRPr="00B00B11" w:rsidRDefault="007D57FB" w:rsidP="005B3E6B">
            <w:pPr>
              <w:spacing w:line="360" w:lineRule="auto"/>
              <w:rPr>
                <w:rFonts w:cstheme="minorHAnsi"/>
                <w:sz w:val="20"/>
                <w:szCs w:val="20"/>
              </w:rPr>
            </w:pPr>
            <w:r w:rsidRPr="00B00B11">
              <w:rPr>
                <w:rFonts w:cstheme="minorHAnsi"/>
                <w:sz w:val="20"/>
                <w:szCs w:val="20"/>
              </w:rPr>
              <w:t>Pharmacist, chart review at 3 TPs, adapted from National Health Surveillance Agency</w:t>
            </w:r>
          </w:p>
        </w:tc>
        <w:tc>
          <w:tcPr>
            <w:tcW w:w="1310" w:type="dxa"/>
            <w:tcBorders>
              <w:top w:val="single" w:sz="4" w:space="0" w:color="auto"/>
              <w:left w:val="nil"/>
              <w:bottom w:val="nil"/>
              <w:right w:val="nil"/>
            </w:tcBorders>
          </w:tcPr>
          <w:p w14:paraId="610C3A48"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single" w:sz="4" w:space="0" w:color="auto"/>
              <w:left w:val="nil"/>
              <w:bottom w:val="nil"/>
              <w:right w:val="nil"/>
            </w:tcBorders>
          </w:tcPr>
          <w:p w14:paraId="610C3A49"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544" w:type="dxa"/>
            <w:tcBorders>
              <w:top w:val="single" w:sz="4" w:space="0" w:color="auto"/>
              <w:left w:val="nil"/>
              <w:bottom w:val="nil"/>
              <w:right w:val="nil"/>
            </w:tcBorders>
          </w:tcPr>
          <w:p w14:paraId="610C3A4A" w14:textId="77777777" w:rsidR="007D57FB" w:rsidRPr="00B00B11" w:rsidRDefault="007D57FB" w:rsidP="005B3E6B">
            <w:pPr>
              <w:spacing w:line="360" w:lineRule="auto"/>
              <w:rPr>
                <w:rFonts w:cstheme="minorHAnsi"/>
                <w:sz w:val="20"/>
                <w:szCs w:val="20"/>
              </w:rPr>
            </w:pPr>
            <w:r w:rsidRPr="00B00B11">
              <w:rPr>
                <w:rFonts w:cstheme="minorHAnsi"/>
                <w:sz w:val="20"/>
                <w:szCs w:val="20"/>
              </w:rPr>
              <w:t>Rawlins &amp; Thompson</w:t>
            </w:r>
          </w:p>
        </w:tc>
        <w:tc>
          <w:tcPr>
            <w:tcW w:w="1826" w:type="dxa"/>
            <w:tcBorders>
              <w:top w:val="single" w:sz="4" w:space="0" w:color="auto"/>
              <w:left w:val="nil"/>
              <w:bottom w:val="nil"/>
              <w:right w:val="single" w:sz="4" w:space="0" w:color="auto"/>
            </w:tcBorders>
          </w:tcPr>
          <w:p w14:paraId="610C3A4B"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55" w14:textId="77777777" w:rsidTr="008937F3">
        <w:tc>
          <w:tcPr>
            <w:tcW w:w="1672" w:type="dxa"/>
            <w:tcBorders>
              <w:top w:val="nil"/>
              <w:left w:val="single" w:sz="4" w:space="0" w:color="auto"/>
              <w:bottom w:val="nil"/>
              <w:right w:val="nil"/>
            </w:tcBorders>
          </w:tcPr>
          <w:p w14:paraId="610C3A4D" w14:textId="13648FFC" w:rsidR="007D57FB" w:rsidRPr="00B00B11" w:rsidRDefault="007D57FB" w:rsidP="00137F37">
            <w:pPr>
              <w:spacing w:line="360" w:lineRule="auto"/>
              <w:rPr>
                <w:rFonts w:cstheme="minorHAnsi"/>
                <w:b/>
                <w:sz w:val="20"/>
                <w:szCs w:val="20"/>
              </w:rPr>
            </w:pPr>
            <w:r w:rsidRPr="00B00B11">
              <w:rPr>
                <w:rFonts w:cstheme="minorHAnsi"/>
                <w:b/>
                <w:sz w:val="20"/>
                <w:szCs w:val="20"/>
              </w:rPr>
              <w:t>Bowman</w:t>
            </w:r>
            <w:r w:rsidR="00137F37" w:rsidRPr="00137F37">
              <w:rPr>
                <w:rFonts w:cstheme="minorHAnsi"/>
                <w:b/>
                <w:noProof/>
                <w:sz w:val="20"/>
                <w:szCs w:val="20"/>
                <w:vertAlign w:val="superscript"/>
              </w:rPr>
              <w:t>8</w:t>
            </w:r>
          </w:p>
        </w:tc>
        <w:tc>
          <w:tcPr>
            <w:tcW w:w="909" w:type="dxa"/>
            <w:tcBorders>
              <w:top w:val="nil"/>
              <w:left w:val="nil"/>
              <w:bottom w:val="nil"/>
              <w:right w:val="nil"/>
            </w:tcBorders>
          </w:tcPr>
          <w:p w14:paraId="610C3A4E" w14:textId="77777777" w:rsidR="007D57FB" w:rsidRPr="00B00B11" w:rsidRDefault="007D57FB" w:rsidP="005B3E6B">
            <w:pPr>
              <w:spacing w:line="360" w:lineRule="auto"/>
              <w:rPr>
                <w:rFonts w:cstheme="minorHAnsi"/>
                <w:sz w:val="20"/>
                <w:szCs w:val="20"/>
              </w:rPr>
            </w:pPr>
            <w:r w:rsidRPr="00B00B11">
              <w:rPr>
                <w:rFonts w:cstheme="minorHAnsi"/>
                <w:sz w:val="20"/>
                <w:szCs w:val="20"/>
              </w:rPr>
              <w:t>1996</w:t>
            </w:r>
          </w:p>
        </w:tc>
        <w:tc>
          <w:tcPr>
            <w:tcW w:w="1416" w:type="dxa"/>
            <w:tcBorders>
              <w:top w:val="nil"/>
              <w:left w:val="nil"/>
              <w:bottom w:val="nil"/>
              <w:right w:val="nil"/>
            </w:tcBorders>
          </w:tcPr>
          <w:p w14:paraId="610C3A4F" w14:textId="77777777" w:rsidR="007D57FB" w:rsidRPr="00B00B11" w:rsidRDefault="007D57FB" w:rsidP="005B3E6B">
            <w:pPr>
              <w:spacing w:line="360" w:lineRule="auto"/>
              <w:rPr>
                <w:rFonts w:cstheme="minorHAnsi"/>
                <w:sz w:val="20"/>
                <w:szCs w:val="20"/>
              </w:rPr>
            </w:pPr>
            <w:r w:rsidRPr="00B00B11">
              <w:rPr>
                <w:rFonts w:cstheme="minorHAnsi"/>
                <w:sz w:val="20"/>
                <w:szCs w:val="20"/>
              </w:rPr>
              <w:t>Local therapeutic committee</w:t>
            </w:r>
          </w:p>
        </w:tc>
        <w:tc>
          <w:tcPr>
            <w:tcW w:w="3450" w:type="dxa"/>
            <w:tcBorders>
              <w:top w:val="nil"/>
              <w:left w:val="nil"/>
              <w:bottom w:val="nil"/>
              <w:right w:val="nil"/>
            </w:tcBorders>
          </w:tcPr>
          <w:p w14:paraId="610C3A50" w14:textId="77777777" w:rsidR="007D57FB" w:rsidRPr="00B00B11" w:rsidRDefault="007D57FB" w:rsidP="005B3E6B">
            <w:pPr>
              <w:spacing w:line="360" w:lineRule="auto"/>
              <w:rPr>
                <w:rFonts w:cstheme="minorHAnsi"/>
                <w:sz w:val="20"/>
                <w:szCs w:val="20"/>
              </w:rPr>
            </w:pPr>
            <w:r w:rsidRPr="00B00B11">
              <w:rPr>
                <w:rFonts w:cstheme="minorHAnsi"/>
                <w:sz w:val="20"/>
                <w:szCs w:val="20"/>
              </w:rPr>
              <w:t>2 x Pharmacist, chart review, ≥ 3 TPs, indicator flag list and spontaneous reporting</w:t>
            </w:r>
          </w:p>
        </w:tc>
        <w:tc>
          <w:tcPr>
            <w:tcW w:w="1310" w:type="dxa"/>
            <w:tcBorders>
              <w:top w:val="nil"/>
              <w:left w:val="nil"/>
              <w:bottom w:val="nil"/>
              <w:right w:val="nil"/>
            </w:tcBorders>
          </w:tcPr>
          <w:p w14:paraId="610C3A51"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52" w14:textId="77777777" w:rsidR="007D57FB" w:rsidRPr="00B00B11" w:rsidRDefault="007D57FB" w:rsidP="005B3E6B">
            <w:pPr>
              <w:spacing w:line="360" w:lineRule="auto"/>
              <w:rPr>
                <w:rFonts w:cstheme="minorHAnsi"/>
                <w:sz w:val="20"/>
                <w:szCs w:val="20"/>
              </w:rPr>
            </w:pPr>
            <w:r w:rsidRPr="00B00B11">
              <w:rPr>
                <w:rFonts w:cstheme="minorHAnsi"/>
                <w:sz w:val="20"/>
                <w:szCs w:val="20"/>
              </w:rPr>
              <w:t>Venulet</w:t>
            </w:r>
          </w:p>
        </w:tc>
        <w:tc>
          <w:tcPr>
            <w:tcW w:w="1544" w:type="dxa"/>
            <w:tcBorders>
              <w:top w:val="nil"/>
              <w:left w:val="nil"/>
              <w:bottom w:val="nil"/>
              <w:right w:val="nil"/>
            </w:tcBorders>
          </w:tcPr>
          <w:p w14:paraId="610C3A53" w14:textId="77777777" w:rsidR="007D57FB" w:rsidRPr="00B00B11" w:rsidRDefault="007D57FB" w:rsidP="005B3E6B">
            <w:pPr>
              <w:spacing w:line="360" w:lineRule="auto"/>
              <w:rPr>
                <w:rFonts w:cstheme="minorHAnsi"/>
                <w:sz w:val="20"/>
                <w:szCs w:val="20"/>
              </w:rPr>
            </w:pPr>
            <w:r w:rsidRPr="00B00B11">
              <w:rPr>
                <w:rFonts w:cstheme="minorHAnsi"/>
                <w:sz w:val="20"/>
                <w:szCs w:val="20"/>
              </w:rPr>
              <w:t>Rawlins &amp; Thompson</w:t>
            </w:r>
          </w:p>
        </w:tc>
        <w:tc>
          <w:tcPr>
            <w:tcW w:w="1826" w:type="dxa"/>
            <w:tcBorders>
              <w:top w:val="nil"/>
              <w:left w:val="nil"/>
              <w:bottom w:val="nil"/>
              <w:right w:val="single" w:sz="4" w:space="0" w:color="auto"/>
            </w:tcBorders>
          </w:tcPr>
          <w:p w14:paraId="610C3A54"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5E" w14:textId="77777777" w:rsidTr="008937F3">
        <w:tc>
          <w:tcPr>
            <w:tcW w:w="1672" w:type="dxa"/>
            <w:tcBorders>
              <w:top w:val="nil"/>
              <w:left w:val="single" w:sz="4" w:space="0" w:color="auto"/>
              <w:bottom w:val="nil"/>
              <w:right w:val="nil"/>
            </w:tcBorders>
          </w:tcPr>
          <w:p w14:paraId="610C3A56" w14:textId="73DEEFF3" w:rsidR="007D57FB" w:rsidRPr="00B00B11" w:rsidRDefault="00A66CD2" w:rsidP="00137F37">
            <w:pPr>
              <w:spacing w:line="360" w:lineRule="auto"/>
              <w:rPr>
                <w:rFonts w:cstheme="minorHAnsi"/>
                <w:b/>
                <w:sz w:val="20"/>
                <w:szCs w:val="20"/>
              </w:rPr>
            </w:pPr>
            <w:r>
              <w:rPr>
                <w:rFonts w:cstheme="minorHAnsi"/>
                <w:b/>
                <w:sz w:val="20"/>
                <w:szCs w:val="20"/>
              </w:rPr>
              <w:t>Calderon</w:t>
            </w:r>
            <w:r w:rsidR="007D57FB" w:rsidRPr="00B00B11">
              <w:rPr>
                <w:rFonts w:cstheme="minorHAnsi"/>
                <w:b/>
                <w:sz w:val="20"/>
                <w:szCs w:val="20"/>
              </w:rPr>
              <w:t>-Ospina</w:t>
            </w:r>
            <w:r w:rsidR="00137F37" w:rsidRPr="00137F37">
              <w:rPr>
                <w:rFonts w:cstheme="minorHAnsi"/>
                <w:b/>
                <w:noProof/>
                <w:sz w:val="20"/>
                <w:szCs w:val="20"/>
                <w:vertAlign w:val="superscript"/>
              </w:rPr>
              <w:t>9</w:t>
            </w:r>
          </w:p>
        </w:tc>
        <w:tc>
          <w:tcPr>
            <w:tcW w:w="909" w:type="dxa"/>
            <w:tcBorders>
              <w:top w:val="nil"/>
              <w:left w:val="nil"/>
              <w:bottom w:val="nil"/>
              <w:right w:val="nil"/>
            </w:tcBorders>
          </w:tcPr>
          <w:p w14:paraId="610C3A57" w14:textId="77777777" w:rsidR="007D57FB" w:rsidRPr="00B00B11" w:rsidRDefault="007D57FB" w:rsidP="005B3E6B">
            <w:pPr>
              <w:spacing w:line="360" w:lineRule="auto"/>
              <w:rPr>
                <w:rFonts w:cstheme="minorHAnsi"/>
                <w:sz w:val="20"/>
                <w:szCs w:val="20"/>
              </w:rPr>
            </w:pPr>
            <w:r w:rsidRPr="00B00B11">
              <w:rPr>
                <w:rFonts w:cstheme="minorHAnsi"/>
                <w:sz w:val="20"/>
                <w:szCs w:val="20"/>
              </w:rPr>
              <w:t>2010</w:t>
            </w:r>
          </w:p>
        </w:tc>
        <w:tc>
          <w:tcPr>
            <w:tcW w:w="1416" w:type="dxa"/>
            <w:tcBorders>
              <w:top w:val="nil"/>
              <w:left w:val="nil"/>
              <w:bottom w:val="nil"/>
              <w:right w:val="nil"/>
            </w:tcBorders>
          </w:tcPr>
          <w:p w14:paraId="610C3A58"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59" w14:textId="77777777" w:rsidR="007D57FB" w:rsidRPr="00B00B11" w:rsidRDefault="007D57FB" w:rsidP="005B3E6B">
            <w:pPr>
              <w:spacing w:line="360" w:lineRule="auto"/>
              <w:rPr>
                <w:rFonts w:cstheme="minorHAnsi"/>
                <w:sz w:val="20"/>
                <w:szCs w:val="20"/>
              </w:rPr>
            </w:pPr>
            <w:r w:rsidRPr="00B00B11">
              <w:rPr>
                <w:rFonts w:cstheme="minorHAnsi"/>
                <w:sz w:val="20"/>
                <w:szCs w:val="20"/>
              </w:rPr>
              <w:t xml:space="preserve">2 x two internal physicians, daily assessment, patient questioning and panel adjudication </w:t>
            </w:r>
          </w:p>
        </w:tc>
        <w:tc>
          <w:tcPr>
            <w:tcW w:w="1310" w:type="dxa"/>
            <w:tcBorders>
              <w:top w:val="nil"/>
              <w:left w:val="nil"/>
              <w:bottom w:val="nil"/>
              <w:right w:val="nil"/>
            </w:tcBorders>
          </w:tcPr>
          <w:p w14:paraId="610C3A5A" w14:textId="77777777" w:rsidR="007D57FB" w:rsidRPr="00B00B11" w:rsidRDefault="007D57FB" w:rsidP="005B3E6B">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A5B" w14:textId="77777777" w:rsidR="007D57FB" w:rsidRPr="00B00B11" w:rsidRDefault="007D57FB" w:rsidP="005B3E6B">
            <w:pPr>
              <w:spacing w:line="360" w:lineRule="auto"/>
              <w:ind w:right="-672"/>
              <w:rPr>
                <w:rFonts w:cstheme="minorHAnsi"/>
                <w:sz w:val="20"/>
                <w:szCs w:val="20"/>
              </w:rPr>
            </w:pPr>
            <w:r w:rsidRPr="00B00B11">
              <w:rPr>
                <w:rFonts w:cstheme="minorHAnsi"/>
                <w:sz w:val="20"/>
                <w:szCs w:val="20"/>
              </w:rPr>
              <w:t>Author defined</w:t>
            </w:r>
          </w:p>
        </w:tc>
        <w:tc>
          <w:tcPr>
            <w:tcW w:w="1544" w:type="dxa"/>
            <w:tcBorders>
              <w:top w:val="nil"/>
              <w:left w:val="nil"/>
              <w:bottom w:val="nil"/>
              <w:right w:val="nil"/>
            </w:tcBorders>
          </w:tcPr>
          <w:p w14:paraId="610C3A5C" w14:textId="77777777" w:rsidR="007D57FB" w:rsidRPr="00B00B11" w:rsidRDefault="007D57FB" w:rsidP="005B3E6B">
            <w:pPr>
              <w:spacing w:line="360" w:lineRule="auto"/>
              <w:rPr>
                <w:rFonts w:cstheme="minorHAnsi"/>
                <w:sz w:val="20"/>
                <w:szCs w:val="20"/>
              </w:rPr>
            </w:pPr>
            <w:r w:rsidRPr="00B00B11">
              <w:rPr>
                <w:rFonts w:cstheme="minorHAnsi"/>
                <w:sz w:val="20"/>
                <w:szCs w:val="20"/>
              </w:rPr>
              <w:t>DoTS</w:t>
            </w:r>
          </w:p>
        </w:tc>
        <w:tc>
          <w:tcPr>
            <w:tcW w:w="1826" w:type="dxa"/>
            <w:tcBorders>
              <w:top w:val="nil"/>
              <w:left w:val="nil"/>
              <w:bottom w:val="nil"/>
              <w:right w:val="single" w:sz="4" w:space="0" w:color="auto"/>
            </w:tcBorders>
          </w:tcPr>
          <w:p w14:paraId="610C3A5D" w14:textId="77777777" w:rsidR="007D57FB" w:rsidRPr="00B00B11" w:rsidRDefault="007D57FB" w:rsidP="005B3E6B">
            <w:pPr>
              <w:spacing w:line="360" w:lineRule="auto"/>
              <w:rPr>
                <w:rFonts w:cstheme="minorHAnsi"/>
                <w:sz w:val="20"/>
                <w:szCs w:val="20"/>
              </w:rPr>
            </w:pPr>
            <w:r w:rsidRPr="00B00B11">
              <w:rPr>
                <w:rFonts w:cstheme="minorHAnsi"/>
                <w:sz w:val="20"/>
                <w:szCs w:val="20"/>
              </w:rPr>
              <w:t>Schumock &amp; Thornton</w:t>
            </w:r>
          </w:p>
        </w:tc>
      </w:tr>
      <w:tr w:rsidR="007D57FB" w:rsidRPr="00B00B11" w14:paraId="610C3A67" w14:textId="77777777" w:rsidTr="008937F3">
        <w:tc>
          <w:tcPr>
            <w:tcW w:w="1672" w:type="dxa"/>
            <w:tcBorders>
              <w:top w:val="nil"/>
              <w:left w:val="single" w:sz="4" w:space="0" w:color="auto"/>
              <w:bottom w:val="nil"/>
              <w:right w:val="nil"/>
            </w:tcBorders>
          </w:tcPr>
          <w:p w14:paraId="610C3A5F" w14:textId="66705C4C" w:rsidR="007D57FB" w:rsidRPr="00B00B11" w:rsidRDefault="007D57FB" w:rsidP="00137F37">
            <w:pPr>
              <w:spacing w:line="360" w:lineRule="auto"/>
              <w:rPr>
                <w:rFonts w:cstheme="minorHAnsi"/>
                <w:b/>
                <w:sz w:val="20"/>
                <w:szCs w:val="20"/>
              </w:rPr>
            </w:pPr>
            <w:r w:rsidRPr="00B00B11">
              <w:rPr>
                <w:rFonts w:cstheme="minorHAnsi"/>
                <w:b/>
                <w:sz w:val="20"/>
                <w:szCs w:val="20"/>
              </w:rPr>
              <w:t>Cheong</w:t>
            </w:r>
            <w:r w:rsidR="00137F37" w:rsidRPr="00137F37">
              <w:rPr>
                <w:rFonts w:cstheme="minorHAnsi"/>
                <w:b/>
                <w:noProof/>
                <w:sz w:val="20"/>
                <w:szCs w:val="20"/>
                <w:vertAlign w:val="superscript"/>
              </w:rPr>
              <w:t>10,11</w:t>
            </w:r>
          </w:p>
        </w:tc>
        <w:tc>
          <w:tcPr>
            <w:tcW w:w="909" w:type="dxa"/>
            <w:tcBorders>
              <w:top w:val="nil"/>
              <w:left w:val="nil"/>
              <w:bottom w:val="nil"/>
              <w:right w:val="nil"/>
            </w:tcBorders>
          </w:tcPr>
          <w:p w14:paraId="610C3A60" w14:textId="77777777" w:rsidR="007D57FB" w:rsidRPr="00B00B11" w:rsidRDefault="007D57FB" w:rsidP="005B3E6B">
            <w:pPr>
              <w:spacing w:line="360" w:lineRule="auto"/>
              <w:rPr>
                <w:rFonts w:cstheme="minorHAnsi"/>
                <w:sz w:val="20"/>
                <w:szCs w:val="20"/>
              </w:rPr>
            </w:pPr>
            <w:r w:rsidRPr="00B00B11">
              <w:rPr>
                <w:rFonts w:cstheme="minorHAnsi"/>
                <w:sz w:val="20"/>
                <w:szCs w:val="20"/>
              </w:rPr>
              <w:t>2018</w:t>
            </w:r>
          </w:p>
        </w:tc>
        <w:tc>
          <w:tcPr>
            <w:tcW w:w="1416" w:type="dxa"/>
            <w:tcBorders>
              <w:top w:val="nil"/>
              <w:left w:val="nil"/>
              <w:bottom w:val="nil"/>
              <w:right w:val="nil"/>
            </w:tcBorders>
          </w:tcPr>
          <w:p w14:paraId="610C3A61"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3450" w:type="dxa"/>
            <w:tcBorders>
              <w:top w:val="nil"/>
              <w:left w:val="nil"/>
              <w:bottom w:val="nil"/>
              <w:right w:val="nil"/>
            </w:tcBorders>
          </w:tcPr>
          <w:p w14:paraId="610C3A62" w14:textId="77777777" w:rsidR="007D57FB" w:rsidRPr="00B00B11" w:rsidRDefault="007D57FB" w:rsidP="005B3E6B">
            <w:pPr>
              <w:spacing w:line="360" w:lineRule="auto"/>
              <w:rPr>
                <w:rFonts w:cstheme="minorHAnsi"/>
                <w:sz w:val="20"/>
                <w:szCs w:val="20"/>
              </w:rPr>
            </w:pPr>
            <w:r w:rsidRPr="00B00B11">
              <w:rPr>
                <w:rFonts w:cstheme="minorHAnsi"/>
                <w:sz w:val="20"/>
                <w:szCs w:val="20"/>
              </w:rPr>
              <w:t>Retrospective chart review</w:t>
            </w:r>
          </w:p>
        </w:tc>
        <w:tc>
          <w:tcPr>
            <w:tcW w:w="1310" w:type="dxa"/>
            <w:tcBorders>
              <w:top w:val="nil"/>
              <w:left w:val="nil"/>
              <w:bottom w:val="nil"/>
              <w:right w:val="nil"/>
            </w:tcBorders>
          </w:tcPr>
          <w:p w14:paraId="610C3A63"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64" w14:textId="77777777" w:rsidR="007D57FB" w:rsidRPr="00B00B11" w:rsidRDefault="007D57FB" w:rsidP="005B3E6B">
            <w:pPr>
              <w:spacing w:line="360" w:lineRule="auto"/>
              <w:ind w:right="-672"/>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A65"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66"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70" w14:textId="77777777" w:rsidTr="008937F3">
        <w:tc>
          <w:tcPr>
            <w:tcW w:w="1672" w:type="dxa"/>
            <w:tcBorders>
              <w:top w:val="nil"/>
              <w:left w:val="single" w:sz="4" w:space="0" w:color="auto"/>
              <w:bottom w:val="nil"/>
              <w:right w:val="nil"/>
            </w:tcBorders>
          </w:tcPr>
          <w:p w14:paraId="610C3A68" w14:textId="1DB92F47" w:rsidR="007D57FB" w:rsidRPr="00B00B11" w:rsidRDefault="007D57FB" w:rsidP="00137F37">
            <w:pPr>
              <w:spacing w:line="360" w:lineRule="auto"/>
              <w:rPr>
                <w:rFonts w:cstheme="minorHAnsi"/>
                <w:b/>
                <w:sz w:val="20"/>
                <w:szCs w:val="20"/>
              </w:rPr>
            </w:pPr>
            <w:r w:rsidRPr="00B00B11">
              <w:rPr>
                <w:rFonts w:cstheme="minorHAnsi"/>
                <w:b/>
                <w:sz w:val="20"/>
                <w:szCs w:val="20"/>
              </w:rPr>
              <w:t>Conforti</w:t>
            </w:r>
            <w:r w:rsidR="00137F37" w:rsidRPr="00137F37">
              <w:rPr>
                <w:rFonts w:cstheme="minorHAnsi"/>
                <w:b/>
                <w:noProof/>
                <w:sz w:val="20"/>
                <w:szCs w:val="20"/>
                <w:vertAlign w:val="superscript"/>
              </w:rPr>
              <w:t>12</w:t>
            </w:r>
            <w:r w:rsidRPr="00B00B11">
              <w:rPr>
                <w:rFonts w:cstheme="minorHAnsi"/>
                <w:b/>
                <w:sz w:val="20"/>
                <w:szCs w:val="20"/>
              </w:rPr>
              <w:t xml:space="preserve"> </w:t>
            </w:r>
          </w:p>
        </w:tc>
        <w:tc>
          <w:tcPr>
            <w:tcW w:w="909" w:type="dxa"/>
            <w:tcBorders>
              <w:top w:val="nil"/>
              <w:left w:val="nil"/>
              <w:bottom w:val="nil"/>
              <w:right w:val="nil"/>
            </w:tcBorders>
          </w:tcPr>
          <w:p w14:paraId="610C3A69" w14:textId="77777777" w:rsidR="007D57FB" w:rsidRPr="00B00B11" w:rsidRDefault="007D57FB" w:rsidP="005B3E6B">
            <w:pPr>
              <w:spacing w:line="360" w:lineRule="auto"/>
              <w:rPr>
                <w:rFonts w:cstheme="minorHAnsi"/>
                <w:sz w:val="20"/>
                <w:szCs w:val="20"/>
              </w:rPr>
            </w:pPr>
            <w:r w:rsidRPr="00B00B11">
              <w:rPr>
                <w:rFonts w:cstheme="minorHAnsi"/>
                <w:sz w:val="20"/>
                <w:szCs w:val="20"/>
              </w:rPr>
              <w:t>2012</w:t>
            </w:r>
          </w:p>
        </w:tc>
        <w:tc>
          <w:tcPr>
            <w:tcW w:w="1416" w:type="dxa"/>
            <w:tcBorders>
              <w:top w:val="nil"/>
              <w:left w:val="nil"/>
              <w:bottom w:val="nil"/>
              <w:right w:val="nil"/>
            </w:tcBorders>
          </w:tcPr>
          <w:p w14:paraId="610C3A6A" w14:textId="77777777" w:rsidR="007D57FB" w:rsidRPr="00B00B11" w:rsidRDefault="007D57FB" w:rsidP="005B3E6B">
            <w:pPr>
              <w:spacing w:line="360" w:lineRule="auto"/>
              <w:rPr>
                <w:rFonts w:cstheme="minorHAnsi"/>
                <w:sz w:val="20"/>
                <w:szCs w:val="20"/>
              </w:rPr>
            </w:pPr>
            <w:r w:rsidRPr="00B00B11">
              <w:rPr>
                <w:rFonts w:cstheme="minorHAnsi"/>
                <w:sz w:val="20"/>
                <w:szCs w:val="20"/>
              </w:rPr>
              <w:t>Edwards &amp; Aronson</w:t>
            </w:r>
          </w:p>
        </w:tc>
        <w:tc>
          <w:tcPr>
            <w:tcW w:w="3450" w:type="dxa"/>
            <w:tcBorders>
              <w:top w:val="nil"/>
              <w:left w:val="nil"/>
              <w:bottom w:val="nil"/>
              <w:right w:val="nil"/>
            </w:tcBorders>
          </w:tcPr>
          <w:p w14:paraId="610C3A6B" w14:textId="77777777" w:rsidR="007D57FB" w:rsidRPr="00B00B11" w:rsidRDefault="007D57FB" w:rsidP="005B3E6B">
            <w:pPr>
              <w:spacing w:line="360" w:lineRule="auto"/>
              <w:rPr>
                <w:rFonts w:cstheme="minorHAnsi"/>
                <w:sz w:val="20"/>
                <w:szCs w:val="20"/>
              </w:rPr>
            </w:pPr>
            <w:r w:rsidRPr="00B00B11">
              <w:rPr>
                <w:rFonts w:cstheme="minorHAnsi"/>
                <w:sz w:val="20"/>
                <w:szCs w:val="20"/>
              </w:rPr>
              <w:t>Nurse and Physician, "patients were monitored"</w:t>
            </w:r>
          </w:p>
        </w:tc>
        <w:tc>
          <w:tcPr>
            <w:tcW w:w="1310" w:type="dxa"/>
            <w:tcBorders>
              <w:top w:val="nil"/>
              <w:left w:val="nil"/>
              <w:bottom w:val="nil"/>
              <w:right w:val="nil"/>
            </w:tcBorders>
          </w:tcPr>
          <w:p w14:paraId="610C3A6C"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2579" w:type="dxa"/>
            <w:tcBorders>
              <w:top w:val="nil"/>
              <w:left w:val="nil"/>
              <w:bottom w:val="nil"/>
              <w:right w:val="nil"/>
            </w:tcBorders>
          </w:tcPr>
          <w:p w14:paraId="610C3A6D"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w:t>
            </w:r>
          </w:p>
        </w:tc>
        <w:tc>
          <w:tcPr>
            <w:tcW w:w="1544" w:type="dxa"/>
            <w:tcBorders>
              <w:top w:val="nil"/>
              <w:left w:val="nil"/>
              <w:bottom w:val="nil"/>
              <w:right w:val="nil"/>
            </w:tcBorders>
          </w:tcPr>
          <w:p w14:paraId="610C3A6E"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w:t>
            </w:r>
          </w:p>
        </w:tc>
        <w:tc>
          <w:tcPr>
            <w:tcW w:w="1826" w:type="dxa"/>
            <w:tcBorders>
              <w:top w:val="nil"/>
              <w:left w:val="nil"/>
              <w:bottom w:val="nil"/>
              <w:right w:val="single" w:sz="4" w:space="0" w:color="auto"/>
            </w:tcBorders>
          </w:tcPr>
          <w:p w14:paraId="610C3A6F"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79" w14:textId="77777777" w:rsidTr="008937F3">
        <w:tc>
          <w:tcPr>
            <w:tcW w:w="1672" w:type="dxa"/>
            <w:tcBorders>
              <w:top w:val="nil"/>
              <w:left w:val="single" w:sz="4" w:space="0" w:color="auto"/>
              <w:bottom w:val="nil"/>
              <w:right w:val="nil"/>
            </w:tcBorders>
          </w:tcPr>
          <w:p w14:paraId="610C3A71" w14:textId="109B4ED6" w:rsidR="007D57FB" w:rsidRPr="00B00B11" w:rsidRDefault="007D57FB" w:rsidP="00137F37">
            <w:pPr>
              <w:spacing w:line="360" w:lineRule="auto"/>
              <w:rPr>
                <w:rFonts w:cstheme="minorHAnsi"/>
                <w:b/>
                <w:sz w:val="20"/>
                <w:szCs w:val="20"/>
              </w:rPr>
            </w:pPr>
            <w:r w:rsidRPr="00B00B11">
              <w:rPr>
                <w:rFonts w:cstheme="minorHAnsi"/>
                <w:b/>
                <w:sz w:val="20"/>
                <w:szCs w:val="20"/>
              </w:rPr>
              <w:t>Corsonello</w:t>
            </w:r>
            <w:r w:rsidR="00137F37" w:rsidRPr="00137F37">
              <w:rPr>
                <w:rFonts w:cstheme="minorHAnsi"/>
                <w:b/>
                <w:noProof/>
                <w:sz w:val="20"/>
                <w:szCs w:val="20"/>
                <w:vertAlign w:val="superscript"/>
              </w:rPr>
              <w:t>13</w:t>
            </w:r>
          </w:p>
        </w:tc>
        <w:tc>
          <w:tcPr>
            <w:tcW w:w="909" w:type="dxa"/>
            <w:tcBorders>
              <w:top w:val="nil"/>
              <w:left w:val="nil"/>
              <w:bottom w:val="nil"/>
              <w:right w:val="nil"/>
            </w:tcBorders>
          </w:tcPr>
          <w:p w14:paraId="610C3A72" w14:textId="77777777" w:rsidR="007D57FB" w:rsidRPr="00B00B11" w:rsidRDefault="007D57FB" w:rsidP="005B3E6B">
            <w:pPr>
              <w:spacing w:line="360" w:lineRule="auto"/>
              <w:rPr>
                <w:rFonts w:cstheme="minorHAnsi"/>
                <w:sz w:val="20"/>
                <w:szCs w:val="20"/>
              </w:rPr>
            </w:pPr>
            <w:r w:rsidRPr="00B00B11">
              <w:rPr>
                <w:rFonts w:cstheme="minorHAnsi"/>
                <w:sz w:val="20"/>
                <w:szCs w:val="20"/>
              </w:rPr>
              <w:t>2009</w:t>
            </w:r>
          </w:p>
        </w:tc>
        <w:tc>
          <w:tcPr>
            <w:tcW w:w="1416" w:type="dxa"/>
            <w:tcBorders>
              <w:top w:val="nil"/>
              <w:left w:val="nil"/>
              <w:bottom w:val="nil"/>
              <w:right w:val="nil"/>
            </w:tcBorders>
          </w:tcPr>
          <w:p w14:paraId="610C3A73"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74" w14:textId="77777777" w:rsidR="007D57FB" w:rsidRPr="00B00B11" w:rsidRDefault="007D57FB" w:rsidP="005B3E6B">
            <w:pPr>
              <w:spacing w:line="360" w:lineRule="auto"/>
              <w:rPr>
                <w:rFonts w:cstheme="minorHAnsi"/>
                <w:sz w:val="20"/>
                <w:szCs w:val="20"/>
              </w:rPr>
            </w:pPr>
            <w:r w:rsidRPr="00B00B11">
              <w:rPr>
                <w:rFonts w:cstheme="minorHAnsi"/>
                <w:sz w:val="20"/>
                <w:szCs w:val="20"/>
              </w:rPr>
              <w:t>Physician, daily review of chart, laboratory results, discussion with nurse and attending physician.</w:t>
            </w:r>
          </w:p>
        </w:tc>
        <w:tc>
          <w:tcPr>
            <w:tcW w:w="1310" w:type="dxa"/>
            <w:tcBorders>
              <w:top w:val="nil"/>
              <w:left w:val="nil"/>
              <w:bottom w:val="nil"/>
              <w:right w:val="nil"/>
            </w:tcBorders>
          </w:tcPr>
          <w:p w14:paraId="610C3A75"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2579" w:type="dxa"/>
            <w:tcBorders>
              <w:top w:val="nil"/>
              <w:left w:val="nil"/>
              <w:bottom w:val="nil"/>
              <w:right w:val="nil"/>
            </w:tcBorders>
          </w:tcPr>
          <w:p w14:paraId="610C3A76" w14:textId="77777777" w:rsidR="007D57FB" w:rsidRPr="00B00B11" w:rsidRDefault="007D57FB" w:rsidP="005B3E6B">
            <w:pPr>
              <w:spacing w:line="360" w:lineRule="auto"/>
              <w:rPr>
                <w:rFonts w:cstheme="minorHAnsi"/>
                <w:sz w:val="20"/>
                <w:szCs w:val="20"/>
              </w:rPr>
            </w:pPr>
            <w:r w:rsidRPr="00B00B11">
              <w:rPr>
                <w:rFonts w:cstheme="minorHAnsi"/>
                <w:sz w:val="20"/>
                <w:szCs w:val="20"/>
              </w:rPr>
              <w:t>Author defined</w:t>
            </w:r>
          </w:p>
        </w:tc>
        <w:tc>
          <w:tcPr>
            <w:tcW w:w="1544" w:type="dxa"/>
            <w:tcBorders>
              <w:top w:val="nil"/>
              <w:left w:val="nil"/>
              <w:bottom w:val="nil"/>
              <w:right w:val="nil"/>
            </w:tcBorders>
          </w:tcPr>
          <w:p w14:paraId="610C3A77"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78"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82" w14:textId="77777777" w:rsidTr="008937F3">
        <w:tc>
          <w:tcPr>
            <w:tcW w:w="1672" w:type="dxa"/>
            <w:tcBorders>
              <w:top w:val="nil"/>
              <w:left w:val="single" w:sz="4" w:space="0" w:color="auto"/>
              <w:bottom w:val="nil"/>
              <w:right w:val="nil"/>
            </w:tcBorders>
          </w:tcPr>
          <w:p w14:paraId="610C3A7A" w14:textId="53EBDAE0" w:rsidR="007D57FB" w:rsidRPr="00B00B11" w:rsidRDefault="007D57FB" w:rsidP="00137F37">
            <w:pPr>
              <w:spacing w:line="360" w:lineRule="auto"/>
              <w:rPr>
                <w:rFonts w:cstheme="minorHAnsi"/>
                <w:b/>
                <w:sz w:val="20"/>
                <w:szCs w:val="20"/>
              </w:rPr>
            </w:pPr>
            <w:r>
              <w:rPr>
                <w:rFonts w:cstheme="minorHAnsi"/>
                <w:b/>
                <w:sz w:val="20"/>
                <w:szCs w:val="20"/>
              </w:rPr>
              <w:t>Davies</w:t>
            </w:r>
            <w:r w:rsidR="00137F37" w:rsidRPr="00137F37">
              <w:rPr>
                <w:rFonts w:cstheme="minorHAnsi"/>
                <w:b/>
                <w:noProof/>
                <w:sz w:val="20"/>
                <w:szCs w:val="20"/>
                <w:vertAlign w:val="superscript"/>
              </w:rPr>
              <w:t>14</w:t>
            </w:r>
          </w:p>
        </w:tc>
        <w:tc>
          <w:tcPr>
            <w:tcW w:w="909" w:type="dxa"/>
            <w:tcBorders>
              <w:top w:val="nil"/>
              <w:left w:val="nil"/>
              <w:bottom w:val="nil"/>
              <w:right w:val="nil"/>
            </w:tcBorders>
          </w:tcPr>
          <w:p w14:paraId="610C3A7B" w14:textId="77777777" w:rsidR="007D57FB" w:rsidRPr="00B00B11" w:rsidRDefault="007D57FB" w:rsidP="005B3E6B">
            <w:pPr>
              <w:spacing w:line="360" w:lineRule="auto"/>
              <w:rPr>
                <w:rFonts w:cstheme="minorHAnsi"/>
                <w:sz w:val="20"/>
                <w:szCs w:val="20"/>
              </w:rPr>
            </w:pPr>
            <w:r w:rsidRPr="00B00B11">
              <w:rPr>
                <w:rFonts w:cstheme="minorHAnsi"/>
                <w:sz w:val="20"/>
                <w:szCs w:val="20"/>
              </w:rPr>
              <w:t>2009</w:t>
            </w:r>
          </w:p>
        </w:tc>
        <w:tc>
          <w:tcPr>
            <w:tcW w:w="1416" w:type="dxa"/>
            <w:tcBorders>
              <w:top w:val="nil"/>
              <w:left w:val="nil"/>
              <w:bottom w:val="nil"/>
              <w:right w:val="nil"/>
            </w:tcBorders>
          </w:tcPr>
          <w:p w14:paraId="610C3A7C" w14:textId="77777777" w:rsidR="007D57FB" w:rsidRPr="00B00B11" w:rsidRDefault="007D57FB" w:rsidP="005B3E6B">
            <w:pPr>
              <w:spacing w:line="360" w:lineRule="auto"/>
              <w:rPr>
                <w:rFonts w:cstheme="minorHAnsi"/>
                <w:sz w:val="20"/>
                <w:szCs w:val="20"/>
              </w:rPr>
            </w:pPr>
            <w:r w:rsidRPr="00B00B11">
              <w:rPr>
                <w:rFonts w:cstheme="minorHAnsi"/>
                <w:sz w:val="20"/>
                <w:szCs w:val="20"/>
              </w:rPr>
              <w:t>Edwards &amp; Aronson</w:t>
            </w:r>
          </w:p>
        </w:tc>
        <w:tc>
          <w:tcPr>
            <w:tcW w:w="3450" w:type="dxa"/>
            <w:tcBorders>
              <w:top w:val="nil"/>
              <w:left w:val="nil"/>
              <w:bottom w:val="nil"/>
              <w:right w:val="nil"/>
            </w:tcBorders>
          </w:tcPr>
          <w:p w14:paraId="610C3A7D" w14:textId="77777777" w:rsidR="007D57FB" w:rsidRPr="00B00B11" w:rsidRDefault="007D57FB" w:rsidP="005B3E6B">
            <w:pPr>
              <w:spacing w:line="360" w:lineRule="auto"/>
              <w:rPr>
                <w:rFonts w:cstheme="minorHAnsi"/>
                <w:sz w:val="20"/>
                <w:szCs w:val="20"/>
              </w:rPr>
            </w:pPr>
            <w:r w:rsidRPr="00B00B11">
              <w:rPr>
                <w:rFonts w:cstheme="minorHAnsi"/>
                <w:sz w:val="20"/>
                <w:szCs w:val="20"/>
              </w:rPr>
              <w:t>Research pharmacist, daily review patients’ drug charts, medical and nursing notes.</w:t>
            </w:r>
          </w:p>
        </w:tc>
        <w:tc>
          <w:tcPr>
            <w:tcW w:w="1310" w:type="dxa"/>
            <w:tcBorders>
              <w:top w:val="nil"/>
              <w:left w:val="nil"/>
              <w:bottom w:val="nil"/>
              <w:right w:val="nil"/>
            </w:tcBorders>
          </w:tcPr>
          <w:p w14:paraId="610C3A7E"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7F" w14:textId="77777777" w:rsidR="007D57FB" w:rsidRPr="00B00B11" w:rsidRDefault="007D57FB" w:rsidP="005B3E6B">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A80" w14:textId="77777777" w:rsidR="007D57FB" w:rsidRPr="00B00B11" w:rsidRDefault="007D57FB" w:rsidP="005B3E6B">
            <w:pPr>
              <w:spacing w:line="360" w:lineRule="auto"/>
              <w:rPr>
                <w:rFonts w:cstheme="minorHAnsi"/>
                <w:sz w:val="20"/>
                <w:szCs w:val="20"/>
              </w:rPr>
            </w:pPr>
            <w:r w:rsidRPr="00B00B11">
              <w:rPr>
                <w:rFonts w:cstheme="minorHAnsi"/>
                <w:sz w:val="20"/>
                <w:szCs w:val="20"/>
              </w:rPr>
              <w:t>Rawlins &amp; Thompson</w:t>
            </w:r>
          </w:p>
        </w:tc>
        <w:tc>
          <w:tcPr>
            <w:tcW w:w="1826" w:type="dxa"/>
            <w:tcBorders>
              <w:top w:val="nil"/>
              <w:left w:val="nil"/>
              <w:bottom w:val="nil"/>
              <w:right w:val="single" w:sz="4" w:space="0" w:color="auto"/>
            </w:tcBorders>
          </w:tcPr>
          <w:p w14:paraId="610C3A81" w14:textId="77777777" w:rsidR="007D57FB" w:rsidRPr="00B00B11" w:rsidRDefault="007D57FB" w:rsidP="005B3E6B">
            <w:pPr>
              <w:spacing w:line="360" w:lineRule="auto"/>
              <w:rPr>
                <w:rFonts w:cstheme="minorHAnsi"/>
                <w:sz w:val="20"/>
                <w:szCs w:val="20"/>
              </w:rPr>
            </w:pPr>
            <w:r w:rsidRPr="00B00B11">
              <w:rPr>
                <w:rFonts w:cstheme="minorHAnsi"/>
                <w:sz w:val="20"/>
                <w:szCs w:val="20"/>
              </w:rPr>
              <w:t>Hallas</w:t>
            </w:r>
          </w:p>
        </w:tc>
      </w:tr>
      <w:tr w:rsidR="007D57FB" w:rsidRPr="00B00B11" w14:paraId="610C3A8C" w14:textId="77777777" w:rsidTr="008937F3">
        <w:tc>
          <w:tcPr>
            <w:tcW w:w="1672" w:type="dxa"/>
            <w:tcBorders>
              <w:top w:val="single" w:sz="4" w:space="0" w:color="auto"/>
              <w:left w:val="single" w:sz="4" w:space="0" w:color="auto"/>
              <w:bottom w:val="single" w:sz="4" w:space="0" w:color="auto"/>
              <w:right w:val="nil"/>
            </w:tcBorders>
          </w:tcPr>
          <w:p w14:paraId="610C3A83" w14:textId="77777777" w:rsidR="007D57FB" w:rsidRPr="006A730C" w:rsidRDefault="007D57FB" w:rsidP="005B3E6B">
            <w:pPr>
              <w:spacing w:line="360" w:lineRule="auto"/>
              <w:rPr>
                <w:rFonts w:cstheme="minorHAnsi"/>
                <w:b/>
                <w:i/>
                <w:sz w:val="20"/>
                <w:szCs w:val="20"/>
              </w:rPr>
            </w:pPr>
            <w:r w:rsidRPr="006A730C">
              <w:rPr>
                <w:rFonts w:cstheme="minorHAnsi"/>
                <w:b/>
                <w:i/>
                <w:sz w:val="20"/>
                <w:szCs w:val="20"/>
              </w:rPr>
              <w:t xml:space="preserve">Contd. </w:t>
            </w:r>
          </w:p>
          <w:p w14:paraId="610C3A84"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Author</w:t>
            </w:r>
          </w:p>
        </w:tc>
        <w:tc>
          <w:tcPr>
            <w:tcW w:w="909" w:type="dxa"/>
            <w:tcBorders>
              <w:top w:val="single" w:sz="4" w:space="0" w:color="auto"/>
              <w:left w:val="nil"/>
              <w:bottom w:val="single" w:sz="4" w:space="0" w:color="auto"/>
              <w:right w:val="nil"/>
            </w:tcBorders>
          </w:tcPr>
          <w:p w14:paraId="610C3A85"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Year</w:t>
            </w:r>
          </w:p>
        </w:tc>
        <w:tc>
          <w:tcPr>
            <w:tcW w:w="1416" w:type="dxa"/>
            <w:tcBorders>
              <w:top w:val="single" w:sz="4" w:space="0" w:color="auto"/>
              <w:left w:val="nil"/>
              <w:bottom w:val="single" w:sz="4" w:space="0" w:color="auto"/>
              <w:right w:val="nil"/>
            </w:tcBorders>
          </w:tcPr>
          <w:p w14:paraId="610C3A86"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ADR Definition</w:t>
            </w:r>
          </w:p>
        </w:tc>
        <w:tc>
          <w:tcPr>
            <w:tcW w:w="3450" w:type="dxa"/>
            <w:tcBorders>
              <w:top w:val="single" w:sz="4" w:space="0" w:color="auto"/>
              <w:left w:val="nil"/>
              <w:bottom w:val="single" w:sz="4" w:space="0" w:color="auto"/>
              <w:right w:val="nil"/>
            </w:tcBorders>
          </w:tcPr>
          <w:p w14:paraId="610C3A87"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Identification Method</w:t>
            </w:r>
          </w:p>
        </w:tc>
        <w:tc>
          <w:tcPr>
            <w:tcW w:w="1310" w:type="dxa"/>
            <w:tcBorders>
              <w:top w:val="single" w:sz="4" w:space="0" w:color="auto"/>
              <w:left w:val="nil"/>
              <w:bottom w:val="single" w:sz="4" w:space="0" w:color="auto"/>
              <w:right w:val="nil"/>
            </w:tcBorders>
          </w:tcPr>
          <w:p w14:paraId="610C3A88"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Causality</w:t>
            </w:r>
          </w:p>
        </w:tc>
        <w:tc>
          <w:tcPr>
            <w:tcW w:w="2579" w:type="dxa"/>
            <w:tcBorders>
              <w:top w:val="single" w:sz="4" w:space="0" w:color="auto"/>
              <w:left w:val="nil"/>
              <w:bottom w:val="single" w:sz="4" w:space="0" w:color="auto"/>
              <w:right w:val="nil"/>
            </w:tcBorders>
          </w:tcPr>
          <w:p w14:paraId="610C3A89"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Severity</w:t>
            </w:r>
          </w:p>
        </w:tc>
        <w:tc>
          <w:tcPr>
            <w:tcW w:w="1544" w:type="dxa"/>
            <w:tcBorders>
              <w:top w:val="single" w:sz="4" w:space="0" w:color="auto"/>
              <w:left w:val="nil"/>
              <w:bottom w:val="single" w:sz="4" w:space="0" w:color="auto"/>
              <w:right w:val="nil"/>
            </w:tcBorders>
          </w:tcPr>
          <w:p w14:paraId="610C3A8A"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Classification</w:t>
            </w:r>
          </w:p>
        </w:tc>
        <w:tc>
          <w:tcPr>
            <w:tcW w:w="1826" w:type="dxa"/>
            <w:tcBorders>
              <w:top w:val="single" w:sz="4" w:space="0" w:color="auto"/>
              <w:left w:val="nil"/>
              <w:bottom w:val="single" w:sz="4" w:space="0" w:color="auto"/>
              <w:right w:val="single" w:sz="4" w:space="0" w:color="auto"/>
            </w:tcBorders>
          </w:tcPr>
          <w:p w14:paraId="610C3A8B" w14:textId="77777777" w:rsidR="007D57FB" w:rsidRPr="00B00B11" w:rsidRDefault="007D57FB" w:rsidP="005B3E6B">
            <w:pPr>
              <w:spacing w:line="360" w:lineRule="auto"/>
              <w:rPr>
                <w:rFonts w:cstheme="minorHAnsi"/>
                <w:b/>
                <w:sz w:val="20"/>
                <w:szCs w:val="20"/>
              </w:rPr>
            </w:pPr>
            <w:r w:rsidRPr="00B00B11">
              <w:rPr>
                <w:rFonts w:cstheme="minorHAnsi"/>
                <w:b/>
                <w:sz w:val="20"/>
                <w:szCs w:val="20"/>
              </w:rPr>
              <w:t xml:space="preserve">Preventability </w:t>
            </w:r>
          </w:p>
        </w:tc>
      </w:tr>
      <w:tr w:rsidR="007D57FB" w:rsidRPr="00B00B11" w14:paraId="610C3A95" w14:textId="77777777" w:rsidTr="008937F3">
        <w:tc>
          <w:tcPr>
            <w:tcW w:w="1672" w:type="dxa"/>
            <w:tcBorders>
              <w:top w:val="nil"/>
              <w:left w:val="single" w:sz="4" w:space="0" w:color="auto"/>
              <w:bottom w:val="nil"/>
              <w:right w:val="nil"/>
            </w:tcBorders>
          </w:tcPr>
          <w:p w14:paraId="610C3A8D" w14:textId="6F96FB81" w:rsidR="007D57FB" w:rsidRPr="00B00B11" w:rsidRDefault="007D57FB" w:rsidP="00CF1F2A">
            <w:pPr>
              <w:spacing w:line="360" w:lineRule="auto"/>
              <w:rPr>
                <w:rFonts w:cstheme="minorHAnsi"/>
                <w:b/>
                <w:sz w:val="20"/>
                <w:szCs w:val="20"/>
              </w:rPr>
            </w:pPr>
            <w:r>
              <w:rPr>
                <w:rFonts w:cstheme="minorHAnsi"/>
                <w:b/>
                <w:sz w:val="20"/>
                <w:szCs w:val="20"/>
              </w:rPr>
              <w:t>Fernandez-Regueiro</w:t>
            </w:r>
            <w:r w:rsidR="00CF1F2A" w:rsidRPr="00CF1F2A">
              <w:rPr>
                <w:rFonts w:cstheme="minorHAnsi"/>
                <w:b/>
                <w:noProof/>
                <w:sz w:val="20"/>
                <w:szCs w:val="20"/>
                <w:vertAlign w:val="superscript"/>
              </w:rPr>
              <w:t>27</w:t>
            </w:r>
          </w:p>
        </w:tc>
        <w:tc>
          <w:tcPr>
            <w:tcW w:w="909" w:type="dxa"/>
            <w:tcBorders>
              <w:top w:val="nil"/>
              <w:left w:val="nil"/>
              <w:bottom w:val="nil"/>
              <w:right w:val="nil"/>
            </w:tcBorders>
          </w:tcPr>
          <w:p w14:paraId="610C3A8E" w14:textId="77777777" w:rsidR="007D57FB" w:rsidRPr="00B00B11" w:rsidRDefault="007D57FB" w:rsidP="005B3E6B">
            <w:pPr>
              <w:spacing w:line="360" w:lineRule="auto"/>
              <w:rPr>
                <w:rFonts w:cstheme="minorHAnsi"/>
                <w:sz w:val="20"/>
                <w:szCs w:val="20"/>
              </w:rPr>
            </w:pPr>
            <w:r w:rsidRPr="00B00B11">
              <w:rPr>
                <w:rFonts w:cstheme="minorHAnsi"/>
                <w:sz w:val="20"/>
                <w:szCs w:val="20"/>
              </w:rPr>
              <w:t>2011</w:t>
            </w:r>
          </w:p>
        </w:tc>
        <w:tc>
          <w:tcPr>
            <w:tcW w:w="1416" w:type="dxa"/>
            <w:tcBorders>
              <w:top w:val="nil"/>
              <w:left w:val="nil"/>
              <w:bottom w:val="nil"/>
              <w:right w:val="nil"/>
            </w:tcBorders>
          </w:tcPr>
          <w:p w14:paraId="610C3A8F" w14:textId="77777777" w:rsidR="007D57FB" w:rsidRPr="00B00B11" w:rsidRDefault="007D57FB" w:rsidP="005B3E6B">
            <w:pPr>
              <w:spacing w:line="360" w:lineRule="auto"/>
              <w:rPr>
                <w:rFonts w:cstheme="minorHAnsi"/>
                <w:sz w:val="20"/>
                <w:szCs w:val="20"/>
              </w:rPr>
            </w:pPr>
            <w:r w:rsidRPr="00B00B11">
              <w:rPr>
                <w:rFonts w:cstheme="minorHAnsi"/>
                <w:sz w:val="20"/>
                <w:szCs w:val="20"/>
              </w:rPr>
              <w:t>Bates reference</w:t>
            </w:r>
          </w:p>
        </w:tc>
        <w:tc>
          <w:tcPr>
            <w:tcW w:w="3450" w:type="dxa"/>
            <w:tcBorders>
              <w:top w:val="nil"/>
              <w:left w:val="nil"/>
              <w:bottom w:val="nil"/>
              <w:right w:val="nil"/>
            </w:tcBorders>
          </w:tcPr>
          <w:p w14:paraId="610C3A90"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310" w:type="dxa"/>
            <w:tcBorders>
              <w:top w:val="nil"/>
              <w:left w:val="nil"/>
              <w:bottom w:val="nil"/>
              <w:right w:val="nil"/>
            </w:tcBorders>
          </w:tcPr>
          <w:p w14:paraId="610C3A91"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92" w14:textId="77777777" w:rsidR="007D57FB" w:rsidRPr="00B00B11" w:rsidRDefault="007D57FB" w:rsidP="005B3E6B">
            <w:pPr>
              <w:spacing w:line="360" w:lineRule="auto"/>
              <w:rPr>
                <w:rFonts w:cstheme="minorHAnsi"/>
                <w:sz w:val="20"/>
                <w:szCs w:val="20"/>
              </w:rPr>
            </w:pPr>
            <w:r w:rsidRPr="00B00B11">
              <w:rPr>
                <w:rFonts w:cstheme="minorHAnsi"/>
                <w:sz w:val="20"/>
                <w:szCs w:val="20"/>
              </w:rPr>
              <w:t xml:space="preserve">Spanish system of pharmacovigilance </w:t>
            </w:r>
          </w:p>
        </w:tc>
        <w:tc>
          <w:tcPr>
            <w:tcW w:w="1544" w:type="dxa"/>
            <w:tcBorders>
              <w:top w:val="nil"/>
              <w:left w:val="nil"/>
              <w:bottom w:val="nil"/>
              <w:right w:val="nil"/>
            </w:tcBorders>
          </w:tcPr>
          <w:p w14:paraId="610C3A93"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94"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9E" w14:textId="77777777" w:rsidTr="008937F3">
        <w:tc>
          <w:tcPr>
            <w:tcW w:w="1672" w:type="dxa"/>
            <w:tcBorders>
              <w:top w:val="nil"/>
              <w:left w:val="single" w:sz="4" w:space="0" w:color="auto"/>
              <w:bottom w:val="nil"/>
              <w:right w:val="nil"/>
            </w:tcBorders>
          </w:tcPr>
          <w:p w14:paraId="610C3A96" w14:textId="1A726263" w:rsidR="007D57FB" w:rsidRPr="00B00B11" w:rsidRDefault="007D57FB" w:rsidP="00CF1F2A">
            <w:pPr>
              <w:spacing w:line="360" w:lineRule="auto"/>
              <w:rPr>
                <w:rFonts w:cstheme="minorHAnsi"/>
                <w:b/>
                <w:sz w:val="20"/>
                <w:szCs w:val="20"/>
              </w:rPr>
            </w:pPr>
            <w:r w:rsidRPr="00B00B11">
              <w:rPr>
                <w:rFonts w:cstheme="minorHAnsi"/>
                <w:b/>
                <w:sz w:val="20"/>
                <w:szCs w:val="20"/>
              </w:rPr>
              <w:t>Ganeva</w:t>
            </w:r>
            <w:r w:rsidR="00CF1F2A" w:rsidRPr="00CF1F2A">
              <w:rPr>
                <w:rFonts w:cstheme="minorHAnsi"/>
                <w:b/>
                <w:noProof/>
                <w:sz w:val="20"/>
                <w:szCs w:val="20"/>
                <w:vertAlign w:val="superscript"/>
              </w:rPr>
              <w:t>15</w:t>
            </w:r>
          </w:p>
        </w:tc>
        <w:tc>
          <w:tcPr>
            <w:tcW w:w="909" w:type="dxa"/>
            <w:tcBorders>
              <w:top w:val="nil"/>
              <w:left w:val="nil"/>
              <w:bottom w:val="nil"/>
              <w:right w:val="nil"/>
            </w:tcBorders>
          </w:tcPr>
          <w:p w14:paraId="610C3A97" w14:textId="77777777" w:rsidR="007D57FB" w:rsidRPr="00B00B11" w:rsidRDefault="007D57FB" w:rsidP="005B3E6B">
            <w:pPr>
              <w:spacing w:line="360" w:lineRule="auto"/>
              <w:rPr>
                <w:rFonts w:cstheme="minorHAnsi"/>
                <w:sz w:val="20"/>
                <w:szCs w:val="20"/>
              </w:rPr>
            </w:pPr>
            <w:r w:rsidRPr="00B00B11">
              <w:rPr>
                <w:rFonts w:cstheme="minorHAnsi"/>
                <w:sz w:val="20"/>
                <w:szCs w:val="20"/>
              </w:rPr>
              <w:t>2007</w:t>
            </w:r>
          </w:p>
        </w:tc>
        <w:tc>
          <w:tcPr>
            <w:tcW w:w="1416" w:type="dxa"/>
            <w:tcBorders>
              <w:top w:val="nil"/>
              <w:left w:val="nil"/>
              <w:bottom w:val="nil"/>
              <w:right w:val="nil"/>
            </w:tcBorders>
          </w:tcPr>
          <w:p w14:paraId="610C3A98"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99" w14:textId="77777777" w:rsidR="007D57FB" w:rsidRPr="00B00B11" w:rsidRDefault="007D57FB" w:rsidP="005B3E6B">
            <w:pPr>
              <w:spacing w:line="360" w:lineRule="auto"/>
              <w:rPr>
                <w:rFonts w:cstheme="minorHAnsi"/>
                <w:sz w:val="20"/>
                <w:szCs w:val="20"/>
              </w:rPr>
            </w:pPr>
            <w:r w:rsidRPr="00B00B11">
              <w:rPr>
                <w:rFonts w:cstheme="minorHAnsi"/>
                <w:sz w:val="20"/>
                <w:szCs w:val="20"/>
              </w:rPr>
              <w:t xml:space="preserve">3 x Dermatologist and pharmacologist, Structured review past medical and drug history, laboratory tests, clinical description of adverse event and outcome. </w:t>
            </w:r>
          </w:p>
        </w:tc>
        <w:tc>
          <w:tcPr>
            <w:tcW w:w="1310" w:type="dxa"/>
            <w:tcBorders>
              <w:top w:val="nil"/>
              <w:left w:val="nil"/>
              <w:bottom w:val="nil"/>
              <w:right w:val="nil"/>
            </w:tcBorders>
          </w:tcPr>
          <w:p w14:paraId="610C3A9A"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9B" w14:textId="77777777" w:rsidR="007D57FB" w:rsidRPr="00B00B11" w:rsidRDefault="007D57FB" w:rsidP="005B3E6B">
            <w:pPr>
              <w:spacing w:line="360" w:lineRule="auto"/>
              <w:rPr>
                <w:rFonts w:cstheme="minorHAnsi"/>
                <w:sz w:val="20"/>
                <w:szCs w:val="20"/>
              </w:rPr>
            </w:pPr>
            <w:r w:rsidRPr="00B00B11">
              <w:rPr>
                <w:rFonts w:cstheme="minorHAnsi"/>
                <w:sz w:val="20"/>
                <w:szCs w:val="20"/>
              </w:rPr>
              <w:t>Author defined</w:t>
            </w:r>
          </w:p>
        </w:tc>
        <w:tc>
          <w:tcPr>
            <w:tcW w:w="1544" w:type="dxa"/>
            <w:tcBorders>
              <w:top w:val="nil"/>
              <w:left w:val="nil"/>
              <w:bottom w:val="nil"/>
              <w:right w:val="nil"/>
            </w:tcBorders>
          </w:tcPr>
          <w:p w14:paraId="610C3A9C"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 &amp; Rawlins</w:t>
            </w:r>
          </w:p>
        </w:tc>
        <w:tc>
          <w:tcPr>
            <w:tcW w:w="1826" w:type="dxa"/>
            <w:tcBorders>
              <w:top w:val="nil"/>
              <w:left w:val="nil"/>
              <w:bottom w:val="nil"/>
              <w:right w:val="single" w:sz="4" w:space="0" w:color="auto"/>
            </w:tcBorders>
          </w:tcPr>
          <w:p w14:paraId="610C3A9D"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A7" w14:textId="77777777" w:rsidTr="008937F3">
        <w:tc>
          <w:tcPr>
            <w:tcW w:w="1672" w:type="dxa"/>
            <w:tcBorders>
              <w:top w:val="nil"/>
              <w:left w:val="single" w:sz="4" w:space="0" w:color="auto"/>
              <w:bottom w:val="nil"/>
              <w:right w:val="nil"/>
            </w:tcBorders>
          </w:tcPr>
          <w:p w14:paraId="610C3A9F" w14:textId="5427275E" w:rsidR="007D57FB" w:rsidRPr="00B00B11" w:rsidRDefault="007D57FB" w:rsidP="00137F37">
            <w:pPr>
              <w:spacing w:line="360" w:lineRule="auto"/>
              <w:rPr>
                <w:rFonts w:cstheme="minorHAnsi"/>
                <w:b/>
                <w:sz w:val="20"/>
                <w:szCs w:val="20"/>
              </w:rPr>
            </w:pPr>
            <w:r w:rsidRPr="00B00B11">
              <w:rPr>
                <w:rFonts w:cstheme="minorHAnsi"/>
                <w:b/>
                <w:sz w:val="20"/>
                <w:szCs w:val="20"/>
              </w:rPr>
              <w:t>G</w:t>
            </w:r>
            <w:r>
              <w:rPr>
                <w:rFonts w:cstheme="minorHAnsi"/>
                <w:b/>
                <w:sz w:val="20"/>
                <w:szCs w:val="20"/>
              </w:rPr>
              <w:t>aneva</w:t>
            </w:r>
            <w:r w:rsidR="00137F37" w:rsidRPr="00137F37">
              <w:rPr>
                <w:rFonts w:cstheme="minorHAnsi"/>
                <w:b/>
                <w:noProof/>
                <w:sz w:val="20"/>
                <w:szCs w:val="20"/>
                <w:vertAlign w:val="superscript"/>
              </w:rPr>
              <w:t>17</w:t>
            </w:r>
          </w:p>
        </w:tc>
        <w:tc>
          <w:tcPr>
            <w:tcW w:w="909" w:type="dxa"/>
            <w:tcBorders>
              <w:top w:val="nil"/>
              <w:left w:val="nil"/>
              <w:bottom w:val="nil"/>
              <w:right w:val="nil"/>
            </w:tcBorders>
          </w:tcPr>
          <w:p w14:paraId="610C3AA0" w14:textId="77777777" w:rsidR="007D57FB" w:rsidRPr="00B00B11" w:rsidRDefault="007D57FB" w:rsidP="005B3E6B">
            <w:pPr>
              <w:spacing w:line="360" w:lineRule="auto"/>
              <w:rPr>
                <w:rFonts w:cstheme="minorHAnsi"/>
                <w:sz w:val="20"/>
                <w:szCs w:val="20"/>
              </w:rPr>
            </w:pPr>
            <w:r w:rsidRPr="00B00B11">
              <w:rPr>
                <w:rFonts w:cstheme="minorHAnsi"/>
                <w:sz w:val="20"/>
                <w:szCs w:val="20"/>
              </w:rPr>
              <w:t>2013</w:t>
            </w:r>
          </w:p>
        </w:tc>
        <w:tc>
          <w:tcPr>
            <w:tcW w:w="1416" w:type="dxa"/>
            <w:tcBorders>
              <w:top w:val="nil"/>
              <w:left w:val="nil"/>
              <w:bottom w:val="nil"/>
              <w:right w:val="nil"/>
            </w:tcBorders>
          </w:tcPr>
          <w:p w14:paraId="610C3AA1"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A2" w14:textId="77777777" w:rsidR="007D57FB" w:rsidRPr="00B00B11" w:rsidRDefault="007D57FB" w:rsidP="005B3E6B">
            <w:pPr>
              <w:spacing w:line="360" w:lineRule="auto"/>
              <w:rPr>
                <w:rFonts w:cstheme="minorHAnsi"/>
                <w:sz w:val="20"/>
                <w:szCs w:val="20"/>
              </w:rPr>
            </w:pPr>
            <w:r w:rsidRPr="00B00B11">
              <w:rPr>
                <w:rFonts w:cstheme="minorHAnsi"/>
                <w:sz w:val="20"/>
                <w:szCs w:val="20"/>
              </w:rPr>
              <w:t>Medical chart review</w:t>
            </w:r>
          </w:p>
        </w:tc>
        <w:tc>
          <w:tcPr>
            <w:tcW w:w="1310" w:type="dxa"/>
            <w:tcBorders>
              <w:top w:val="nil"/>
              <w:left w:val="nil"/>
              <w:bottom w:val="nil"/>
              <w:right w:val="nil"/>
            </w:tcBorders>
          </w:tcPr>
          <w:p w14:paraId="610C3AA3"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A4" w14:textId="77777777" w:rsidR="007D57FB" w:rsidRPr="00B00B11" w:rsidRDefault="007D57FB" w:rsidP="005B3E6B">
            <w:pPr>
              <w:spacing w:line="360" w:lineRule="auto"/>
              <w:rPr>
                <w:rFonts w:cstheme="minorHAnsi"/>
                <w:sz w:val="20"/>
                <w:szCs w:val="20"/>
              </w:rPr>
            </w:pPr>
            <w:r w:rsidRPr="00B00B11">
              <w:rPr>
                <w:rFonts w:cstheme="minorHAnsi"/>
                <w:sz w:val="20"/>
                <w:szCs w:val="20"/>
              </w:rPr>
              <w:t>author defined – “clinical judgement" mild, moderate, severe"</w:t>
            </w:r>
          </w:p>
        </w:tc>
        <w:tc>
          <w:tcPr>
            <w:tcW w:w="1544" w:type="dxa"/>
            <w:tcBorders>
              <w:top w:val="nil"/>
              <w:left w:val="nil"/>
              <w:bottom w:val="nil"/>
              <w:right w:val="nil"/>
            </w:tcBorders>
          </w:tcPr>
          <w:p w14:paraId="610C3AA5"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w:t>
            </w:r>
          </w:p>
        </w:tc>
        <w:tc>
          <w:tcPr>
            <w:tcW w:w="1826" w:type="dxa"/>
            <w:tcBorders>
              <w:top w:val="nil"/>
              <w:left w:val="nil"/>
              <w:bottom w:val="nil"/>
              <w:right w:val="single" w:sz="4" w:space="0" w:color="auto"/>
            </w:tcBorders>
          </w:tcPr>
          <w:p w14:paraId="610C3AA6"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7D57FB" w:rsidRPr="00B00B11" w14:paraId="610C3AB0" w14:textId="77777777" w:rsidTr="008937F3">
        <w:tc>
          <w:tcPr>
            <w:tcW w:w="1672" w:type="dxa"/>
            <w:tcBorders>
              <w:top w:val="nil"/>
              <w:left w:val="single" w:sz="4" w:space="0" w:color="auto"/>
              <w:bottom w:val="nil"/>
              <w:right w:val="nil"/>
            </w:tcBorders>
          </w:tcPr>
          <w:p w14:paraId="610C3AA8" w14:textId="6158ED08" w:rsidR="007D57FB" w:rsidRPr="00B00B11" w:rsidRDefault="007D57FB" w:rsidP="00137F37">
            <w:pPr>
              <w:spacing w:line="360" w:lineRule="auto"/>
              <w:rPr>
                <w:rFonts w:cstheme="minorHAnsi"/>
                <w:b/>
                <w:sz w:val="20"/>
                <w:szCs w:val="20"/>
              </w:rPr>
            </w:pPr>
            <w:r>
              <w:rPr>
                <w:rFonts w:cstheme="minorHAnsi"/>
                <w:b/>
                <w:sz w:val="20"/>
                <w:szCs w:val="20"/>
              </w:rPr>
              <w:t>Ganeva</w:t>
            </w:r>
            <w:r w:rsidR="00137F37" w:rsidRPr="00137F37">
              <w:rPr>
                <w:rFonts w:cstheme="minorHAnsi"/>
                <w:b/>
                <w:noProof/>
                <w:sz w:val="20"/>
                <w:szCs w:val="20"/>
                <w:vertAlign w:val="superscript"/>
              </w:rPr>
              <w:t>16</w:t>
            </w:r>
          </w:p>
        </w:tc>
        <w:tc>
          <w:tcPr>
            <w:tcW w:w="909" w:type="dxa"/>
            <w:tcBorders>
              <w:top w:val="nil"/>
              <w:left w:val="nil"/>
              <w:bottom w:val="nil"/>
              <w:right w:val="nil"/>
            </w:tcBorders>
          </w:tcPr>
          <w:p w14:paraId="610C3AA9" w14:textId="77777777" w:rsidR="007D57FB" w:rsidRPr="00B00B11" w:rsidRDefault="007D57FB" w:rsidP="005B3E6B">
            <w:pPr>
              <w:spacing w:line="360" w:lineRule="auto"/>
              <w:rPr>
                <w:rFonts w:cstheme="minorHAnsi"/>
                <w:sz w:val="20"/>
                <w:szCs w:val="20"/>
              </w:rPr>
            </w:pPr>
            <w:r w:rsidRPr="00B00B11">
              <w:rPr>
                <w:rFonts w:cstheme="minorHAnsi"/>
                <w:sz w:val="20"/>
                <w:szCs w:val="20"/>
              </w:rPr>
              <w:t>2016</w:t>
            </w:r>
          </w:p>
        </w:tc>
        <w:tc>
          <w:tcPr>
            <w:tcW w:w="1416" w:type="dxa"/>
            <w:tcBorders>
              <w:top w:val="nil"/>
              <w:left w:val="nil"/>
              <w:bottom w:val="nil"/>
              <w:right w:val="nil"/>
            </w:tcBorders>
          </w:tcPr>
          <w:p w14:paraId="610C3AAA"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AB" w14:textId="77777777" w:rsidR="007D57FB" w:rsidRPr="00B00B11" w:rsidRDefault="007D57FB" w:rsidP="005B3E6B">
            <w:pPr>
              <w:spacing w:line="360" w:lineRule="auto"/>
              <w:rPr>
                <w:rFonts w:cstheme="minorHAnsi"/>
                <w:sz w:val="20"/>
                <w:szCs w:val="20"/>
              </w:rPr>
            </w:pPr>
            <w:r w:rsidRPr="00B00B11">
              <w:rPr>
                <w:rFonts w:cstheme="minorHAnsi"/>
                <w:sz w:val="20"/>
                <w:szCs w:val="20"/>
              </w:rPr>
              <w:t>Screened during clinical rounds, analysis of laboratory data.</w:t>
            </w:r>
          </w:p>
        </w:tc>
        <w:tc>
          <w:tcPr>
            <w:tcW w:w="1310" w:type="dxa"/>
            <w:tcBorders>
              <w:top w:val="nil"/>
              <w:left w:val="nil"/>
              <w:bottom w:val="nil"/>
              <w:right w:val="nil"/>
            </w:tcBorders>
          </w:tcPr>
          <w:p w14:paraId="610C3AAC"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AD" w14:textId="77777777" w:rsidR="007D57FB" w:rsidRPr="00B00B11" w:rsidRDefault="007D57FB" w:rsidP="005B3E6B">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AAE"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w:t>
            </w:r>
          </w:p>
        </w:tc>
        <w:tc>
          <w:tcPr>
            <w:tcW w:w="1826" w:type="dxa"/>
            <w:tcBorders>
              <w:top w:val="nil"/>
              <w:left w:val="nil"/>
              <w:bottom w:val="nil"/>
              <w:right w:val="single" w:sz="4" w:space="0" w:color="auto"/>
            </w:tcBorders>
          </w:tcPr>
          <w:p w14:paraId="610C3AAF" w14:textId="77777777" w:rsidR="007D57FB" w:rsidRPr="00B00B11" w:rsidRDefault="007D57FB" w:rsidP="005B3E6B">
            <w:pPr>
              <w:spacing w:line="360" w:lineRule="auto"/>
              <w:rPr>
                <w:rFonts w:cstheme="minorHAnsi"/>
                <w:sz w:val="20"/>
                <w:szCs w:val="20"/>
              </w:rPr>
            </w:pPr>
            <w:r w:rsidRPr="00B00B11">
              <w:rPr>
                <w:rFonts w:cstheme="minorHAnsi"/>
                <w:sz w:val="20"/>
                <w:szCs w:val="20"/>
              </w:rPr>
              <w:t>Hallas</w:t>
            </w:r>
          </w:p>
        </w:tc>
      </w:tr>
      <w:tr w:rsidR="007D57FB" w:rsidRPr="00B00B11" w14:paraId="610C3AB9" w14:textId="77777777" w:rsidTr="008937F3">
        <w:tc>
          <w:tcPr>
            <w:tcW w:w="1672" w:type="dxa"/>
            <w:tcBorders>
              <w:top w:val="nil"/>
              <w:left w:val="single" w:sz="4" w:space="0" w:color="auto"/>
              <w:bottom w:val="nil"/>
              <w:right w:val="nil"/>
            </w:tcBorders>
          </w:tcPr>
          <w:p w14:paraId="610C3AB1" w14:textId="30DA1DC5" w:rsidR="007D57FB" w:rsidRPr="00B00B11" w:rsidRDefault="007D57FB" w:rsidP="00CF1F2A">
            <w:pPr>
              <w:spacing w:line="360" w:lineRule="auto"/>
              <w:rPr>
                <w:rFonts w:cstheme="minorHAnsi"/>
                <w:b/>
                <w:sz w:val="20"/>
                <w:szCs w:val="20"/>
              </w:rPr>
            </w:pPr>
            <w:r w:rsidRPr="00B00B11">
              <w:rPr>
                <w:rFonts w:cstheme="minorHAnsi"/>
                <w:b/>
                <w:sz w:val="20"/>
                <w:szCs w:val="20"/>
              </w:rPr>
              <w:t>Giardina</w:t>
            </w:r>
            <w:r w:rsidR="00CF1F2A" w:rsidRPr="00CF1F2A">
              <w:rPr>
                <w:rFonts w:cstheme="minorHAnsi"/>
                <w:b/>
                <w:noProof/>
                <w:sz w:val="20"/>
                <w:szCs w:val="20"/>
                <w:vertAlign w:val="superscript"/>
              </w:rPr>
              <w:t>28</w:t>
            </w:r>
          </w:p>
        </w:tc>
        <w:tc>
          <w:tcPr>
            <w:tcW w:w="909" w:type="dxa"/>
            <w:tcBorders>
              <w:top w:val="nil"/>
              <w:left w:val="nil"/>
              <w:bottom w:val="nil"/>
              <w:right w:val="nil"/>
            </w:tcBorders>
          </w:tcPr>
          <w:p w14:paraId="610C3AB2" w14:textId="77777777" w:rsidR="007D57FB" w:rsidRPr="00B00B11" w:rsidRDefault="007D57FB" w:rsidP="005B3E6B">
            <w:pPr>
              <w:spacing w:line="360" w:lineRule="auto"/>
              <w:rPr>
                <w:rFonts w:cstheme="minorHAnsi"/>
                <w:sz w:val="20"/>
                <w:szCs w:val="20"/>
              </w:rPr>
            </w:pPr>
            <w:r w:rsidRPr="00B00B11">
              <w:rPr>
                <w:rFonts w:cstheme="minorHAnsi"/>
                <w:sz w:val="20"/>
                <w:szCs w:val="20"/>
              </w:rPr>
              <w:t>2018</w:t>
            </w:r>
          </w:p>
        </w:tc>
        <w:tc>
          <w:tcPr>
            <w:tcW w:w="1416" w:type="dxa"/>
            <w:tcBorders>
              <w:top w:val="nil"/>
              <w:left w:val="nil"/>
              <w:bottom w:val="nil"/>
              <w:right w:val="nil"/>
            </w:tcBorders>
          </w:tcPr>
          <w:p w14:paraId="610C3AB3"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3450" w:type="dxa"/>
            <w:tcBorders>
              <w:top w:val="nil"/>
              <w:left w:val="nil"/>
              <w:bottom w:val="nil"/>
              <w:right w:val="nil"/>
            </w:tcBorders>
          </w:tcPr>
          <w:p w14:paraId="610C3AB4" w14:textId="77777777" w:rsidR="007D57FB" w:rsidRPr="00B00B11" w:rsidRDefault="007D57FB" w:rsidP="005B3E6B">
            <w:pPr>
              <w:spacing w:line="360" w:lineRule="auto"/>
              <w:rPr>
                <w:rFonts w:cstheme="minorHAnsi"/>
                <w:sz w:val="20"/>
                <w:szCs w:val="20"/>
              </w:rPr>
            </w:pPr>
            <w:r w:rsidRPr="00B00B11">
              <w:rPr>
                <w:rFonts w:cstheme="minorHAnsi"/>
                <w:sz w:val="20"/>
                <w:szCs w:val="20"/>
              </w:rPr>
              <w:t>Medical records screened by pharmacist, then research team review</w:t>
            </w:r>
          </w:p>
        </w:tc>
        <w:tc>
          <w:tcPr>
            <w:tcW w:w="1310" w:type="dxa"/>
            <w:tcBorders>
              <w:top w:val="nil"/>
              <w:left w:val="nil"/>
              <w:bottom w:val="nil"/>
              <w:right w:val="nil"/>
            </w:tcBorders>
          </w:tcPr>
          <w:p w14:paraId="610C3AB5"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B6" w14:textId="77777777" w:rsidR="007D57FB" w:rsidRPr="00B00B11" w:rsidRDefault="007D57FB" w:rsidP="005B3E6B">
            <w:pPr>
              <w:spacing w:line="360" w:lineRule="auto"/>
              <w:rPr>
                <w:rFonts w:cstheme="minorHAnsi"/>
                <w:sz w:val="20"/>
                <w:szCs w:val="20"/>
              </w:rPr>
            </w:pPr>
            <w:r>
              <w:rPr>
                <w:rFonts w:cstheme="minorHAnsi"/>
                <w:sz w:val="20"/>
                <w:szCs w:val="20"/>
              </w:rPr>
              <w:t>EMA</w:t>
            </w:r>
          </w:p>
        </w:tc>
        <w:tc>
          <w:tcPr>
            <w:tcW w:w="1544" w:type="dxa"/>
            <w:tcBorders>
              <w:top w:val="nil"/>
              <w:left w:val="nil"/>
              <w:bottom w:val="nil"/>
              <w:right w:val="nil"/>
            </w:tcBorders>
          </w:tcPr>
          <w:p w14:paraId="610C3AB7" w14:textId="77777777" w:rsidR="007D57FB" w:rsidRPr="00B00B11" w:rsidRDefault="007D57FB" w:rsidP="005B3E6B">
            <w:pPr>
              <w:spacing w:line="360" w:lineRule="auto"/>
              <w:rPr>
                <w:rFonts w:cstheme="minorHAnsi"/>
                <w:sz w:val="20"/>
                <w:szCs w:val="20"/>
              </w:rPr>
            </w:pPr>
            <w:r w:rsidRPr="00B00B11">
              <w:rPr>
                <w:rFonts w:cstheme="minorHAnsi"/>
                <w:sz w:val="20"/>
                <w:szCs w:val="20"/>
              </w:rPr>
              <w:t>MedDRA-SOC®</w:t>
            </w:r>
          </w:p>
        </w:tc>
        <w:tc>
          <w:tcPr>
            <w:tcW w:w="1826" w:type="dxa"/>
            <w:tcBorders>
              <w:top w:val="nil"/>
              <w:left w:val="nil"/>
              <w:bottom w:val="nil"/>
              <w:right w:val="single" w:sz="4" w:space="0" w:color="auto"/>
            </w:tcBorders>
          </w:tcPr>
          <w:p w14:paraId="610C3AB8" w14:textId="77777777" w:rsidR="007D57FB" w:rsidRPr="00B00B11" w:rsidRDefault="007D57FB" w:rsidP="005B3E6B">
            <w:pPr>
              <w:spacing w:line="360" w:lineRule="auto"/>
              <w:rPr>
                <w:rFonts w:cstheme="minorHAnsi"/>
                <w:sz w:val="20"/>
                <w:szCs w:val="20"/>
              </w:rPr>
            </w:pPr>
            <w:r w:rsidRPr="00B00B11">
              <w:rPr>
                <w:rFonts w:cstheme="minorHAnsi"/>
                <w:sz w:val="20"/>
                <w:szCs w:val="20"/>
              </w:rPr>
              <w:t>Schumock &amp; Thornton</w:t>
            </w:r>
          </w:p>
        </w:tc>
      </w:tr>
      <w:tr w:rsidR="007D57FB" w:rsidRPr="00B00B11" w14:paraId="610C3AC2" w14:textId="77777777" w:rsidTr="008937F3">
        <w:tc>
          <w:tcPr>
            <w:tcW w:w="1672" w:type="dxa"/>
            <w:tcBorders>
              <w:top w:val="nil"/>
              <w:left w:val="single" w:sz="4" w:space="0" w:color="auto"/>
              <w:bottom w:val="nil"/>
              <w:right w:val="nil"/>
            </w:tcBorders>
          </w:tcPr>
          <w:p w14:paraId="610C3ABA" w14:textId="47F15961" w:rsidR="007D57FB" w:rsidRPr="00B00B11" w:rsidRDefault="007D57FB" w:rsidP="00CF1F2A">
            <w:pPr>
              <w:spacing w:line="360" w:lineRule="auto"/>
              <w:rPr>
                <w:rFonts w:cstheme="minorHAnsi"/>
                <w:b/>
                <w:sz w:val="20"/>
                <w:szCs w:val="20"/>
              </w:rPr>
            </w:pPr>
            <w:r>
              <w:rPr>
                <w:rFonts w:cstheme="minorHAnsi"/>
                <w:b/>
                <w:sz w:val="20"/>
                <w:szCs w:val="20"/>
              </w:rPr>
              <w:t>Gonzalez-Martin</w:t>
            </w:r>
            <w:r w:rsidR="00CF1F2A" w:rsidRPr="00CF1F2A">
              <w:rPr>
                <w:rFonts w:cstheme="minorHAnsi"/>
                <w:b/>
                <w:noProof/>
                <w:sz w:val="20"/>
                <w:szCs w:val="20"/>
                <w:vertAlign w:val="superscript"/>
              </w:rPr>
              <w:t>18</w:t>
            </w:r>
          </w:p>
        </w:tc>
        <w:tc>
          <w:tcPr>
            <w:tcW w:w="909" w:type="dxa"/>
            <w:tcBorders>
              <w:top w:val="nil"/>
              <w:left w:val="nil"/>
              <w:bottom w:val="nil"/>
              <w:right w:val="nil"/>
            </w:tcBorders>
          </w:tcPr>
          <w:p w14:paraId="610C3ABB" w14:textId="77777777" w:rsidR="007D57FB" w:rsidRPr="00B00B11" w:rsidRDefault="007D57FB" w:rsidP="005B3E6B">
            <w:pPr>
              <w:spacing w:line="360" w:lineRule="auto"/>
              <w:rPr>
                <w:rFonts w:cstheme="minorHAnsi"/>
                <w:sz w:val="20"/>
                <w:szCs w:val="20"/>
              </w:rPr>
            </w:pPr>
            <w:r w:rsidRPr="00B00B11">
              <w:rPr>
                <w:rFonts w:cstheme="minorHAnsi"/>
                <w:sz w:val="20"/>
                <w:szCs w:val="20"/>
              </w:rPr>
              <w:t>1997</w:t>
            </w:r>
          </w:p>
        </w:tc>
        <w:tc>
          <w:tcPr>
            <w:tcW w:w="1416" w:type="dxa"/>
            <w:tcBorders>
              <w:top w:val="nil"/>
              <w:left w:val="nil"/>
              <w:bottom w:val="nil"/>
              <w:right w:val="nil"/>
            </w:tcBorders>
          </w:tcPr>
          <w:p w14:paraId="610C3ABC" w14:textId="77777777" w:rsidR="007D57FB" w:rsidRPr="00B00B11" w:rsidRDefault="007D57FB" w:rsidP="005B3E6B">
            <w:pPr>
              <w:spacing w:line="360" w:lineRule="auto"/>
              <w:rPr>
                <w:rFonts w:cstheme="minorHAnsi"/>
                <w:sz w:val="20"/>
                <w:szCs w:val="20"/>
              </w:rPr>
            </w:pPr>
            <w:r w:rsidRPr="00B00B11">
              <w:rPr>
                <w:rFonts w:cstheme="minorHAnsi"/>
                <w:sz w:val="20"/>
                <w:szCs w:val="20"/>
              </w:rPr>
              <w:t>Author defined - prior publication</w:t>
            </w:r>
          </w:p>
        </w:tc>
        <w:tc>
          <w:tcPr>
            <w:tcW w:w="3450" w:type="dxa"/>
            <w:tcBorders>
              <w:top w:val="nil"/>
              <w:left w:val="nil"/>
              <w:bottom w:val="nil"/>
              <w:right w:val="nil"/>
            </w:tcBorders>
          </w:tcPr>
          <w:p w14:paraId="610C3ABD" w14:textId="77777777" w:rsidR="007D57FB" w:rsidRPr="00B00B11" w:rsidRDefault="007D57FB" w:rsidP="005B3E6B">
            <w:pPr>
              <w:spacing w:line="360" w:lineRule="auto"/>
              <w:rPr>
                <w:rFonts w:cstheme="minorHAnsi"/>
                <w:sz w:val="20"/>
                <w:szCs w:val="20"/>
              </w:rPr>
            </w:pPr>
            <w:r w:rsidRPr="00B00B11">
              <w:rPr>
                <w:rFonts w:cstheme="minorHAnsi"/>
                <w:sz w:val="20"/>
                <w:szCs w:val="20"/>
              </w:rPr>
              <w:t>The pharmacovigilance described by the Boston Collaborative Drug Surveillance Program</w:t>
            </w:r>
          </w:p>
        </w:tc>
        <w:tc>
          <w:tcPr>
            <w:tcW w:w="1310" w:type="dxa"/>
            <w:tcBorders>
              <w:top w:val="nil"/>
              <w:left w:val="nil"/>
              <w:bottom w:val="nil"/>
              <w:right w:val="nil"/>
            </w:tcBorders>
          </w:tcPr>
          <w:p w14:paraId="610C3ABE"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BF" w14:textId="77777777" w:rsidR="007D57FB" w:rsidRPr="00B00B11" w:rsidRDefault="007D57FB" w:rsidP="005B3E6B">
            <w:pPr>
              <w:spacing w:line="360" w:lineRule="auto"/>
              <w:rPr>
                <w:rFonts w:cstheme="minorHAnsi"/>
                <w:sz w:val="20"/>
                <w:szCs w:val="20"/>
              </w:rPr>
            </w:pPr>
            <w:r w:rsidRPr="00B00B11">
              <w:rPr>
                <w:rFonts w:cstheme="minorHAnsi"/>
                <w:sz w:val="20"/>
                <w:szCs w:val="20"/>
              </w:rPr>
              <w:t>Author defined - lethal, severe, moderate</w:t>
            </w:r>
          </w:p>
        </w:tc>
        <w:tc>
          <w:tcPr>
            <w:tcW w:w="1544" w:type="dxa"/>
            <w:tcBorders>
              <w:top w:val="nil"/>
              <w:left w:val="nil"/>
              <w:bottom w:val="nil"/>
              <w:right w:val="nil"/>
            </w:tcBorders>
          </w:tcPr>
          <w:p w14:paraId="610C3AC0"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C1"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D80D37" w:rsidRPr="00B00B11" w14:paraId="1E4BDD6B" w14:textId="77777777" w:rsidTr="006A7A6F">
        <w:tc>
          <w:tcPr>
            <w:tcW w:w="1672" w:type="dxa"/>
            <w:tcBorders>
              <w:top w:val="nil"/>
              <w:left w:val="single" w:sz="4" w:space="0" w:color="auto"/>
              <w:bottom w:val="nil"/>
              <w:right w:val="nil"/>
            </w:tcBorders>
          </w:tcPr>
          <w:p w14:paraId="5A105BC8" w14:textId="640D6F4B" w:rsidR="00D80D37" w:rsidRDefault="00D80D37" w:rsidP="00CF1F2A">
            <w:pPr>
              <w:spacing w:line="360" w:lineRule="auto"/>
              <w:rPr>
                <w:rFonts w:cstheme="minorHAnsi"/>
                <w:b/>
                <w:sz w:val="20"/>
                <w:szCs w:val="20"/>
              </w:rPr>
            </w:pPr>
            <w:r>
              <w:rPr>
                <w:rFonts w:cstheme="minorHAnsi"/>
                <w:b/>
                <w:sz w:val="20"/>
                <w:szCs w:val="20"/>
              </w:rPr>
              <w:t>Hailu</w:t>
            </w:r>
            <w:r w:rsidR="00CF1F2A" w:rsidRPr="00CF1F2A">
              <w:rPr>
                <w:rFonts w:cstheme="minorHAnsi"/>
                <w:b/>
                <w:noProof/>
                <w:sz w:val="20"/>
                <w:szCs w:val="20"/>
                <w:vertAlign w:val="superscript"/>
              </w:rPr>
              <w:t>19</w:t>
            </w:r>
          </w:p>
        </w:tc>
        <w:tc>
          <w:tcPr>
            <w:tcW w:w="909" w:type="dxa"/>
            <w:tcBorders>
              <w:top w:val="nil"/>
              <w:left w:val="nil"/>
              <w:bottom w:val="nil"/>
              <w:right w:val="nil"/>
            </w:tcBorders>
          </w:tcPr>
          <w:p w14:paraId="409DF2A7" w14:textId="2820A8EF" w:rsidR="00D80D37" w:rsidRPr="00B00B11" w:rsidRDefault="00D80D37" w:rsidP="00D80D37">
            <w:pPr>
              <w:spacing w:line="360" w:lineRule="auto"/>
              <w:rPr>
                <w:rFonts w:cstheme="minorHAnsi"/>
                <w:sz w:val="20"/>
                <w:szCs w:val="20"/>
              </w:rPr>
            </w:pPr>
            <w:r>
              <w:rPr>
                <w:rFonts w:cstheme="minorHAnsi"/>
                <w:sz w:val="20"/>
                <w:szCs w:val="20"/>
              </w:rPr>
              <w:t>2020</w:t>
            </w:r>
          </w:p>
        </w:tc>
        <w:tc>
          <w:tcPr>
            <w:tcW w:w="1416" w:type="dxa"/>
            <w:tcBorders>
              <w:top w:val="nil"/>
              <w:left w:val="nil"/>
              <w:bottom w:val="nil"/>
              <w:right w:val="nil"/>
            </w:tcBorders>
          </w:tcPr>
          <w:p w14:paraId="0672D932" w14:textId="07FD985E" w:rsidR="00D80D37" w:rsidRPr="00B00B11" w:rsidRDefault="00D80D37" w:rsidP="00D80D37">
            <w:pPr>
              <w:spacing w:line="360" w:lineRule="auto"/>
              <w:rPr>
                <w:rFonts w:cstheme="minorHAnsi"/>
                <w:sz w:val="20"/>
                <w:szCs w:val="20"/>
              </w:rPr>
            </w:pPr>
            <w:r>
              <w:rPr>
                <w:rFonts w:cstheme="minorHAnsi"/>
                <w:sz w:val="20"/>
                <w:szCs w:val="20"/>
              </w:rPr>
              <w:t>WHO</w:t>
            </w:r>
          </w:p>
        </w:tc>
        <w:tc>
          <w:tcPr>
            <w:tcW w:w="3450" w:type="dxa"/>
            <w:tcBorders>
              <w:top w:val="nil"/>
              <w:left w:val="nil"/>
              <w:bottom w:val="nil"/>
              <w:right w:val="nil"/>
            </w:tcBorders>
          </w:tcPr>
          <w:p w14:paraId="7F03158C" w14:textId="26CB02D3" w:rsidR="00D80D37" w:rsidRPr="00B00B11" w:rsidRDefault="00D80D37" w:rsidP="00D80D37">
            <w:pPr>
              <w:spacing w:line="360" w:lineRule="auto"/>
              <w:rPr>
                <w:rFonts w:cstheme="minorHAnsi"/>
                <w:sz w:val="20"/>
                <w:szCs w:val="20"/>
              </w:rPr>
            </w:pPr>
            <w:r w:rsidRPr="008937F3">
              <w:rPr>
                <w:sz w:val="20"/>
              </w:rPr>
              <w:t>Four MSc clinical pharmacists identified and documented DRPs (patient questionnaire and chart review.</w:t>
            </w:r>
          </w:p>
        </w:tc>
        <w:tc>
          <w:tcPr>
            <w:tcW w:w="1310" w:type="dxa"/>
            <w:tcBorders>
              <w:top w:val="nil"/>
              <w:left w:val="nil"/>
              <w:bottom w:val="nil"/>
              <w:right w:val="nil"/>
            </w:tcBorders>
          </w:tcPr>
          <w:p w14:paraId="345E9984" w14:textId="553826BA" w:rsidR="00D80D37" w:rsidRPr="00B00B11" w:rsidRDefault="00D80D37" w:rsidP="00D80D37">
            <w:pPr>
              <w:spacing w:line="360" w:lineRule="auto"/>
              <w:rPr>
                <w:rFonts w:cstheme="minorHAnsi"/>
                <w:sz w:val="20"/>
                <w:szCs w:val="20"/>
              </w:rPr>
            </w:pPr>
            <w:r>
              <w:rPr>
                <w:rFonts w:cstheme="minorHAnsi"/>
                <w:sz w:val="20"/>
                <w:szCs w:val="20"/>
              </w:rPr>
              <w:t>Naranjo</w:t>
            </w:r>
          </w:p>
        </w:tc>
        <w:tc>
          <w:tcPr>
            <w:tcW w:w="2579" w:type="dxa"/>
            <w:tcBorders>
              <w:top w:val="nil"/>
              <w:left w:val="nil"/>
              <w:bottom w:val="nil"/>
              <w:right w:val="nil"/>
            </w:tcBorders>
          </w:tcPr>
          <w:p w14:paraId="2C3427F5" w14:textId="663291BF" w:rsidR="00D80D37" w:rsidRPr="00B00B11" w:rsidRDefault="00D80D37" w:rsidP="00D80D37">
            <w:pPr>
              <w:spacing w:line="360" w:lineRule="auto"/>
              <w:rPr>
                <w:rFonts w:cstheme="minorHAnsi"/>
                <w:sz w:val="20"/>
                <w:szCs w:val="20"/>
              </w:rPr>
            </w:pPr>
            <w:r>
              <w:rPr>
                <w:rFonts w:cstheme="minorHAnsi"/>
                <w:sz w:val="20"/>
                <w:szCs w:val="20"/>
              </w:rPr>
              <w:t>Hartwig</w:t>
            </w:r>
          </w:p>
        </w:tc>
        <w:tc>
          <w:tcPr>
            <w:tcW w:w="1544" w:type="dxa"/>
            <w:tcBorders>
              <w:top w:val="nil"/>
              <w:left w:val="nil"/>
              <w:bottom w:val="nil"/>
              <w:right w:val="nil"/>
            </w:tcBorders>
          </w:tcPr>
          <w:p w14:paraId="67EDB506" w14:textId="3D0E46F8" w:rsidR="00D80D37" w:rsidRPr="00B00B11" w:rsidRDefault="00D80D37" w:rsidP="00D80D37">
            <w:pPr>
              <w:spacing w:line="360" w:lineRule="auto"/>
              <w:rPr>
                <w:rFonts w:cstheme="minorHAnsi"/>
                <w:sz w:val="20"/>
                <w:szCs w:val="20"/>
              </w:rPr>
            </w:pPr>
            <w:r>
              <w:t>Rawlins &amp; Thompson</w:t>
            </w:r>
          </w:p>
        </w:tc>
        <w:tc>
          <w:tcPr>
            <w:tcW w:w="1826" w:type="dxa"/>
            <w:tcBorders>
              <w:top w:val="nil"/>
              <w:left w:val="nil"/>
              <w:bottom w:val="nil"/>
              <w:right w:val="single" w:sz="4" w:space="0" w:color="auto"/>
            </w:tcBorders>
          </w:tcPr>
          <w:p w14:paraId="25468AE9" w14:textId="68D0F64F" w:rsidR="00D80D37" w:rsidRPr="00B00B11" w:rsidRDefault="00D80D37" w:rsidP="00D80D37">
            <w:pPr>
              <w:spacing w:line="360" w:lineRule="auto"/>
              <w:rPr>
                <w:rFonts w:cstheme="minorHAnsi"/>
                <w:sz w:val="20"/>
                <w:szCs w:val="20"/>
              </w:rPr>
            </w:pPr>
            <w:r>
              <w:rPr>
                <w:rFonts w:cstheme="minorHAnsi"/>
                <w:sz w:val="20"/>
                <w:szCs w:val="20"/>
              </w:rPr>
              <w:t xml:space="preserve">Not documented </w:t>
            </w:r>
          </w:p>
        </w:tc>
      </w:tr>
      <w:tr w:rsidR="007D57FB" w:rsidRPr="00B00B11" w14:paraId="610C3ACB" w14:textId="77777777" w:rsidTr="008937F3">
        <w:tc>
          <w:tcPr>
            <w:tcW w:w="1672" w:type="dxa"/>
            <w:tcBorders>
              <w:top w:val="nil"/>
              <w:left w:val="single" w:sz="4" w:space="0" w:color="auto"/>
              <w:bottom w:val="nil"/>
              <w:right w:val="nil"/>
            </w:tcBorders>
          </w:tcPr>
          <w:p w14:paraId="610C3AC3" w14:textId="6ACCEE89" w:rsidR="007D57FB" w:rsidRPr="00B00B11" w:rsidRDefault="007D57FB" w:rsidP="00CF1F2A">
            <w:pPr>
              <w:spacing w:line="360" w:lineRule="auto"/>
              <w:rPr>
                <w:rFonts w:cstheme="minorHAnsi"/>
                <w:b/>
                <w:sz w:val="20"/>
                <w:szCs w:val="20"/>
              </w:rPr>
            </w:pPr>
            <w:r>
              <w:rPr>
                <w:rFonts w:cstheme="minorHAnsi"/>
                <w:b/>
                <w:sz w:val="20"/>
                <w:szCs w:val="20"/>
              </w:rPr>
              <w:t>Harugeri</w:t>
            </w:r>
            <w:r w:rsidR="00CF1F2A" w:rsidRPr="00CF1F2A">
              <w:rPr>
                <w:rFonts w:cstheme="minorHAnsi"/>
                <w:b/>
                <w:noProof/>
                <w:sz w:val="20"/>
                <w:szCs w:val="20"/>
                <w:vertAlign w:val="superscript"/>
              </w:rPr>
              <w:t>29</w:t>
            </w:r>
          </w:p>
        </w:tc>
        <w:tc>
          <w:tcPr>
            <w:tcW w:w="909" w:type="dxa"/>
            <w:tcBorders>
              <w:top w:val="nil"/>
              <w:left w:val="nil"/>
              <w:bottom w:val="nil"/>
              <w:right w:val="nil"/>
            </w:tcBorders>
          </w:tcPr>
          <w:p w14:paraId="610C3AC4" w14:textId="77777777" w:rsidR="007D57FB" w:rsidRPr="00B00B11" w:rsidRDefault="007D57FB" w:rsidP="005B3E6B">
            <w:pPr>
              <w:spacing w:line="360" w:lineRule="auto"/>
              <w:rPr>
                <w:rFonts w:cstheme="minorHAnsi"/>
                <w:sz w:val="20"/>
                <w:szCs w:val="20"/>
              </w:rPr>
            </w:pPr>
            <w:r w:rsidRPr="00B00B11">
              <w:rPr>
                <w:rFonts w:cstheme="minorHAnsi"/>
                <w:sz w:val="20"/>
                <w:szCs w:val="20"/>
              </w:rPr>
              <w:t>2011</w:t>
            </w:r>
          </w:p>
        </w:tc>
        <w:tc>
          <w:tcPr>
            <w:tcW w:w="1416" w:type="dxa"/>
            <w:tcBorders>
              <w:top w:val="nil"/>
              <w:left w:val="nil"/>
              <w:bottom w:val="nil"/>
              <w:right w:val="nil"/>
            </w:tcBorders>
          </w:tcPr>
          <w:p w14:paraId="610C3AC5" w14:textId="77777777" w:rsidR="007D57FB" w:rsidRPr="00B00B11" w:rsidRDefault="007D57FB" w:rsidP="005B3E6B">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C6" w14:textId="77777777" w:rsidR="007D57FB" w:rsidRPr="00B00B11" w:rsidRDefault="007D57FB" w:rsidP="005B3E6B">
            <w:pPr>
              <w:spacing w:line="360" w:lineRule="auto"/>
              <w:rPr>
                <w:rFonts w:cstheme="minorHAnsi"/>
                <w:sz w:val="20"/>
                <w:szCs w:val="20"/>
              </w:rPr>
            </w:pPr>
            <w:r w:rsidRPr="00B00B11">
              <w:rPr>
                <w:rFonts w:cstheme="minorHAnsi"/>
                <w:sz w:val="20"/>
                <w:szCs w:val="20"/>
              </w:rPr>
              <w:t>Pharmacist, daily review of chart, laboratory and nursing notes.</w:t>
            </w:r>
          </w:p>
        </w:tc>
        <w:tc>
          <w:tcPr>
            <w:tcW w:w="1310" w:type="dxa"/>
            <w:tcBorders>
              <w:top w:val="nil"/>
              <w:left w:val="nil"/>
              <w:bottom w:val="nil"/>
              <w:right w:val="nil"/>
            </w:tcBorders>
          </w:tcPr>
          <w:p w14:paraId="610C3AC7" w14:textId="77777777" w:rsidR="007D57FB" w:rsidRPr="00B00B11" w:rsidRDefault="007D57FB" w:rsidP="005B3E6B">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C8" w14:textId="77777777" w:rsidR="007D57FB" w:rsidRPr="00B00B11" w:rsidRDefault="007D57FB" w:rsidP="005B3E6B">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AC9" w14:textId="77777777" w:rsidR="007D57FB" w:rsidRPr="00B00B11" w:rsidRDefault="007D57FB" w:rsidP="005B3E6B">
            <w:pPr>
              <w:spacing w:line="360" w:lineRule="auto"/>
              <w:rPr>
                <w:rFonts w:cstheme="minorHAnsi"/>
                <w:sz w:val="20"/>
                <w:szCs w:val="20"/>
              </w:rPr>
            </w:pPr>
            <w:r w:rsidRPr="00B00B11">
              <w:rPr>
                <w:rFonts w:cstheme="minorHAnsi"/>
                <w:sz w:val="20"/>
                <w:szCs w:val="20"/>
              </w:rPr>
              <w:t>WHO-ART</w:t>
            </w:r>
          </w:p>
        </w:tc>
        <w:tc>
          <w:tcPr>
            <w:tcW w:w="1826" w:type="dxa"/>
            <w:tcBorders>
              <w:top w:val="nil"/>
              <w:left w:val="nil"/>
              <w:bottom w:val="nil"/>
              <w:right w:val="single" w:sz="4" w:space="0" w:color="auto"/>
            </w:tcBorders>
          </w:tcPr>
          <w:p w14:paraId="610C3ACA" w14:textId="77777777" w:rsidR="007D57FB" w:rsidRPr="00B00B11" w:rsidRDefault="007D57FB" w:rsidP="005B3E6B">
            <w:pPr>
              <w:spacing w:line="360" w:lineRule="auto"/>
              <w:rPr>
                <w:rFonts w:cstheme="minorHAnsi"/>
                <w:sz w:val="20"/>
                <w:szCs w:val="20"/>
              </w:rPr>
            </w:pPr>
            <w:r w:rsidRPr="00B00B11">
              <w:rPr>
                <w:rFonts w:cstheme="minorHAnsi"/>
                <w:sz w:val="20"/>
                <w:szCs w:val="20"/>
              </w:rPr>
              <w:t>Not documented</w:t>
            </w:r>
          </w:p>
        </w:tc>
      </w:tr>
      <w:tr w:rsidR="006A7A6F" w:rsidRPr="00B00B11" w14:paraId="5849EC4C" w14:textId="77777777" w:rsidTr="006A7A6F">
        <w:tc>
          <w:tcPr>
            <w:tcW w:w="1672" w:type="dxa"/>
            <w:tcBorders>
              <w:top w:val="single" w:sz="4" w:space="0" w:color="auto"/>
              <w:left w:val="single" w:sz="4" w:space="0" w:color="auto"/>
              <w:bottom w:val="single" w:sz="4" w:space="0" w:color="auto"/>
              <w:right w:val="nil"/>
            </w:tcBorders>
          </w:tcPr>
          <w:p w14:paraId="4C7DF657" w14:textId="77777777" w:rsidR="006A7A6F" w:rsidRPr="006A730C" w:rsidRDefault="006A7A6F" w:rsidP="006A7A6F">
            <w:pPr>
              <w:spacing w:line="360" w:lineRule="auto"/>
              <w:rPr>
                <w:rFonts w:cstheme="minorHAnsi"/>
                <w:b/>
                <w:i/>
                <w:sz w:val="20"/>
                <w:szCs w:val="20"/>
              </w:rPr>
            </w:pPr>
            <w:r w:rsidRPr="006A730C">
              <w:rPr>
                <w:rFonts w:cstheme="minorHAnsi"/>
                <w:b/>
                <w:i/>
                <w:sz w:val="20"/>
                <w:szCs w:val="20"/>
              </w:rPr>
              <w:t xml:space="preserve">Contd. </w:t>
            </w:r>
          </w:p>
          <w:p w14:paraId="17603469"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Author</w:t>
            </w:r>
          </w:p>
        </w:tc>
        <w:tc>
          <w:tcPr>
            <w:tcW w:w="909" w:type="dxa"/>
            <w:tcBorders>
              <w:top w:val="single" w:sz="4" w:space="0" w:color="auto"/>
              <w:left w:val="nil"/>
              <w:bottom w:val="single" w:sz="4" w:space="0" w:color="auto"/>
              <w:right w:val="nil"/>
            </w:tcBorders>
          </w:tcPr>
          <w:p w14:paraId="60C75A96"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Year</w:t>
            </w:r>
          </w:p>
        </w:tc>
        <w:tc>
          <w:tcPr>
            <w:tcW w:w="1416" w:type="dxa"/>
            <w:tcBorders>
              <w:top w:val="single" w:sz="4" w:space="0" w:color="auto"/>
              <w:left w:val="nil"/>
              <w:bottom w:val="single" w:sz="4" w:space="0" w:color="auto"/>
              <w:right w:val="nil"/>
            </w:tcBorders>
          </w:tcPr>
          <w:p w14:paraId="5AEB2068"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ADR Definition</w:t>
            </w:r>
          </w:p>
        </w:tc>
        <w:tc>
          <w:tcPr>
            <w:tcW w:w="3450" w:type="dxa"/>
            <w:tcBorders>
              <w:top w:val="single" w:sz="4" w:space="0" w:color="auto"/>
              <w:left w:val="nil"/>
              <w:bottom w:val="single" w:sz="4" w:space="0" w:color="auto"/>
              <w:right w:val="nil"/>
            </w:tcBorders>
          </w:tcPr>
          <w:p w14:paraId="09470F8D"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Identification Method</w:t>
            </w:r>
          </w:p>
        </w:tc>
        <w:tc>
          <w:tcPr>
            <w:tcW w:w="1310" w:type="dxa"/>
            <w:tcBorders>
              <w:top w:val="single" w:sz="4" w:space="0" w:color="auto"/>
              <w:left w:val="nil"/>
              <w:bottom w:val="single" w:sz="4" w:space="0" w:color="auto"/>
              <w:right w:val="nil"/>
            </w:tcBorders>
          </w:tcPr>
          <w:p w14:paraId="062C3891"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Causality</w:t>
            </w:r>
          </w:p>
        </w:tc>
        <w:tc>
          <w:tcPr>
            <w:tcW w:w="2579" w:type="dxa"/>
            <w:tcBorders>
              <w:top w:val="single" w:sz="4" w:space="0" w:color="auto"/>
              <w:left w:val="nil"/>
              <w:bottom w:val="single" w:sz="4" w:space="0" w:color="auto"/>
              <w:right w:val="nil"/>
            </w:tcBorders>
          </w:tcPr>
          <w:p w14:paraId="6982C9D2"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Severity</w:t>
            </w:r>
          </w:p>
        </w:tc>
        <w:tc>
          <w:tcPr>
            <w:tcW w:w="1544" w:type="dxa"/>
            <w:tcBorders>
              <w:top w:val="single" w:sz="4" w:space="0" w:color="auto"/>
              <w:left w:val="nil"/>
              <w:bottom w:val="single" w:sz="4" w:space="0" w:color="auto"/>
              <w:right w:val="nil"/>
            </w:tcBorders>
          </w:tcPr>
          <w:p w14:paraId="59857180"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Classification</w:t>
            </w:r>
          </w:p>
        </w:tc>
        <w:tc>
          <w:tcPr>
            <w:tcW w:w="1826" w:type="dxa"/>
            <w:tcBorders>
              <w:top w:val="single" w:sz="4" w:space="0" w:color="auto"/>
              <w:left w:val="nil"/>
              <w:bottom w:val="single" w:sz="4" w:space="0" w:color="auto"/>
              <w:right w:val="single" w:sz="4" w:space="0" w:color="auto"/>
            </w:tcBorders>
          </w:tcPr>
          <w:p w14:paraId="6F603123" w14:textId="77777777" w:rsidR="006A7A6F" w:rsidRPr="00B00B11" w:rsidRDefault="006A7A6F" w:rsidP="006A7A6F">
            <w:pPr>
              <w:spacing w:line="360" w:lineRule="auto"/>
              <w:rPr>
                <w:rFonts w:cstheme="minorHAnsi"/>
                <w:b/>
                <w:sz w:val="20"/>
                <w:szCs w:val="20"/>
              </w:rPr>
            </w:pPr>
            <w:r w:rsidRPr="00B00B11">
              <w:rPr>
                <w:rFonts w:cstheme="minorHAnsi"/>
                <w:b/>
                <w:sz w:val="20"/>
                <w:szCs w:val="20"/>
              </w:rPr>
              <w:t xml:space="preserve">Preventability </w:t>
            </w:r>
          </w:p>
        </w:tc>
      </w:tr>
      <w:tr w:rsidR="00821F63" w:rsidRPr="00B00B11" w14:paraId="610C3AD4" w14:textId="77777777" w:rsidTr="008937F3">
        <w:tc>
          <w:tcPr>
            <w:tcW w:w="1672" w:type="dxa"/>
            <w:tcBorders>
              <w:top w:val="nil"/>
              <w:left w:val="single" w:sz="4" w:space="0" w:color="auto"/>
              <w:bottom w:val="single" w:sz="4" w:space="0" w:color="auto"/>
              <w:right w:val="nil"/>
            </w:tcBorders>
          </w:tcPr>
          <w:p w14:paraId="610C3ACC" w14:textId="25E8BCC0" w:rsidR="00821F63" w:rsidRPr="00B00B11" w:rsidRDefault="00821F63" w:rsidP="00CF1F2A">
            <w:pPr>
              <w:spacing w:line="360" w:lineRule="auto"/>
              <w:rPr>
                <w:rFonts w:cstheme="minorHAnsi"/>
                <w:b/>
                <w:sz w:val="20"/>
                <w:szCs w:val="20"/>
              </w:rPr>
            </w:pPr>
            <w:r w:rsidRPr="00B00B11">
              <w:rPr>
                <w:rFonts w:cstheme="minorHAnsi"/>
                <w:b/>
                <w:sz w:val="20"/>
                <w:szCs w:val="20"/>
              </w:rPr>
              <w:t>Kaur</w:t>
            </w:r>
            <w:r w:rsidR="00CF1F2A" w:rsidRPr="00CF1F2A">
              <w:rPr>
                <w:rFonts w:cstheme="minorHAnsi"/>
                <w:b/>
                <w:noProof/>
                <w:sz w:val="20"/>
                <w:szCs w:val="20"/>
                <w:vertAlign w:val="superscript"/>
              </w:rPr>
              <w:t>20</w:t>
            </w:r>
          </w:p>
        </w:tc>
        <w:tc>
          <w:tcPr>
            <w:tcW w:w="909" w:type="dxa"/>
            <w:tcBorders>
              <w:top w:val="nil"/>
              <w:left w:val="nil"/>
              <w:bottom w:val="single" w:sz="4" w:space="0" w:color="auto"/>
              <w:right w:val="nil"/>
            </w:tcBorders>
          </w:tcPr>
          <w:p w14:paraId="610C3ACD" w14:textId="77777777" w:rsidR="00821F63" w:rsidRPr="00B00B11" w:rsidRDefault="00821F63" w:rsidP="00821F63">
            <w:pPr>
              <w:spacing w:line="360" w:lineRule="auto"/>
              <w:rPr>
                <w:rFonts w:cstheme="minorHAnsi"/>
                <w:sz w:val="20"/>
                <w:szCs w:val="20"/>
              </w:rPr>
            </w:pPr>
            <w:r w:rsidRPr="00B00B11">
              <w:rPr>
                <w:rFonts w:cstheme="minorHAnsi"/>
                <w:sz w:val="20"/>
                <w:szCs w:val="20"/>
              </w:rPr>
              <w:t>2018</w:t>
            </w:r>
          </w:p>
        </w:tc>
        <w:tc>
          <w:tcPr>
            <w:tcW w:w="1416" w:type="dxa"/>
            <w:tcBorders>
              <w:top w:val="nil"/>
              <w:left w:val="nil"/>
              <w:bottom w:val="single" w:sz="4" w:space="0" w:color="auto"/>
              <w:right w:val="nil"/>
            </w:tcBorders>
          </w:tcPr>
          <w:p w14:paraId="610C3ACE" w14:textId="4AA83E01" w:rsidR="00821F63" w:rsidRPr="00B00B11" w:rsidRDefault="00821F63">
            <w:pPr>
              <w:spacing w:line="360" w:lineRule="auto"/>
              <w:rPr>
                <w:rFonts w:cstheme="minorHAnsi"/>
                <w:sz w:val="20"/>
                <w:szCs w:val="20"/>
              </w:rPr>
            </w:pPr>
            <w:r w:rsidRPr="00B00B11">
              <w:rPr>
                <w:rFonts w:cstheme="minorHAnsi"/>
                <w:sz w:val="20"/>
                <w:szCs w:val="20"/>
              </w:rPr>
              <w:t>Edward</w:t>
            </w:r>
            <w:r>
              <w:rPr>
                <w:rFonts w:cstheme="minorHAnsi"/>
                <w:sz w:val="20"/>
                <w:szCs w:val="20"/>
              </w:rPr>
              <w:t>s</w:t>
            </w:r>
            <w:r w:rsidRPr="00B00B11">
              <w:rPr>
                <w:rFonts w:cstheme="minorHAnsi"/>
                <w:sz w:val="20"/>
                <w:szCs w:val="20"/>
              </w:rPr>
              <w:t xml:space="preserve"> </w:t>
            </w:r>
            <w:r>
              <w:rPr>
                <w:rFonts w:cstheme="minorHAnsi"/>
                <w:sz w:val="20"/>
                <w:szCs w:val="20"/>
              </w:rPr>
              <w:t xml:space="preserve">&amp; </w:t>
            </w:r>
            <w:r w:rsidRPr="00B00B11">
              <w:rPr>
                <w:rFonts w:cstheme="minorHAnsi"/>
                <w:sz w:val="20"/>
                <w:szCs w:val="20"/>
              </w:rPr>
              <w:t xml:space="preserve">Aronson’s </w:t>
            </w:r>
          </w:p>
        </w:tc>
        <w:tc>
          <w:tcPr>
            <w:tcW w:w="3450" w:type="dxa"/>
            <w:tcBorders>
              <w:top w:val="nil"/>
              <w:left w:val="nil"/>
              <w:bottom w:val="single" w:sz="4" w:space="0" w:color="auto"/>
              <w:right w:val="nil"/>
            </w:tcBorders>
          </w:tcPr>
          <w:p w14:paraId="610C3ACF" w14:textId="77777777" w:rsidR="00821F63" w:rsidRPr="00B00B11" w:rsidRDefault="00821F63" w:rsidP="00821F63">
            <w:pPr>
              <w:spacing w:line="360" w:lineRule="auto"/>
              <w:rPr>
                <w:rFonts w:cstheme="minorHAnsi"/>
                <w:sz w:val="20"/>
                <w:szCs w:val="20"/>
              </w:rPr>
            </w:pPr>
            <w:r w:rsidRPr="00B00B11">
              <w:rPr>
                <w:rFonts w:cstheme="minorHAnsi"/>
                <w:sz w:val="20"/>
                <w:szCs w:val="20"/>
              </w:rPr>
              <w:t>Spontaneous reporting, chart and laboratory results review then  geriatrician physician and pharmacologist assessment</w:t>
            </w:r>
          </w:p>
        </w:tc>
        <w:tc>
          <w:tcPr>
            <w:tcW w:w="1310" w:type="dxa"/>
            <w:tcBorders>
              <w:top w:val="nil"/>
              <w:left w:val="nil"/>
              <w:bottom w:val="single" w:sz="4" w:space="0" w:color="auto"/>
              <w:right w:val="nil"/>
            </w:tcBorders>
          </w:tcPr>
          <w:p w14:paraId="610C3AD0" w14:textId="77777777" w:rsidR="00821F63" w:rsidRPr="00B00B11" w:rsidRDefault="00821F63" w:rsidP="00821F63">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single" w:sz="4" w:space="0" w:color="auto"/>
              <w:right w:val="nil"/>
            </w:tcBorders>
          </w:tcPr>
          <w:p w14:paraId="610C3AD1" w14:textId="77777777" w:rsidR="00821F63" w:rsidRPr="00B00B11" w:rsidRDefault="00821F63" w:rsidP="00821F63">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single" w:sz="4" w:space="0" w:color="auto"/>
              <w:right w:val="nil"/>
            </w:tcBorders>
          </w:tcPr>
          <w:p w14:paraId="610C3AD2" w14:textId="7308466C" w:rsidR="00821F63" w:rsidRPr="00B00B11" w:rsidRDefault="00821F63">
            <w:pPr>
              <w:spacing w:line="360" w:lineRule="auto"/>
              <w:rPr>
                <w:rFonts w:cstheme="minorHAnsi"/>
                <w:sz w:val="20"/>
                <w:szCs w:val="20"/>
              </w:rPr>
            </w:pPr>
            <w:r w:rsidRPr="00B00B11">
              <w:rPr>
                <w:rFonts w:cstheme="minorHAnsi"/>
                <w:sz w:val="20"/>
                <w:szCs w:val="20"/>
              </w:rPr>
              <w:t>Rawlin</w:t>
            </w:r>
            <w:r w:rsidR="00C22233">
              <w:rPr>
                <w:rFonts w:cstheme="minorHAnsi"/>
                <w:sz w:val="20"/>
                <w:szCs w:val="20"/>
              </w:rPr>
              <w:t>s</w:t>
            </w:r>
            <w:r w:rsidRPr="00B00B11">
              <w:rPr>
                <w:rFonts w:cstheme="minorHAnsi"/>
                <w:sz w:val="20"/>
                <w:szCs w:val="20"/>
              </w:rPr>
              <w:t xml:space="preserve"> </w:t>
            </w:r>
            <w:r w:rsidR="00C22233">
              <w:rPr>
                <w:rFonts w:cstheme="minorHAnsi"/>
                <w:sz w:val="20"/>
                <w:szCs w:val="20"/>
              </w:rPr>
              <w:t xml:space="preserve">&amp; </w:t>
            </w:r>
            <w:r w:rsidRPr="00B00B11">
              <w:rPr>
                <w:rFonts w:cstheme="minorHAnsi"/>
                <w:sz w:val="20"/>
                <w:szCs w:val="20"/>
              </w:rPr>
              <w:t>Thompson</w:t>
            </w:r>
          </w:p>
        </w:tc>
        <w:tc>
          <w:tcPr>
            <w:tcW w:w="1826" w:type="dxa"/>
            <w:tcBorders>
              <w:top w:val="nil"/>
              <w:left w:val="nil"/>
              <w:bottom w:val="single" w:sz="4" w:space="0" w:color="auto"/>
              <w:right w:val="single" w:sz="4" w:space="0" w:color="auto"/>
            </w:tcBorders>
          </w:tcPr>
          <w:p w14:paraId="610C3AD3"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AE7" w14:textId="77777777" w:rsidTr="008937F3">
        <w:tc>
          <w:tcPr>
            <w:tcW w:w="1672" w:type="dxa"/>
            <w:tcBorders>
              <w:top w:val="nil"/>
              <w:left w:val="single" w:sz="4" w:space="0" w:color="auto"/>
              <w:bottom w:val="nil"/>
              <w:right w:val="nil"/>
            </w:tcBorders>
          </w:tcPr>
          <w:p w14:paraId="610C3ADF" w14:textId="3646F2A2" w:rsidR="00821F63" w:rsidRPr="00B00B11" w:rsidRDefault="00821F63" w:rsidP="00CF1F2A">
            <w:pPr>
              <w:spacing w:line="360" w:lineRule="auto"/>
              <w:rPr>
                <w:rFonts w:cstheme="minorHAnsi"/>
                <w:b/>
                <w:sz w:val="20"/>
                <w:szCs w:val="20"/>
              </w:rPr>
            </w:pPr>
            <w:r>
              <w:rPr>
                <w:rFonts w:cstheme="minorHAnsi"/>
                <w:b/>
                <w:sz w:val="20"/>
                <w:szCs w:val="20"/>
              </w:rPr>
              <w:t>Lavan</w:t>
            </w:r>
            <w:r w:rsidR="00CF1F2A" w:rsidRPr="00CF1F2A">
              <w:rPr>
                <w:rFonts w:cstheme="minorHAnsi"/>
                <w:b/>
                <w:noProof/>
                <w:sz w:val="20"/>
                <w:szCs w:val="20"/>
                <w:vertAlign w:val="superscript"/>
              </w:rPr>
              <w:t>30</w:t>
            </w:r>
          </w:p>
        </w:tc>
        <w:tc>
          <w:tcPr>
            <w:tcW w:w="909" w:type="dxa"/>
            <w:tcBorders>
              <w:top w:val="nil"/>
              <w:left w:val="nil"/>
              <w:bottom w:val="nil"/>
              <w:right w:val="nil"/>
            </w:tcBorders>
          </w:tcPr>
          <w:p w14:paraId="610C3AE0" w14:textId="77777777" w:rsidR="00821F63" w:rsidRPr="00B00B11" w:rsidRDefault="00821F63" w:rsidP="00821F63">
            <w:pPr>
              <w:spacing w:line="360" w:lineRule="auto"/>
              <w:rPr>
                <w:rFonts w:cstheme="minorHAnsi"/>
                <w:sz w:val="20"/>
                <w:szCs w:val="20"/>
              </w:rPr>
            </w:pPr>
            <w:r w:rsidRPr="00B00B11">
              <w:rPr>
                <w:rFonts w:cstheme="minorHAnsi"/>
                <w:sz w:val="20"/>
                <w:szCs w:val="20"/>
              </w:rPr>
              <w:t>2017</w:t>
            </w:r>
          </w:p>
        </w:tc>
        <w:tc>
          <w:tcPr>
            <w:tcW w:w="1416" w:type="dxa"/>
            <w:tcBorders>
              <w:top w:val="nil"/>
              <w:left w:val="nil"/>
              <w:bottom w:val="nil"/>
              <w:right w:val="nil"/>
            </w:tcBorders>
          </w:tcPr>
          <w:p w14:paraId="610C3AE1"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E2" w14:textId="77777777" w:rsidR="00821F63" w:rsidRPr="00B00B11" w:rsidRDefault="00821F63" w:rsidP="00821F63">
            <w:pPr>
              <w:spacing w:line="360" w:lineRule="auto"/>
              <w:rPr>
                <w:rFonts w:cstheme="minorHAnsi"/>
                <w:sz w:val="20"/>
                <w:szCs w:val="20"/>
              </w:rPr>
            </w:pPr>
            <w:r w:rsidRPr="00B00B11">
              <w:rPr>
                <w:rFonts w:cstheme="minorHAnsi"/>
                <w:sz w:val="20"/>
                <w:szCs w:val="20"/>
              </w:rPr>
              <w:t>Application of trigger list at recruitment and then retrospectively at D14/DC, all cases adjudicated</w:t>
            </w:r>
          </w:p>
        </w:tc>
        <w:tc>
          <w:tcPr>
            <w:tcW w:w="1310" w:type="dxa"/>
            <w:tcBorders>
              <w:top w:val="nil"/>
              <w:left w:val="nil"/>
              <w:bottom w:val="nil"/>
              <w:right w:val="nil"/>
            </w:tcBorders>
          </w:tcPr>
          <w:p w14:paraId="610C3AE3" w14:textId="77777777" w:rsidR="00821F63" w:rsidRPr="00B00B11" w:rsidRDefault="00821F63" w:rsidP="00821F63">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AE4" w14:textId="77777777" w:rsidR="00821F63" w:rsidRPr="00B00B11" w:rsidRDefault="00821F63" w:rsidP="00821F63">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AE5"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E6"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AF0" w14:textId="77777777" w:rsidTr="008937F3">
        <w:tc>
          <w:tcPr>
            <w:tcW w:w="1672" w:type="dxa"/>
            <w:tcBorders>
              <w:top w:val="nil"/>
              <w:left w:val="single" w:sz="4" w:space="0" w:color="auto"/>
              <w:bottom w:val="nil"/>
              <w:right w:val="nil"/>
            </w:tcBorders>
          </w:tcPr>
          <w:p w14:paraId="610C3AE8" w14:textId="1DA7FD6C" w:rsidR="00821F63" w:rsidRPr="00B00B11" w:rsidRDefault="00821F63" w:rsidP="00CF1F2A">
            <w:pPr>
              <w:spacing w:line="360" w:lineRule="auto"/>
              <w:rPr>
                <w:rFonts w:cstheme="minorHAnsi"/>
                <w:b/>
                <w:sz w:val="20"/>
                <w:szCs w:val="20"/>
              </w:rPr>
            </w:pPr>
            <w:r>
              <w:rPr>
                <w:rFonts w:cstheme="minorHAnsi"/>
                <w:b/>
                <w:sz w:val="20"/>
                <w:szCs w:val="20"/>
              </w:rPr>
              <w:t>Leach</w:t>
            </w:r>
            <w:r w:rsidR="00CF1F2A" w:rsidRPr="00CF1F2A">
              <w:rPr>
                <w:rFonts w:cstheme="minorHAnsi"/>
                <w:b/>
                <w:noProof/>
                <w:sz w:val="20"/>
                <w:szCs w:val="20"/>
                <w:vertAlign w:val="superscript"/>
              </w:rPr>
              <w:t>21</w:t>
            </w:r>
          </w:p>
        </w:tc>
        <w:tc>
          <w:tcPr>
            <w:tcW w:w="909" w:type="dxa"/>
            <w:tcBorders>
              <w:top w:val="nil"/>
              <w:left w:val="nil"/>
              <w:bottom w:val="nil"/>
              <w:right w:val="nil"/>
            </w:tcBorders>
          </w:tcPr>
          <w:p w14:paraId="610C3AE9" w14:textId="77777777" w:rsidR="00821F63" w:rsidRPr="00B00B11" w:rsidRDefault="00821F63" w:rsidP="00821F63">
            <w:pPr>
              <w:spacing w:line="360" w:lineRule="auto"/>
              <w:rPr>
                <w:rFonts w:cstheme="minorHAnsi"/>
                <w:sz w:val="20"/>
                <w:szCs w:val="20"/>
              </w:rPr>
            </w:pPr>
            <w:r w:rsidRPr="00B00B11">
              <w:rPr>
                <w:rFonts w:cstheme="minorHAnsi"/>
                <w:sz w:val="20"/>
                <w:szCs w:val="20"/>
              </w:rPr>
              <w:t>1986</w:t>
            </w:r>
          </w:p>
        </w:tc>
        <w:tc>
          <w:tcPr>
            <w:tcW w:w="1416" w:type="dxa"/>
            <w:tcBorders>
              <w:top w:val="nil"/>
              <w:left w:val="nil"/>
              <w:bottom w:val="nil"/>
              <w:right w:val="nil"/>
            </w:tcBorders>
          </w:tcPr>
          <w:p w14:paraId="610C3AEA"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EB" w14:textId="77777777" w:rsidR="00821F63" w:rsidRPr="00B00B11" w:rsidRDefault="00821F63" w:rsidP="00821F63">
            <w:pPr>
              <w:spacing w:line="360" w:lineRule="auto"/>
              <w:rPr>
                <w:rFonts w:cstheme="minorHAnsi"/>
                <w:sz w:val="20"/>
                <w:szCs w:val="20"/>
              </w:rPr>
            </w:pPr>
            <w:r w:rsidRPr="00B00B11">
              <w:rPr>
                <w:rFonts w:cstheme="minorHAnsi"/>
                <w:sz w:val="20"/>
                <w:szCs w:val="20"/>
              </w:rPr>
              <w:t>Patient interview and notes review</w:t>
            </w:r>
          </w:p>
        </w:tc>
        <w:tc>
          <w:tcPr>
            <w:tcW w:w="1310" w:type="dxa"/>
            <w:tcBorders>
              <w:top w:val="nil"/>
              <w:left w:val="nil"/>
              <w:bottom w:val="nil"/>
              <w:right w:val="nil"/>
            </w:tcBorders>
          </w:tcPr>
          <w:p w14:paraId="610C3AEC" w14:textId="77777777" w:rsidR="00821F63" w:rsidRPr="00B00B11" w:rsidRDefault="00821F63" w:rsidP="00821F63">
            <w:pPr>
              <w:spacing w:line="360" w:lineRule="auto"/>
              <w:rPr>
                <w:rFonts w:cstheme="minorHAnsi"/>
                <w:sz w:val="20"/>
                <w:szCs w:val="20"/>
              </w:rPr>
            </w:pPr>
            <w:r w:rsidRPr="00B00B11">
              <w:rPr>
                <w:rFonts w:cstheme="minorHAnsi"/>
                <w:sz w:val="20"/>
                <w:szCs w:val="20"/>
              </w:rPr>
              <w:t>Kramer</w:t>
            </w:r>
          </w:p>
        </w:tc>
        <w:tc>
          <w:tcPr>
            <w:tcW w:w="2579" w:type="dxa"/>
            <w:tcBorders>
              <w:top w:val="nil"/>
              <w:left w:val="nil"/>
              <w:bottom w:val="nil"/>
              <w:right w:val="nil"/>
            </w:tcBorders>
          </w:tcPr>
          <w:p w14:paraId="610C3AED" w14:textId="77777777" w:rsidR="00821F63" w:rsidRPr="00B00B11" w:rsidRDefault="00821F63" w:rsidP="00821F63">
            <w:pPr>
              <w:spacing w:line="360" w:lineRule="auto"/>
              <w:rPr>
                <w:rFonts w:cstheme="minorHAnsi"/>
                <w:sz w:val="20"/>
                <w:szCs w:val="20"/>
              </w:rPr>
            </w:pPr>
            <w:r w:rsidRPr="00B00B11">
              <w:rPr>
                <w:rFonts w:cstheme="minorHAnsi"/>
                <w:sz w:val="20"/>
                <w:szCs w:val="20"/>
              </w:rPr>
              <w:t>Hurwitz</w:t>
            </w:r>
          </w:p>
        </w:tc>
        <w:tc>
          <w:tcPr>
            <w:tcW w:w="1544" w:type="dxa"/>
            <w:tcBorders>
              <w:top w:val="nil"/>
              <w:left w:val="nil"/>
              <w:bottom w:val="nil"/>
              <w:right w:val="nil"/>
            </w:tcBorders>
          </w:tcPr>
          <w:p w14:paraId="610C3AEE" w14:textId="77777777" w:rsidR="00821F63" w:rsidRPr="00B00B11" w:rsidRDefault="00821F63" w:rsidP="00821F63">
            <w:pPr>
              <w:spacing w:line="360" w:lineRule="auto"/>
              <w:rPr>
                <w:rFonts w:cstheme="minorHAnsi"/>
                <w:sz w:val="20"/>
                <w:szCs w:val="20"/>
              </w:rPr>
            </w:pPr>
            <w:r w:rsidRPr="00B00B11">
              <w:rPr>
                <w:rFonts w:cstheme="minorHAnsi"/>
                <w:sz w:val="20"/>
                <w:szCs w:val="20"/>
              </w:rPr>
              <w:t>Rawlins &amp; Thompson</w:t>
            </w:r>
          </w:p>
        </w:tc>
        <w:tc>
          <w:tcPr>
            <w:tcW w:w="1826" w:type="dxa"/>
            <w:tcBorders>
              <w:top w:val="nil"/>
              <w:left w:val="nil"/>
              <w:bottom w:val="nil"/>
              <w:right w:val="single" w:sz="4" w:space="0" w:color="auto"/>
            </w:tcBorders>
          </w:tcPr>
          <w:p w14:paraId="610C3AEF"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2002D420" w14:textId="77777777" w:rsidTr="008937F3">
        <w:tc>
          <w:tcPr>
            <w:tcW w:w="1672" w:type="dxa"/>
            <w:tcBorders>
              <w:top w:val="nil"/>
              <w:left w:val="single" w:sz="4" w:space="0" w:color="auto"/>
              <w:bottom w:val="nil"/>
              <w:right w:val="nil"/>
            </w:tcBorders>
          </w:tcPr>
          <w:p w14:paraId="239F3156" w14:textId="23465D62" w:rsidR="00821F63" w:rsidRDefault="00821F63" w:rsidP="00CF1F2A">
            <w:pPr>
              <w:spacing w:line="360" w:lineRule="auto"/>
              <w:rPr>
                <w:rFonts w:cstheme="minorHAnsi"/>
                <w:b/>
                <w:sz w:val="20"/>
                <w:szCs w:val="20"/>
              </w:rPr>
            </w:pPr>
            <w:r>
              <w:rPr>
                <w:rFonts w:cstheme="minorHAnsi"/>
                <w:b/>
                <w:sz w:val="20"/>
                <w:szCs w:val="20"/>
              </w:rPr>
              <w:t>Liao</w:t>
            </w:r>
            <w:r w:rsidR="00CF1F2A" w:rsidRPr="00CF1F2A">
              <w:rPr>
                <w:rFonts w:cstheme="minorHAnsi"/>
                <w:b/>
                <w:noProof/>
                <w:sz w:val="20"/>
                <w:szCs w:val="20"/>
                <w:vertAlign w:val="superscript"/>
              </w:rPr>
              <w:t>31</w:t>
            </w:r>
          </w:p>
        </w:tc>
        <w:tc>
          <w:tcPr>
            <w:tcW w:w="909" w:type="dxa"/>
            <w:tcBorders>
              <w:top w:val="nil"/>
              <w:left w:val="nil"/>
              <w:bottom w:val="nil"/>
              <w:right w:val="nil"/>
            </w:tcBorders>
          </w:tcPr>
          <w:p w14:paraId="2D347D6B" w14:textId="14BDCC78" w:rsidR="00821F63" w:rsidRPr="00B00B11" w:rsidRDefault="00821F63" w:rsidP="00821F63">
            <w:pPr>
              <w:spacing w:line="360" w:lineRule="auto"/>
              <w:rPr>
                <w:rFonts w:cstheme="minorHAnsi"/>
                <w:sz w:val="20"/>
                <w:szCs w:val="20"/>
              </w:rPr>
            </w:pPr>
            <w:r>
              <w:rPr>
                <w:rFonts w:cstheme="minorHAnsi"/>
                <w:sz w:val="20"/>
                <w:szCs w:val="20"/>
              </w:rPr>
              <w:t>2019</w:t>
            </w:r>
          </w:p>
        </w:tc>
        <w:tc>
          <w:tcPr>
            <w:tcW w:w="1416" w:type="dxa"/>
            <w:tcBorders>
              <w:top w:val="nil"/>
              <w:left w:val="nil"/>
              <w:bottom w:val="nil"/>
              <w:right w:val="nil"/>
            </w:tcBorders>
          </w:tcPr>
          <w:p w14:paraId="51BC4F28" w14:textId="3B569BD5" w:rsidR="00821F63" w:rsidRPr="00B00B11" w:rsidRDefault="00821F63" w:rsidP="00821F63">
            <w:pPr>
              <w:spacing w:line="360" w:lineRule="auto"/>
              <w:rPr>
                <w:rFonts w:cstheme="minorHAnsi"/>
                <w:sz w:val="20"/>
                <w:szCs w:val="20"/>
              </w:rPr>
            </w:pPr>
            <w:r>
              <w:rPr>
                <w:rFonts w:cstheme="minorHAnsi"/>
                <w:sz w:val="20"/>
                <w:szCs w:val="20"/>
              </w:rPr>
              <w:t>Edwards &amp; Aronson’s</w:t>
            </w:r>
          </w:p>
        </w:tc>
        <w:tc>
          <w:tcPr>
            <w:tcW w:w="3450" w:type="dxa"/>
            <w:tcBorders>
              <w:top w:val="nil"/>
              <w:left w:val="nil"/>
              <w:bottom w:val="nil"/>
              <w:right w:val="nil"/>
            </w:tcBorders>
          </w:tcPr>
          <w:p w14:paraId="403590D7" w14:textId="197686DF" w:rsidR="00821F63" w:rsidRPr="00B00B11" w:rsidRDefault="00821F63" w:rsidP="00821F63">
            <w:pPr>
              <w:spacing w:line="360" w:lineRule="auto"/>
              <w:rPr>
                <w:rFonts w:cstheme="minorHAnsi"/>
                <w:sz w:val="20"/>
                <w:szCs w:val="20"/>
              </w:rPr>
            </w:pPr>
            <w:r>
              <w:rPr>
                <w:rFonts w:cstheme="minorHAnsi"/>
                <w:sz w:val="20"/>
                <w:szCs w:val="20"/>
              </w:rPr>
              <w:t>Interrogation of ADR reporting database (ADRs approved by senior pharmacist)</w:t>
            </w:r>
          </w:p>
        </w:tc>
        <w:tc>
          <w:tcPr>
            <w:tcW w:w="1310" w:type="dxa"/>
            <w:tcBorders>
              <w:top w:val="nil"/>
              <w:left w:val="nil"/>
              <w:bottom w:val="nil"/>
              <w:right w:val="nil"/>
            </w:tcBorders>
          </w:tcPr>
          <w:p w14:paraId="620263BE" w14:textId="2A439FB7" w:rsidR="00821F63" w:rsidRPr="00B00B11" w:rsidRDefault="00821F63" w:rsidP="00821F63">
            <w:pPr>
              <w:spacing w:line="360" w:lineRule="auto"/>
              <w:rPr>
                <w:rFonts w:cstheme="minorHAnsi"/>
                <w:sz w:val="20"/>
                <w:szCs w:val="20"/>
              </w:rPr>
            </w:pPr>
            <w:r>
              <w:rPr>
                <w:rFonts w:cstheme="minorHAnsi"/>
                <w:sz w:val="20"/>
                <w:szCs w:val="20"/>
              </w:rPr>
              <w:t>Naranjo</w:t>
            </w:r>
          </w:p>
        </w:tc>
        <w:tc>
          <w:tcPr>
            <w:tcW w:w="2579" w:type="dxa"/>
            <w:tcBorders>
              <w:top w:val="nil"/>
              <w:left w:val="nil"/>
              <w:bottom w:val="nil"/>
              <w:right w:val="nil"/>
            </w:tcBorders>
          </w:tcPr>
          <w:p w14:paraId="10B94F7C" w14:textId="2464E6DC" w:rsidR="00821F63" w:rsidRPr="00B00B11" w:rsidRDefault="00821F63" w:rsidP="00821F63">
            <w:pPr>
              <w:spacing w:line="360" w:lineRule="auto"/>
              <w:rPr>
                <w:rFonts w:cstheme="minorHAnsi"/>
                <w:sz w:val="20"/>
                <w:szCs w:val="20"/>
              </w:rPr>
            </w:pPr>
            <w:r>
              <w:rPr>
                <w:rFonts w:cstheme="minorHAnsi"/>
                <w:sz w:val="20"/>
                <w:szCs w:val="20"/>
              </w:rPr>
              <w:t>Not documented</w:t>
            </w:r>
          </w:p>
        </w:tc>
        <w:tc>
          <w:tcPr>
            <w:tcW w:w="1544" w:type="dxa"/>
            <w:tcBorders>
              <w:top w:val="nil"/>
              <w:left w:val="nil"/>
              <w:bottom w:val="nil"/>
              <w:right w:val="nil"/>
            </w:tcBorders>
          </w:tcPr>
          <w:p w14:paraId="302B0B42" w14:textId="293D289E" w:rsidR="00821F63" w:rsidRPr="00B00B11" w:rsidRDefault="00821F63" w:rsidP="00821F63">
            <w:pPr>
              <w:spacing w:line="360" w:lineRule="auto"/>
              <w:rPr>
                <w:rFonts w:cstheme="minorHAnsi"/>
                <w:sz w:val="20"/>
                <w:szCs w:val="20"/>
              </w:rPr>
            </w:pPr>
            <w:r>
              <w:rPr>
                <w:rFonts w:cstheme="minorHAnsi"/>
                <w:sz w:val="20"/>
                <w:szCs w:val="20"/>
              </w:rPr>
              <w:t>Not documented</w:t>
            </w:r>
          </w:p>
        </w:tc>
        <w:tc>
          <w:tcPr>
            <w:tcW w:w="1826" w:type="dxa"/>
            <w:tcBorders>
              <w:top w:val="nil"/>
              <w:left w:val="nil"/>
              <w:bottom w:val="nil"/>
              <w:right w:val="single" w:sz="4" w:space="0" w:color="auto"/>
            </w:tcBorders>
          </w:tcPr>
          <w:p w14:paraId="7E5BBA31" w14:textId="5B514607" w:rsidR="00821F63" w:rsidRPr="00B00B11" w:rsidRDefault="00821F63" w:rsidP="00821F63">
            <w:pPr>
              <w:spacing w:line="360" w:lineRule="auto"/>
              <w:rPr>
                <w:rFonts w:cstheme="minorHAnsi"/>
                <w:sz w:val="20"/>
                <w:szCs w:val="20"/>
              </w:rPr>
            </w:pPr>
            <w:r>
              <w:rPr>
                <w:rFonts w:cstheme="minorHAnsi"/>
                <w:sz w:val="20"/>
                <w:szCs w:val="20"/>
              </w:rPr>
              <w:t xml:space="preserve">Not documented </w:t>
            </w:r>
          </w:p>
        </w:tc>
      </w:tr>
      <w:tr w:rsidR="00821F63" w:rsidRPr="00B00B11" w14:paraId="610C3AF9" w14:textId="77777777" w:rsidTr="008937F3">
        <w:tc>
          <w:tcPr>
            <w:tcW w:w="1672" w:type="dxa"/>
            <w:tcBorders>
              <w:top w:val="nil"/>
              <w:left w:val="single" w:sz="4" w:space="0" w:color="auto"/>
              <w:bottom w:val="nil"/>
              <w:right w:val="nil"/>
            </w:tcBorders>
          </w:tcPr>
          <w:p w14:paraId="610C3AF1" w14:textId="758C791C" w:rsidR="00821F63" w:rsidRPr="00B00B11" w:rsidRDefault="00821F63" w:rsidP="00CF1F2A">
            <w:pPr>
              <w:spacing w:line="360" w:lineRule="auto"/>
              <w:rPr>
                <w:rFonts w:cstheme="minorHAnsi"/>
                <w:b/>
                <w:sz w:val="20"/>
                <w:szCs w:val="20"/>
              </w:rPr>
            </w:pPr>
            <w:r>
              <w:rPr>
                <w:rFonts w:cstheme="minorHAnsi"/>
                <w:b/>
                <w:sz w:val="20"/>
                <w:szCs w:val="20"/>
              </w:rPr>
              <w:t>Mohebbi</w:t>
            </w:r>
            <w:r w:rsidR="00CF1F2A" w:rsidRPr="00CF1F2A">
              <w:rPr>
                <w:rFonts w:cstheme="minorHAnsi"/>
                <w:b/>
                <w:noProof/>
                <w:sz w:val="20"/>
                <w:szCs w:val="20"/>
                <w:vertAlign w:val="superscript"/>
              </w:rPr>
              <w:t>32</w:t>
            </w:r>
          </w:p>
        </w:tc>
        <w:tc>
          <w:tcPr>
            <w:tcW w:w="909" w:type="dxa"/>
            <w:tcBorders>
              <w:top w:val="nil"/>
              <w:left w:val="nil"/>
              <w:bottom w:val="nil"/>
              <w:right w:val="nil"/>
            </w:tcBorders>
          </w:tcPr>
          <w:p w14:paraId="610C3AF2" w14:textId="77777777" w:rsidR="00821F63" w:rsidRPr="00B00B11" w:rsidRDefault="00821F63" w:rsidP="00821F63">
            <w:pPr>
              <w:spacing w:line="360" w:lineRule="auto"/>
              <w:rPr>
                <w:rFonts w:cstheme="minorHAnsi"/>
                <w:sz w:val="20"/>
                <w:szCs w:val="20"/>
              </w:rPr>
            </w:pPr>
            <w:r w:rsidRPr="00B00B11">
              <w:rPr>
                <w:rFonts w:cstheme="minorHAnsi"/>
                <w:sz w:val="20"/>
                <w:szCs w:val="20"/>
              </w:rPr>
              <w:t>2010</w:t>
            </w:r>
          </w:p>
        </w:tc>
        <w:tc>
          <w:tcPr>
            <w:tcW w:w="1416" w:type="dxa"/>
            <w:tcBorders>
              <w:top w:val="nil"/>
              <w:left w:val="nil"/>
              <w:bottom w:val="nil"/>
              <w:right w:val="nil"/>
            </w:tcBorders>
          </w:tcPr>
          <w:p w14:paraId="610C3AF3"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F4" w14:textId="77777777" w:rsidR="00821F63" w:rsidRPr="00B00B11" w:rsidRDefault="00821F63" w:rsidP="00821F63">
            <w:pPr>
              <w:spacing w:line="360" w:lineRule="auto"/>
              <w:rPr>
                <w:rFonts w:cstheme="minorHAnsi"/>
                <w:sz w:val="20"/>
                <w:szCs w:val="20"/>
              </w:rPr>
            </w:pPr>
            <w:r w:rsidRPr="00B00B11">
              <w:rPr>
                <w:rFonts w:cstheme="minorHAnsi"/>
                <w:sz w:val="20"/>
                <w:szCs w:val="20"/>
              </w:rPr>
              <w:t>Pharmacist; daily patient interview, chart and lab results review; confirmatory discussion with physicians</w:t>
            </w:r>
          </w:p>
        </w:tc>
        <w:tc>
          <w:tcPr>
            <w:tcW w:w="1310" w:type="dxa"/>
            <w:tcBorders>
              <w:top w:val="nil"/>
              <w:left w:val="nil"/>
              <w:bottom w:val="nil"/>
              <w:right w:val="nil"/>
            </w:tcBorders>
          </w:tcPr>
          <w:p w14:paraId="610C3AF5" w14:textId="77777777" w:rsidR="00821F63" w:rsidRPr="00B00B11" w:rsidRDefault="00821F63" w:rsidP="00821F63">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AF6" w14:textId="77777777" w:rsidR="00821F63" w:rsidRPr="00B00B11" w:rsidRDefault="00821F63" w:rsidP="00821F63">
            <w:pPr>
              <w:spacing w:line="360" w:lineRule="auto"/>
              <w:rPr>
                <w:rFonts w:cstheme="minorHAnsi"/>
                <w:sz w:val="20"/>
                <w:szCs w:val="20"/>
              </w:rPr>
            </w:pPr>
            <w:r w:rsidRPr="00B00B11">
              <w:rPr>
                <w:rFonts w:cstheme="minorHAnsi"/>
                <w:sz w:val="20"/>
                <w:szCs w:val="20"/>
              </w:rPr>
              <w:t>WHO-ART</w:t>
            </w:r>
          </w:p>
        </w:tc>
        <w:tc>
          <w:tcPr>
            <w:tcW w:w="1544" w:type="dxa"/>
            <w:tcBorders>
              <w:top w:val="nil"/>
              <w:left w:val="nil"/>
              <w:bottom w:val="nil"/>
              <w:right w:val="nil"/>
            </w:tcBorders>
          </w:tcPr>
          <w:p w14:paraId="610C3AF7"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AF8"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B02" w14:textId="77777777" w:rsidTr="008937F3">
        <w:tc>
          <w:tcPr>
            <w:tcW w:w="1672" w:type="dxa"/>
            <w:tcBorders>
              <w:top w:val="nil"/>
              <w:left w:val="single" w:sz="4" w:space="0" w:color="auto"/>
              <w:bottom w:val="nil"/>
              <w:right w:val="nil"/>
            </w:tcBorders>
          </w:tcPr>
          <w:p w14:paraId="610C3AFA" w14:textId="60B6BFBC" w:rsidR="00821F63" w:rsidRPr="00B00B11" w:rsidRDefault="00821F63" w:rsidP="00CF1F2A">
            <w:pPr>
              <w:spacing w:line="360" w:lineRule="auto"/>
              <w:rPr>
                <w:rFonts w:cstheme="minorHAnsi"/>
                <w:b/>
                <w:sz w:val="20"/>
                <w:szCs w:val="20"/>
              </w:rPr>
            </w:pPr>
            <w:r>
              <w:rPr>
                <w:rFonts w:cstheme="minorHAnsi"/>
                <w:b/>
                <w:sz w:val="20"/>
                <w:szCs w:val="20"/>
              </w:rPr>
              <w:t>Mugosa</w:t>
            </w:r>
            <w:r w:rsidR="00CF1F2A" w:rsidRPr="00CF1F2A">
              <w:rPr>
                <w:rFonts w:cstheme="minorHAnsi"/>
                <w:b/>
                <w:noProof/>
                <w:sz w:val="20"/>
                <w:szCs w:val="20"/>
                <w:vertAlign w:val="superscript"/>
              </w:rPr>
              <w:t>33</w:t>
            </w:r>
          </w:p>
        </w:tc>
        <w:tc>
          <w:tcPr>
            <w:tcW w:w="909" w:type="dxa"/>
            <w:tcBorders>
              <w:top w:val="nil"/>
              <w:left w:val="nil"/>
              <w:bottom w:val="nil"/>
              <w:right w:val="nil"/>
            </w:tcBorders>
          </w:tcPr>
          <w:p w14:paraId="610C3AFB" w14:textId="77777777" w:rsidR="00821F63" w:rsidRPr="00B00B11" w:rsidRDefault="00821F63" w:rsidP="00821F63">
            <w:pPr>
              <w:spacing w:line="360" w:lineRule="auto"/>
              <w:rPr>
                <w:rFonts w:cstheme="minorHAnsi"/>
                <w:sz w:val="20"/>
                <w:szCs w:val="20"/>
              </w:rPr>
            </w:pPr>
            <w:r w:rsidRPr="00B00B11">
              <w:rPr>
                <w:rFonts w:cstheme="minorHAnsi"/>
                <w:sz w:val="20"/>
                <w:szCs w:val="20"/>
              </w:rPr>
              <w:t>2015</w:t>
            </w:r>
          </w:p>
        </w:tc>
        <w:tc>
          <w:tcPr>
            <w:tcW w:w="1416" w:type="dxa"/>
            <w:tcBorders>
              <w:top w:val="nil"/>
              <w:left w:val="nil"/>
              <w:bottom w:val="nil"/>
              <w:right w:val="nil"/>
            </w:tcBorders>
          </w:tcPr>
          <w:p w14:paraId="610C3AFC"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AFD" w14:textId="77777777" w:rsidR="00821F63" w:rsidRPr="00B00B11" w:rsidRDefault="00821F63" w:rsidP="00821F63">
            <w:pPr>
              <w:spacing w:line="360" w:lineRule="auto"/>
              <w:rPr>
                <w:rFonts w:cstheme="minorHAnsi"/>
                <w:sz w:val="20"/>
                <w:szCs w:val="20"/>
              </w:rPr>
            </w:pPr>
            <w:r w:rsidRPr="00B00B11">
              <w:rPr>
                <w:rFonts w:cstheme="minorHAnsi"/>
                <w:sz w:val="20"/>
                <w:szCs w:val="20"/>
              </w:rPr>
              <w:t>SPC/ADR specific questionnaire and patient interview, discussion between interviewer and physician</w:t>
            </w:r>
          </w:p>
        </w:tc>
        <w:tc>
          <w:tcPr>
            <w:tcW w:w="1310" w:type="dxa"/>
            <w:tcBorders>
              <w:top w:val="nil"/>
              <w:left w:val="nil"/>
              <w:bottom w:val="nil"/>
              <w:right w:val="nil"/>
            </w:tcBorders>
          </w:tcPr>
          <w:p w14:paraId="610C3AFE" w14:textId="77777777" w:rsidR="00821F63" w:rsidRPr="00B00B11" w:rsidRDefault="00821F63" w:rsidP="00821F63">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AFF" w14:textId="77777777" w:rsidR="00821F63" w:rsidRPr="00B00B11" w:rsidRDefault="00821F63" w:rsidP="00821F63">
            <w:pPr>
              <w:spacing w:line="360" w:lineRule="auto"/>
              <w:rPr>
                <w:rFonts w:cstheme="minorHAnsi"/>
                <w:sz w:val="20"/>
                <w:szCs w:val="20"/>
              </w:rPr>
            </w:pPr>
            <w:r w:rsidRPr="00B00B11">
              <w:rPr>
                <w:rFonts w:cstheme="minorHAnsi"/>
                <w:sz w:val="20"/>
                <w:szCs w:val="20"/>
              </w:rPr>
              <w:t>WHO-ART</w:t>
            </w:r>
          </w:p>
        </w:tc>
        <w:tc>
          <w:tcPr>
            <w:tcW w:w="1544" w:type="dxa"/>
            <w:tcBorders>
              <w:top w:val="nil"/>
              <w:left w:val="nil"/>
              <w:bottom w:val="nil"/>
              <w:right w:val="nil"/>
            </w:tcBorders>
          </w:tcPr>
          <w:p w14:paraId="610C3B00" w14:textId="77777777" w:rsidR="00821F63" w:rsidRPr="00B00B11" w:rsidRDefault="00821F63" w:rsidP="00821F63">
            <w:pPr>
              <w:spacing w:line="360" w:lineRule="auto"/>
              <w:rPr>
                <w:rFonts w:cstheme="minorHAnsi"/>
                <w:sz w:val="20"/>
                <w:szCs w:val="20"/>
              </w:rPr>
            </w:pPr>
            <w:r w:rsidRPr="00B00B11">
              <w:rPr>
                <w:rFonts w:cstheme="minorHAnsi"/>
                <w:sz w:val="20"/>
                <w:szCs w:val="20"/>
              </w:rPr>
              <w:t>Meyboom, Rawlins and System organ</w:t>
            </w:r>
          </w:p>
        </w:tc>
        <w:tc>
          <w:tcPr>
            <w:tcW w:w="1826" w:type="dxa"/>
            <w:tcBorders>
              <w:top w:val="nil"/>
              <w:left w:val="nil"/>
              <w:bottom w:val="nil"/>
              <w:right w:val="single" w:sz="4" w:space="0" w:color="auto"/>
            </w:tcBorders>
          </w:tcPr>
          <w:p w14:paraId="610C3B01"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B0B" w14:textId="77777777" w:rsidTr="008937F3">
        <w:tc>
          <w:tcPr>
            <w:tcW w:w="1672" w:type="dxa"/>
            <w:tcBorders>
              <w:top w:val="nil"/>
              <w:left w:val="single" w:sz="4" w:space="0" w:color="auto"/>
              <w:bottom w:val="nil"/>
              <w:right w:val="nil"/>
            </w:tcBorders>
          </w:tcPr>
          <w:p w14:paraId="610C3B03" w14:textId="092A93F2" w:rsidR="00821F63" w:rsidRPr="00B00B11" w:rsidRDefault="00821F63" w:rsidP="00CF1F2A">
            <w:pPr>
              <w:spacing w:line="360" w:lineRule="auto"/>
              <w:rPr>
                <w:rFonts w:cstheme="minorHAnsi"/>
                <w:b/>
                <w:sz w:val="20"/>
                <w:szCs w:val="20"/>
              </w:rPr>
            </w:pPr>
            <w:r>
              <w:rPr>
                <w:rFonts w:cstheme="minorHAnsi"/>
                <w:b/>
                <w:sz w:val="20"/>
                <w:szCs w:val="20"/>
              </w:rPr>
              <w:t>O’Connor</w:t>
            </w:r>
            <w:r w:rsidR="00CF1F2A" w:rsidRPr="00CF1F2A">
              <w:rPr>
                <w:rFonts w:cstheme="minorHAnsi"/>
                <w:b/>
                <w:noProof/>
                <w:sz w:val="20"/>
                <w:szCs w:val="20"/>
                <w:vertAlign w:val="superscript"/>
              </w:rPr>
              <w:t>22</w:t>
            </w:r>
          </w:p>
        </w:tc>
        <w:tc>
          <w:tcPr>
            <w:tcW w:w="909" w:type="dxa"/>
            <w:tcBorders>
              <w:top w:val="nil"/>
              <w:left w:val="nil"/>
              <w:bottom w:val="nil"/>
              <w:right w:val="nil"/>
            </w:tcBorders>
          </w:tcPr>
          <w:p w14:paraId="610C3B04" w14:textId="77777777" w:rsidR="00821F63" w:rsidRPr="00B00B11" w:rsidRDefault="00821F63" w:rsidP="00821F63">
            <w:pPr>
              <w:spacing w:line="360" w:lineRule="auto"/>
              <w:rPr>
                <w:rFonts w:cstheme="minorHAnsi"/>
                <w:sz w:val="20"/>
                <w:szCs w:val="20"/>
              </w:rPr>
            </w:pPr>
            <w:r w:rsidRPr="00B00B11">
              <w:rPr>
                <w:rFonts w:cstheme="minorHAnsi"/>
                <w:sz w:val="20"/>
                <w:szCs w:val="20"/>
              </w:rPr>
              <w:t>2012</w:t>
            </w:r>
          </w:p>
        </w:tc>
        <w:tc>
          <w:tcPr>
            <w:tcW w:w="1416" w:type="dxa"/>
            <w:tcBorders>
              <w:top w:val="nil"/>
              <w:left w:val="nil"/>
              <w:bottom w:val="nil"/>
              <w:right w:val="nil"/>
            </w:tcBorders>
          </w:tcPr>
          <w:p w14:paraId="610C3B05"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3450" w:type="dxa"/>
            <w:tcBorders>
              <w:top w:val="nil"/>
              <w:left w:val="nil"/>
              <w:bottom w:val="nil"/>
              <w:right w:val="nil"/>
            </w:tcBorders>
          </w:tcPr>
          <w:p w14:paraId="610C3B06" w14:textId="77777777" w:rsidR="00821F63" w:rsidRPr="00B00B11" w:rsidRDefault="00821F63" w:rsidP="00821F63">
            <w:pPr>
              <w:spacing w:line="360" w:lineRule="auto"/>
              <w:rPr>
                <w:rFonts w:cstheme="minorHAnsi"/>
                <w:sz w:val="20"/>
                <w:szCs w:val="20"/>
              </w:rPr>
            </w:pPr>
            <w:r w:rsidRPr="00B00B11">
              <w:rPr>
                <w:rFonts w:cstheme="minorHAnsi"/>
                <w:sz w:val="20"/>
                <w:szCs w:val="20"/>
              </w:rPr>
              <w:t>Physician; review of medications labs and notes at D5 &amp; D10; patient and physician consultation</w:t>
            </w:r>
          </w:p>
        </w:tc>
        <w:tc>
          <w:tcPr>
            <w:tcW w:w="1310" w:type="dxa"/>
            <w:tcBorders>
              <w:top w:val="nil"/>
              <w:left w:val="nil"/>
              <w:bottom w:val="nil"/>
              <w:right w:val="nil"/>
            </w:tcBorders>
          </w:tcPr>
          <w:p w14:paraId="610C3B07" w14:textId="77777777" w:rsidR="00821F63" w:rsidRPr="00B00B11" w:rsidRDefault="00821F63" w:rsidP="00821F63">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B08" w14:textId="77777777" w:rsidR="00821F63" w:rsidRPr="00B00B11" w:rsidRDefault="00821F63" w:rsidP="00821F63">
            <w:pPr>
              <w:spacing w:line="360" w:lineRule="auto"/>
              <w:rPr>
                <w:rFonts w:cstheme="minorHAnsi"/>
                <w:sz w:val="20"/>
                <w:szCs w:val="20"/>
              </w:rPr>
            </w:pPr>
            <w:r w:rsidRPr="00B00B11">
              <w:rPr>
                <w:rFonts w:cstheme="minorHAnsi"/>
                <w:sz w:val="20"/>
                <w:szCs w:val="20"/>
              </w:rPr>
              <w:t>Author defined - severe, moderate, mild</w:t>
            </w:r>
          </w:p>
        </w:tc>
        <w:tc>
          <w:tcPr>
            <w:tcW w:w="1544" w:type="dxa"/>
            <w:tcBorders>
              <w:top w:val="nil"/>
              <w:left w:val="nil"/>
              <w:bottom w:val="nil"/>
              <w:right w:val="nil"/>
            </w:tcBorders>
          </w:tcPr>
          <w:p w14:paraId="610C3B09"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B0A"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DA093B" w:rsidRPr="00B00B11" w14:paraId="674B3323" w14:textId="77777777" w:rsidTr="00DA093B">
        <w:tc>
          <w:tcPr>
            <w:tcW w:w="1672" w:type="dxa"/>
            <w:tcBorders>
              <w:top w:val="single" w:sz="4" w:space="0" w:color="auto"/>
              <w:left w:val="single" w:sz="4" w:space="0" w:color="auto"/>
              <w:bottom w:val="single" w:sz="4" w:space="0" w:color="auto"/>
              <w:right w:val="nil"/>
            </w:tcBorders>
          </w:tcPr>
          <w:p w14:paraId="09AE765F" w14:textId="77777777" w:rsidR="00DA093B" w:rsidRPr="006A730C" w:rsidRDefault="00DA093B" w:rsidP="00737863">
            <w:pPr>
              <w:spacing w:line="360" w:lineRule="auto"/>
              <w:rPr>
                <w:rFonts w:cstheme="minorHAnsi"/>
                <w:b/>
                <w:i/>
                <w:sz w:val="20"/>
                <w:szCs w:val="20"/>
              </w:rPr>
            </w:pPr>
            <w:r w:rsidRPr="006A730C">
              <w:rPr>
                <w:rFonts w:cstheme="minorHAnsi"/>
                <w:b/>
                <w:i/>
                <w:sz w:val="20"/>
                <w:szCs w:val="20"/>
              </w:rPr>
              <w:t xml:space="preserve">Contd. </w:t>
            </w:r>
          </w:p>
          <w:p w14:paraId="04FFC719"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Author</w:t>
            </w:r>
          </w:p>
        </w:tc>
        <w:tc>
          <w:tcPr>
            <w:tcW w:w="909" w:type="dxa"/>
            <w:tcBorders>
              <w:top w:val="single" w:sz="4" w:space="0" w:color="auto"/>
              <w:left w:val="nil"/>
              <w:bottom w:val="single" w:sz="4" w:space="0" w:color="auto"/>
              <w:right w:val="nil"/>
            </w:tcBorders>
          </w:tcPr>
          <w:p w14:paraId="6385C07A"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Year</w:t>
            </w:r>
          </w:p>
        </w:tc>
        <w:tc>
          <w:tcPr>
            <w:tcW w:w="1416" w:type="dxa"/>
            <w:tcBorders>
              <w:top w:val="single" w:sz="4" w:space="0" w:color="auto"/>
              <w:left w:val="nil"/>
              <w:bottom w:val="single" w:sz="4" w:space="0" w:color="auto"/>
              <w:right w:val="nil"/>
            </w:tcBorders>
          </w:tcPr>
          <w:p w14:paraId="1D360394"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ADR Definition</w:t>
            </w:r>
          </w:p>
        </w:tc>
        <w:tc>
          <w:tcPr>
            <w:tcW w:w="3450" w:type="dxa"/>
            <w:tcBorders>
              <w:top w:val="single" w:sz="4" w:space="0" w:color="auto"/>
              <w:left w:val="nil"/>
              <w:bottom w:val="single" w:sz="4" w:space="0" w:color="auto"/>
              <w:right w:val="nil"/>
            </w:tcBorders>
          </w:tcPr>
          <w:p w14:paraId="3C3416E3"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Identification Method</w:t>
            </w:r>
          </w:p>
        </w:tc>
        <w:tc>
          <w:tcPr>
            <w:tcW w:w="1310" w:type="dxa"/>
            <w:tcBorders>
              <w:top w:val="single" w:sz="4" w:space="0" w:color="auto"/>
              <w:left w:val="nil"/>
              <w:bottom w:val="single" w:sz="4" w:space="0" w:color="auto"/>
              <w:right w:val="nil"/>
            </w:tcBorders>
          </w:tcPr>
          <w:p w14:paraId="355EDF4D"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Causality</w:t>
            </w:r>
          </w:p>
        </w:tc>
        <w:tc>
          <w:tcPr>
            <w:tcW w:w="2579" w:type="dxa"/>
            <w:tcBorders>
              <w:top w:val="single" w:sz="4" w:space="0" w:color="auto"/>
              <w:left w:val="nil"/>
              <w:bottom w:val="single" w:sz="4" w:space="0" w:color="auto"/>
              <w:right w:val="nil"/>
            </w:tcBorders>
          </w:tcPr>
          <w:p w14:paraId="13A968D6"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Severity</w:t>
            </w:r>
          </w:p>
        </w:tc>
        <w:tc>
          <w:tcPr>
            <w:tcW w:w="1544" w:type="dxa"/>
            <w:tcBorders>
              <w:top w:val="single" w:sz="4" w:space="0" w:color="auto"/>
              <w:left w:val="nil"/>
              <w:bottom w:val="single" w:sz="4" w:space="0" w:color="auto"/>
              <w:right w:val="nil"/>
            </w:tcBorders>
          </w:tcPr>
          <w:p w14:paraId="6527A7BE"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Classification</w:t>
            </w:r>
          </w:p>
        </w:tc>
        <w:tc>
          <w:tcPr>
            <w:tcW w:w="1826" w:type="dxa"/>
            <w:tcBorders>
              <w:top w:val="single" w:sz="4" w:space="0" w:color="auto"/>
              <w:left w:val="nil"/>
              <w:bottom w:val="single" w:sz="4" w:space="0" w:color="auto"/>
              <w:right w:val="single" w:sz="4" w:space="0" w:color="auto"/>
            </w:tcBorders>
          </w:tcPr>
          <w:p w14:paraId="3D5B013C" w14:textId="77777777" w:rsidR="00DA093B" w:rsidRPr="00B00B11" w:rsidRDefault="00DA093B" w:rsidP="00737863">
            <w:pPr>
              <w:spacing w:line="360" w:lineRule="auto"/>
              <w:rPr>
                <w:rFonts w:cstheme="minorHAnsi"/>
                <w:b/>
                <w:sz w:val="20"/>
                <w:szCs w:val="20"/>
              </w:rPr>
            </w:pPr>
            <w:r w:rsidRPr="00B00B11">
              <w:rPr>
                <w:rFonts w:cstheme="minorHAnsi"/>
                <w:b/>
                <w:sz w:val="20"/>
                <w:szCs w:val="20"/>
              </w:rPr>
              <w:t xml:space="preserve">Preventability </w:t>
            </w:r>
          </w:p>
        </w:tc>
      </w:tr>
      <w:tr w:rsidR="00821F63" w:rsidRPr="00B00B11" w14:paraId="610C3B14" w14:textId="77777777" w:rsidTr="008937F3">
        <w:tc>
          <w:tcPr>
            <w:tcW w:w="1672" w:type="dxa"/>
            <w:tcBorders>
              <w:top w:val="nil"/>
              <w:left w:val="single" w:sz="4" w:space="0" w:color="auto"/>
              <w:bottom w:val="nil"/>
              <w:right w:val="nil"/>
            </w:tcBorders>
          </w:tcPr>
          <w:p w14:paraId="610C3B0C" w14:textId="4A0ED448" w:rsidR="00821F63" w:rsidRPr="00B00B11" w:rsidRDefault="00821F63" w:rsidP="00CF1F2A">
            <w:pPr>
              <w:spacing w:line="360" w:lineRule="auto"/>
              <w:rPr>
                <w:rFonts w:cstheme="minorHAnsi"/>
                <w:b/>
                <w:sz w:val="20"/>
                <w:szCs w:val="20"/>
              </w:rPr>
            </w:pPr>
            <w:r>
              <w:rPr>
                <w:rFonts w:cstheme="minorHAnsi"/>
                <w:b/>
                <w:sz w:val="20"/>
                <w:szCs w:val="20"/>
              </w:rPr>
              <w:t>O’Connor</w:t>
            </w:r>
            <w:r w:rsidR="00CF1F2A" w:rsidRPr="00CF1F2A">
              <w:rPr>
                <w:rFonts w:cstheme="minorHAnsi"/>
                <w:b/>
                <w:noProof/>
                <w:sz w:val="20"/>
                <w:szCs w:val="20"/>
                <w:vertAlign w:val="superscript"/>
              </w:rPr>
              <w:t>23</w:t>
            </w:r>
          </w:p>
        </w:tc>
        <w:tc>
          <w:tcPr>
            <w:tcW w:w="909" w:type="dxa"/>
            <w:tcBorders>
              <w:top w:val="nil"/>
              <w:left w:val="nil"/>
              <w:bottom w:val="nil"/>
              <w:right w:val="nil"/>
            </w:tcBorders>
          </w:tcPr>
          <w:p w14:paraId="610C3B0D" w14:textId="77777777" w:rsidR="00821F63" w:rsidRPr="00B00B11" w:rsidRDefault="00821F63" w:rsidP="00821F63">
            <w:pPr>
              <w:spacing w:line="360" w:lineRule="auto"/>
              <w:rPr>
                <w:rFonts w:cstheme="minorHAnsi"/>
                <w:sz w:val="20"/>
                <w:szCs w:val="20"/>
              </w:rPr>
            </w:pPr>
            <w:r w:rsidRPr="00B00B11">
              <w:rPr>
                <w:rFonts w:cstheme="minorHAnsi"/>
                <w:sz w:val="20"/>
                <w:szCs w:val="20"/>
              </w:rPr>
              <w:t>2016</w:t>
            </w:r>
          </w:p>
        </w:tc>
        <w:tc>
          <w:tcPr>
            <w:tcW w:w="1416" w:type="dxa"/>
            <w:tcBorders>
              <w:top w:val="nil"/>
              <w:left w:val="nil"/>
              <w:bottom w:val="nil"/>
              <w:right w:val="nil"/>
            </w:tcBorders>
          </w:tcPr>
          <w:p w14:paraId="610C3B0E"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B0F"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310" w:type="dxa"/>
            <w:tcBorders>
              <w:top w:val="nil"/>
              <w:left w:val="nil"/>
              <w:bottom w:val="nil"/>
              <w:right w:val="nil"/>
            </w:tcBorders>
          </w:tcPr>
          <w:p w14:paraId="610C3B10" w14:textId="77777777" w:rsidR="00821F63" w:rsidRPr="00B00B11" w:rsidRDefault="00821F63" w:rsidP="00821F63">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B11" w14:textId="77777777" w:rsidR="00821F63" w:rsidRPr="00B00B11" w:rsidRDefault="00821F63" w:rsidP="00821F63">
            <w:pPr>
              <w:spacing w:line="360" w:lineRule="auto"/>
              <w:rPr>
                <w:rFonts w:cstheme="minorHAnsi"/>
                <w:sz w:val="20"/>
                <w:szCs w:val="20"/>
              </w:rPr>
            </w:pPr>
            <w:r w:rsidRPr="00B00B11">
              <w:rPr>
                <w:rFonts w:cstheme="minorHAnsi"/>
                <w:sz w:val="20"/>
                <w:szCs w:val="20"/>
              </w:rPr>
              <w:t>Author defined</w:t>
            </w:r>
          </w:p>
        </w:tc>
        <w:tc>
          <w:tcPr>
            <w:tcW w:w="1544" w:type="dxa"/>
            <w:tcBorders>
              <w:top w:val="nil"/>
              <w:left w:val="nil"/>
              <w:bottom w:val="nil"/>
              <w:right w:val="nil"/>
            </w:tcBorders>
          </w:tcPr>
          <w:p w14:paraId="610C3B12"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B13" w14:textId="77777777" w:rsidR="00821F63" w:rsidRPr="00B00B11" w:rsidRDefault="00821F63" w:rsidP="00821F63">
            <w:pPr>
              <w:spacing w:line="360" w:lineRule="auto"/>
              <w:rPr>
                <w:rFonts w:cstheme="minorHAnsi"/>
                <w:sz w:val="20"/>
                <w:szCs w:val="20"/>
              </w:rPr>
            </w:pPr>
            <w:r w:rsidRPr="00B00B11">
              <w:rPr>
                <w:rFonts w:cstheme="minorHAnsi"/>
                <w:sz w:val="20"/>
                <w:szCs w:val="20"/>
              </w:rPr>
              <w:t>Hallas</w:t>
            </w:r>
          </w:p>
        </w:tc>
      </w:tr>
      <w:tr w:rsidR="00821F63" w:rsidRPr="00B00B11" w14:paraId="610C3B1D" w14:textId="77777777" w:rsidTr="008937F3">
        <w:tc>
          <w:tcPr>
            <w:tcW w:w="1672" w:type="dxa"/>
            <w:tcBorders>
              <w:top w:val="nil"/>
              <w:left w:val="single" w:sz="4" w:space="0" w:color="auto"/>
              <w:bottom w:val="nil"/>
              <w:right w:val="nil"/>
            </w:tcBorders>
          </w:tcPr>
          <w:p w14:paraId="610C3B15" w14:textId="4FDAFFFD" w:rsidR="00821F63" w:rsidRPr="00B00B11" w:rsidRDefault="00821F63" w:rsidP="00CF1F2A">
            <w:pPr>
              <w:spacing w:line="360" w:lineRule="auto"/>
              <w:rPr>
                <w:rFonts w:cstheme="minorHAnsi"/>
                <w:b/>
                <w:sz w:val="20"/>
                <w:szCs w:val="20"/>
              </w:rPr>
            </w:pPr>
            <w:r>
              <w:rPr>
                <w:rFonts w:cstheme="minorHAnsi"/>
                <w:b/>
                <w:sz w:val="20"/>
                <w:szCs w:val="20"/>
              </w:rPr>
              <w:t>Onder</w:t>
            </w:r>
            <w:r w:rsidR="00CF1F2A" w:rsidRPr="00CF1F2A">
              <w:rPr>
                <w:rFonts w:cstheme="minorHAnsi"/>
                <w:b/>
                <w:noProof/>
                <w:sz w:val="20"/>
                <w:szCs w:val="20"/>
                <w:vertAlign w:val="superscript"/>
              </w:rPr>
              <w:t>24</w:t>
            </w:r>
          </w:p>
        </w:tc>
        <w:tc>
          <w:tcPr>
            <w:tcW w:w="909" w:type="dxa"/>
            <w:tcBorders>
              <w:top w:val="nil"/>
              <w:left w:val="nil"/>
              <w:bottom w:val="nil"/>
              <w:right w:val="nil"/>
            </w:tcBorders>
          </w:tcPr>
          <w:p w14:paraId="610C3B16" w14:textId="77777777" w:rsidR="00821F63" w:rsidRPr="00B00B11" w:rsidRDefault="00821F63" w:rsidP="00821F63">
            <w:pPr>
              <w:spacing w:line="360" w:lineRule="auto"/>
              <w:rPr>
                <w:rFonts w:cstheme="minorHAnsi"/>
                <w:sz w:val="20"/>
                <w:szCs w:val="20"/>
              </w:rPr>
            </w:pPr>
            <w:r w:rsidRPr="00B00B11">
              <w:rPr>
                <w:rFonts w:cstheme="minorHAnsi"/>
                <w:sz w:val="20"/>
                <w:szCs w:val="20"/>
              </w:rPr>
              <w:t>2010</w:t>
            </w:r>
          </w:p>
        </w:tc>
        <w:tc>
          <w:tcPr>
            <w:tcW w:w="1416" w:type="dxa"/>
            <w:tcBorders>
              <w:top w:val="nil"/>
              <w:left w:val="nil"/>
              <w:bottom w:val="nil"/>
              <w:right w:val="nil"/>
            </w:tcBorders>
          </w:tcPr>
          <w:p w14:paraId="610C3B17"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B18" w14:textId="77777777" w:rsidR="00821F63" w:rsidRPr="00B00B11" w:rsidRDefault="00821F63" w:rsidP="00821F63">
            <w:pPr>
              <w:spacing w:line="360" w:lineRule="auto"/>
              <w:rPr>
                <w:rFonts w:cstheme="minorHAnsi"/>
                <w:sz w:val="20"/>
                <w:szCs w:val="20"/>
              </w:rPr>
            </w:pPr>
            <w:r w:rsidRPr="00B00B11">
              <w:rPr>
                <w:rFonts w:cstheme="minorHAnsi"/>
                <w:sz w:val="20"/>
                <w:szCs w:val="20"/>
              </w:rPr>
              <w:t>Physician; daily review of nursing and medical notes</w:t>
            </w:r>
          </w:p>
        </w:tc>
        <w:tc>
          <w:tcPr>
            <w:tcW w:w="1310" w:type="dxa"/>
            <w:tcBorders>
              <w:top w:val="nil"/>
              <w:left w:val="nil"/>
              <w:bottom w:val="nil"/>
              <w:right w:val="nil"/>
            </w:tcBorders>
          </w:tcPr>
          <w:p w14:paraId="610C3B19" w14:textId="77777777" w:rsidR="00821F63" w:rsidRPr="00B00B11" w:rsidRDefault="00821F63" w:rsidP="00821F63">
            <w:pPr>
              <w:spacing w:line="360" w:lineRule="auto"/>
              <w:rPr>
                <w:rFonts w:cstheme="minorHAnsi"/>
                <w:sz w:val="20"/>
                <w:szCs w:val="20"/>
              </w:rPr>
            </w:pPr>
            <w:r w:rsidRPr="00B00B11">
              <w:rPr>
                <w:rFonts w:cstheme="minorHAnsi"/>
                <w:sz w:val="20"/>
                <w:szCs w:val="20"/>
              </w:rPr>
              <w:t>Naranjo</w:t>
            </w:r>
          </w:p>
        </w:tc>
        <w:tc>
          <w:tcPr>
            <w:tcW w:w="2579" w:type="dxa"/>
            <w:tcBorders>
              <w:top w:val="nil"/>
              <w:left w:val="nil"/>
              <w:bottom w:val="nil"/>
              <w:right w:val="nil"/>
            </w:tcBorders>
          </w:tcPr>
          <w:p w14:paraId="610C3B1A" w14:textId="77777777" w:rsidR="00821F63" w:rsidRPr="00B00B11" w:rsidRDefault="00821F63" w:rsidP="00821F63">
            <w:pPr>
              <w:spacing w:line="360" w:lineRule="auto"/>
              <w:rPr>
                <w:rFonts w:cstheme="minorHAnsi"/>
                <w:sz w:val="20"/>
                <w:szCs w:val="20"/>
              </w:rPr>
            </w:pPr>
            <w:r w:rsidRPr="00B00B11">
              <w:rPr>
                <w:rFonts w:cstheme="minorHAnsi"/>
                <w:sz w:val="20"/>
                <w:szCs w:val="20"/>
              </w:rPr>
              <w:t>Author defined</w:t>
            </w:r>
          </w:p>
        </w:tc>
        <w:tc>
          <w:tcPr>
            <w:tcW w:w="1544" w:type="dxa"/>
            <w:tcBorders>
              <w:top w:val="nil"/>
              <w:left w:val="nil"/>
              <w:bottom w:val="nil"/>
              <w:right w:val="nil"/>
            </w:tcBorders>
          </w:tcPr>
          <w:p w14:paraId="610C3B1B"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B1C"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B26" w14:textId="77777777" w:rsidTr="008937F3">
        <w:tc>
          <w:tcPr>
            <w:tcW w:w="1672" w:type="dxa"/>
            <w:tcBorders>
              <w:top w:val="nil"/>
              <w:left w:val="single" w:sz="4" w:space="0" w:color="auto"/>
              <w:bottom w:val="nil"/>
              <w:right w:val="nil"/>
            </w:tcBorders>
          </w:tcPr>
          <w:p w14:paraId="610C3B1E" w14:textId="44CAA56D" w:rsidR="00821F63" w:rsidRPr="00B00B11" w:rsidRDefault="00821F63" w:rsidP="00CF1F2A">
            <w:pPr>
              <w:spacing w:line="360" w:lineRule="auto"/>
              <w:rPr>
                <w:rFonts w:cstheme="minorHAnsi"/>
                <w:b/>
                <w:sz w:val="20"/>
                <w:szCs w:val="20"/>
              </w:rPr>
            </w:pPr>
            <w:r>
              <w:rPr>
                <w:rFonts w:cstheme="minorHAnsi"/>
                <w:b/>
                <w:sz w:val="20"/>
                <w:szCs w:val="20"/>
              </w:rPr>
              <w:t>O’Sullivan</w:t>
            </w:r>
            <w:r w:rsidR="00CF1F2A" w:rsidRPr="00CF1F2A">
              <w:rPr>
                <w:rFonts w:cstheme="minorHAnsi"/>
                <w:b/>
                <w:noProof/>
                <w:sz w:val="20"/>
                <w:szCs w:val="20"/>
                <w:vertAlign w:val="superscript"/>
              </w:rPr>
              <w:t>25</w:t>
            </w:r>
          </w:p>
        </w:tc>
        <w:tc>
          <w:tcPr>
            <w:tcW w:w="909" w:type="dxa"/>
            <w:tcBorders>
              <w:top w:val="nil"/>
              <w:left w:val="nil"/>
              <w:bottom w:val="nil"/>
              <w:right w:val="nil"/>
            </w:tcBorders>
          </w:tcPr>
          <w:p w14:paraId="610C3B1F" w14:textId="77777777" w:rsidR="00821F63" w:rsidRPr="00B00B11" w:rsidRDefault="00821F63" w:rsidP="00821F63">
            <w:pPr>
              <w:spacing w:line="360" w:lineRule="auto"/>
              <w:rPr>
                <w:rFonts w:cstheme="minorHAnsi"/>
                <w:sz w:val="20"/>
                <w:szCs w:val="20"/>
              </w:rPr>
            </w:pPr>
            <w:r w:rsidRPr="00B00B11">
              <w:rPr>
                <w:rFonts w:cstheme="minorHAnsi"/>
                <w:sz w:val="20"/>
                <w:szCs w:val="20"/>
              </w:rPr>
              <w:t>2016</w:t>
            </w:r>
          </w:p>
        </w:tc>
        <w:tc>
          <w:tcPr>
            <w:tcW w:w="1416" w:type="dxa"/>
            <w:tcBorders>
              <w:top w:val="nil"/>
              <w:left w:val="nil"/>
              <w:bottom w:val="nil"/>
              <w:right w:val="nil"/>
            </w:tcBorders>
          </w:tcPr>
          <w:p w14:paraId="610C3B20" w14:textId="77777777" w:rsidR="00821F63" w:rsidRPr="00B00B11" w:rsidRDefault="00821F63" w:rsidP="00821F63">
            <w:pPr>
              <w:spacing w:line="360" w:lineRule="auto"/>
              <w:rPr>
                <w:rFonts w:cstheme="minorHAnsi"/>
                <w:sz w:val="20"/>
                <w:szCs w:val="20"/>
              </w:rPr>
            </w:pPr>
            <w:r w:rsidRPr="00B00B11">
              <w:rPr>
                <w:rFonts w:cstheme="minorHAnsi"/>
                <w:sz w:val="20"/>
                <w:szCs w:val="20"/>
              </w:rPr>
              <w:t>WHO</w:t>
            </w:r>
          </w:p>
        </w:tc>
        <w:tc>
          <w:tcPr>
            <w:tcW w:w="3450" w:type="dxa"/>
            <w:tcBorders>
              <w:top w:val="nil"/>
              <w:left w:val="nil"/>
              <w:bottom w:val="nil"/>
              <w:right w:val="nil"/>
            </w:tcBorders>
          </w:tcPr>
          <w:p w14:paraId="610C3B21" w14:textId="77777777" w:rsidR="00821F63" w:rsidRPr="00B00B11" w:rsidRDefault="00821F63" w:rsidP="00821F63">
            <w:pPr>
              <w:spacing w:line="360" w:lineRule="auto"/>
              <w:rPr>
                <w:rFonts w:cstheme="minorHAnsi"/>
                <w:sz w:val="20"/>
                <w:szCs w:val="20"/>
              </w:rPr>
            </w:pPr>
            <w:r w:rsidRPr="00B00B11">
              <w:rPr>
                <w:rFonts w:cstheme="minorHAnsi"/>
                <w:sz w:val="20"/>
                <w:szCs w:val="20"/>
              </w:rPr>
              <w:t xml:space="preserve">Pharmacist; D7-10/DC interview with patient </w:t>
            </w:r>
            <w:r>
              <w:rPr>
                <w:rFonts w:cstheme="minorHAnsi"/>
                <w:sz w:val="20"/>
                <w:szCs w:val="20"/>
              </w:rPr>
              <w:t>or NOK; review of notes, labs, K</w:t>
            </w:r>
            <w:r w:rsidRPr="00B00B11">
              <w:rPr>
                <w:rFonts w:cstheme="minorHAnsi"/>
                <w:sz w:val="20"/>
                <w:szCs w:val="20"/>
              </w:rPr>
              <w:t>ardex</w:t>
            </w:r>
            <w:r>
              <w:rPr>
                <w:rFonts w:cstheme="minorHAnsi"/>
                <w:sz w:val="20"/>
                <w:szCs w:val="20"/>
              </w:rPr>
              <w:t>®</w:t>
            </w:r>
            <w:r w:rsidRPr="00B00B11">
              <w:rPr>
                <w:rFonts w:cstheme="minorHAnsi"/>
                <w:sz w:val="20"/>
                <w:szCs w:val="20"/>
              </w:rPr>
              <w:t xml:space="preserve"> and trigger list. ADRs adjudicated by geriatrician.</w:t>
            </w:r>
          </w:p>
        </w:tc>
        <w:tc>
          <w:tcPr>
            <w:tcW w:w="1310" w:type="dxa"/>
            <w:tcBorders>
              <w:top w:val="nil"/>
              <w:left w:val="nil"/>
              <w:bottom w:val="nil"/>
              <w:right w:val="nil"/>
            </w:tcBorders>
          </w:tcPr>
          <w:p w14:paraId="610C3B22" w14:textId="77777777" w:rsidR="00821F63" w:rsidRPr="00B00B11" w:rsidRDefault="00821F63" w:rsidP="00821F63">
            <w:pPr>
              <w:spacing w:line="360" w:lineRule="auto"/>
              <w:rPr>
                <w:rFonts w:cstheme="minorHAnsi"/>
                <w:sz w:val="20"/>
                <w:szCs w:val="20"/>
              </w:rPr>
            </w:pPr>
            <w:r w:rsidRPr="00B00B11">
              <w:rPr>
                <w:rFonts w:cstheme="minorHAnsi"/>
                <w:sz w:val="20"/>
                <w:szCs w:val="20"/>
              </w:rPr>
              <w:t>WHO-UMC</w:t>
            </w:r>
          </w:p>
        </w:tc>
        <w:tc>
          <w:tcPr>
            <w:tcW w:w="2579" w:type="dxa"/>
            <w:tcBorders>
              <w:top w:val="nil"/>
              <w:left w:val="nil"/>
              <w:bottom w:val="nil"/>
              <w:right w:val="nil"/>
            </w:tcBorders>
          </w:tcPr>
          <w:p w14:paraId="610C3B23" w14:textId="77777777" w:rsidR="00821F63" w:rsidRPr="00B00B11" w:rsidRDefault="00821F63" w:rsidP="00821F63">
            <w:pPr>
              <w:spacing w:line="360" w:lineRule="auto"/>
              <w:rPr>
                <w:rFonts w:cstheme="minorHAnsi"/>
                <w:sz w:val="20"/>
                <w:szCs w:val="20"/>
              </w:rPr>
            </w:pPr>
            <w:r w:rsidRPr="00B00B11">
              <w:rPr>
                <w:rFonts w:cstheme="minorHAnsi"/>
                <w:sz w:val="20"/>
                <w:szCs w:val="20"/>
              </w:rPr>
              <w:t>Hartwig</w:t>
            </w:r>
          </w:p>
        </w:tc>
        <w:tc>
          <w:tcPr>
            <w:tcW w:w="1544" w:type="dxa"/>
            <w:tcBorders>
              <w:top w:val="nil"/>
              <w:left w:val="nil"/>
              <w:bottom w:val="nil"/>
              <w:right w:val="nil"/>
            </w:tcBorders>
          </w:tcPr>
          <w:p w14:paraId="610C3B24"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B25"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B39" w14:textId="77777777" w:rsidTr="008937F3">
        <w:tc>
          <w:tcPr>
            <w:tcW w:w="1672" w:type="dxa"/>
            <w:tcBorders>
              <w:top w:val="nil"/>
              <w:left w:val="single" w:sz="4" w:space="0" w:color="auto"/>
              <w:bottom w:val="nil"/>
              <w:right w:val="nil"/>
            </w:tcBorders>
          </w:tcPr>
          <w:p w14:paraId="610C3B31" w14:textId="32859A67" w:rsidR="00821F63" w:rsidRPr="00B00B11" w:rsidRDefault="00821F63" w:rsidP="00CF1F2A">
            <w:pPr>
              <w:spacing w:line="360" w:lineRule="auto"/>
              <w:rPr>
                <w:rFonts w:cstheme="minorHAnsi"/>
                <w:b/>
                <w:sz w:val="20"/>
                <w:szCs w:val="20"/>
              </w:rPr>
            </w:pPr>
            <w:r>
              <w:rPr>
                <w:rFonts w:cstheme="minorHAnsi"/>
                <w:b/>
                <w:sz w:val="20"/>
                <w:szCs w:val="20"/>
              </w:rPr>
              <w:t>Reichel</w:t>
            </w:r>
            <w:r w:rsidR="00CF1F2A" w:rsidRPr="00CF1F2A">
              <w:rPr>
                <w:rFonts w:cstheme="minorHAnsi"/>
                <w:b/>
                <w:noProof/>
                <w:sz w:val="20"/>
                <w:szCs w:val="20"/>
                <w:vertAlign w:val="superscript"/>
              </w:rPr>
              <w:t>26</w:t>
            </w:r>
          </w:p>
        </w:tc>
        <w:tc>
          <w:tcPr>
            <w:tcW w:w="909" w:type="dxa"/>
            <w:tcBorders>
              <w:top w:val="nil"/>
              <w:left w:val="nil"/>
              <w:bottom w:val="nil"/>
              <w:right w:val="nil"/>
            </w:tcBorders>
          </w:tcPr>
          <w:p w14:paraId="610C3B32" w14:textId="77777777" w:rsidR="00821F63" w:rsidRPr="00B00B11" w:rsidRDefault="00821F63" w:rsidP="00821F63">
            <w:pPr>
              <w:spacing w:line="360" w:lineRule="auto"/>
              <w:rPr>
                <w:rFonts w:cstheme="minorHAnsi"/>
                <w:sz w:val="20"/>
                <w:szCs w:val="20"/>
              </w:rPr>
            </w:pPr>
            <w:r w:rsidRPr="00B00B11">
              <w:rPr>
                <w:rFonts w:cstheme="minorHAnsi"/>
                <w:sz w:val="20"/>
                <w:szCs w:val="20"/>
              </w:rPr>
              <w:t>1965</w:t>
            </w:r>
          </w:p>
        </w:tc>
        <w:tc>
          <w:tcPr>
            <w:tcW w:w="1416" w:type="dxa"/>
            <w:tcBorders>
              <w:top w:val="nil"/>
              <w:left w:val="nil"/>
              <w:bottom w:val="nil"/>
              <w:right w:val="nil"/>
            </w:tcBorders>
          </w:tcPr>
          <w:p w14:paraId="610C3B33" w14:textId="77777777" w:rsidR="00821F63" w:rsidRPr="00B00B11" w:rsidRDefault="00821F63" w:rsidP="00821F63">
            <w:pPr>
              <w:spacing w:line="360" w:lineRule="auto"/>
              <w:rPr>
                <w:rFonts w:cstheme="minorHAnsi"/>
                <w:sz w:val="20"/>
                <w:szCs w:val="20"/>
              </w:rPr>
            </w:pPr>
            <w:r w:rsidRPr="00B00B11">
              <w:rPr>
                <w:rFonts w:cstheme="minorHAnsi"/>
                <w:sz w:val="20"/>
                <w:szCs w:val="20"/>
              </w:rPr>
              <w:t>Author defined - "new problem"</w:t>
            </w:r>
          </w:p>
        </w:tc>
        <w:tc>
          <w:tcPr>
            <w:tcW w:w="3450" w:type="dxa"/>
            <w:tcBorders>
              <w:top w:val="nil"/>
              <w:left w:val="nil"/>
              <w:bottom w:val="nil"/>
              <w:right w:val="nil"/>
            </w:tcBorders>
          </w:tcPr>
          <w:p w14:paraId="610C3B34" w14:textId="77777777" w:rsidR="00821F63" w:rsidRPr="00B00B11" w:rsidRDefault="00821F63" w:rsidP="00821F63">
            <w:pPr>
              <w:spacing w:line="360" w:lineRule="auto"/>
              <w:rPr>
                <w:rFonts w:cstheme="minorHAnsi"/>
                <w:sz w:val="20"/>
                <w:szCs w:val="20"/>
              </w:rPr>
            </w:pPr>
            <w:r w:rsidRPr="00B00B11">
              <w:rPr>
                <w:rFonts w:cstheme="minorHAnsi"/>
                <w:sz w:val="20"/>
                <w:szCs w:val="20"/>
              </w:rPr>
              <w:t>Physician; daily chart review - la</w:t>
            </w:r>
            <w:r>
              <w:rPr>
                <w:rFonts w:cstheme="minorHAnsi"/>
                <w:sz w:val="20"/>
                <w:szCs w:val="20"/>
              </w:rPr>
              <w:t>bs, medical and nursing notes, K</w:t>
            </w:r>
            <w:r w:rsidRPr="00B00B11">
              <w:rPr>
                <w:rFonts w:cstheme="minorHAnsi"/>
                <w:sz w:val="20"/>
                <w:szCs w:val="20"/>
              </w:rPr>
              <w:t>ardex</w:t>
            </w:r>
            <w:r>
              <w:rPr>
                <w:rFonts w:cstheme="minorHAnsi"/>
                <w:sz w:val="20"/>
                <w:szCs w:val="20"/>
              </w:rPr>
              <w:t>®</w:t>
            </w:r>
            <w:r w:rsidRPr="00B00B11">
              <w:rPr>
                <w:rFonts w:cstheme="minorHAnsi"/>
                <w:sz w:val="20"/>
                <w:szCs w:val="20"/>
              </w:rPr>
              <w:t xml:space="preserve">, investigations, autopsy reports </w:t>
            </w:r>
          </w:p>
        </w:tc>
        <w:tc>
          <w:tcPr>
            <w:tcW w:w="1310" w:type="dxa"/>
            <w:tcBorders>
              <w:top w:val="nil"/>
              <w:left w:val="nil"/>
              <w:bottom w:val="nil"/>
              <w:right w:val="nil"/>
            </w:tcBorders>
          </w:tcPr>
          <w:p w14:paraId="610C3B35"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2579" w:type="dxa"/>
            <w:tcBorders>
              <w:top w:val="nil"/>
              <w:left w:val="nil"/>
              <w:bottom w:val="nil"/>
              <w:right w:val="nil"/>
            </w:tcBorders>
          </w:tcPr>
          <w:p w14:paraId="610C3B36"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544" w:type="dxa"/>
            <w:tcBorders>
              <w:top w:val="nil"/>
              <w:left w:val="nil"/>
              <w:bottom w:val="nil"/>
              <w:right w:val="nil"/>
            </w:tcBorders>
          </w:tcPr>
          <w:p w14:paraId="610C3B37"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nil"/>
              <w:right w:val="single" w:sz="4" w:space="0" w:color="auto"/>
            </w:tcBorders>
          </w:tcPr>
          <w:p w14:paraId="610C3B38"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r w:rsidR="00821F63" w:rsidRPr="00B00B11" w14:paraId="610C3B42" w14:textId="77777777" w:rsidTr="008937F3">
        <w:tc>
          <w:tcPr>
            <w:tcW w:w="1672" w:type="dxa"/>
            <w:tcBorders>
              <w:top w:val="nil"/>
              <w:left w:val="single" w:sz="4" w:space="0" w:color="auto"/>
              <w:bottom w:val="nil"/>
              <w:right w:val="nil"/>
            </w:tcBorders>
          </w:tcPr>
          <w:p w14:paraId="610C3B3A" w14:textId="3C77A42E" w:rsidR="00821F63" w:rsidRPr="00B00B11" w:rsidRDefault="00821F63" w:rsidP="00CF1F2A">
            <w:pPr>
              <w:spacing w:line="360" w:lineRule="auto"/>
              <w:rPr>
                <w:rFonts w:cstheme="minorHAnsi"/>
                <w:b/>
                <w:sz w:val="20"/>
                <w:szCs w:val="20"/>
              </w:rPr>
            </w:pPr>
            <w:r>
              <w:rPr>
                <w:rFonts w:cstheme="minorHAnsi"/>
                <w:b/>
                <w:sz w:val="20"/>
                <w:szCs w:val="20"/>
              </w:rPr>
              <w:t>Tangiisuran</w:t>
            </w:r>
            <w:r w:rsidR="00CF1F2A" w:rsidRPr="00CF1F2A">
              <w:rPr>
                <w:rFonts w:cstheme="minorHAnsi"/>
                <w:b/>
                <w:noProof/>
                <w:sz w:val="20"/>
                <w:szCs w:val="20"/>
                <w:vertAlign w:val="superscript"/>
              </w:rPr>
              <w:t>34</w:t>
            </w:r>
          </w:p>
        </w:tc>
        <w:tc>
          <w:tcPr>
            <w:tcW w:w="909" w:type="dxa"/>
            <w:tcBorders>
              <w:top w:val="nil"/>
              <w:left w:val="nil"/>
              <w:bottom w:val="nil"/>
              <w:right w:val="nil"/>
            </w:tcBorders>
          </w:tcPr>
          <w:p w14:paraId="610C3B3B" w14:textId="77777777" w:rsidR="00821F63" w:rsidRPr="00B00B11" w:rsidRDefault="00821F63" w:rsidP="00821F63">
            <w:pPr>
              <w:spacing w:line="360" w:lineRule="auto"/>
              <w:rPr>
                <w:rFonts w:cstheme="minorHAnsi"/>
                <w:sz w:val="20"/>
                <w:szCs w:val="20"/>
              </w:rPr>
            </w:pPr>
            <w:r w:rsidRPr="00B00B11">
              <w:rPr>
                <w:rFonts w:cstheme="minorHAnsi"/>
                <w:sz w:val="20"/>
                <w:szCs w:val="20"/>
              </w:rPr>
              <w:t>2012</w:t>
            </w:r>
          </w:p>
        </w:tc>
        <w:tc>
          <w:tcPr>
            <w:tcW w:w="1416" w:type="dxa"/>
            <w:tcBorders>
              <w:top w:val="nil"/>
              <w:left w:val="nil"/>
              <w:bottom w:val="nil"/>
              <w:right w:val="nil"/>
            </w:tcBorders>
          </w:tcPr>
          <w:p w14:paraId="610C3B3C" w14:textId="77777777" w:rsidR="00821F63" w:rsidRPr="00B00B11" w:rsidRDefault="00821F63" w:rsidP="00821F63">
            <w:pPr>
              <w:spacing w:line="360" w:lineRule="auto"/>
              <w:rPr>
                <w:rFonts w:cstheme="minorHAnsi"/>
                <w:sz w:val="20"/>
                <w:szCs w:val="20"/>
              </w:rPr>
            </w:pPr>
            <w:r w:rsidRPr="00B00B11">
              <w:rPr>
                <w:rFonts w:cstheme="minorHAnsi"/>
                <w:sz w:val="20"/>
                <w:szCs w:val="20"/>
              </w:rPr>
              <w:t>Edwards &amp; Aronson</w:t>
            </w:r>
          </w:p>
        </w:tc>
        <w:tc>
          <w:tcPr>
            <w:tcW w:w="3450" w:type="dxa"/>
            <w:tcBorders>
              <w:top w:val="nil"/>
              <w:left w:val="nil"/>
              <w:bottom w:val="nil"/>
              <w:right w:val="nil"/>
            </w:tcBorders>
          </w:tcPr>
          <w:p w14:paraId="610C3B3D" w14:textId="77777777" w:rsidR="00821F63" w:rsidRPr="00B00B11" w:rsidRDefault="00821F63" w:rsidP="00821F63">
            <w:pPr>
              <w:spacing w:line="360" w:lineRule="auto"/>
              <w:rPr>
                <w:rFonts w:cstheme="minorHAnsi"/>
                <w:sz w:val="20"/>
                <w:szCs w:val="20"/>
              </w:rPr>
            </w:pPr>
            <w:r w:rsidRPr="00B00B11">
              <w:rPr>
                <w:rFonts w:cstheme="minorHAnsi"/>
                <w:sz w:val="20"/>
                <w:szCs w:val="20"/>
              </w:rPr>
              <w:t>3 step process – identify</w:t>
            </w:r>
            <w:r>
              <w:rPr>
                <w:rFonts w:cstheme="minorHAnsi"/>
                <w:sz w:val="20"/>
                <w:szCs w:val="20"/>
              </w:rPr>
              <w:t>,</w:t>
            </w:r>
            <w:r w:rsidRPr="00B00B11">
              <w:rPr>
                <w:rFonts w:cstheme="minorHAnsi"/>
                <w:sz w:val="20"/>
                <w:szCs w:val="20"/>
              </w:rPr>
              <w:t xml:space="preserve"> confirm and classify; daily review of labs, notes, prescriptions </w:t>
            </w:r>
          </w:p>
        </w:tc>
        <w:tc>
          <w:tcPr>
            <w:tcW w:w="1310" w:type="dxa"/>
            <w:tcBorders>
              <w:top w:val="nil"/>
              <w:left w:val="nil"/>
              <w:bottom w:val="nil"/>
              <w:right w:val="nil"/>
            </w:tcBorders>
          </w:tcPr>
          <w:p w14:paraId="610C3B3E" w14:textId="77777777" w:rsidR="00821F63" w:rsidRPr="00B00B11" w:rsidRDefault="00821F63" w:rsidP="00821F63">
            <w:pPr>
              <w:spacing w:line="360" w:lineRule="auto"/>
              <w:rPr>
                <w:rFonts w:cstheme="minorHAnsi"/>
                <w:sz w:val="20"/>
                <w:szCs w:val="20"/>
              </w:rPr>
            </w:pPr>
            <w:r w:rsidRPr="00B00B11">
              <w:rPr>
                <w:rFonts w:cstheme="minorHAnsi"/>
                <w:sz w:val="20"/>
                <w:szCs w:val="20"/>
              </w:rPr>
              <w:t>Hallas</w:t>
            </w:r>
          </w:p>
        </w:tc>
        <w:tc>
          <w:tcPr>
            <w:tcW w:w="2579" w:type="dxa"/>
            <w:tcBorders>
              <w:top w:val="nil"/>
              <w:left w:val="nil"/>
              <w:bottom w:val="nil"/>
              <w:right w:val="nil"/>
            </w:tcBorders>
          </w:tcPr>
          <w:p w14:paraId="610C3B3F" w14:textId="77777777" w:rsidR="00821F63" w:rsidRPr="00B00B11" w:rsidRDefault="00821F63" w:rsidP="00821F63">
            <w:pPr>
              <w:spacing w:line="360" w:lineRule="auto"/>
              <w:rPr>
                <w:rFonts w:cstheme="minorHAnsi"/>
                <w:sz w:val="20"/>
                <w:szCs w:val="20"/>
              </w:rPr>
            </w:pPr>
            <w:r w:rsidRPr="00B00B11">
              <w:rPr>
                <w:rFonts w:cstheme="minorHAnsi"/>
                <w:sz w:val="20"/>
                <w:szCs w:val="20"/>
              </w:rPr>
              <w:t>Morimoto</w:t>
            </w:r>
          </w:p>
        </w:tc>
        <w:tc>
          <w:tcPr>
            <w:tcW w:w="1544" w:type="dxa"/>
            <w:tcBorders>
              <w:top w:val="nil"/>
              <w:left w:val="nil"/>
              <w:bottom w:val="nil"/>
              <w:right w:val="nil"/>
            </w:tcBorders>
          </w:tcPr>
          <w:p w14:paraId="610C3B40" w14:textId="77777777" w:rsidR="00821F63" w:rsidRPr="00B00B11" w:rsidRDefault="00821F63" w:rsidP="00821F63">
            <w:pPr>
              <w:spacing w:line="360" w:lineRule="auto"/>
              <w:rPr>
                <w:rFonts w:cstheme="minorHAnsi"/>
                <w:sz w:val="20"/>
                <w:szCs w:val="20"/>
              </w:rPr>
            </w:pPr>
            <w:r w:rsidRPr="00B00B11">
              <w:rPr>
                <w:rFonts w:cstheme="minorHAnsi"/>
                <w:sz w:val="20"/>
                <w:szCs w:val="20"/>
              </w:rPr>
              <w:t>Rawlins &amp; Thompson</w:t>
            </w:r>
          </w:p>
        </w:tc>
        <w:tc>
          <w:tcPr>
            <w:tcW w:w="1826" w:type="dxa"/>
            <w:tcBorders>
              <w:top w:val="nil"/>
              <w:left w:val="nil"/>
              <w:bottom w:val="nil"/>
              <w:right w:val="single" w:sz="4" w:space="0" w:color="auto"/>
            </w:tcBorders>
          </w:tcPr>
          <w:p w14:paraId="610C3B41" w14:textId="77777777" w:rsidR="00821F63" w:rsidRPr="00B00B11" w:rsidRDefault="00821F63" w:rsidP="00821F63">
            <w:pPr>
              <w:spacing w:line="360" w:lineRule="auto"/>
              <w:rPr>
                <w:rFonts w:cstheme="minorHAnsi"/>
                <w:sz w:val="20"/>
                <w:szCs w:val="20"/>
              </w:rPr>
            </w:pPr>
            <w:r w:rsidRPr="00B00B11">
              <w:rPr>
                <w:rFonts w:cstheme="minorHAnsi"/>
                <w:sz w:val="20"/>
                <w:szCs w:val="20"/>
              </w:rPr>
              <w:t>Hallas</w:t>
            </w:r>
          </w:p>
        </w:tc>
      </w:tr>
      <w:tr w:rsidR="00821F63" w:rsidRPr="00B00B11" w14:paraId="610C3B4D" w14:textId="77777777" w:rsidTr="008937F3">
        <w:tc>
          <w:tcPr>
            <w:tcW w:w="1672" w:type="dxa"/>
            <w:tcBorders>
              <w:top w:val="nil"/>
              <w:left w:val="single" w:sz="4" w:space="0" w:color="auto"/>
              <w:bottom w:val="single" w:sz="4" w:space="0" w:color="auto"/>
              <w:right w:val="nil"/>
            </w:tcBorders>
          </w:tcPr>
          <w:p w14:paraId="610C3B43" w14:textId="4015F103" w:rsidR="00821F63" w:rsidRPr="00B00B11" w:rsidRDefault="00821F63" w:rsidP="00CF1F2A">
            <w:pPr>
              <w:spacing w:line="360" w:lineRule="auto"/>
              <w:rPr>
                <w:rFonts w:cstheme="minorHAnsi"/>
                <w:b/>
                <w:sz w:val="20"/>
                <w:szCs w:val="20"/>
              </w:rPr>
            </w:pPr>
            <w:r>
              <w:rPr>
                <w:rFonts w:cstheme="minorHAnsi"/>
                <w:b/>
                <w:sz w:val="20"/>
                <w:szCs w:val="20"/>
              </w:rPr>
              <w:t>Tangiisuran</w:t>
            </w:r>
            <w:r w:rsidR="00CF1F2A" w:rsidRPr="00CF1F2A">
              <w:rPr>
                <w:rFonts w:cstheme="minorHAnsi"/>
                <w:b/>
                <w:noProof/>
                <w:sz w:val="20"/>
                <w:szCs w:val="20"/>
                <w:vertAlign w:val="superscript"/>
              </w:rPr>
              <w:t>35</w:t>
            </w:r>
          </w:p>
        </w:tc>
        <w:tc>
          <w:tcPr>
            <w:tcW w:w="909" w:type="dxa"/>
            <w:tcBorders>
              <w:top w:val="nil"/>
              <w:left w:val="nil"/>
              <w:bottom w:val="single" w:sz="4" w:space="0" w:color="auto"/>
              <w:right w:val="nil"/>
            </w:tcBorders>
          </w:tcPr>
          <w:p w14:paraId="610C3B44" w14:textId="77777777" w:rsidR="00821F63" w:rsidRPr="00B00B11" w:rsidRDefault="00821F63" w:rsidP="00821F63">
            <w:pPr>
              <w:spacing w:line="360" w:lineRule="auto"/>
              <w:rPr>
                <w:rFonts w:cstheme="minorHAnsi"/>
                <w:sz w:val="20"/>
                <w:szCs w:val="20"/>
              </w:rPr>
            </w:pPr>
            <w:r w:rsidRPr="00B00B11">
              <w:rPr>
                <w:rFonts w:cstheme="minorHAnsi"/>
                <w:sz w:val="20"/>
                <w:szCs w:val="20"/>
              </w:rPr>
              <w:t>2014</w:t>
            </w:r>
          </w:p>
        </w:tc>
        <w:tc>
          <w:tcPr>
            <w:tcW w:w="1416" w:type="dxa"/>
            <w:tcBorders>
              <w:top w:val="nil"/>
              <w:left w:val="nil"/>
              <w:bottom w:val="single" w:sz="4" w:space="0" w:color="auto"/>
              <w:right w:val="nil"/>
            </w:tcBorders>
          </w:tcPr>
          <w:p w14:paraId="610C3B45" w14:textId="77777777" w:rsidR="00821F63" w:rsidRPr="00B00B11" w:rsidRDefault="00821F63" w:rsidP="00821F63">
            <w:pPr>
              <w:spacing w:line="360" w:lineRule="auto"/>
              <w:rPr>
                <w:rFonts w:cstheme="minorHAnsi"/>
                <w:sz w:val="20"/>
                <w:szCs w:val="20"/>
              </w:rPr>
            </w:pPr>
            <w:r w:rsidRPr="00B00B11">
              <w:rPr>
                <w:rFonts w:cstheme="minorHAnsi"/>
                <w:sz w:val="20"/>
                <w:szCs w:val="20"/>
              </w:rPr>
              <w:t xml:space="preserve">Edwards &amp; Aronson </w:t>
            </w:r>
            <w:r w:rsidRPr="00B00B11">
              <w:rPr>
                <w:rFonts w:cstheme="minorHAnsi"/>
                <w:sz w:val="20"/>
                <w:szCs w:val="20"/>
                <w:vertAlign w:val="superscript"/>
              </w:rPr>
              <w:t>D</w:t>
            </w:r>
          </w:p>
          <w:p w14:paraId="610C3B46" w14:textId="77777777" w:rsidR="00821F63" w:rsidRPr="00B00B11" w:rsidRDefault="00821F63" w:rsidP="00821F63">
            <w:pPr>
              <w:spacing w:line="360" w:lineRule="auto"/>
              <w:rPr>
                <w:rFonts w:cstheme="minorHAnsi"/>
                <w:sz w:val="20"/>
                <w:szCs w:val="20"/>
              </w:rPr>
            </w:pPr>
            <w:r w:rsidRPr="00B00B11">
              <w:rPr>
                <w:rFonts w:cstheme="minorHAnsi"/>
                <w:sz w:val="20"/>
                <w:szCs w:val="20"/>
              </w:rPr>
              <w:t xml:space="preserve">Not documented </w:t>
            </w:r>
            <w:r w:rsidRPr="00B00B11">
              <w:rPr>
                <w:rFonts w:cstheme="minorHAnsi"/>
                <w:sz w:val="20"/>
                <w:szCs w:val="20"/>
                <w:vertAlign w:val="superscript"/>
              </w:rPr>
              <w:t>V</w:t>
            </w:r>
          </w:p>
        </w:tc>
        <w:tc>
          <w:tcPr>
            <w:tcW w:w="3450" w:type="dxa"/>
            <w:tcBorders>
              <w:top w:val="nil"/>
              <w:left w:val="nil"/>
              <w:bottom w:val="single" w:sz="4" w:space="0" w:color="auto"/>
              <w:right w:val="nil"/>
            </w:tcBorders>
          </w:tcPr>
          <w:p w14:paraId="610C3B47" w14:textId="77777777" w:rsidR="00821F63" w:rsidRPr="00B00B11" w:rsidRDefault="00821F63" w:rsidP="00821F63">
            <w:pPr>
              <w:spacing w:line="360" w:lineRule="auto"/>
              <w:rPr>
                <w:rFonts w:cstheme="minorHAnsi"/>
                <w:sz w:val="20"/>
                <w:szCs w:val="20"/>
              </w:rPr>
            </w:pPr>
            <w:r w:rsidRPr="00B00B11">
              <w:rPr>
                <w:rFonts w:cstheme="minorHAnsi"/>
                <w:sz w:val="20"/>
                <w:szCs w:val="20"/>
              </w:rPr>
              <w:t>Primary investigator trigger tool and review of medical and nursing notes, labs, drug charts and incident forms</w:t>
            </w:r>
          </w:p>
        </w:tc>
        <w:tc>
          <w:tcPr>
            <w:tcW w:w="1310" w:type="dxa"/>
            <w:tcBorders>
              <w:top w:val="nil"/>
              <w:left w:val="nil"/>
              <w:bottom w:val="single" w:sz="4" w:space="0" w:color="auto"/>
              <w:right w:val="nil"/>
            </w:tcBorders>
          </w:tcPr>
          <w:p w14:paraId="610C3B48" w14:textId="77777777" w:rsidR="00821F63" w:rsidRPr="00B00B11" w:rsidRDefault="00821F63" w:rsidP="00821F63">
            <w:pPr>
              <w:spacing w:line="360" w:lineRule="auto"/>
              <w:rPr>
                <w:rFonts w:cstheme="minorHAnsi"/>
                <w:sz w:val="20"/>
                <w:szCs w:val="20"/>
              </w:rPr>
            </w:pPr>
            <w:r w:rsidRPr="00B00B11">
              <w:rPr>
                <w:rFonts w:cstheme="minorHAnsi"/>
                <w:sz w:val="20"/>
                <w:szCs w:val="20"/>
              </w:rPr>
              <w:t xml:space="preserve">Hallas </w:t>
            </w:r>
            <w:r w:rsidRPr="00B00B11">
              <w:rPr>
                <w:rFonts w:cstheme="minorHAnsi"/>
                <w:sz w:val="20"/>
                <w:szCs w:val="20"/>
                <w:vertAlign w:val="superscript"/>
              </w:rPr>
              <w:t>D</w:t>
            </w:r>
          </w:p>
          <w:p w14:paraId="610C3B49" w14:textId="77777777" w:rsidR="00821F63" w:rsidRPr="00B00B11" w:rsidRDefault="00821F63" w:rsidP="00821F63">
            <w:pPr>
              <w:spacing w:line="360" w:lineRule="auto"/>
              <w:rPr>
                <w:rFonts w:cstheme="minorHAnsi"/>
                <w:sz w:val="20"/>
                <w:szCs w:val="20"/>
              </w:rPr>
            </w:pPr>
            <w:r w:rsidRPr="00B00B11">
              <w:rPr>
                <w:rFonts w:cstheme="minorHAnsi"/>
                <w:sz w:val="20"/>
                <w:szCs w:val="20"/>
              </w:rPr>
              <w:t xml:space="preserve">Naranjo </w:t>
            </w:r>
            <w:r w:rsidRPr="00B00B11">
              <w:rPr>
                <w:rFonts w:cstheme="minorHAnsi"/>
                <w:sz w:val="20"/>
                <w:szCs w:val="20"/>
                <w:vertAlign w:val="superscript"/>
              </w:rPr>
              <w:t>V</w:t>
            </w:r>
          </w:p>
        </w:tc>
        <w:tc>
          <w:tcPr>
            <w:tcW w:w="2579" w:type="dxa"/>
            <w:tcBorders>
              <w:top w:val="nil"/>
              <w:left w:val="nil"/>
              <w:bottom w:val="single" w:sz="4" w:space="0" w:color="auto"/>
              <w:right w:val="nil"/>
            </w:tcBorders>
          </w:tcPr>
          <w:p w14:paraId="610C3B4A"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544" w:type="dxa"/>
            <w:tcBorders>
              <w:top w:val="nil"/>
              <w:left w:val="nil"/>
              <w:bottom w:val="single" w:sz="4" w:space="0" w:color="auto"/>
              <w:right w:val="nil"/>
            </w:tcBorders>
          </w:tcPr>
          <w:p w14:paraId="610C3B4B"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c>
          <w:tcPr>
            <w:tcW w:w="1826" w:type="dxa"/>
            <w:tcBorders>
              <w:top w:val="nil"/>
              <w:left w:val="nil"/>
              <w:bottom w:val="single" w:sz="4" w:space="0" w:color="auto"/>
              <w:right w:val="single" w:sz="4" w:space="0" w:color="auto"/>
            </w:tcBorders>
          </w:tcPr>
          <w:p w14:paraId="610C3B4C" w14:textId="77777777" w:rsidR="00821F63" w:rsidRPr="00B00B11" w:rsidRDefault="00821F63" w:rsidP="00821F63">
            <w:pPr>
              <w:spacing w:line="360" w:lineRule="auto"/>
              <w:rPr>
                <w:rFonts w:cstheme="minorHAnsi"/>
                <w:sz w:val="20"/>
                <w:szCs w:val="20"/>
              </w:rPr>
            </w:pPr>
            <w:r w:rsidRPr="00B00B11">
              <w:rPr>
                <w:rFonts w:cstheme="minorHAnsi"/>
                <w:sz w:val="20"/>
                <w:szCs w:val="20"/>
              </w:rPr>
              <w:t>Not documented</w:t>
            </w:r>
          </w:p>
        </w:tc>
      </w:tr>
    </w:tbl>
    <w:p w14:paraId="610C3B4E" w14:textId="6C2EE6B3" w:rsidR="007D57FB" w:rsidRPr="00024C9D" w:rsidRDefault="007D57FB" w:rsidP="005B3E6B">
      <w:pPr>
        <w:spacing w:line="360" w:lineRule="auto"/>
        <w:jc w:val="both"/>
      </w:pPr>
      <w:r>
        <w:rPr>
          <w:rFonts w:cstheme="minorHAnsi"/>
          <w:i/>
          <w:sz w:val="20"/>
          <w:szCs w:val="20"/>
        </w:rPr>
        <w:t xml:space="preserve">WHO – World Health Organisation, </w:t>
      </w:r>
      <w:r w:rsidRPr="00B00B11">
        <w:rPr>
          <w:rFonts w:cstheme="minorHAnsi"/>
          <w:i/>
          <w:sz w:val="20"/>
          <w:szCs w:val="20"/>
        </w:rPr>
        <w:t>TP – Time point</w:t>
      </w:r>
      <w:r>
        <w:rPr>
          <w:rFonts w:cstheme="minorHAnsi"/>
          <w:i/>
          <w:sz w:val="20"/>
          <w:szCs w:val="20"/>
        </w:rPr>
        <w:t xml:space="preserve"> WHO-UMC – World Health Organisation </w:t>
      </w:r>
      <w:r w:rsidRPr="00006E59">
        <w:rPr>
          <w:rFonts w:cstheme="minorHAnsi"/>
          <w:i/>
          <w:sz w:val="20"/>
          <w:szCs w:val="20"/>
        </w:rPr>
        <w:t>Uppsala Monitoring Centre</w:t>
      </w:r>
      <w:r>
        <w:rPr>
          <w:rFonts w:cstheme="minorHAnsi"/>
          <w:i/>
          <w:sz w:val="20"/>
          <w:szCs w:val="20"/>
        </w:rPr>
        <w:t xml:space="preserve">, DoTs – Dose, time and susceptibility classification, WHO-ART – World Health Organisation Adverse Drug Reaction Terminology, EMA - </w:t>
      </w:r>
      <w:r w:rsidRPr="007A6CDB">
        <w:rPr>
          <w:rFonts w:cstheme="minorHAnsi"/>
          <w:i/>
          <w:sz w:val="20"/>
          <w:szCs w:val="20"/>
        </w:rPr>
        <w:t>European Medicines Agency</w:t>
      </w:r>
      <w:r>
        <w:rPr>
          <w:rFonts w:cstheme="minorHAnsi"/>
          <w:i/>
          <w:sz w:val="20"/>
          <w:szCs w:val="20"/>
        </w:rPr>
        <w:t xml:space="preserve">, MedDRA-SOC® - </w:t>
      </w:r>
      <w:r w:rsidRPr="00C41DEF">
        <w:rPr>
          <w:rFonts w:cstheme="minorHAnsi"/>
          <w:i/>
          <w:sz w:val="20"/>
          <w:szCs w:val="20"/>
        </w:rPr>
        <w:t>Medical Dictionary for Regulatory Activities</w:t>
      </w:r>
      <w:r>
        <w:rPr>
          <w:rFonts w:cstheme="minorHAnsi"/>
          <w:i/>
          <w:sz w:val="20"/>
          <w:szCs w:val="20"/>
        </w:rPr>
        <w:t xml:space="preserve"> System Organ Classes</w:t>
      </w:r>
      <w:r w:rsidRPr="00B00B11">
        <w:rPr>
          <w:rFonts w:cstheme="minorHAnsi"/>
          <w:i/>
          <w:sz w:val="20"/>
          <w:szCs w:val="20"/>
        </w:rPr>
        <w:t xml:space="preserve">, D – Day, DC – Discharge, SPC – Summaries of Product Characteristics, NOK – next of kin,  </w:t>
      </w:r>
      <w:r w:rsidRPr="00B00B11">
        <w:rPr>
          <w:rFonts w:cstheme="minorHAnsi"/>
          <w:i/>
          <w:sz w:val="20"/>
          <w:szCs w:val="20"/>
          <w:vertAlign w:val="superscript"/>
        </w:rPr>
        <w:t xml:space="preserve"> D</w:t>
      </w:r>
      <w:r w:rsidRPr="00B00B11">
        <w:rPr>
          <w:rFonts w:cstheme="minorHAnsi"/>
          <w:i/>
          <w:sz w:val="20"/>
          <w:szCs w:val="20"/>
        </w:rPr>
        <w:t xml:space="preserve"> – development group, </w:t>
      </w:r>
      <w:r w:rsidRPr="00B00B11">
        <w:rPr>
          <w:rFonts w:cstheme="minorHAnsi"/>
          <w:i/>
          <w:sz w:val="20"/>
          <w:szCs w:val="20"/>
          <w:vertAlign w:val="superscript"/>
        </w:rPr>
        <w:t>V</w:t>
      </w:r>
      <w:r>
        <w:rPr>
          <w:rFonts w:cstheme="minorHAnsi"/>
          <w:i/>
          <w:sz w:val="20"/>
          <w:szCs w:val="20"/>
        </w:rPr>
        <w:t xml:space="preserve"> – validation group, DoTs –.</w:t>
      </w:r>
      <w:r w:rsidR="00D604AC">
        <w:rPr>
          <w:rFonts w:cstheme="minorHAnsi"/>
          <w:i/>
          <w:sz w:val="20"/>
          <w:szCs w:val="20"/>
        </w:rPr>
        <w:t>; DRPs – drug related problems.</w:t>
      </w:r>
    </w:p>
    <w:p w14:paraId="610C3B4F" w14:textId="77777777" w:rsidR="007D57FB" w:rsidRDefault="007D57FB" w:rsidP="005B3E6B">
      <w:pPr>
        <w:spacing w:line="360" w:lineRule="auto"/>
        <w:jc w:val="both"/>
        <w:rPr>
          <w:rFonts w:cstheme="minorHAnsi"/>
          <w:i/>
          <w:sz w:val="20"/>
          <w:szCs w:val="20"/>
        </w:rPr>
      </w:pPr>
      <w:r w:rsidRPr="00DA24C5">
        <w:rPr>
          <w:rFonts w:cstheme="minorHAnsi"/>
          <w:b/>
          <w:i/>
          <w:sz w:val="20"/>
          <w:szCs w:val="20"/>
          <w:u w:val="single"/>
        </w:rPr>
        <w:t>Definitions</w:t>
      </w:r>
      <w:r>
        <w:rPr>
          <w:rFonts w:cstheme="minorHAnsi"/>
          <w:i/>
          <w:sz w:val="20"/>
          <w:szCs w:val="20"/>
        </w:rPr>
        <w:t xml:space="preserve"> </w:t>
      </w:r>
    </w:p>
    <w:p w14:paraId="610C3B50" w14:textId="39509EF0" w:rsidR="007D57FB" w:rsidRDefault="007D57FB" w:rsidP="005B3E6B">
      <w:pPr>
        <w:spacing w:line="360" w:lineRule="auto"/>
        <w:jc w:val="both"/>
        <w:rPr>
          <w:rFonts w:cstheme="minorHAnsi"/>
          <w:i/>
          <w:sz w:val="20"/>
          <w:szCs w:val="20"/>
        </w:rPr>
      </w:pPr>
      <w:r w:rsidRPr="00DA24C5">
        <w:rPr>
          <w:rFonts w:cstheme="minorHAnsi"/>
          <w:b/>
          <w:i/>
          <w:sz w:val="20"/>
          <w:szCs w:val="20"/>
        </w:rPr>
        <w:t>WHO</w:t>
      </w:r>
      <w:r w:rsidR="006413AA" w:rsidRPr="006413AA">
        <w:rPr>
          <w:rFonts w:cstheme="minorHAnsi"/>
          <w:b/>
          <w:i/>
          <w:noProof/>
          <w:sz w:val="20"/>
          <w:szCs w:val="20"/>
          <w:vertAlign w:val="superscript"/>
        </w:rPr>
        <w:t>37</w:t>
      </w:r>
      <w:r>
        <w:rPr>
          <w:rFonts w:cstheme="minorHAnsi"/>
          <w:i/>
          <w:sz w:val="20"/>
          <w:szCs w:val="20"/>
        </w:rPr>
        <w:t xml:space="preserve"> </w:t>
      </w:r>
      <w:r w:rsidRPr="00D755FB">
        <w:rPr>
          <w:rFonts w:cstheme="minorHAnsi"/>
          <w:i/>
          <w:sz w:val="20"/>
          <w:szCs w:val="20"/>
        </w:rPr>
        <w:t>“a response to a drug which is noxious and unintended, and which occurs at doses normally used in man for the prophylaxis, diagnosis, or therapy of disease, or for the modification of physiological function.”</w:t>
      </w:r>
      <w:r>
        <w:rPr>
          <w:rFonts w:cstheme="minorHAnsi"/>
          <w:i/>
          <w:sz w:val="20"/>
          <w:szCs w:val="20"/>
        </w:rPr>
        <w:t xml:space="preserve"> </w:t>
      </w:r>
    </w:p>
    <w:p w14:paraId="610C3B51" w14:textId="41F88820" w:rsidR="007D57FB" w:rsidRDefault="007D57FB" w:rsidP="005B3E6B">
      <w:pPr>
        <w:spacing w:line="360" w:lineRule="auto"/>
        <w:jc w:val="both"/>
        <w:rPr>
          <w:rFonts w:cstheme="minorHAnsi"/>
          <w:i/>
          <w:sz w:val="20"/>
          <w:szCs w:val="20"/>
        </w:rPr>
      </w:pPr>
      <w:r w:rsidRPr="00DA24C5">
        <w:rPr>
          <w:rFonts w:cstheme="minorHAnsi"/>
          <w:b/>
          <w:i/>
          <w:sz w:val="20"/>
          <w:szCs w:val="20"/>
        </w:rPr>
        <w:t>Edwards and Aronson</w:t>
      </w:r>
      <w:r w:rsidR="006413AA" w:rsidRPr="006413AA">
        <w:rPr>
          <w:rFonts w:cstheme="minorHAnsi"/>
          <w:b/>
          <w:i/>
          <w:noProof/>
          <w:sz w:val="20"/>
          <w:szCs w:val="20"/>
          <w:vertAlign w:val="superscript"/>
        </w:rPr>
        <w:t>38</w:t>
      </w:r>
      <w:r>
        <w:rPr>
          <w:rFonts w:cstheme="minorHAnsi"/>
          <w:i/>
          <w:sz w:val="20"/>
          <w:szCs w:val="20"/>
        </w:rPr>
        <w:t xml:space="preserve"> </w:t>
      </w:r>
      <w:r w:rsidRPr="00D755FB">
        <w:rPr>
          <w:rFonts w:cstheme="minorHAnsi"/>
          <w:i/>
          <w:sz w:val="20"/>
          <w:szCs w:val="20"/>
        </w:rPr>
        <w:t>"an appreciably harmful or unpleasant reaction, resulting from an intervention related to the use of a medicinal product, which predicts hazard from future administration and warrants prevention or specific treatment, or alteration of the dosage regimen, or withdrawal of the product."</w:t>
      </w:r>
    </w:p>
    <w:p w14:paraId="610C3B52" w14:textId="2AF3BD50" w:rsidR="007D57FB" w:rsidRDefault="007D57FB" w:rsidP="005B3E6B">
      <w:pPr>
        <w:spacing w:line="360" w:lineRule="auto"/>
        <w:jc w:val="both"/>
        <w:rPr>
          <w:rFonts w:cstheme="minorHAnsi"/>
          <w:i/>
          <w:sz w:val="20"/>
          <w:szCs w:val="20"/>
        </w:rPr>
      </w:pPr>
      <w:r w:rsidRPr="00DA24C5">
        <w:rPr>
          <w:rFonts w:cstheme="minorHAnsi"/>
          <w:b/>
          <w:i/>
          <w:sz w:val="20"/>
          <w:szCs w:val="20"/>
        </w:rPr>
        <w:t>Bates</w:t>
      </w:r>
      <w:r w:rsidR="006413AA" w:rsidRPr="006413AA">
        <w:rPr>
          <w:rFonts w:cstheme="minorHAnsi"/>
          <w:b/>
          <w:i/>
          <w:noProof/>
          <w:sz w:val="20"/>
          <w:szCs w:val="20"/>
          <w:vertAlign w:val="superscript"/>
        </w:rPr>
        <w:t>39</w:t>
      </w:r>
      <w:r>
        <w:rPr>
          <w:rFonts w:cstheme="minorHAnsi"/>
          <w:i/>
          <w:sz w:val="20"/>
          <w:szCs w:val="20"/>
        </w:rPr>
        <w:t xml:space="preserve"> “</w:t>
      </w:r>
      <w:r w:rsidRPr="00253B41">
        <w:rPr>
          <w:rFonts w:cstheme="minorHAnsi"/>
          <w:i/>
          <w:sz w:val="20"/>
          <w:szCs w:val="20"/>
        </w:rPr>
        <w:t>Adverse drug event - An injury resulting from medical intervention related to a drug.</w:t>
      </w:r>
      <w:r>
        <w:rPr>
          <w:rFonts w:cstheme="minorHAnsi"/>
          <w:i/>
          <w:sz w:val="20"/>
          <w:szCs w:val="20"/>
        </w:rPr>
        <w:t>”</w:t>
      </w:r>
    </w:p>
    <w:p w14:paraId="610C3B53" w14:textId="77777777" w:rsidR="007D57FB" w:rsidRDefault="007D57FB" w:rsidP="005B3E6B">
      <w:pPr>
        <w:spacing w:line="360" w:lineRule="auto"/>
        <w:jc w:val="both"/>
        <w:rPr>
          <w:rFonts w:cstheme="minorHAnsi"/>
          <w:i/>
          <w:sz w:val="20"/>
          <w:szCs w:val="20"/>
        </w:rPr>
      </w:pPr>
    </w:p>
    <w:p w14:paraId="610C3B54" w14:textId="77777777" w:rsidR="007D57FB" w:rsidRDefault="007D57FB" w:rsidP="005B3E6B">
      <w:pPr>
        <w:spacing w:line="360" w:lineRule="auto"/>
        <w:jc w:val="both"/>
        <w:rPr>
          <w:rFonts w:cstheme="minorHAnsi"/>
          <w:i/>
          <w:sz w:val="20"/>
          <w:szCs w:val="20"/>
        </w:rPr>
      </w:pPr>
      <w:r w:rsidRPr="00DA24C5">
        <w:rPr>
          <w:rFonts w:cstheme="minorHAnsi"/>
          <w:b/>
          <w:i/>
          <w:sz w:val="20"/>
          <w:szCs w:val="20"/>
          <w:u w:val="single"/>
        </w:rPr>
        <w:t>Causality</w:t>
      </w:r>
    </w:p>
    <w:p w14:paraId="610C3B55" w14:textId="56D058E3" w:rsidR="007D57FB" w:rsidRDefault="007D57FB" w:rsidP="005B3E6B">
      <w:pPr>
        <w:spacing w:line="360" w:lineRule="auto"/>
        <w:jc w:val="both"/>
        <w:rPr>
          <w:rFonts w:cstheme="minorHAnsi"/>
          <w:i/>
          <w:sz w:val="20"/>
          <w:szCs w:val="20"/>
        </w:rPr>
      </w:pPr>
      <w:r w:rsidRPr="00DA24C5">
        <w:rPr>
          <w:rFonts w:cstheme="minorHAnsi"/>
          <w:b/>
          <w:i/>
          <w:sz w:val="20"/>
          <w:szCs w:val="20"/>
        </w:rPr>
        <w:t>Naranjo</w:t>
      </w:r>
      <w:r w:rsidR="006413AA" w:rsidRPr="006413AA">
        <w:rPr>
          <w:rFonts w:cstheme="minorHAnsi"/>
          <w:b/>
          <w:i/>
          <w:noProof/>
          <w:sz w:val="20"/>
          <w:szCs w:val="20"/>
          <w:vertAlign w:val="superscript"/>
        </w:rPr>
        <w:t>40</w:t>
      </w:r>
      <w:r>
        <w:rPr>
          <w:rFonts w:cstheme="minorHAnsi"/>
          <w:i/>
          <w:sz w:val="20"/>
          <w:szCs w:val="20"/>
        </w:rPr>
        <w:t xml:space="preserve"> </w:t>
      </w:r>
      <w:r w:rsidRPr="00E81221">
        <w:rPr>
          <w:rFonts w:cstheme="minorHAnsi"/>
          <w:i/>
          <w:sz w:val="20"/>
          <w:szCs w:val="20"/>
        </w:rPr>
        <w:t>definite</w:t>
      </w:r>
      <w:r>
        <w:rPr>
          <w:rFonts w:cstheme="minorHAnsi"/>
          <w:i/>
          <w:sz w:val="20"/>
          <w:szCs w:val="20"/>
        </w:rPr>
        <w:t>, probable,</w:t>
      </w:r>
      <w:r w:rsidRPr="00E81221">
        <w:rPr>
          <w:rFonts w:cstheme="minorHAnsi"/>
          <w:i/>
          <w:sz w:val="20"/>
          <w:szCs w:val="20"/>
        </w:rPr>
        <w:t xml:space="preserve"> </w:t>
      </w:r>
      <w:r>
        <w:rPr>
          <w:rFonts w:cstheme="minorHAnsi"/>
          <w:i/>
          <w:sz w:val="20"/>
          <w:szCs w:val="20"/>
        </w:rPr>
        <w:t>possible,</w:t>
      </w:r>
      <w:r w:rsidRPr="00E81221">
        <w:rPr>
          <w:rFonts w:cstheme="minorHAnsi"/>
          <w:i/>
          <w:sz w:val="20"/>
          <w:szCs w:val="20"/>
        </w:rPr>
        <w:t xml:space="preserve"> </w:t>
      </w:r>
      <w:r>
        <w:rPr>
          <w:rFonts w:cstheme="minorHAnsi"/>
          <w:i/>
          <w:sz w:val="20"/>
          <w:szCs w:val="20"/>
        </w:rPr>
        <w:t>doubtful.</w:t>
      </w:r>
      <w:r w:rsidRPr="00B72A59">
        <w:rPr>
          <w:rFonts w:cstheme="minorHAnsi"/>
          <w:i/>
          <w:sz w:val="20"/>
          <w:szCs w:val="20"/>
        </w:rPr>
        <w:t xml:space="preserve"> </w:t>
      </w:r>
      <w:r>
        <w:rPr>
          <w:rFonts w:cstheme="minorHAnsi"/>
          <w:i/>
          <w:sz w:val="20"/>
          <w:szCs w:val="20"/>
        </w:rPr>
        <w:t xml:space="preserve">Event scored across 10 questions (answers Yes, No, Don’t Know) </w:t>
      </w:r>
      <w:r w:rsidRPr="00B72A59">
        <w:rPr>
          <w:rFonts w:cstheme="minorHAnsi"/>
          <w:i/>
          <w:sz w:val="20"/>
          <w:szCs w:val="20"/>
        </w:rPr>
        <w:t>Total scores range from -4 to +13; ≥9 indicates a definite adverse drug reaction (ADR); a score of 5 to 8 indicates a probable ADR; a score of 1 to 4 indicates a possible ADR; a score of ≤ 0 in</w:t>
      </w:r>
      <w:r>
        <w:rPr>
          <w:rFonts w:cstheme="minorHAnsi"/>
          <w:i/>
          <w:sz w:val="20"/>
          <w:szCs w:val="20"/>
        </w:rPr>
        <w:t xml:space="preserve">dicates that an ADR is doubtful. Q1 </w:t>
      </w:r>
      <w:r w:rsidRPr="00871BFF">
        <w:rPr>
          <w:rFonts w:cstheme="minorHAnsi"/>
          <w:i/>
          <w:sz w:val="20"/>
          <w:szCs w:val="20"/>
        </w:rPr>
        <w:t xml:space="preserve">Are there previous conclusive reports on this reaction? </w:t>
      </w:r>
      <w:r>
        <w:rPr>
          <w:rFonts w:cstheme="minorHAnsi"/>
          <w:i/>
          <w:sz w:val="20"/>
          <w:szCs w:val="20"/>
        </w:rPr>
        <w:t>(</w:t>
      </w:r>
      <w:r w:rsidRPr="00871BFF">
        <w:rPr>
          <w:rFonts w:cstheme="minorHAnsi"/>
          <w:i/>
          <w:sz w:val="20"/>
          <w:szCs w:val="20"/>
        </w:rPr>
        <w:t>+1</w:t>
      </w:r>
      <w:r>
        <w:rPr>
          <w:rFonts w:cstheme="minorHAnsi"/>
          <w:i/>
          <w:sz w:val="20"/>
          <w:szCs w:val="20"/>
        </w:rPr>
        <w:t>,</w:t>
      </w:r>
      <w:r w:rsidRPr="00871BFF">
        <w:rPr>
          <w:rFonts w:cstheme="minorHAnsi"/>
          <w:i/>
          <w:sz w:val="20"/>
          <w:szCs w:val="20"/>
        </w:rPr>
        <w:t xml:space="preserve"> 0</w:t>
      </w:r>
      <w:r>
        <w:rPr>
          <w:rFonts w:cstheme="minorHAnsi"/>
          <w:i/>
          <w:sz w:val="20"/>
          <w:szCs w:val="20"/>
        </w:rPr>
        <w:t>,</w:t>
      </w:r>
      <w:r w:rsidRPr="00871BFF">
        <w:rPr>
          <w:rFonts w:cstheme="minorHAnsi"/>
          <w:i/>
          <w:sz w:val="20"/>
          <w:szCs w:val="20"/>
        </w:rPr>
        <w:t xml:space="preserve"> 0</w:t>
      </w:r>
      <w:r>
        <w:rPr>
          <w:rFonts w:cstheme="minorHAnsi"/>
          <w:i/>
          <w:sz w:val="20"/>
          <w:szCs w:val="20"/>
        </w:rPr>
        <w:t xml:space="preserve">) Q2 </w:t>
      </w:r>
      <w:r w:rsidRPr="00871BFF">
        <w:rPr>
          <w:rFonts w:cstheme="minorHAnsi"/>
          <w:i/>
          <w:sz w:val="20"/>
          <w:szCs w:val="20"/>
        </w:rPr>
        <w:t>Did the adverse event occur after the suspected drug was admini</w:t>
      </w:r>
      <w:r>
        <w:rPr>
          <w:rFonts w:cstheme="minorHAnsi"/>
          <w:i/>
          <w:sz w:val="20"/>
          <w:szCs w:val="20"/>
        </w:rPr>
        <w:t xml:space="preserve">stered? (+2, -1, 0) Q3 </w:t>
      </w:r>
      <w:r w:rsidRPr="00871BFF">
        <w:rPr>
          <w:rFonts w:cstheme="minorHAnsi"/>
          <w:i/>
          <w:sz w:val="20"/>
          <w:szCs w:val="20"/>
        </w:rPr>
        <w:t>Did the adverse reaction improve when the drug was discontinued or a</w:t>
      </w:r>
      <w:r>
        <w:rPr>
          <w:rFonts w:cstheme="minorHAnsi"/>
          <w:i/>
          <w:sz w:val="20"/>
          <w:szCs w:val="20"/>
        </w:rPr>
        <w:t>n antagonist was administered? (</w:t>
      </w:r>
      <w:r w:rsidRPr="00871BFF">
        <w:rPr>
          <w:rFonts w:cstheme="minorHAnsi"/>
          <w:i/>
          <w:sz w:val="20"/>
          <w:szCs w:val="20"/>
        </w:rPr>
        <w:t>+1</w:t>
      </w:r>
      <w:r>
        <w:rPr>
          <w:rFonts w:cstheme="minorHAnsi"/>
          <w:i/>
          <w:sz w:val="20"/>
          <w:szCs w:val="20"/>
        </w:rPr>
        <w:t>,</w:t>
      </w:r>
      <w:r w:rsidRPr="00871BFF">
        <w:rPr>
          <w:rFonts w:cstheme="minorHAnsi"/>
          <w:i/>
          <w:sz w:val="20"/>
          <w:szCs w:val="20"/>
        </w:rPr>
        <w:t xml:space="preserve"> 0</w:t>
      </w:r>
      <w:r>
        <w:rPr>
          <w:rFonts w:cstheme="minorHAnsi"/>
          <w:i/>
          <w:sz w:val="20"/>
          <w:szCs w:val="20"/>
        </w:rPr>
        <w:t>,</w:t>
      </w:r>
      <w:r w:rsidRPr="00871BFF">
        <w:rPr>
          <w:rFonts w:cstheme="minorHAnsi"/>
          <w:i/>
          <w:sz w:val="20"/>
          <w:szCs w:val="20"/>
        </w:rPr>
        <w:t xml:space="preserve"> </w:t>
      </w:r>
      <w:r>
        <w:rPr>
          <w:rFonts w:cstheme="minorHAnsi"/>
          <w:i/>
          <w:sz w:val="20"/>
          <w:szCs w:val="20"/>
        </w:rPr>
        <w:t xml:space="preserve">0) Q4 </w:t>
      </w:r>
      <w:r w:rsidRPr="00871BFF">
        <w:rPr>
          <w:rFonts w:cstheme="minorHAnsi"/>
          <w:i/>
          <w:sz w:val="20"/>
          <w:szCs w:val="20"/>
        </w:rPr>
        <w:t>Did the adverse reaction reappear when</w:t>
      </w:r>
      <w:r>
        <w:rPr>
          <w:rFonts w:cstheme="minorHAnsi"/>
          <w:i/>
          <w:sz w:val="20"/>
          <w:szCs w:val="20"/>
        </w:rPr>
        <w:t xml:space="preserve"> the drug was re-administered? (+2, -1, 0) Q5 </w:t>
      </w:r>
      <w:r w:rsidRPr="00871BFF">
        <w:rPr>
          <w:rFonts w:cstheme="minorHAnsi"/>
          <w:i/>
          <w:sz w:val="20"/>
          <w:szCs w:val="20"/>
        </w:rPr>
        <w:t xml:space="preserve">Are there alternative causes (other than the drug) that could have on </w:t>
      </w:r>
      <w:r>
        <w:rPr>
          <w:rFonts w:cstheme="minorHAnsi"/>
          <w:i/>
          <w:sz w:val="20"/>
          <w:szCs w:val="20"/>
        </w:rPr>
        <w:t xml:space="preserve">their own caused the reaction? (-1, +2, 0) Q6 </w:t>
      </w:r>
      <w:r w:rsidRPr="00871BFF">
        <w:rPr>
          <w:rFonts w:cstheme="minorHAnsi"/>
          <w:i/>
          <w:sz w:val="20"/>
          <w:szCs w:val="20"/>
        </w:rPr>
        <w:t>Did the reaction reap</w:t>
      </w:r>
      <w:r>
        <w:rPr>
          <w:rFonts w:cstheme="minorHAnsi"/>
          <w:i/>
          <w:sz w:val="20"/>
          <w:szCs w:val="20"/>
        </w:rPr>
        <w:t>pear when a placebo was given? (</w:t>
      </w:r>
      <w:r w:rsidRPr="00871BFF">
        <w:rPr>
          <w:rFonts w:cstheme="minorHAnsi"/>
          <w:i/>
          <w:sz w:val="20"/>
          <w:szCs w:val="20"/>
        </w:rPr>
        <w:t>-1</w:t>
      </w:r>
      <w:r>
        <w:rPr>
          <w:rFonts w:cstheme="minorHAnsi"/>
          <w:i/>
          <w:sz w:val="20"/>
          <w:szCs w:val="20"/>
        </w:rPr>
        <w:t>,</w:t>
      </w:r>
      <w:r w:rsidRPr="00871BFF">
        <w:rPr>
          <w:rFonts w:cstheme="minorHAnsi"/>
          <w:i/>
          <w:sz w:val="20"/>
          <w:szCs w:val="20"/>
        </w:rPr>
        <w:t xml:space="preserve"> +1</w:t>
      </w:r>
      <w:r>
        <w:rPr>
          <w:rFonts w:cstheme="minorHAnsi"/>
          <w:i/>
          <w:sz w:val="20"/>
          <w:szCs w:val="20"/>
        </w:rPr>
        <w:t>,</w:t>
      </w:r>
      <w:r w:rsidRPr="00871BFF">
        <w:rPr>
          <w:rFonts w:cstheme="minorHAnsi"/>
          <w:i/>
          <w:sz w:val="20"/>
          <w:szCs w:val="20"/>
        </w:rPr>
        <w:t xml:space="preserve"> 0</w:t>
      </w:r>
      <w:r>
        <w:rPr>
          <w:rFonts w:cstheme="minorHAnsi"/>
          <w:i/>
          <w:sz w:val="20"/>
          <w:szCs w:val="20"/>
        </w:rPr>
        <w:t>)</w:t>
      </w:r>
      <w:r w:rsidRPr="00871BFF">
        <w:rPr>
          <w:rFonts w:cstheme="minorHAnsi"/>
          <w:i/>
          <w:sz w:val="20"/>
          <w:szCs w:val="20"/>
        </w:rPr>
        <w:t xml:space="preserve"> </w:t>
      </w:r>
      <w:r>
        <w:rPr>
          <w:rFonts w:cstheme="minorHAnsi"/>
          <w:i/>
          <w:sz w:val="20"/>
          <w:szCs w:val="20"/>
        </w:rPr>
        <w:t xml:space="preserve">Q7 </w:t>
      </w:r>
      <w:r w:rsidRPr="00871BFF">
        <w:rPr>
          <w:rFonts w:cstheme="minorHAnsi"/>
          <w:i/>
          <w:sz w:val="20"/>
          <w:szCs w:val="20"/>
        </w:rPr>
        <w:t xml:space="preserve">Was the drug detected in the blood (or other fluids) in concentrations known to be toxic? </w:t>
      </w:r>
      <w:r>
        <w:rPr>
          <w:rFonts w:cstheme="minorHAnsi"/>
          <w:i/>
          <w:sz w:val="20"/>
          <w:szCs w:val="20"/>
        </w:rPr>
        <w:t xml:space="preserve">(+1, 0, 0) Q8 </w:t>
      </w:r>
      <w:r w:rsidRPr="00871BFF">
        <w:rPr>
          <w:rFonts w:cstheme="minorHAnsi"/>
          <w:i/>
          <w:sz w:val="20"/>
          <w:szCs w:val="20"/>
        </w:rPr>
        <w:t xml:space="preserve">Was the reaction more severe when the drug was increased or less severe when the drug was decreased? </w:t>
      </w:r>
      <w:r>
        <w:rPr>
          <w:rFonts w:cstheme="minorHAnsi"/>
          <w:i/>
          <w:sz w:val="20"/>
          <w:szCs w:val="20"/>
        </w:rPr>
        <w:t xml:space="preserve">(+1, 0, 0) Q9 </w:t>
      </w:r>
      <w:r w:rsidRPr="00871BFF">
        <w:rPr>
          <w:rFonts w:cstheme="minorHAnsi"/>
          <w:i/>
          <w:sz w:val="20"/>
          <w:szCs w:val="20"/>
        </w:rPr>
        <w:t>Did the patient have a similar reaction to the same or similar d</w:t>
      </w:r>
      <w:r>
        <w:rPr>
          <w:rFonts w:cstheme="minorHAnsi"/>
          <w:i/>
          <w:sz w:val="20"/>
          <w:szCs w:val="20"/>
        </w:rPr>
        <w:t xml:space="preserve">rugs in any previous exposure? (+1, 0, 0) Q10 </w:t>
      </w:r>
      <w:r w:rsidRPr="00871BFF">
        <w:rPr>
          <w:rFonts w:cstheme="minorHAnsi"/>
          <w:i/>
          <w:sz w:val="20"/>
          <w:szCs w:val="20"/>
        </w:rPr>
        <w:t>Was the adverse event confirmed by any</w:t>
      </w:r>
      <w:r>
        <w:rPr>
          <w:rFonts w:cstheme="minorHAnsi"/>
          <w:i/>
          <w:sz w:val="20"/>
          <w:szCs w:val="20"/>
        </w:rPr>
        <w:t xml:space="preserve"> objective evidence? (+1, 0, 0) </w:t>
      </w:r>
    </w:p>
    <w:p w14:paraId="610C3B56" w14:textId="78321BCF" w:rsidR="007D57FB" w:rsidRPr="005D6F7F" w:rsidRDefault="007D57FB" w:rsidP="005B3E6B">
      <w:pPr>
        <w:spacing w:line="360" w:lineRule="auto"/>
        <w:jc w:val="both"/>
        <w:rPr>
          <w:rFonts w:cstheme="minorHAnsi"/>
          <w:i/>
          <w:sz w:val="20"/>
          <w:szCs w:val="20"/>
        </w:rPr>
      </w:pPr>
      <w:r w:rsidRPr="00DA24C5">
        <w:rPr>
          <w:rFonts w:cstheme="minorHAnsi"/>
          <w:b/>
          <w:i/>
          <w:sz w:val="20"/>
          <w:szCs w:val="20"/>
        </w:rPr>
        <w:t>WHO-UMC</w:t>
      </w:r>
      <w:r w:rsidR="006413AA" w:rsidRPr="006413AA">
        <w:rPr>
          <w:rFonts w:cstheme="minorHAnsi"/>
          <w:b/>
          <w:i/>
          <w:noProof/>
          <w:sz w:val="20"/>
          <w:szCs w:val="20"/>
          <w:vertAlign w:val="superscript"/>
        </w:rPr>
        <w:t>41</w:t>
      </w:r>
      <w:r>
        <w:rPr>
          <w:rFonts w:cstheme="minorHAnsi"/>
          <w:i/>
          <w:sz w:val="20"/>
          <w:szCs w:val="20"/>
        </w:rPr>
        <w:t xml:space="preserve"> </w:t>
      </w:r>
      <w:r w:rsidRPr="00E81221">
        <w:rPr>
          <w:rFonts w:cstheme="minorHAnsi"/>
          <w:i/>
          <w:sz w:val="20"/>
          <w:szCs w:val="20"/>
        </w:rPr>
        <w:t>Certain, probable, possible, unlikely, conditional/ unclassified, unassessable/ unclassifiable</w:t>
      </w:r>
      <w:r>
        <w:rPr>
          <w:rFonts w:cstheme="minorHAnsi"/>
          <w:i/>
          <w:sz w:val="20"/>
          <w:szCs w:val="20"/>
        </w:rPr>
        <w:t xml:space="preserve">. </w:t>
      </w:r>
      <w:r w:rsidRPr="00044724">
        <w:rPr>
          <w:rFonts w:cstheme="minorHAnsi"/>
          <w:i/>
          <w:sz w:val="20"/>
          <w:szCs w:val="20"/>
          <w:u w:val="single"/>
        </w:rPr>
        <w:t>Certain</w:t>
      </w:r>
      <w:r>
        <w:rPr>
          <w:rFonts w:cstheme="minorHAnsi"/>
          <w:i/>
          <w:sz w:val="20"/>
          <w:szCs w:val="20"/>
        </w:rPr>
        <w:t xml:space="preserve"> – e</w:t>
      </w:r>
      <w:r w:rsidRPr="005D6F7F">
        <w:rPr>
          <w:rFonts w:cstheme="minorHAnsi"/>
          <w:i/>
          <w:sz w:val="20"/>
          <w:szCs w:val="20"/>
        </w:rPr>
        <w:t>vent / laboratory test abnormality with plausible time relationship to intake of a drug</w:t>
      </w:r>
      <w:r>
        <w:rPr>
          <w:rFonts w:cstheme="minorHAnsi"/>
          <w:i/>
          <w:sz w:val="20"/>
          <w:szCs w:val="20"/>
        </w:rPr>
        <w:t>, c</w:t>
      </w:r>
      <w:r w:rsidRPr="005D6F7F">
        <w:rPr>
          <w:rFonts w:cstheme="minorHAnsi"/>
          <w:i/>
          <w:sz w:val="20"/>
          <w:szCs w:val="20"/>
        </w:rPr>
        <w:t>annot be expla</w:t>
      </w:r>
      <w:r>
        <w:rPr>
          <w:rFonts w:cstheme="minorHAnsi"/>
          <w:i/>
          <w:sz w:val="20"/>
          <w:szCs w:val="20"/>
        </w:rPr>
        <w:t>ined by disease or other drugs, r</w:t>
      </w:r>
      <w:r w:rsidRPr="005D6F7F">
        <w:rPr>
          <w:rFonts w:cstheme="minorHAnsi"/>
          <w:i/>
          <w:sz w:val="20"/>
          <w:szCs w:val="20"/>
        </w:rPr>
        <w:t>esponse to w</w:t>
      </w:r>
      <w:r>
        <w:rPr>
          <w:rFonts w:cstheme="minorHAnsi"/>
          <w:i/>
          <w:sz w:val="20"/>
          <w:szCs w:val="20"/>
        </w:rPr>
        <w:t>ithdrawal plausible, e</w:t>
      </w:r>
      <w:r w:rsidRPr="005D6F7F">
        <w:rPr>
          <w:rFonts w:cstheme="minorHAnsi"/>
          <w:i/>
          <w:sz w:val="20"/>
          <w:szCs w:val="20"/>
        </w:rPr>
        <w:t>vent definitive pharmacologically or phenomen</w:t>
      </w:r>
      <w:r>
        <w:rPr>
          <w:rFonts w:cstheme="minorHAnsi"/>
          <w:i/>
          <w:sz w:val="20"/>
          <w:szCs w:val="20"/>
        </w:rPr>
        <w:t>ologically, r</w:t>
      </w:r>
      <w:r w:rsidRPr="005D6F7F">
        <w:rPr>
          <w:rFonts w:cstheme="minorHAnsi"/>
          <w:i/>
          <w:sz w:val="20"/>
          <w:szCs w:val="20"/>
        </w:rPr>
        <w:t>echalle</w:t>
      </w:r>
      <w:r>
        <w:rPr>
          <w:rFonts w:cstheme="minorHAnsi"/>
          <w:i/>
          <w:sz w:val="20"/>
          <w:szCs w:val="20"/>
        </w:rPr>
        <w:t xml:space="preserve">nge satisfactory, if necessary. </w:t>
      </w:r>
      <w:r w:rsidRPr="00044724">
        <w:rPr>
          <w:rFonts w:cstheme="minorHAnsi"/>
          <w:i/>
          <w:sz w:val="20"/>
          <w:szCs w:val="20"/>
          <w:u w:val="single"/>
        </w:rPr>
        <w:t>Probable</w:t>
      </w:r>
      <w:r>
        <w:rPr>
          <w:rFonts w:cstheme="minorHAnsi"/>
          <w:i/>
          <w:sz w:val="20"/>
          <w:szCs w:val="20"/>
        </w:rPr>
        <w:t xml:space="preserve"> – e</w:t>
      </w:r>
      <w:r w:rsidRPr="00044724">
        <w:rPr>
          <w:rFonts w:cstheme="minorHAnsi"/>
          <w:i/>
          <w:sz w:val="20"/>
          <w:szCs w:val="20"/>
        </w:rPr>
        <w:t>vent</w:t>
      </w:r>
      <w:r w:rsidRPr="005D6F7F">
        <w:rPr>
          <w:rFonts w:cstheme="minorHAnsi"/>
          <w:i/>
          <w:sz w:val="20"/>
          <w:szCs w:val="20"/>
        </w:rPr>
        <w:t xml:space="preserve"> or laboratory test abnormality, with reasonable time relations</w:t>
      </w:r>
      <w:r>
        <w:rPr>
          <w:rFonts w:cstheme="minorHAnsi"/>
          <w:i/>
          <w:sz w:val="20"/>
          <w:szCs w:val="20"/>
        </w:rPr>
        <w:t>hip to drug intake, u</w:t>
      </w:r>
      <w:r w:rsidRPr="005D6F7F">
        <w:rPr>
          <w:rFonts w:cstheme="minorHAnsi"/>
          <w:i/>
          <w:sz w:val="20"/>
          <w:szCs w:val="20"/>
        </w:rPr>
        <w:t>nlikely to be attrib</w:t>
      </w:r>
      <w:r>
        <w:rPr>
          <w:rFonts w:cstheme="minorHAnsi"/>
          <w:i/>
          <w:sz w:val="20"/>
          <w:szCs w:val="20"/>
        </w:rPr>
        <w:t>uted to disease or other drugs, r</w:t>
      </w:r>
      <w:r w:rsidRPr="005D6F7F">
        <w:rPr>
          <w:rFonts w:cstheme="minorHAnsi"/>
          <w:i/>
          <w:sz w:val="20"/>
          <w:szCs w:val="20"/>
        </w:rPr>
        <w:t>esponse to wit</w:t>
      </w:r>
      <w:r>
        <w:rPr>
          <w:rFonts w:cstheme="minorHAnsi"/>
          <w:i/>
          <w:sz w:val="20"/>
          <w:szCs w:val="20"/>
        </w:rPr>
        <w:t>hdrawal clinically reasonable, r</w:t>
      </w:r>
      <w:r w:rsidRPr="005D6F7F">
        <w:rPr>
          <w:rFonts w:cstheme="minorHAnsi"/>
          <w:i/>
          <w:sz w:val="20"/>
          <w:szCs w:val="20"/>
        </w:rPr>
        <w:t>e</w:t>
      </w:r>
      <w:r w:rsidR="00D80D37">
        <w:rPr>
          <w:rFonts w:cstheme="minorHAnsi"/>
          <w:i/>
          <w:sz w:val="20"/>
          <w:szCs w:val="20"/>
        </w:rPr>
        <w:t>-</w:t>
      </w:r>
      <w:r w:rsidRPr="005D6F7F">
        <w:rPr>
          <w:rFonts w:cstheme="minorHAnsi"/>
          <w:i/>
          <w:sz w:val="20"/>
          <w:szCs w:val="20"/>
        </w:rPr>
        <w:t>challe</w:t>
      </w:r>
      <w:r>
        <w:rPr>
          <w:rFonts w:cstheme="minorHAnsi"/>
          <w:i/>
          <w:sz w:val="20"/>
          <w:szCs w:val="20"/>
        </w:rPr>
        <w:t xml:space="preserve">nge not required. </w:t>
      </w:r>
      <w:r w:rsidRPr="00044724">
        <w:rPr>
          <w:rFonts w:cstheme="minorHAnsi"/>
          <w:i/>
          <w:sz w:val="20"/>
          <w:szCs w:val="20"/>
          <w:u w:val="single"/>
        </w:rPr>
        <w:t>Possible</w:t>
      </w:r>
      <w:r>
        <w:rPr>
          <w:rFonts w:cstheme="minorHAnsi"/>
          <w:i/>
          <w:sz w:val="20"/>
          <w:szCs w:val="20"/>
        </w:rPr>
        <w:t xml:space="preserve"> – e</w:t>
      </w:r>
      <w:r w:rsidRPr="005D6F7F">
        <w:rPr>
          <w:rFonts w:cstheme="minorHAnsi"/>
          <w:i/>
          <w:sz w:val="20"/>
          <w:szCs w:val="20"/>
        </w:rPr>
        <w:t>vent or laboratory test abnormality, with reasonable ti</w:t>
      </w:r>
      <w:r>
        <w:rPr>
          <w:rFonts w:cstheme="minorHAnsi"/>
          <w:i/>
          <w:sz w:val="20"/>
          <w:szCs w:val="20"/>
        </w:rPr>
        <w:t>me relationship to drug intake, c</w:t>
      </w:r>
      <w:r w:rsidRPr="005D6F7F">
        <w:rPr>
          <w:rFonts w:cstheme="minorHAnsi"/>
          <w:i/>
          <w:sz w:val="20"/>
          <w:szCs w:val="20"/>
        </w:rPr>
        <w:t>ould also be explai</w:t>
      </w:r>
      <w:r>
        <w:rPr>
          <w:rFonts w:cstheme="minorHAnsi"/>
          <w:i/>
          <w:sz w:val="20"/>
          <w:szCs w:val="20"/>
        </w:rPr>
        <w:t>ned by disease or other drugs, i</w:t>
      </w:r>
      <w:r w:rsidRPr="005D6F7F">
        <w:rPr>
          <w:rFonts w:cstheme="minorHAnsi"/>
          <w:i/>
          <w:sz w:val="20"/>
          <w:szCs w:val="20"/>
        </w:rPr>
        <w:t>nformation on drug withdr</w:t>
      </w:r>
      <w:r>
        <w:rPr>
          <w:rFonts w:cstheme="minorHAnsi"/>
          <w:i/>
          <w:sz w:val="20"/>
          <w:szCs w:val="20"/>
        </w:rPr>
        <w:t xml:space="preserve">awal may be lacking or unclear. </w:t>
      </w:r>
      <w:r w:rsidRPr="00044724">
        <w:rPr>
          <w:rFonts w:cstheme="minorHAnsi"/>
          <w:i/>
          <w:sz w:val="20"/>
          <w:szCs w:val="20"/>
          <w:u w:val="single"/>
        </w:rPr>
        <w:t>Unlikely</w:t>
      </w:r>
      <w:r>
        <w:rPr>
          <w:rFonts w:cstheme="minorHAnsi"/>
          <w:i/>
          <w:sz w:val="20"/>
          <w:szCs w:val="20"/>
        </w:rPr>
        <w:t xml:space="preserve"> –</w:t>
      </w:r>
      <w:r w:rsidRPr="005D6F7F">
        <w:rPr>
          <w:rFonts w:cstheme="minorHAnsi"/>
          <w:i/>
          <w:sz w:val="20"/>
          <w:szCs w:val="20"/>
        </w:rPr>
        <w:t xml:space="preserve"> Event or laboratory test abnormality, with a time to drug intake that makes a relationship improbable Disease or other drugs provide plausible explanations</w:t>
      </w:r>
      <w:r>
        <w:rPr>
          <w:rFonts w:cstheme="minorHAnsi"/>
          <w:i/>
          <w:sz w:val="20"/>
          <w:szCs w:val="20"/>
        </w:rPr>
        <w:t xml:space="preserve">. </w:t>
      </w:r>
      <w:r w:rsidRPr="003D1DB4">
        <w:rPr>
          <w:rFonts w:cstheme="minorHAnsi"/>
          <w:i/>
          <w:sz w:val="20"/>
          <w:szCs w:val="20"/>
          <w:u w:val="single"/>
        </w:rPr>
        <w:t>Conditional/ Unclassified</w:t>
      </w:r>
      <w:r>
        <w:rPr>
          <w:rFonts w:cstheme="minorHAnsi"/>
          <w:i/>
          <w:sz w:val="20"/>
          <w:szCs w:val="20"/>
        </w:rPr>
        <w:t xml:space="preserve"> – e</w:t>
      </w:r>
      <w:r w:rsidRPr="005D6F7F">
        <w:rPr>
          <w:rFonts w:cstheme="minorHAnsi"/>
          <w:i/>
          <w:sz w:val="20"/>
          <w:szCs w:val="20"/>
        </w:rPr>
        <w:t>vent o</w:t>
      </w:r>
      <w:r>
        <w:rPr>
          <w:rFonts w:cstheme="minorHAnsi"/>
          <w:i/>
          <w:sz w:val="20"/>
          <w:szCs w:val="20"/>
        </w:rPr>
        <w:t>r laboratory test abnormality, m</w:t>
      </w:r>
      <w:r w:rsidRPr="005D6F7F">
        <w:rPr>
          <w:rFonts w:cstheme="minorHAnsi"/>
          <w:i/>
          <w:sz w:val="20"/>
          <w:szCs w:val="20"/>
        </w:rPr>
        <w:t>ore data for</w:t>
      </w:r>
      <w:r>
        <w:rPr>
          <w:rFonts w:cstheme="minorHAnsi"/>
          <w:i/>
          <w:sz w:val="20"/>
          <w:szCs w:val="20"/>
        </w:rPr>
        <w:t xml:space="preserve"> proper assessment needed, or a</w:t>
      </w:r>
      <w:r w:rsidRPr="005D6F7F">
        <w:rPr>
          <w:rFonts w:cstheme="minorHAnsi"/>
          <w:i/>
          <w:sz w:val="20"/>
          <w:szCs w:val="20"/>
        </w:rPr>
        <w:t>dditiona</w:t>
      </w:r>
      <w:r>
        <w:rPr>
          <w:rFonts w:cstheme="minorHAnsi"/>
          <w:i/>
          <w:sz w:val="20"/>
          <w:szCs w:val="20"/>
        </w:rPr>
        <w:t xml:space="preserve">l data under examination. </w:t>
      </w:r>
      <w:r w:rsidRPr="003D1DB4">
        <w:rPr>
          <w:rFonts w:cstheme="minorHAnsi"/>
          <w:i/>
          <w:sz w:val="20"/>
          <w:szCs w:val="20"/>
          <w:u w:val="single"/>
        </w:rPr>
        <w:t>Unassessable/ Unclassifiable</w:t>
      </w:r>
      <w:r>
        <w:rPr>
          <w:rFonts w:cstheme="minorHAnsi"/>
          <w:i/>
          <w:sz w:val="20"/>
          <w:szCs w:val="20"/>
        </w:rPr>
        <w:t xml:space="preserve"> – r</w:t>
      </w:r>
      <w:r w:rsidRPr="005D6F7F">
        <w:rPr>
          <w:rFonts w:cstheme="minorHAnsi"/>
          <w:i/>
          <w:sz w:val="20"/>
          <w:szCs w:val="20"/>
        </w:rPr>
        <w:t xml:space="preserve">eport </w:t>
      </w:r>
      <w:r>
        <w:rPr>
          <w:rFonts w:cstheme="minorHAnsi"/>
          <w:i/>
          <w:sz w:val="20"/>
          <w:szCs w:val="20"/>
        </w:rPr>
        <w:t>suggesting an adverse reaction, c</w:t>
      </w:r>
      <w:r w:rsidRPr="005D6F7F">
        <w:rPr>
          <w:rFonts w:cstheme="minorHAnsi"/>
          <w:i/>
          <w:sz w:val="20"/>
          <w:szCs w:val="20"/>
        </w:rPr>
        <w:t xml:space="preserve">annot be judged because information is </w:t>
      </w:r>
      <w:r>
        <w:rPr>
          <w:rFonts w:cstheme="minorHAnsi"/>
          <w:i/>
          <w:sz w:val="20"/>
          <w:szCs w:val="20"/>
        </w:rPr>
        <w:t>insufficient or contradictory, d</w:t>
      </w:r>
      <w:r w:rsidRPr="005D6F7F">
        <w:rPr>
          <w:rFonts w:cstheme="minorHAnsi"/>
          <w:i/>
          <w:sz w:val="20"/>
          <w:szCs w:val="20"/>
        </w:rPr>
        <w:t>ata cannot be supplemented or verified</w:t>
      </w:r>
      <w:r>
        <w:rPr>
          <w:rFonts w:cstheme="minorHAnsi"/>
          <w:i/>
          <w:sz w:val="20"/>
          <w:szCs w:val="20"/>
        </w:rPr>
        <w:t>.</w:t>
      </w:r>
    </w:p>
    <w:p w14:paraId="610C3B57" w14:textId="10BE14CD" w:rsidR="007D57FB" w:rsidRDefault="007D57FB" w:rsidP="005B3E6B">
      <w:pPr>
        <w:spacing w:line="360" w:lineRule="auto"/>
        <w:jc w:val="both"/>
        <w:rPr>
          <w:rFonts w:cstheme="minorHAnsi"/>
          <w:i/>
          <w:sz w:val="20"/>
          <w:szCs w:val="20"/>
        </w:rPr>
      </w:pPr>
      <w:r w:rsidRPr="00DA24C5">
        <w:rPr>
          <w:rFonts w:cstheme="minorHAnsi"/>
          <w:b/>
          <w:i/>
          <w:sz w:val="20"/>
          <w:szCs w:val="20"/>
        </w:rPr>
        <w:t>Hallas</w:t>
      </w:r>
      <w:r w:rsidR="006413AA" w:rsidRPr="006413AA">
        <w:rPr>
          <w:rFonts w:cstheme="minorHAnsi"/>
          <w:b/>
          <w:i/>
          <w:noProof/>
          <w:sz w:val="20"/>
          <w:szCs w:val="20"/>
          <w:vertAlign w:val="superscript"/>
        </w:rPr>
        <w:t>42</w:t>
      </w:r>
      <w:r>
        <w:rPr>
          <w:rFonts w:cstheme="minorHAnsi"/>
          <w:i/>
          <w:sz w:val="20"/>
          <w:szCs w:val="20"/>
        </w:rPr>
        <w:t xml:space="preserve"> </w:t>
      </w:r>
      <w:r w:rsidRPr="00912DEB">
        <w:rPr>
          <w:rFonts w:cstheme="minorHAnsi"/>
          <w:i/>
          <w:sz w:val="20"/>
          <w:szCs w:val="20"/>
        </w:rPr>
        <w:t>Definite</w:t>
      </w:r>
      <w:r w:rsidRPr="00FC6092">
        <w:rPr>
          <w:rFonts w:cstheme="minorHAnsi"/>
          <w:i/>
          <w:sz w:val="20"/>
          <w:szCs w:val="20"/>
        </w:rPr>
        <w:t xml:space="preserve"> </w:t>
      </w:r>
      <w:r>
        <w:rPr>
          <w:rFonts w:cstheme="minorHAnsi"/>
          <w:i/>
          <w:sz w:val="20"/>
          <w:szCs w:val="20"/>
        </w:rPr>
        <w:t>(a</w:t>
      </w:r>
      <w:r w:rsidRPr="00FC6092">
        <w:rPr>
          <w:rFonts w:cstheme="minorHAnsi"/>
          <w:i/>
          <w:sz w:val="20"/>
          <w:szCs w:val="20"/>
        </w:rPr>
        <w:t>ll five criteria were satisfied</w:t>
      </w:r>
      <w:r>
        <w:rPr>
          <w:rFonts w:cstheme="minorHAnsi"/>
          <w:i/>
          <w:sz w:val="20"/>
          <w:szCs w:val="20"/>
        </w:rPr>
        <w:t>), p</w:t>
      </w:r>
      <w:r w:rsidRPr="00912DEB">
        <w:rPr>
          <w:rFonts w:cstheme="minorHAnsi"/>
          <w:i/>
          <w:sz w:val="20"/>
          <w:szCs w:val="20"/>
        </w:rPr>
        <w:t>robable</w:t>
      </w:r>
      <w:r w:rsidRPr="00FC6092">
        <w:rPr>
          <w:rFonts w:cstheme="minorHAnsi"/>
          <w:i/>
          <w:sz w:val="20"/>
          <w:szCs w:val="20"/>
        </w:rPr>
        <w:t xml:space="preserve"> </w:t>
      </w:r>
      <w:r>
        <w:rPr>
          <w:rFonts w:cstheme="minorHAnsi"/>
          <w:i/>
          <w:sz w:val="20"/>
          <w:szCs w:val="20"/>
        </w:rPr>
        <w:t>(c</w:t>
      </w:r>
      <w:r w:rsidRPr="00FC6092">
        <w:rPr>
          <w:rFonts w:cstheme="minorHAnsi"/>
          <w:i/>
          <w:sz w:val="20"/>
          <w:szCs w:val="20"/>
        </w:rPr>
        <w:t>riteria (l), (2), (3) and (4) were satisfied</w:t>
      </w:r>
      <w:r>
        <w:rPr>
          <w:rFonts w:cstheme="minorHAnsi"/>
          <w:i/>
          <w:sz w:val="20"/>
          <w:szCs w:val="20"/>
        </w:rPr>
        <w:t>), p</w:t>
      </w:r>
      <w:r w:rsidRPr="00912DEB">
        <w:rPr>
          <w:rFonts w:cstheme="minorHAnsi"/>
          <w:i/>
          <w:sz w:val="20"/>
          <w:szCs w:val="20"/>
        </w:rPr>
        <w:t>ossible</w:t>
      </w:r>
      <w:r>
        <w:rPr>
          <w:rFonts w:cstheme="minorHAnsi"/>
          <w:i/>
          <w:sz w:val="20"/>
          <w:szCs w:val="20"/>
        </w:rPr>
        <w:t xml:space="preserve"> (criteria (1), </w:t>
      </w:r>
      <w:r w:rsidRPr="00FC6092">
        <w:rPr>
          <w:rFonts w:cstheme="minorHAnsi"/>
          <w:i/>
          <w:sz w:val="20"/>
          <w:szCs w:val="20"/>
        </w:rPr>
        <w:t>(2) and (3) were satisfied</w:t>
      </w:r>
      <w:r>
        <w:rPr>
          <w:rFonts w:cstheme="minorHAnsi"/>
          <w:i/>
          <w:sz w:val="20"/>
          <w:szCs w:val="20"/>
        </w:rPr>
        <w:t>) and unlikely/unevaluable</w:t>
      </w:r>
      <w:r w:rsidRPr="00FC6092">
        <w:rPr>
          <w:rFonts w:cstheme="minorHAnsi"/>
          <w:i/>
          <w:sz w:val="20"/>
          <w:szCs w:val="20"/>
        </w:rPr>
        <w:t xml:space="preserve"> </w:t>
      </w:r>
      <w:r>
        <w:rPr>
          <w:rFonts w:cstheme="minorHAnsi"/>
          <w:i/>
          <w:sz w:val="20"/>
          <w:szCs w:val="20"/>
        </w:rPr>
        <w:t>(</w:t>
      </w:r>
      <w:r w:rsidRPr="00FC6092">
        <w:rPr>
          <w:rFonts w:cstheme="minorHAnsi"/>
          <w:i/>
          <w:sz w:val="20"/>
          <w:szCs w:val="20"/>
        </w:rPr>
        <w:t xml:space="preserve">The relevant information required for evaluation could not be obtained, or the temporal sequence was atypical, or other conditions or dispositions were considered far more likely to have </w:t>
      </w:r>
      <w:r>
        <w:rPr>
          <w:rFonts w:cstheme="minorHAnsi"/>
          <w:i/>
          <w:sz w:val="20"/>
          <w:szCs w:val="20"/>
        </w:rPr>
        <w:t xml:space="preserve">caused the symptoms); </w:t>
      </w:r>
      <w:r w:rsidRPr="00FC6092">
        <w:rPr>
          <w:rFonts w:cstheme="minorHAnsi"/>
          <w:i/>
          <w:sz w:val="20"/>
          <w:szCs w:val="20"/>
          <w:u w:val="single"/>
        </w:rPr>
        <w:t>Criteria</w:t>
      </w:r>
      <w:r>
        <w:rPr>
          <w:rFonts w:cstheme="minorHAnsi"/>
          <w:i/>
          <w:sz w:val="20"/>
          <w:szCs w:val="20"/>
        </w:rPr>
        <w:t xml:space="preserve"> –  </w:t>
      </w:r>
      <w:r w:rsidRPr="00FC6092">
        <w:rPr>
          <w:rFonts w:cstheme="minorHAnsi"/>
          <w:i/>
          <w:sz w:val="20"/>
          <w:szCs w:val="20"/>
        </w:rPr>
        <w:t xml:space="preserve">(1) known ADR or toxic reaction: (2) a reasonable temporal relationship between commencement of drug therapy and onset of adverse reaction : (3) the adverse reaction disappeared upon dis- </w:t>
      </w:r>
      <w:r>
        <w:rPr>
          <w:rFonts w:cstheme="minorHAnsi"/>
          <w:i/>
          <w:sz w:val="20"/>
          <w:szCs w:val="20"/>
        </w:rPr>
        <w:t>continuation or dose reduction</w:t>
      </w:r>
      <w:r w:rsidRPr="00FC6092">
        <w:rPr>
          <w:rFonts w:cstheme="minorHAnsi"/>
          <w:i/>
          <w:sz w:val="20"/>
          <w:szCs w:val="20"/>
        </w:rPr>
        <w:t>: (4) the symptom or event could not be explained by any o</w:t>
      </w:r>
      <w:r>
        <w:rPr>
          <w:rFonts w:cstheme="minorHAnsi"/>
          <w:i/>
          <w:sz w:val="20"/>
          <w:szCs w:val="20"/>
        </w:rPr>
        <w:t>ther known condition or predis</w:t>
      </w:r>
      <w:r w:rsidRPr="00FC6092">
        <w:rPr>
          <w:rFonts w:cstheme="minorHAnsi"/>
          <w:i/>
          <w:sz w:val="20"/>
          <w:szCs w:val="20"/>
        </w:rPr>
        <w:t xml:space="preserve">position of the patient: (5) the symptoms reappeared upon re-exposure, or laboratory tests showed toxic drug levels or drug-induced metabolic disturbances that explained the symptom. </w:t>
      </w:r>
    </w:p>
    <w:p w14:paraId="610C3B58" w14:textId="6438DDED" w:rsidR="007D57FB" w:rsidRDefault="007D57FB" w:rsidP="005B3E6B">
      <w:pPr>
        <w:spacing w:line="360" w:lineRule="auto"/>
        <w:jc w:val="both"/>
        <w:rPr>
          <w:rFonts w:cstheme="minorHAnsi"/>
          <w:i/>
          <w:sz w:val="20"/>
          <w:szCs w:val="20"/>
        </w:rPr>
      </w:pPr>
      <w:r w:rsidRPr="00DA24C5">
        <w:rPr>
          <w:rFonts w:cstheme="minorHAnsi"/>
          <w:b/>
          <w:i/>
          <w:sz w:val="20"/>
          <w:szCs w:val="20"/>
        </w:rPr>
        <w:t>Kramer</w:t>
      </w:r>
      <w:r w:rsidR="006413AA" w:rsidRPr="006413AA">
        <w:rPr>
          <w:rFonts w:cstheme="minorHAnsi"/>
          <w:b/>
          <w:i/>
          <w:noProof/>
          <w:sz w:val="20"/>
          <w:szCs w:val="20"/>
          <w:vertAlign w:val="superscript"/>
        </w:rPr>
        <w:t>43</w:t>
      </w:r>
      <w:r>
        <w:rPr>
          <w:rFonts w:cstheme="minorHAnsi"/>
          <w:b/>
          <w:i/>
          <w:sz w:val="20"/>
          <w:szCs w:val="20"/>
        </w:rPr>
        <w:t xml:space="preserve"> </w:t>
      </w:r>
      <w:r>
        <w:rPr>
          <w:rFonts w:cstheme="minorHAnsi"/>
          <w:i/>
          <w:sz w:val="20"/>
          <w:szCs w:val="20"/>
        </w:rPr>
        <w:t>definite (score 6-7), probable (score 4-5), possible (0-3), unlikely (&lt;0) based on a multi-axis algorithm, six axes are scored and</w:t>
      </w:r>
      <w:r w:rsidRPr="00DC7852">
        <w:rPr>
          <w:rFonts w:cstheme="minorHAnsi"/>
          <w:i/>
          <w:sz w:val="20"/>
          <w:szCs w:val="20"/>
        </w:rPr>
        <w:t xml:space="preserve"> the individual scores are added to </w:t>
      </w:r>
      <w:r>
        <w:rPr>
          <w:rFonts w:cstheme="minorHAnsi"/>
          <w:i/>
          <w:sz w:val="20"/>
          <w:szCs w:val="20"/>
        </w:rPr>
        <w:t>get a total score, which corre</w:t>
      </w:r>
      <w:r w:rsidRPr="00DC7852">
        <w:rPr>
          <w:rFonts w:cstheme="minorHAnsi"/>
          <w:i/>
          <w:sz w:val="20"/>
          <w:szCs w:val="20"/>
        </w:rPr>
        <w:t>sponds to an</w:t>
      </w:r>
      <w:r>
        <w:rPr>
          <w:rFonts w:cstheme="minorHAnsi"/>
          <w:i/>
          <w:sz w:val="20"/>
          <w:szCs w:val="20"/>
        </w:rPr>
        <w:t xml:space="preserve"> overall probability that the clinical manifestation</w:t>
      </w:r>
      <w:r w:rsidRPr="00DC7852">
        <w:rPr>
          <w:rFonts w:cstheme="minorHAnsi"/>
          <w:i/>
          <w:sz w:val="20"/>
          <w:szCs w:val="20"/>
        </w:rPr>
        <w:t xml:space="preserve"> represents an ADR. </w:t>
      </w:r>
      <w:r>
        <w:rPr>
          <w:rFonts w:cstheme="minorHAnsi"/>
          <w:i/>
          <w:sz w:val="20"/>
          <w:szCs w:val="20"/>
        </w:rPr>
        <w:t>The total score can range from -</w:t>
      </w:r>
      <w:r w:rsidRPr="00DC7852">
        <w:rPr>
          <w:rFonts w:cstheme="minorHAnsi"/>
          <w:i/>
          <w:sz w:val="20"/>
          <w:szCs w:val="20"/>
        </w:rPr>
        <w:t>7 to +7</w:t>
      </w:r>
      <w:r>
        <w:rPr>
          <w:rFonts w:cstheme="minorHAnsi"/>
          <w:i/>
          <w:sz w:val="20"/>
          <w:szCs w:val="20"/>
        </w:rPr>
        <w:t xml:space="preserve">. </w:t>
      </w:r>
    </w:p>
    <w:p w14:paraId="610C3B59" w14:textId="77777777" w:rsidR="007D57FB" w:rsidRPr="00DC7852" w:rsidRDefault="007D57FB" w:rsidP="005B3E6B">
      <w:pPr>
        <w:spacing w:line="360" w:lineRule="auto"/>
        <w:jc w:val="both"/>
        <w:rPr>
          <w:rFonts w:cstheme="minorHAnsi"/>
          <w:i/>
          <w:sz w:val="20"/>
          <w:szCs w:val="20"/>
        </w:rPr>
      </w:pPr>
    </w:p>
    <w:p w14:paraId="610C3B5A" w14:textId="77777777" w:rsidR="007D57FB" w:rsidRDefault="007D57FB" w:rsidP="005B3E6B">
      <w:pPr>
        <w:spacing w:line="360" w:lineRule="auto"/>
        <w:jc w:val="both"/>
        <w:rPr>
          <w:rFonts w:cstheme="minorHAnsi"/>
          <w:i/>
          <w:sz w:val="20"/>
          <w:szCs w:val="20"/>
        </w:rPr>
      </w:pPr>
      <w:r w:rsidRPr="00DA24C5">
        <w:rPr>
          <w:rFonts w:cstheme="minorHAnsi"/>
          <w:b/>
          <w:i/>
          <w:sz w:val="20"/>
          <w:szCs w:val="20"/>
          <w:u w:val="single"/>
        </w:rPr>
        <w:t>Severity</w:t>
      </w:r>
    </w:p>
    <w:p w14:paraId="610C3B5B" w14:textId="33B8ED88" w:rsidR="007D57FB" w:rsidRDefault="007D57FB" w:rsidP="005B3E6B">
      <w:pPr>
        <w:spacing w:line="360" w:lineRule="auto"/>
        <w:jc w:val="both"/>
        <w:rPr>
          <w:rFonts w:cstheme="minorHAnsi"/>
          <w:i/>
          <w:sz w:val="20"/>
          <w:szCs w:val="20"/>
        </w:rPr>
      </w:pPr>
      <w:r w:rsidRPr="00940FE1">
        <w:rPr>
          <w:rFonts w:cstheme="minorHAnsi"/>
          <w:b/>
          <w:i/>
          <w:sz w:val="20"/>
          <w:szCs w:val="20"/>
        </w:rPr>
        <w:t>Hartwig</w:t>
      </w:r>
      <w:r w:rsidR="006413AA" w:rsidRPr="006413AA">
        <w:rPr>
          <w:rFonts w:cstheme="minorHAnsi"/>
          <w:b/>
          <w:i/>
          <w:noProof/>
          <w:sz w:val="20"/>
          <w:szCs w:val="20"/>
          <w:vertAlign w:val="superscript"/>
        </w:rPr>
        <w:t>44</w:t>
      </w:r>
      <w:r>
        <w:rPr>
          <w:rFonts w:cstheme="minorHAnsi"/>
          <w:i/>
          <w:sz w:val="20"/>
          <w:szCs w:val="20"/>
        </w:rPr>
        <w:t xml:space="preserve"> seven level scale, mild (levels 1 &amp; 2), moderate (levels 3 &amp; 4) and severe (levels 5, 6 &amp; 7); </w:t>
      </w:r>
      <w:r w:rsidRPr="0046231C">
        <w:rPr>
          <w:rFonts w:cstheme="minorHAnsi"/>
          <w:i/>
          <w:sz w:val="20"/>
          <w:szCs w:val="20"/>
        </w:rPr>
        <w:t>1 An ADR occurred but no change in treatment with suspected drug 2 The ADR required that treatment with the suspected drug be held, discontinued or otherwise changes. No antidote or other treatment required. No increase in length of stay. 3 The ADR required that treatment with the suspected drug be held, discontinued or otherwise changed, or an antidote or other treatment. No increase in length of stay. 4 Any level 3 ADR which increases length of stay by at least one day or the ADR was the reason for admission. 5 Any level 4 ADR which required intensive medical care. 6 Any ADR causing permanent harm to the patient. 7a The ADR was indirectly linked to the death of the patient. 7b The ADR was directly linked to the death of the patients</w:t>
      </w:r>
      <w:r>
        <w:rPr>
          <w:rFonts w:cstheme="minorHAnsi"/>
          <w:i/>
          <w:sz w:val="20"/>
          <w:szCs w:val="20"/>
        </w:rPr>
        <w:t>.</w:t>
      </w:r>
    </w:p>
    <w:p w14:paraId="610C3B5C" w14:textId="75EBDA06" w:rsidR="007D57FB" w:rsidRDefault="007D57FB" w:rsidP="005B3E6B">
      <w:pPr>
        <w:spacing w:line="360" w:lineRule="auto"/>
        <w:jc w:val="both"/>
        <w:rPr>
          <w:rFonts w:cstheme="minorHAnsi"/>
          <w:i/>
          <w:sz w:val="20"/>
          <w:szCs w:val="20"/>
        </w:rPr>
      </w:pPr>
      <w:r w:rsidRPr="00096ADF">
        <w:rPr>
          <w:rFonts w:cstheme="minorHAnsi"/>
          <w:b/>
          <w:i/>
          <w:sz w:val="20"/>
          <w:szCs w:val="20"/>
        </w:rPr>
        <w:t>Hurwitz</w:t>
      </w:r>
      <w:r w:rsidR="006413AA" w:rsidRPr="006413AA">
        <w:rPr>
          <w:rFonts w:cstheme="minorHAnsi"/>
          <w:b/>
          <w:i/>
          <w:noProof/>
          <w:sz w:val="20"/>
          <w:szCs w:val="20"/>
          <w:vertAlign w:val="superscript"/>
        </w:rPr>
        <w:t>45</w:t>
      </w:r>
      <w:r>
        <w:rPr>
          <w:rFonts w:cstheme="minorHAnsi"/>
          <w:i/>
          <w:sz w:val="20"/>
          <w:szCs w:val="20"/>
        </w:rPr>
        <w:t xml:space="preserve"> </w:t>
      </w:r>
      <w:r w:rsidRPr="00096ADF">
        <w:rPr>
          <w:rFonts w:cstheme="minorHAnsi"/>
          <w:i/>
          <w:sz w:val="20"/>
          <w:szCs w:val="20"/>
        </w:rPr>
        <w:t>Se</w:t>
      </w:r>
      <w:r>
        <w:rPr>
          <w:rFonts w:cstheme="minorHAnsi"/>
          <w:i/>
          <w:sz w:val="20"/>
          <w:szCs w:val="20"/>
        </w:rPr>
        <w:t>vere: fatal or life threatening, (2) m</w:t>
      </w:r>
      <w:r w:rsidRPr="00096ADF">
        <w:rPr>
          <w:rFonts w:cstheme="minorHAnsi"/>
          <w:i/>
          <w:sz w:val="20"/>
          <w:szCs w:val="20"/>
        </w:rPr>
        <w:t xml:space="preserve">oderate: required treatment, admission to hospital, or prolonged the stay in hospital by at least one </w:t>
      </w:r>
      <w:r>
        <w:rPr>
          <w:rFonts w:cstheme="minorHAnsi"/>
          <w:i/>
          <w:sz w:val="20"/>
          <w:szCs w:val="20"/>
        </w:rPr>
        <w:t>day, (3) m</w:t>
      </w:r>
      <w:r w:rsidRPr="00096ADF">
        <w:rPr>
          <w:rFonts w:cstheme="minorHAnsi"/>
          <w:i/>
          <w:sz w:val="20"/>
          <w:szCs w:val="20"/>
        </w:rPr>
        <w:t>ild: in</w:t>
      </w:r>
      <w:r>
        <w:rPr>
          <w:rFonts w:cstheme="minorHAnsi"/>
          <w:i/>
          <w:sz w:val="20"/>
          <w:szCs w:val="20"/>
        </w:rPr>
        <w:t xml:space="preserve">cidental, required no treatment. </w:t>
      </w:r>
    </w:p>
    <w:p w14:paraId="610C3B5D" w14:textId="5F5DC792" w:rsidR="007D57FB" w:rsidRDefault="007D57FB" w:rsidP="005B3E6B">
      <w:pPr>
        <w:spacing w:line="360" w:lineRule="auto"/>
        <w:jc w:val="both"/>
        <w:rPr>
          <w:rFonts w:cstheme="minorHAnsi"/>
          <w:i/>
          <w:sz w:val="20"/>
          <w:szCs w:val="20"/>
        </w:rPr>
      </w:pPr>
      <w:r w:rsidRPr="00096ADF">
        <w:rPr>
          <w:rFonts w:cstheme="minorHAnsi"/>
          <w:b/>
          <w:i/>
          <w:sz w:val="20"/>
          <w:szCs w:val="20"/>
        </w:rPr>
        <w:t>Morimoto</w:t>
      </w:r>
      <w:r w:rsidR="006413AA" w:rsidRPr="006413AA">
        <w:rPr>
          <w:rFonts w:cstheme="minorHAnsi"/>
          <w:b/>
          <w:i/>
          <w:noProof/>
          <w:sz w:val="20"/>
          <w:szCs w:val="20"/>
          <w:vertAlign w:val="superscript"/>
        </w:rPr>
        <w:t>46</w:t>
      </w:r>
      <w:r w:rsidRPr="0046231C">
        <w:rPr>
          <w:rFonts w:cstheme="minorHAnsi"/>
          <w:i/>
          <w:sz w:val="20"/>
          <w:szCs w:val="20"/>
        </w:rPr>
        <w:t xml:space="preserve"> four discrete categories: (a) fatal, i.e. leading to death; (b) life threatening, i.e. prolonging hospitalization, leading to permanent defects or life-threatening complications; (c) serious, i.e. demanding a dosage reduction, therapy cessation etc.; or (d) significant, i.e. any ADR that does not meet the above criteria, not usuall</w:t>
      </w:r>
      <w:r>
        <w:rPr>
          <w:rFonts w:cstheme="minorHAnsi"/>
          <w:i/>
          <w:sz w:val="20"/>
          <w:szCs w:val="20"/>
        </w:rPr>
        <w:t xml:space="preserve">y requiring a change in therapy. </w:t>
      </w:r>
    </w:p>
    <w:p w14:paraId="610C3B5E" w14:textId="48C83ED4" w:rsidR="007D57FB" w:rsidRDefault="007D57FB" w:rsidP="005B3E6B">
      <w:pPr>
        <w:spacing w:line="360" w:lineRule="auto"/>
        <w:jc w:val="both"/>
        <w:rPr>
          <w:rFonts w:cstheme="minorHAnsi"/>
          <w:i/>
          <w:sz w:val="20"/>
          <w:szCs w:val="20"/>
        </w:rPr>
      </w:pPr>
      <w:r w:rsidRPr="00640D96">
        <w:rPr>
          <w:rFonts w:cstheme="minorHAnsi"/>
          <w:b/>
          <w:i/>
          <w:sz w:val="20"/>
          <w:szCs w:val="20"/>
        </w:rPr>
        <w:t>Venulet</w:t>
      </w:r>
      <w:r w:rsidR="006413AA" w:rsidRPr="006413AA">
        <w:rPr>
          <w:rFonts w:cstheme="minorHAnsi"/>
          <w:b/>
          <w:i/>
          <w:noProof/>
          <w:sz w:val="20"/>
          <w:szCs w:val="20"/>
          <w:vertAlign w:val="superscript"/>
        </w:rPr>
        <w:t>47</w:t>
      </w:r>
      <w:r w:rsidR="00DD51CA">
        <w:rPr>
          <w:rFonts w:cstheme="minorHAnsi"/>
          <w:b/>
          <w:i/>
          <w:noProof/>
          <w:sz w:val="20"/>
          <w:szCs w:val="20"/>
          <w:vertAlign w:val="superscript"/>
        </w:rPr>
        <w:t xml:space="preserve"> </w:t>
      </w:r>
      <w:r w:rsidRPr="0046231C">
        <w:rPr>
          <w:rFonts w:cstheme="minorHAnsi"/>
          <w:i/>
          <w:sz w:val="20"/>
          <w:szCs w:val="20"/>
        </w:rPr>
        <w:t>Severe: Fatal or life threatening, lowers the patient's life expectancy. A severe impairment of a vital organ-system, even if transient. Persisting for more than one month period. Moderate: Symptoms are marked but involvement of vital organ-systems is moderate. No loss of consciousness, no cardiovascular failure. Antidote drugs or hospizalization required or hospitalization prolonged by at least one day. Development of definite biochemical or structural changes could justify assigning to this category. Minor: Incidental, no antidote required, suspected drug mayor may not be stopped. Do not complicate significantly the primary disease.</w:t>
      </w:r>
      <w:r>
        <w:rPr>
          <w:rFonts w:cstheme="minorHAnsi"/>
          <w:i/>
          <w:sz w:val="20"/>
          <w:szCs w:val="20"/>
        </w:rPr>
        <w:t xml:space="preserve"> </w:t>
      </w:r>
    </w:p>
    <w:p w14:paraId="610C3B5F" w14:textId="6CAE8EB2" w:rsidR="007D57FB" w:rsidRDefault="007D57FB" w:rsidP="005B3E6B">
      <w:pPr>
        <w:spacing w:line="360" w:lineRule="auto"/>
        <w:jc w:val="both"/>
        <w:rPr>
          <w:rFonts w:cstheme="minorHAnsi"/>
          <w:i/>
          <w:sz w:val="20"/>
          <w:szCs w:val="20"/>
        </w:rPr>
      </w:pPr>
      <w:r w:rsidRPr="007559AA">
        <w:rPr>
          <w:rFonts w:cstheme="minorHAnsi"/>
          <w:b/>
          <w:i/>
          <w:sz w:val="20"/>
          <w:szCs w:val="20"/>
        </w:rPr>
        <w:t>WHO-ART</w:t>
      </w:r>
      <w:r w:rsidR="006413AA" w:rsidRPr="006413AA">
        <w:rPr>
          <w:rFonts w:cstheme="minorHAnsi"/>
          <w:b/>
          <w:i/>
          <w:noProof/>
          <w:sz w:val="20"/>
          <w:szCs w:val="20"/>
          <w:vertAlign w:val="superscript"/>
        </w:rPr>
        <w:t>48</w:t>
      </w:r>
      <w:r>
        <w:rPr>
          <w:rFonts w:cstheme="minorHAnsi"/>
          <w:i/>
          <w:sz w:val="20"/>
          <w:szCs w:val="20"/>
        </w:rPr>
        <w:t xml:space="preserve"> Non-serious or </w:t>
      </w:r>
      <w:r w:rsidRPr="007B24BD">
        <w:rPr>
          <w:rFonts w:cstheme="minorHAnsi"/>
          <w:i/>
          <w:sz w:val="20"/>
          <w:szCs w:val="20"/>
        </w:rPr>
        <w:t>Serious: An adverse event or reaction that results in death; requires hospitalization or extension of hospital stay; results in persistent or significant disability or incapacity; is life-threatening.</w:t>
      </w:r>
      <w:r>
        <w:rPr>
          <w:rFonts w:cstheme="minorHAnsi"/>
          <w:i/>
          <w:sz w:val="20"/>
          <w:szCs w:val="20"/>
        </w:rPr>
        <w:t xml:space="preserve"> </w:t>
      </w:r>
    </w:p>
    <w:p w14:paraId="610C3B60" w14:textId="62221393" w:rsidR="007D57FB" w:rsidRDefault="007D57FB" w:rsidP="005B3E6B">
      <w:pPr>
        <w:spacing w:line="360" w:lineRule="auto"/>
        <w:jc w:val="both"/>
        <w:rPr>
          <w:rFonts w:cstheme="minorHAnsi"/>
          <w:i/>
          <w:sz w:val="20"/>
          <w:szCs w:val="20"/>
        </w:rPr>
      </w:pPr>
      <w:r w:rsidRPr="008A5328">
        <w:rPr>
          <w:rFonts w:cstheme="minorHAnsi"/>
          <w:b/>
          <w:i/>
          <w:sz w:val="20"/>
          <w:szCs w:val="20"/>
        </w:rPr>
        <w:t>European Medicines Agency</w:t>
      </w:r>
      <w:r w:rsidR="006413AA" w:rsidRPr="006413AA">
        <w:rPr>
          <w:rFonts w:cstheme="minorHAnsi"/>
          <w:b/>
          <w:i/>
          <w:noProof/>
          <w:sz w:val="20"/>
          <w:szCs w:val="20"/>
          <w:vertAlign w:val="superscript"/>
        </w:rPr>
        <w:t>49</w:t>
      </w:r>
      <w:r w:rsidR="00DD51CA">
        <w:rPr>
          <w:rFonts w:cstheme="minorHAnsi"/>
          <w:i/>
          <w:sz w:val="20"/>
          <w:szCs w:val="20"/>
        </w:rPr>
        <w:t xml:space="preserve"> </w:t>
      </w:r>
      <w:r w:rsidRPr="00171BC0">
        <w:rPr>
          <w:rFonts w:cstheme="minorHAnsi"/>
          <w:i/>
          <w:sz w:val="20"/>
          <w:szCs w:val="20"/>
        </w:rPr>
        <w:t xml:space="preserve">serious </w:t>
      </w:r>
      <w:r>
        <w:rPr>
          <w:rFonts w:cstheme="minorHAnsi"/>
          <w:i/>
          <w:sz w:val="20"/>
          <w:szCs w:val="20"/>
        </w:rPr>
        <w:t xml:space="preserve">if </w:t>
      </w:r>
      <w:r w:rsidRPr="00171BC0">
        <w:rPr>
          <w:rFonts w:cstheme="minorHAnsi"/>
          <w:i/>
          <w:sz w:val="20"/>
          <w:szCs w:val="20"/>
        </w:rPr>
        <w:t>fatal, life-threatening, required or prolonged hospitalization, caused serious or permanent disability, or congenital anomaly/birth defect</w:t>
      </w:r>
      <w:r>
        <w:rPr>
          <w:rFonts w:cstheme="minorHAnsi"/>
          <w:i/>
          <w:sz w:val="20"/>
          <w:szCs w:val="20"/>
        </w:rPr>
        <w:t xml:space="preserve">. </w:t>
      </w:r>
    </w:p>
    <w:p w14:paraId="610C3B61" w14:textId="1A54B0AC" w:rsidR="007D57FB" w:rsidRDefault="007D57FB" w:rsidP="005B3E6B">
      <w:pPr>
        <w:spacing w:line="360" w:lineRule="auto"/>
        <w:jc w:val="both"/>
        <w:rPr>
          <w:rFonts w:cstheme="minorHAnsi"/>
          <w:i/>
          <w:sz w:val="20"/>
          <w:szCs w:val="20"/>
        </w:rPr>
      </w:pPr>
      <w:r w:rsidRPr="008A5328">
        <w:rPr>
          <w:rFonts w:cstheme="minorHAnsi"/>
          <w:b/>
          <w:i/>
          <w:sz w:val="20"/>
          <w:szCs w:val="20"/>
        </w:rPr>
        <w:t>Spanish system of pharmacovigilance</w:t>
      </w:r>
      <w:r w:rsidR="006413AA" w:rsidRPr="006413AA">
        <w:rPr>
          <w:rFonts w:cstheme="minorHAnsi"/>
          <w:b/>
          <w:i/>
          <w:noProof/>
          <w:sz w:val="20"/>
          <w:szCs w:val="20"/>
          <w:vertAlign w:val="superscript"/>
        </w:rPr>
        <w:t>50</w:t>
      </w:r>
      <w:r>
        <w:rPr>
          <w:rFonts w:cstheme="minorHAnsi"/>
          <w:i/>
          <w:sz w:val="20"/>
          <w:szCs w:val="20"/>
        </w:rPr>
        <w:t xml:space="preserve"> </w:t>
      </w:r>
      <w:r w:rsidRPr="00A442D7">
        <w:rPr>
          <w:rFonts w:cstheme="minorHAnsi"/>
          <w:i/>
          <w:sz w:val="20"/>
          <w:szCs w:val="20"/>
        </w:rPr>
        <w:t>Mild (no additional measures required), moderate (motivates hospital admission), severe (threatens the patient's life) and deadly (contributes directly or indirectly to Patient's death)</w:t>
      </w:r>
      <w:r>
        <w:rPr>
          <w:rFonts w:cstheme="minorHAnsi"/>
          <w:i/>
          <w:sz w:val="20"/>
          <w:szCs w:val="20"/>
        </w:rPr>
        <w:t>.</w:t>
      </w:r>
    </w:p>
    <w:p w14:paraId="610C3B62" w14:textId="77777777" w:rsidR="007D57FB" w:rsidRDefault="007D57FB" w:rsidP="005B3E6B">
      <w:pPr>
        <w:spacing w:line="360" w:lineRule="auto"/>
        <w:jc w:val="both"/>
        <w:rPr>
          <w:rFonts w:cstheme="minorHAnsi"/>
          <w:i/>
          <w:sz w:val="20"/>
          <w:szCs w:val="20"/>
        </w:rPr>
      </w:pPr>
    </w:p>
    <w:p w14:paraId="610C3B63" w14:textId="77777777" w:rsidR="007D57FB" w:rsidRDefault="007D57FB" w:rsidP="005B3E6B">
      <w:pPr>
        <w:spacing w:line="360" w:lineRule="auto"/>
        <w:jc w:val="both"/>
        <w:rPr>
          <w:rFonts w:cstheme="minorHAnsi"/>
          <w:i/>
          <w:sz w:val="20"/>
          <w:szCs w:val="20"/>
        </w:rPr>
      </w:pPr>
      <w:r w:rsidRPr="009F4473">
        <w:rPr>
          <w:rFonts w:cstheme="minorHAnsi"/>
          <w:b/>
          <w:i/>
          <w:sz w:val="20"/>
          <w:szCs w:val="20"/>
          <w:u w:val="single"/>
        </w:rPr>
        <w:t>Classification</w:t>
      </w:r>
    </w:p>
    <w:p w14:paraId="610C3B64" w14:textId="4BBD7408" w:rsidR="007D57FB" w:rsidRDefault="007D57FB" w:rsidP="005B3E6B">
      <w:pPr>
        <w:spacing w:line="360" w:lineRule="auto"/>
        <w:jc w:val="both"/>
        <w:rPr>
          <w:rFonts w:cstheme="minorHAnsi"/>
          <w:i/>
          <w:sz w:val="20"/>
          <w:szCs w:val="20"/>
        </w:rPr>
      </w:pPr>
      <w:r w:rsidRPr="001C32A9">
        <w:rPr>
          <w:rFonts w:cstheme="minorHAnsi"/>
          <w:b/>
          <w:i/>
          <w:sz w:val="20"/>
          <w:szCs w:val="20"/>
        </w:rPr>
        <w:t>DoTs</w:t>
      </w:r>
      <w:r w:rsidR="006413AA" w:rsidRPr="006413AA">
        <w:rPr>
          <w:rFonts w:cstheme="minorHAnsi"/>
          <w:b/>
          <w:i/>
          <w:noProof/>
          <w:sz w:val="20"/>
          <w:szCs w:val="20"/>
          <w:vertAlign w:val="superscript"/>
        </w:rPr>
        <w:t>9</w:t>
      </w:r>
      <w:r>
        <w:rPr>
          <w:rFonts w:cstheme="minorHAnsi"/>
          <w:i/>
          <w:sz w:val="20"/>
          <w:szCs w:val="20"/>
        </w:rPr>
        <w:t xml:space="preserve"> </w:t>
      </w:r>
      <w:r w:rsidRPr="0023781E">
        <w:rPr>
          <w:rFonts w:cstheme="minorHAnsi"/>
          <w:i/>
          <w:sz w:val="20"/>
          <w:szCs w:val="20"/>
        </w:rPr>
        <w:t>three-dimensional classiﬁcation</w:t>
      </w:r>
      <w:r>
        <w:rPr>
          <w:rFonts w:cstheme="minorHAnsi"/>
          <w:i/>
          <w:sz w:val="20"/>
          <w:szCs w:val="20"/>
        </w:rPr>
        <w:t xml:space="preserve"> - Dose, timing and susceptibility classification;</w:t>
      </w:r>
      <w:r w:rsidRPr="00217D02">
        <w:rPr>
          <w:rFonts w:cstheme="minorHAnsi"/>
          <w:i/>
          <w:sz w:val="20"/>
          <w:szCs w:val="20"/>
          <w:u w:val="single"/>
        </w:rPr>
        <w:t xml:space="preserve"> Dose</w:t>
      </w:r>
      <w:r>
        <w:rPr>
          <w:rFonts w:cstheme="minorHAnsi"/>
          <w:i/>
          <w:sz w:val="20"/>
          <w:szCs w:val="20"/>
        </w:rPr>
        <w:t xml:space="preserve"> –</w:t>
      </w:r>
      <w:r w:rsidRPr="0023781E">
        <w:rPr>
          <w:rFonts w:cstheme="minorHAnsi"/>
          <w:i/>
          <w:sz w:val="20"/>
          <w:szCs w:val="20"/>
        </w:rPr>
        <w:t xml:space="preserve"> </w:t>
      </w:r>
      <w:r w:rsidRPr="001C32A9">
        <w:rPr>
          <w:rFonts w:cstheme="minorHAnsi"/>
          <w:i/>
          <w:sz w:val="20"/>
          <w:szCs w:val="20"/>
        </w:rPr>
        <w:t>(1) supratherapeutic reactions (occurring at doses higher than are recommended), (2) collateral reactions (which usually occur at the recommended dose) or (3) hypersensitivity reactions (occurring at lower doses than are reco</w:t>
      </w:r>
      <w:r>
        <w:rPr>
          <w:rFonts w:cstheme="minorHAnsi"/>
          <w:i/>
          <w:sz w:val="20"/>
          <w:szCs w:val="20"/>
        </w:rPr>
        <w:t xml:space="preserve">mmended); </w:t>
      </w:r>
      <w:r>
        <w:rPr>
          <w:rFonts w:cstheme="minorHAnsi"/>
          <w:i/>
          <w:sz w:val="20"/>
          <w:szCs w:val="20"/>
          <w:u w:val="single"/>
        </w:rPr>
        <w:t>T</w:t>
      </w:r>
      <w:r w:rsidRPr="00217D02">
        <w:rPr>
          <w:rFonts w:cstheme="minorHAnsi"/>
          <w:i/>
          <w:sz w:val="20"/>
          <w:szCs w:val="20"/>
          <w:u w:val="single"/>
        </w:rPr>
        <w:t>iming</w:t>
      </w:r>
      <w:r>
        <w:rPr>
          <w:rFonts w:cstheme="minorHAnsi"/>
          <w:i/>
          <w:sz w:val="20"/>
          <w:szCs w:val="20"/>
        </w:rPr>
        <w:t xml:space="preserve"> - </w:t>
      </w:r>
      <w:r w:rsidRPr="003E4761">
        <w:rPr>
          <w:rFonts w:cstheme="minorHAnsi"/>
          <w:i/>
          <w:sz w:val="20"/>
          <w:szCs w:val="20"/>
        </w:rPr>
        <w:t>: (1) fast reactions (on administration</w:t>
      </w:r>
      <w:r>
        <w:rPr>
          <w:rFonts w:cstheme="minorHAnsi"/>
          <w:i/>
          <w:sz w:val="20"/>
          <w:szCs w:val="20"/>
        </w:rPr>
        <w:t xml:space="preserve"> </w:t>
      </w:r>
      <w:r w:rsidRPr="003E4761">
        <w:rPr>
          <w:rFonts w:cstheme="minorHAnsi"/>
          <w:i/>
          <w:sz w:val="20"/>
          <w:szCs w:val="20"/>
        </w:rPr>
        <w:t>of</w:t>
      </w:r>
      <w:r>
        <w:rPr>
          <w:rFonts w:cstheme="minorHAnsi"/>
          <w:i/>
          <w:sz w:val="20"/>
          <w:szCs w:val="20"/>
        </w:rPr>
        <w:t xml:space="preserve"> </w:t>
      </w:r>
      <w:r w:rsidRPr="003E4761">
        <w:rPr>
          <w:rFonts w:cstheme="minorHAnsi"/>
          <w:i/>
          <w:sz w:val="20"/>
          <w:szCs w:val="20"/>
        </w:rPr>
        <w:t>a</w:t>
      </w:r>
      <w:r>
        <w:rPr>
          <w:rFonts w:cstheme="minorHAnsi"/>
          <w:i/>
          <w:sz w:val="20"/>
          <w:szCs w:val="20"/>
        </w:rPr>
        <w:t xml:space="preserve"> </w:t>
      </w:r>
      <w:r w:rsidRPr="003E4761">
        <w:rPr>
          <w:rFonts w:cstheme="minorHAnsi"/>
          <w:i/>
          <w:sz w:val="20"/>
          <w:szCs w:val="20"/>
        </w:rPr>
        <w:t>drug,</w:t>
      </w:r>
      <w:r>
        <w:rPr>
          <w:rFonts w:cstheme="minorHAnsi"/>
          <w:i/>
          <w:sz w:val="20"/>
          <w:szCs w:val="20"/>
        </w:rPr>
        <w:t xml:space="preserve"> </w:t>
      </w:r>
      <w:r w:rsidRPr="003E4761">
        <w:rPr>
          <w:rFonts w:cstheme="minorHAnsi"/>
          <w:i/>
          <w:sz w:val="20"/>
          <w:szCs w:val="20"/>
        </w:rPr>
        <w:t>which</w:t>
      </w:r>
      <w:r>
        <w:rPr>
          <w:rFonts w:cstheme="minorHAnsi"/>
          <w:i/>
          <w:sz w:val="20"/>
          <w:szCs w:val="20"/>
        </w:rPr>
        <w:t xml:space="preserve"> </w:t>
      </w:r>
      <w:r w:rsidRPr="003E4761">
        <w:rPr>
          <w:rFonts w:cstheme="minorHAnsi"/>
          <w:i/>
          <w:sz w:val="20"/>
          <w:szCs w:val="20"/>
        </w:rPr>
        <w:t>is</w:t>
      </w:r>
      <w:r>
        <w:rPr>
          <w:rFonts w:cstheme="minorHAnsi"/>
          <w:i/>
          <w:sz w:val="20"/>
          <w:szCs w:val="20"/>
        </w:rPr>
        <w:t xml:space="preserve"> </w:t>
      </w:r>
      <w:r w:rsidRPr="003E4761">
        <w:rPr>
          <w:rFonts w:cstheme="minorHAnsi"/>
          <w:i/>
          <w:sz w:val="20"/>
          <w:szCs w:val="20"/>
        </w:rPr>
        <w:t>usually</w:t>
      </w:r>
      <w:r>
        <w:rPr>
          <w:rFonts w:cstheme="minorHAnsi"/>
          <w:i/>
          <w:sz w:val="20"/>
          <w:szCs w:val="20"/>
        </w:rPr>
        <w:t xml:space="preserve"> </w:t>
      </w:r>
      <w:r w:rsidRPr="003E4761">
        <w:rPr>
          <w:rFonts w:cstheme="minorHAnsi"/>
          <w:i/>
          <w:sz w:val="20"/>
          <w:szCs w:val="20"/>
        </w:rPr>
        <w:t>given</w:t>
      </w:r>
      <w:r>
        <w:rPr>
          <w:rFonts w:cstheme="minorHAnsi"/>
          <w:i/>
          <w:sz w:val="20"/>
          <w:szCs w:val="20"/>
        </w:rPr>
        <w:t xml:space="preserve"> </w:t>
      </w:r>
      <w:r w:rsidRPr="003E4761">
        <w:rPr>
          <w:rFonts w:cstheme="minorHAnsi"/>
          <w:i/>
          <w:sz w:val="20"/>
          <w:szCs w:val="20"/>
        </w:rPr>
        <w:t>intravenously), (2) the ﬁrst dose</w:t>
      </w:r>
      <w:r>
        <w:rPr>
          <w:rFonts w:cstheme="minorHAnsi"/>
          <w:i/>
          <w:sz w:val="20"/>
          <w:szCs w:val="20"/>
        </w:rPr>
        <w:t xml:space="preserve">, (3) early, (4) intermediate, </w:t>
      </w:r>
      <w:r w:rsidRPr="003E4761">
        <w:rPr>
          <w:rFonts w:cstheme="minorHAnsi"/>
          <w:i/>
          <w:sz w:val="20"/>
          <w:szCs w:val="20"/>
        </w:rPr>
        <w:t>(5) late and (6) delayed</w:t>
      </w:r>
      <w:r>
        <w:rPr>
          <w:rFonts w:cstheme="minorHAnsi"/>
          <w:i/>
          <w:sz w:val="20"/>
          <w:szCs w:val="20"/>
        </w:rPr>
        <w:t>;</w:t>
      </w:r>
      <w:r w:rsidRPr="003E4761">
        <w:rPr>
          <w:rFonts w:cstheme="minorHAnsi"/>
          <w:i/>
          <w:sz w:val="20"/>
          <w:szCs w:val="20"/>
        </w:rPr>
        <w:t xml:space="preserve"> </w:t>
      </w:r>
      <w:r w:rsidRPr="00217D02">
        <w:rPr>
          <w:rFonts w:cstheme="minorHAnsi"/>
          <w:i/>
          <w:sz w:val="20"/>
          <w:szCs w:val="20"/>
          <w:u w:val="single"/>
        </w:rPr>
        <w:t>Susceptibility</w:t>
      </w:r>
      <w:r>
        <w:rPr>
          <w:rFonts w:cstheme="minorHAnsi"/>
          <w:i/>
          <w:sz w:val="20"/>
          <w:szCs w:val="20"/>
        </w:rPr>
        <w:t xml:space="preserve"> –  </w:t>
      </w:r>
      <w:r w:rsidRPr="00217D02">
        <w:rPr>
          <w:rFonts w:cstheme="minorHAnsi"/>
          <w:i/>
          <w:sz w:val="20"/>
          <w:szCs w:val="20"/>
        </w:rPr>
        <w:t xml:space="preserve">factors of genetic susceptibility, age (paediatric and older population), gender and the presence of exogenous factors (e.g. drug interactions) or disease </w:t>
      </w:r>
      <w:r>
        <w:rPr>
          <w:rFonts w:cstheme="minorHAnsi"/>
          <w:i/>
          <w:sz w:val="20"/>
          <w:szCs w:val="20"/>
        </w:rPr>
        <w:t>(e.g. hepatic or renal disease)</w:t>
      </w:r>
      <w:r w:rsidRPr="00217D02">
        <w:rPr>
          <w:rFonts w:cstheme="minorHAnsi"/>
          <w:i/>
          <w:sz w:val="20"/>
          <w:szCs w:val="20"/>
        </w:rPr>
        <w:t>.</w:t>
      </w:r>
      <w:r>
        <w:rPr>
          <w:rFonts w:cstheme="minorHAnsi"/>
          <w:i/>
          <w:sz w:val="20"/>
          <w:szCs w:val="20"/>
        </w:rPr>
        <w:t xml:space="preserve"> </w:t>
      </w:r>
    </w:p>
    <w:p w14:paraId="610C3B65" w14:textId="1455BD94" w:rsidR="007D57FB" w:rsidRDefault="007D57FB" w:rsidP="005B3E6B">
      <w:pPr>
        <w:spacing w:line="360" w:lineRule="auto"/>
        <w:jc w:val="both"/>
        <w:rPr>
          <w:rFonts w:cstheme="minorHAnsi"/>
          <w:i/>
          <w:sz w:val="20"/>
          <w:szCs w:val="20"/>
        </w:rPr>
      </w:pPr>
      <w:r w:rsidRPr="001C32A9">
        <w:rPr>
          <w:rFonts w:cstheme="minorHAnsi"/>
          <w:b/>
          <w:i/>
          <w:sz w:val="20"/>
          <w:szCs w:val="20"/>
        </w:rPr>
        <w:t>MedDRA-SOC</w:t>
      </w:r>
      <w:r>
        <w:rPr>
          <w:rFonts w:cstheme="minorHAnsi"/>
          <w:b/>
          <w:i/>
          <w:sz w:val="20"/>
          <w:szCs w:val="20"/>
        </w:rPr>
        <w:t>®</w:t>
      </w:r>
      <w:r w:rsidR="006413AA" w:rsidRPr="006413AA">
        <w:rPr>
          <w:rFonts w:cstheme="minorHAnsi"/>
          <w:b/>
          <w:i/>
          <w:noProof/>
          <w:sz w:val="20"/>
          <w:szCs w:val="20"/>
          <w:vertAlign w:val="superscript"/>
        </w:rPr>
        <w:t>6</w:t>
      </w:r>
      <w:r>
        <w:rPr>
          <w:rFonts w:cstheme="minorHAnsi"/>
          <w:i/>
          <w:sz w:val="20"/>
          <w:szCs w:val="20"/>
        </w:rPr>
        <w:t xml:space="preserve"> five level hierarchy from very specific (lowest level terms of which there are 70,000) to very general (system organ class). </w:t>
      </w:r>
    </w:p>
    <w:p w14:paraId="610C3B66" w14:textId="3C5A263B" w:rsidR="007D57FB" w:rsidRDefault="007D57FB" w:rsidP="005B3E6B">
      <w:pPr>
        <w:spacing w:line="360" w:lineRule="auto"/>
        <w:jc w:val="both"/>
        <w:rPr>
          <w:rFonts w:cstheme="minorHAnsi"/>
          <w:i/>
          <w:sz w:val="20"/>
          <w:szCs w:val="20"/>
        </w:rPr>
      </w:pPr>
      <w:r w:rsidRPr="00C06967">
        <w:rPr>
          <w:rFonts w:cstheme="minorHAnsi"/>
          <w:b/>
          <w:i/>
          <w:sz w:val="20"/>
          <w:szCs w:val="20"/>
        </w:rPr>
        <w:t>Rawlins and Thompson</w:t>
      </w:r>
      <w:r w:rsidR="006413AA" w:rsidRPr="006413AA">
        <w:rPr>
          <w:rFonts w:cstheme="minorHAnsi"/>
          <w:b/>
          <w:i/>
          <w:noProof/>
          <w:sz w:val="20"/>
          <w:szCs w:val="20"/>
          <w:vertAlign w:val="superscript"/>
        </w:rPr>
        <w:t>51</w:t>
      </w:r>
      <w:r>
        <w:rPr>
          <w:rFonts w:cstheme="minorHAnsi"/>
          <w:i/>
          <w:sz w:val="20"/>
          <w:szCs w:val="20"/>
        </w:rPr>
        <w:t xml:space="preserve"> </w:t>
      </w:r>
      <w:r w:rsidRPr="006F13A7">
        <w:rPr>
          <w:rFonts w:cstheme="minorHAnsi"/>
          <w:i/>
          <w:sz w:val="20"/>
          <w:szCs w:val="20"/>
        </w:rPr>
        <w:t>divided into two categories: reactions that are common, predictable, and that may occur in any individual (type A); and reactions that are uncommon, not predictable, and that occur only in susceptible individuals (type B).</w:t>
      </w:r>
    </w:p>
    <w:p w14:paraId="610C3B67" w14:textId="59949B5A" w:rsidR="007D57FB" w:rsidRDefault="007D57FB" w:rsidP="005B3E6B">
      <w:pPr>
        <w:spacing w:line="360" w:lineRule="auto"/>
        <w:jc w:val="both"/>
        <w:rPr>
          <w:rFonts w:cstheme="minorHAnsi"/>
          <w:i/>
          <w:sz w:val="20"/>
          <w:szCs w:val="20"/>
        </w:rPr>
      </w:pPr>
      <w:r w:rsidRPr="00721598">
        <w:rPr>
          <w:rFonts w:cstheme="minorHAnsi"/>
          <w:b/>
          <w:i/>
          <w:sz w:val="20"/>
          <w:szCs w:val="20"/>
        </w:rPr>
        <w:t>WHO-ART</w:t>
      </w:r>
      <w:r w:rsidR="006413AA" w:rsidRPr="006413AA">
        <w:rPr>
          <w:rFonts w:cstheme="minorHAnsi"/>
          <w:b/>
          <w:i/>
          <w:noProof/>
          <w:sz w:val="20"/>
          <w:szCs w:val="20"/>
          <w:vertAlign w:val="superscript"/>
        </w:rPr>
        <w:t>48</w:t>
      </w:r>
      <w:r>
        <w:rPr>
          <w:rFonts w:cstheme="minorHAnsi"/>
          <w:i/>
          <w:sz w:val="20"/>
          <w:szCs w:val="20"/>
        </w:rPr>
        <w:t xml:space="preserve"> four level hierarchy from general system organ classes (</w:t>
      </w:r>
      <w:r w:rsidRPr="00593B21">
        <w:rPr>
          <w:rFonts w:cstheme="minorHAnsi"/>
          <w:i/>
          <w:sz w:val="20"/>
          <w:szCs w:val="20"/>
        </w:rPr>
        <w:t>32</w:t>
      </w:r>
      <w:r>
        <w:rPr>
          <w:rFonts w:cstheme="minorHAnsi"/>
          <w:i/>
          <w:sz w:val="20"/>
          <w:szCs w:val="20"/>
        </w:rPr>
        <w:t xml:space="preserve">), high level terms, preferred terms, and included terms (no longer actively maintained, last release WHO-UMC 2015, and superseded by MedDRA-SOC® in 2008). </w:t>
      </w:r>
    </w:p>
    <w:p w14:paraId="610C3B68" w14:textId="10933A3F" w:rsidR="007D57FB" w:rsidRDefault="007D57FB" w:rsidP="005B3E6B">
      <w:pPr>
        <w:spacing w:line="360" w:lineRule="auto"/>
        <w:jc w:val="both"/>
        <w:rPr>
          <w:rFonts w:cstheme="minorHAnsi"/>
          <w:i/>
          <w:sz w:val="20"/>
          <w:szCs w:val="20"/>
        </w:rPr>
      </w:pPr>
      <w:r w:rsidRPr="00721598">
        <w:rPr>
          <w:rFonts w:cstheme="minorHAnsi"/>
          <w:b/>
          <w:i/>
          <w:sz w:val="20"/>
          <w:szCs w:val="20"/>
        </w:rPr>
        <w:t>Meyboom</w:t>
      </w:r>
      <w:r w:rsidR="006413AA" w:rsidRPr="006413AA">
        <w:rPr>
          <w:rFonts w:cstheme="minorHAnsi"/>
          <w:b/>
          <w:i/>
          <w:noProof/>
          <w:sz w:val="20"/>
          <w:szCs w:val="20"/>
          <w:vertAlign w:val="superscript"/>
        </w:rPr>
        <w:t>52</w:t>
      </w:r>
      <w:r>
        <w:rPr>
          <w:rFonts w:cstheme="minorHAnsi"/>
          <w:i/>
          <w:sz w:val="20"/>
          <w:szCs w:val="20"/>
        </w:rPr>
        <w:t xml:space="preserve"> </w:t>
      </w:r>
      <w:r w:rsidRPr="005E4433">
        <w:rPr>
          <w:rFonts w:cstheme="minorHAnsi"/>
          <w:i/>
          <w:sz w:val="20"/>
          <w:szCs w:val="20"/>
        </w:rPr>
        <w:t>type A ("drug actions"), type B ("patients reactions") and type C ("statistical ").</w:t>
      </w:r>
    </w:p>
    <w:p w14:paraId="610C3B69" w14:textId="77777777" w:rsidR="007D57FB" w:rsidRDefault="007D57FB" w:rsidP="005B3E6B">
      <w:pPr>
        <w:spacing w:line="360" w:lineRule="auto"/>
        <w:jc w:val="both"/>
        <w:rPr>
          <w:rFonts w:cstheme="minorHAnsi"/>
          <w:b/>
          <w:i/>
          <w:sz w:val="20"/>
          <w:szCs w:val="20"/>
          <w:u w:val="single"/>
        </w:rPr>
      </w:pPr>
    </w:p>
    <w:p w14:paraId="610C3B6A" w14:textId="77777777" w:rsidR="007D57FB" w:rsidRDefault="007D57FB" w:rsidP="005B3E6B">
      <w:pPr>
        <w:spacing w:line="360" w:lineRule="auto"/>
        <w:jc w:val="both"/>
        <w:rPr>
          <w:rFonts w:cstheme="minorHAnsi"/>
          <w:i/>
          <w:sz w:val="20"/>
          <w:szCs w:val="20"/>
        </w:rPr>
      </w:pPr>
      <w:r w:rsidRPr="009F4473">
        <w:rPr>
          <w:rFonts w:cstheme="minorHAnsi"/>
          <w:b/>
          <w:i/>
          <w:sz w:val="20"/>
          <w:szCs w:val="20"/>
          <w:u w:val="single"/>
        </w:rPr>
        <w:t>Preventability</w:t>
      </w:r>
    </w:p>
    <w:p w14:paraId="610C3B6B" w14:textId="7498E91A" w:rsidR="007D57FB" w:rsidRDefault="007D57FB" w:rsidP="005B3E6B">
      <w:pPr>
        <w:spacing w:line="360" w:lineRule="auto"/>
        <w:jc w:val="both"/>
        <w:rPr>
          <w:rFonts w:cstheme="minorHAnsi"/>
          <w:i/>
          <w:sz w:val="20"/>
          <w:szCs w:val="20"/>
        </w:rPr>
      </w:pPr>
      <w:r w:rsidRPr="00980364">
        <w:rPr>
          <w:rFonts w:cstheme="minorHAnsi"/>
          <w:b/>
          <w:i/>
          <w:sz w:val="20"/>
          <w:szCs w:val="20"/>
        </w:rPr>
        <w:t>Hallas</w:t>
      </w:r>
      <w:r w:rsidR="006413AA" w:rsidRPr="006413AA">
        <w:rPr>
          <w:rFonts w:cstheme="minorHAnsi"/>
          <w:b/>
          <w:i/>
          <w:noProof/>
          <w:sz w:val="20"/>
          <w:szCs w:val="20"/>
          <w:vertAlign w:val="superscript"/>
        </w:rPr>
        <w:t>42</w:t>
      </w:r>
      <w:r w:rsidR="00DD51CA">
        <w:rPr>
          <w:rFonts w:cstheme="minorHAnsi"/>
          <w:b/>
          <w:i/>
          <w:noProof/>
          <w:sz w:val="20"/>
          <w:szCs w:val="20"/>
          <w:vertAlign w:val="superscript"/>
        </w:rPr>
        <w:t xml:space="preserve"> </w:t>
      </w:r>
      <w:r w:rsidRPr="00980364">
        <w:rPr>
          <w:rFonts w:cstheme="minorHAnsi"/>
          <w:i/>
          <w:sz w:val="20"/>
          <w:szCs w:val="20"/>
        </w:rPr>
        <w:t>definitely avoidable, possi</w:t>
      </w:r>
      <w:r>
        <w:rPr>
          <w:rFonts w:cstheme="minorHAnsi"/>
          <w:i/>
          <w:sz w:val="20"/>
          <w:szCs w:val="20"/>
        </w:rPr>
        <w:t xml:space="preserve">bly avoidable, unavoidable and </w:t>
      </w:r>
      <w:r w:rsidRPr="00980364">
        <w:rPr>
          <w:rFonts w:cstheme="minorHAnsi"/>
          <w:i/>
          <w:sz w:val="20"/>
          <w:szCs w:val="20"/>
        </w:rPr>
        <w:t>unclassifiable</w:t>
      </w:r>
      <w:r>
        <w:rPr>
          <w:rFonts w:cstheme="minorHAnsi"/>
          <w:i/>
          <w:sz w:val="20"/>
          <w:szCs w:val="20"/>
        </w:rPr>
        <w:t xml:space="preserve"> – </w:t>
      </w:r>
      <w:r w:rsidRPr="004C30C8">
        <w:rPr>
          <w:rFonts w:cstheme="minorHAnsi"/>
          <w:i/>
          <w:sz w:val="20"/>
          <w:szCs w:val="20"/>
        </w:rPr>
        <w:t>‘Definitely avoidable’. The drug event was due to a drug treatment procedure inconsistent with present- day knowledge of good medical practice or was clearly unrealistic, taking the known circumstances into account. ‘Possibly avoidable ’</w:t>
      </w:r>
      <w:r>
        <w:rPr>
          <w:rFonts w:cstheme="minorHAnsi"/>
          <w:i/>
          <w:sz w:val="20"/>
          <w:szCs w:val="20"/>
        </w:rPr>
        <w:t>. The prescription was not er</w:t>
      </w:r>
      <w:r w:rsidRPr="004C30C8">
        <w:rPr>
          <w:rFonts w:cstheme="minorHAnsi"/>
          <w:i/>
          <w:sz w:val="20"/>
          <w:szCs w:val="20"/>
        </w:rPr>
        <w:t xml:space="preserve">roneous, but the drug event could have been avoided by an effort exceeding the obligatory demands. ‘Not avoidable’. The drug event could not have been avoided by any reasonable means, or it was an unpredictable event in the course of a treatment fully in accordance with good medical practice. ‘Unevaluable’. The data for rating could not be obtained or the evidence was conflicting. </w:t>
      </w:r>
    </w:p>
    <w:p w14:paraId="610C3B6C" w14:textId="0DE941CD" w:rsidR="007D57FB" w:rsidRDefault="007D57FB" w:rsidP="005B3E6B">
      <w:pPr>
        <w:spacing w:line="360" w:lineRule="auto"/>
        <w:jc w:val="both"/>
        <w:rPr>
          <w:rFonts w:cstheme="minorHAnsi"/>
          <w:i/>
          <w:sz w:val="20"/>
          <w:szCs w:val="20"/>
        </w:rPr>
      </w:pPr>
      <w:r w:rsidRPr="00980364">
        <w:rPr>
          <w:rFonts w:cstheme="minorHAnsi"/>
          <w:b/>
          <w:i/>
          <w:sz w:val="20"/>
          <w:szCs w:val="20"/>
        </w:rPr>
        <w:t>Schumock &amp; Thornton</w:t>
      </w:r>
      <w:r w:rsidR="006413AA" w:rsidRPr="006413AA">
        <w:rPr>
          <w:rFonts w:cstheme="minorHAnsi"/>
          <w:b/>
          <w:i/>
          <w:noProof/>
          <w:sz w:val="20"/>
          <w:szCs w:val="20"/>
          <w:vertAlign w:val="superscript"/>
        </w:rPr>
        <w:t>53</w:t>
      </w:r>
      <w:r>
        <w:rPr>
          <w:rFonts w:cstheme="minorHAnsi"/>
          <w:i/>
          <w:sz w:val="20"/>
          <w:szCs w:val="20"/>
        </w:rPr>
        <w:t xml:space="preserve"> certainly preventable, probably preventable, unavoidable/not preventable; yes to any question in any category. </w:t>
      </w:r>
      <w:r w:rsidRPr="003035D1">
        <w:rPr>
          <w:rFonts w:cstheme="minorHAnsi"/>
          <w:i/>
          <w:sz w:val="20"/>
          <w:szCs w:val="20"/>
          <w:u w:val="single"/>
        </w:rPr>
        <w:t>Definitely preventable</w:t>
      </w:r>
      <w:r w:rsidRPr="003035D1">
        <w:rPr>
          <w:rFonts w:cstheme="minorHAnsi"/>
          <w:i/>
          <w:sz w:val="20"/>
          <w:szCs w:val="20"/>
        </w:rPr>
        <w:t xml:space="preserve"> 1. Was there a history of allergy or previous reactions to the drug? 2. Was the drug involved inappropriate for the patient’s clinical condition? 3. Was the dose, route or frequency of administration inappropriate for the patient’s age, weight or disease state? 4. Was a toxic serum drug concentration (or laboratory monitoring test) documented? 5. Was there a known treatment for the Adverse Drug Reaction? </w:t>
      </w:r>
      <w:r w:rsidRPr="003035D1">
        <w:rPr>
          <w:rFonts w:cstheme="minorHAnsi"/>
          <w:i/>
          <w:sz w:val="20"/>
          <w:szCs w:val="20"/>
          <w:u w:val="single"/>
        </w:rPr>
        <w:t>Probably preventable</w:t>
      </w:r>
      <w:r w:rsidRPr="003035D1">
        <w:rPr>
          <w:rFonts w:cstheme="minorHAnsi"/>
          <w:i/>
          <w:sz w:val="20"/>
          <w:szCs w:val="20"/>
        </w:rPr>
        <w:t xml:space="preserve"> 6. Was required Therapeutic drug monitoring or other necessary laboratory tests not performed? 7. Was a drug interaction involved in the ADR? 8. Was poor compliance involved in the ADR? 9. Were preventative measures not prescribed or administered to the patient? </w:t>
      </w:r>
      <w:r w:rsidRPr="003035D1">
        <w:rPr>
          <w:rFonts w:cstheme="minorHAnsi"/>
          <w:i/>
          <w:sz w:val="20"/>
          <w:szCs w:val="20"/>
          <w:u w:val="single"/>
        </w:rPr>
        <w:t>Unavoidable/</w:t>
      </w:r>
      <w:r>
        <w:rPr>
          <w:rFonts w:cstheme="minorHAnsi"/>
          <w:i/>
          <w:sz w:val="20"/>
          <w:szCs w:val="20"/>
          <w:u w:val="single"/>
        </w:rPr>
        <w:t xml:space="preserve">Not </w:t>
      </w:r>
      <w:r w:rsidRPr="003035D1">
        <w:rPr>
          <w:rFonts w:cstheme="minorHAnsi"/>
          <w:i/>
          <w:sz w:val="20"/>
          <w:szCs w:val="20"/>
          <w:u w:val="single"/>
        </w:rPr>
        <w:t>preventable</w:t>
      </w:r>
      <w:r>
        <w:rPr>
          <w:rFonts w:cstheme="minorHAnsi"/>
          <w:i/>
          <w:sz w:val="20"/>
          <w:szCs w:val="20"/>
        </w:rPr>
        <w:t xml:space="preserve"> </w:t>
      </w:r>
      <w:r w:rsidRPr="003035D1">
        <w:rPr>
          <w:rFonts w:cstheme="minorHAnsi"/>
          <w:i/>
          <w:sz w:val="20"/>
          <w:szCs w:val="20"/>
        </w:rPr>
        <w:t>If all above criteria not fulfilled</w:t>
      </w:r>
    </w:p>
    <w:p w14:paraId="7AC1F082" w14:textId="77777777" w:rsidR="00497FA1" w:rsidRDefault="00497FA1">
      <w:pPr>
        <w:pStyle w:val="Heading2"/>
        <w:rPr>
          <w:rFonts w:eastAsia="Times New Roman"/>
          <w:lang w:eastAsia="en-GB"/>
        </w:rPr>
      </w:pPr>
    </w:p>
    <w:p w14:paraId="0AC26433" w14:textId="0B88EA74" w:rsidR="00550266" w:rsidRPr="00F57374" w:rsidRDefault="00497FA1" w:rsidP="00550266">
      <w:pPr>
        <w:pStyle w:val="Heading3"/>
        <w:rPr>
          <w:lang w:eastAsia="en-GB"/>
        </w:rPr>
      </w:pPr>
      <w:r>
        <w:rPr>
          <w:lang w:eastAsia="en-GB"/>
        </w:rPr>
        <w:br w:type="page"/>
      </w:r>
      <w:bookmarkStart w:id="39" w:name="_Toc52396360"/>
      <w:r w:rsidR="00737863">
        <w:rPr>
          <w:lang w:eastAsia="en-GB"/>
        </w:rPr>
        <w:t>Appendix 12.</w:t>
      </w:r>
      <w:r w:rsidR="00550266">
        <w:rPr>
          <w:lang w:eastAsia="en-GB"/>
        </w:rPr>
        <w:t xml:space="preserve"> Meta-analysis of Studies Where all Participants Were </w:t>
      </w:r>
      <w:r w:rsidR="00550266">
        <w:rPr>
          <w:rFonts w:ascii="Calibri" w:hAnsi="Calibri" w:cs="Calibri"/>
          <w:lang w:eastAsia="en-GB"/>
        </w:rPr>
        <w:t>≥</w:t>
      </w:r>
      <w:r w:rsidR="00550266">
        <w:rPr>
          <w:lang w:eastAsia="en-GB"/>
        </w:rPr>
        <w:t>65 Years at Baseline (p=0.299)</w:t>
      </w:r>
      <w:bookmarkEnd w:id="39"/>
    </w:p>
    <w:p w14:paraId="5E8AA6C2" w14:textId="77777777" w:rsidR="00550266" w:rsidRDefault="00550266" w:rsidP="00550266">
      <w:pPr>
        <w:spacing w:line="360" w:lineRule="auto"/>
        <w:rPr>
          <w:b/>
          <w:u w:val="single"/>
        </w:rPr>
      </w:pPr>
      <w:r w:rsidRPr="00797406">
        <w:rPr>
          <w:noProof/>
          <w:lang w:eastAsia="en-GB"/>
        </w:rPr>
        <w:drawing>
          <wp:inline distT="0" distB="0" distL="0" distR="0" wp14:anchorId="17C5A28F" wp14:editId="13F9F968">
            <wp:extent cx="7257088" cy="434975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260074" cy="4351540"/>
                    </a:xfrm>
                    <a:prstGeom prst="rect">
                      <a:avLst/>
                    </a:prstGeom>
                  </pic:spPr>
                </pic:pic>
              </a:graphicData>
            </a:graphic>
          </wp:inline>
        </w:drawing>
      </w:r>
      <w:r w:rsidRPr="00797406" w:rsidDel="00797406">
        <w:t xml:space="preserve"> </w:t>
      </w:r>
    </w:p>
    <w:p w14:paraId="082C3D17" w14:textId="77777777" w:rsidR="00550266" w:rsidRDefault="00550266" w:rsidP="00550266">
      <w:pPr>
        <w:spacing w:line="360" w:lineRule="auto"/>
        <w:rPr>
          <w:b/>
          <w:u w:val="single"/>
        </w:rPr>
      </w:pPr>
      <w:r>
        <w:rPr>
          <w:i/>
          <w:sz w:val="16"/>
        </w:rPr>
        <w:t xml:space="preserve">RE – Random effects model </w:t>
      </w:r>
    </w:p>
    <w:p w14:paraId="24306251" w14:textId="7F4F9968" w:rsidR="00550266" w:rsidRDefault="00550266" w:rsidP="00550266">
      <w:pPr>
        <w:rPr>
          <w:u w:val="single"/>
        </w:rPr>
      </w:pPr>
      <w:r w:rsidRPr="00DF6B8F">
        <w:rPr>
          <w:b/>
        </w:rPr>
        <w:t xml:space="preserve">eFigure 2: </w:t>
      </w:r>
      <w:r w:rsidRPr="0008615D">
        <w:t>Subgroup</w:t>
      </w:r>
      <w:r>
        <w:rPr>
          <w:b/>
        </w:rPr>
        <w:t xml:space="preserve"> </w:t>
      </w:r>
      <w:r>
        <w:t xml:space="preserve">analysis </w:t>
      </w:r>
      <w:r w:rsidRPr="00DF6B8F">
        <w:t xml:space="preserve">of patients experiencing at least one in-hospital ADR in </w:t>
      </w:r>
      <w:r>
        <w:t>studies recruiting all ages</w:t>
      </w:r>
      <w:r w:rsidRPr="00634B8E">
        <w:rPr>
          <w:noProof/>
          <w:vertAlign w:val="superscript"/>
        </w:rPr>
        <w:t>7-9,14-20,28,29,32,33</w:t>
      </w:r>
      <w:r>
        <w:t xml:space="preserve"> versus solely </w:t>
      </w:r>
      <w:r>
        <w:rPr>
          <w:rFonts w:cstheme="minorHAnsi"/>
        </w:rPr>
        <w:t>≥</w:t>
      </w:r>
      <w:r>
        <w:t>65 years.</w:t>
      </w:r>
      <w:r w:rsidRPr="00634B8E">
        <w:rPr>
          <w:noProof/>
          <w:vertAlign w:val="superscript"/>
        </w:rPr>
        <w:t>10-13,21-27,30,35</w:t>
      </w:r>
      <w:r>
        <w:t xml:space="preserve"> </w:t>
      </w:r>
    </w:p>
    <w:p w14:paraId="63643EAF" w14:textId="03A2D4C0" w:rsidR="006A7A6F" w:rsidRPr="008937F3" w:rsidRDefault="00550266" w:rsidP="008937F3">
      <w:pPr>
        <w:spacing w:line="360" w:lineRule="auto"/>
        <w:jc w:val="both"/>
        <w:rPr>
          <w:i/>
          <w:sz w:val="16"/>
        </w:rPr>
        <w:sectPr w:rsidR="006A7A6F" w:rsidRPr="008937F3" w:rsidSect="006A7A6F">
          <w:pgSz w:w="16838" w:h="11906" w:orient="landscape"/>
          <w:pgMar w:top="1440" w:right="1440" w:bottom="1440" w:left="1440" w:header="709" w:footer="709" w:gutter="0"/>
          <w:cols w:space="708"/>
          <w:docGrid w:linePitch="360"/>
        </w:sectPr>
      </w:pPr>
      <w:r w:rsidRPr="002D6AF8">
        <w:rPr>
          <w:i/>
          <w:sz w:val="16"/>
        </w:rPr>
        <w:t xml:space="preserve">RE – Random effects model, n – number of patients aged </w:t>
      </w:r>
      <w:r w:rsidRPr="002D6AF8">
        <w:rPr>
          <w:rFonts w:cstheme="minorHAnsi"/>
          <w:i/>
          <w:sz w:val="16"/>
        </w:rPr>
        <w:t>≥</w:t>
      </w:r>
      <w:r w:rsidRPr="002D6AF8">
        <w:rPr>
          <w:i/>
          <w:sz w:val="16"/>
        </w:rPr>
        <w:t xml:space="preserve">65 years, n ADR – number of patients </w:t>
      </w:r>
      <w:r w:rsidRPr="002D6AF8">
        <w:rPr>
          <w:rFonts w:cstheme="minorHAnsi"/>
          <w:i/>
          <w:sz w:val="16"/>
        </w:rPr>
        <w:t>≥</w:t>
      </w:r>
      <w:r w:rsidRPr="002D6AF8">
        <w:rPr>
          <w:i/>
          <w:sz w:val="16"/>
        </w:rPr>
        <w:t>65 years experiencing at least 1 ADR during hospitalisatio</w:t>
      </w:r>
    </w:p>
    <w:p w14:paraId="341A9ABE" w14:textId="131035E5" w:rsidR="00BC05BC" w:rsidRDefault="00737863" w:rsidP="008937F3">
      <w:pPr>
        <w:pStyle w:val="Heading3"/>
        <w:rPr>
          <w:rFonts w:eastAsia="Times New Roman"/>
          <w:lang w:eastAsia="en-GB"/>
        </w:rPr>
      </w:pPr>
      <w:bookmarkStart w:id="40" w:name="_Toc52396361"/>
      <w:r>
        <w:rPr>
          <w:rFonts w:eastAsia="Times New Roman"/>
          <w:lang w:eastAsia="en-GB"/>
        </w:rPr>
        <w:t>Appendix 13.</w:t>
      </w:r>
      <w:r w:rsidR="00FC7A24">
        <w:rPr>
          <w:rFonts w:eastAsia="Times New Roman"/>
          <w:lang w:eastAsia="en-GB"/>
        </w:rPr>
        <w:t xml:space="preserve"> </w:t>
      </w:r>
      <w:r w:rsidR="00BC05BC">
        <w:rPr>
          <w:rFonts w:eastAsia="Times New Roman"/>
          <w:lang w:eastAsia="en-GB"/>
        </w:rPr>
        <w:t xml:space="preserve"> </w:t>
      </w:r>
      <w:r w:rsidR="00FC7A24">
        <w:rPr>
          <w:rFonts w:eastAsia="Times New Roman"/>
          <w:lang w:eastAsia="en-GB"/>
        </w:rPr>
        <w:t>M</w:t>
      </w:r>
      <w:r w:rsidR="00BC05BC">
        <w:rPr>
          <w:rFonts w:eastAsia="Times New Roman"/>
          <w:lang w:eastAsia="en-GB"/>
        </w:rPr>
        <w:t>eta-analysis of studies grouped by ADR definition (p=0.806)</w:t>
      </w:r>
      <w:bookmarkEnd w:id="40"/>
    </w:p>
    <w:p w14:paraId="317C9B6B" w14:textId="1A19C509" w:rsidR="000F779E" w:rsidRDefault="00BC05BC" w:rsidP="008937F3">
      <w:pPr>
        <w:rPr>
          <w:rFonts w:eastAsia="Times New Roman"/>
          <w:lang w:eastAsia="en-GB"/>
        </w:rPr>
      </w:pPr>
      <w:r w:rsidRPr="00BC05BC">
        <w:rPr>
          <w:noProof/>
          <w:lang w:eastAsia="en-GB"/>
        </w:rPr>
        <w:drawing>
          <wp:inline distT="0" distB="0" distL="0" distR="0" wp14:anchorId="114A989B" wp14:editId="1CDB0230">
            <wp:extent cx="8863330" cy="531241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863330" cy="5312410"/>
                    </a:xfrm>
                    <a:prstGeom prst="rect">
                      <a:avLst/>
                    </a:prstGeom>
                  </pic:spPr>
                </pic:pic>
              </a:graphicData>
            </a:graphic>
          </wp:inline>
        </w:drawing>
      </w:r>
    </w:p>
    <w:p w14:paraId="7C7FD7EF" w14:textId="5204856F" w:rsidR="000819D8" w:rsidRDefault="00737863" w:rsidP="008937F3">
      <w:pPr>
        <w:pStyle w:val="Heading3"/>
        <w:rPr>
          <w:rFonts w:eastAsia="Times New Roman"/>
          <w:lang w:eastAsia="en-GB"/>
        </w:rPr>
      </w:pPr>
      <w:bookmarkStart w:id="41" w:name="_Toc52396362"/>
      <w:r>
        <w:rPr>
          <w:rFonts w:eastAsia="Times New Roman"/>
          <w:lang w:eastAsia="en-GB"/>
        </w:rPr>
        <w:t>Appendix 14.</w:t>
      </w:r>
      <w:r w:rsidR="00FC7A24">
        <w:rPr>
          <w:rFonts w:eastAsia="Times New Roman"/>
          <w:lang w:eastAsia="en-GB"/>
        </w:rPr>
        <w:t xml:space="preserve"> M</w:t>
      </w:r>
      <w:r w:rsidR="000819D8">
        <w:rPr>
          <w:rFonts w:eastAsia="Times New Roman"/>
          <w:lang w:eastAsia="en-GB"/>
        </w:rPr>
        <w:t>eta-analysis of studies grouped by ADR causality (p=0.78)</w:t>
      </w:r>
      <w:bookmarkEnd w:id="41"/>
    </w:p>
    <w:p w14:paraId="69A8B4E5" w14:textId="2BA1E2A0" w:rsidR="000819D8" w:rsidRDefault="000819D8" w:rsidP="008937F3">
      <w:pPr>
        <w:rPr>
          <w:rFonts w:eastAsia="Times New Roman"/>
          <w:lang w:eastAsia="en-GB"/>
        </w:rPr>
        <w:sectPr w:rsidR="000819D8" w:rsidSect="005B3E6B">
          <w:pgSz w:w="16838" w:h="11906" w:orient="landscape"/>
          <w:pgMar w:top="1440" w:right="1440" w:bottom="1440" w:left="1440" w:header="709" w:footer="709" w:gutter="0"/>
          <w:cols w:space="708"/>
          <w:docGrid w:linePitch="360"/>
        </w:sectPr>
      </w:pPr>
      <w:r w:rsidRPr="000819D8">
        <w:rPr>
          <w:noProof/>
          <w:lang w:eastAsia="en-GB"/>
        </w:rPr>
        <w:drawing>
          <wp:inline distT="0" distB="0" distL="0" distR="0" wp14:anchorId="5FB43952" wp14:editId="6EC3F9EE">
            <wp:extent cx="8863330" cy="53124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863330" cy="5312410"/>
                    </a:xfrm>
                    <a:prstGeom prst="rect">
                      <a:avLst/>
                    </a:prstGeom>
                  </pic:spPr>
                </pic:pic>
              </a:graphicData>
            </a:graphic>
          </wp:inline>
        </w:drawing>
      </w:r>
    </w:p>
    <w:p w14:paraId="610C3B6F" w14:textId="5C720892" w:rsidR="007D57FB" w:rsidRDefault="00DA5224" w:rsidP="008937F3">
      <w:pPr>
        <w:pStyle w:val="Heading3"/>
        <w:rPr>
          <w:rFonts w:eastAsia="Times New Roman"/>
          <w:lang w:eastAsia="en-GB"/>
        </w:rPr>
      </w:pPr>
      <w:bookmarkStart w:id="42" w:name="_Toc52396363"/>
      <w:r>
        <w:rPr>
          <w:rFonts w:eastAsia="Times New Roman"/>
          <w:lang w:eastAsia="en-GB"/>
        </w:rPr>
        <w:t>Appendix 15</w:t>
      </w:r>
      <w:r w:rsidR="00737863">
        <w:rPr>
          <w:rFonts w:eastAsia="Times New Roman"/>
          <w:lang w:eastAsia="en-GB"/>
        </w:rPr>
        <w:t>.</w:t>
      </w:r>
      <w:r w:rsidR="007D57FB">
        <w:rPr>
          <w:rFonts w:eastAsia="Times New Roman"/>
          <w:lang w:eastAsia="en-GB"/>
        </w:rPr>
        <w:t xml:space="preserve"> </w:t>
      </w:r>
      <w:r w:rsidR="00FC7A24">
        <w:rPr>
          <w:lang w:eastAsia="en-GB"/>
        </w:rPr>
        <w:t xml:space="preserve">Meta-analysis of </w:t>
      </w:r>
      <w:r w:rsidR="005E36E5">
        <w:rPr>
          <w:lang w:eastAsia="en-GB"/>
        </w:rPr>
        <w:t>studies</w:t>
      </w:r>
      <w:r w:rsidR="007D57FB">
        <w:rPr>
          <w:rFonts w:eastAsia="Times New Roman"/>
          <w:lang w:eastAsia="en-GB"/>
        </w:rPr>
        <w:t xml:space="preserve"> </w:t>
      </w:r>
      <w:r w:rsidR="00585453">
        <w:rPr>
          <w:rFonts w:eastAsia="Times New Roman"/>
          <w:lang w:eastAsia="en-GB"/>
        </w:rPr>
        <w:t>g</w:t>
      </w:r>
      <w:r w:rsidR="007D57FB">
        <w:rPr>
          <w:rFonts w:eastAsia="Times New Roman"/>
          <w:lang w:eastAsia="en-GB"/>
        </w:rPr>
        <w:t xml:space="preserve">rouped by </w:t>
      </w:r>
      <w:r w:rsidR="00585453">
        <w:rPr>
          <w:rFonts w:eastAsia="Times New Roman"/>
          <w:lang w:eastAsia="en-GB"/>
        </w:rPr>
        <w:t>c</w:t>
      </w:r>
      <w:r w:rsidR="007D57FB">
        <w:rPr>
          <w:rFonts w:eastAsia="Times New Roman"/>
          <w:lang w:eastAsia="en-GB"/>
        </w:rPr>
        <w:t xml:space="preserve">omparable </w:t>
      </w:r>
      <w:r w:rsidR="00585453">
        <w:rPr>
          <w:rFonts w:eastAsia="Times New Roman"/>
          <w:lang w:eastAsia="en-GB"/>
        </w:rPr>
        <w:t>overlapping ADR m</w:t>
      </w:r>
      <w:r w:rsidR="007D57FB">
        <w:rPr>
          <w:rFonts w:eastAsia="Times New Roman"/>
          <w:lang w:eastAsia="en-GB"/>
        </w:rPr>
        <w:t>ethodologies</w:t>
      </w:r>
      <w:r w:rsidR="00585453">
        <w:rPr>
          <w:rFonts w:eastAsia="Times New Roman"/>
          <w:lang w:eastAsia="en-GB"/>
        </w:rPr>
        <w:t xml:space="preserve"> (p=0.383)</w:t>
      </w:r>
      <w:bookmarkEnd w:id="42"/>
    </w:p>
    <w:p w14:paraId="610C3C24" w14:textId="1A9076A3" w:rsidR="007D57FB" w:rsidRDefault="007D57FB" w:rsidP="005B3E6B">
      <w:pPr>
        <w:rPr>
          <w:lang w:eastAsia="en-GB"/>
        </w:rPr>
      </w:pPr>
    </w:p>
    <w:p w14:paraId="28748F69" w14:textId="6BAC6F3D" w:rsidR="004D66A9" w:rsidRDefault="000819D8" w:rsidP="008937F3">
      <w:pPr>
        <w:rPr>
          <w:lang w:eastAsia="en-GB"/>
        </w:rPr>
      </w:pPr>
      <w:r w:rsidRPr="000819D8">
        <w:rPr>
          <w:noProof/>
          <w:lang w:eastAsia="en-GB"/>
        </w:rPr>
        <w:drawing>
          <wp:inline distT="0" distB="0" distL="0" distR="0" wp14:anchorId="5639FD80" wp14:editId="2506327B">
            <wp:extent cx="7854459" cy="470780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861165" cy="4711821"/>
                    </a:xfrm>
                    <a:prstGeom prst="rect">
                      <a:avLst/>
                    </a:prstGeom>
                  </pic:spPr>
                </pic:pic>
              </a:graphicData>
            </a:graphic>
          </wp:inline>
        </w:drawing>
      </w:r>
    </w:p>
    <w:p w14:paraId="428B6E8F" w14:textId="77777777" w:rsidR="004D66A9" w:rsidRPr="00DF6B8F" w:rsidRDefault="004D66A9" w:rsidP="004D66A9">
      <w:pPr>
        <w:spacing w:line="360" w:lineRule="auto"/>
        <w:jc w:val="both"/>
      </w:pPr>
      <w:r w:rsidRPr="00DF6B8F">
        <w:rPr>
          <w:b/>
        </w:rPr>
        <w:t xml:space="preserve">eFigure: </w:t>
      </w:r>
      <w:r w:rsidRPr="00DF6B8F">
        <w:t>Forest plot showing subgroup analysis of prevalence of in hospital ADRs reported by studies grouped by matching assessment methods</w:t>
      </w:r>
    </w:p>
    <w:p w14:paraId="1D720B85" w14:textId="7A57B8B7" w:rsidR="00CD3409" w:rsidRPr="0008615D" w:rsidRDefault="009872A6" w:rsidP="00CD3409">
      <w:pPr>
        <w:pStyle w:val="Heading3"/>
        <w:rPr>
          <w:rFonts w:eastAsia="Times New Roman"/>
          <w:lang w:eastAsia="en-GB"/>
        </w:rPr>
      </w:pPr>
      <w:bookmarkStart w:id="43" w:name="_Toc52396364"/>
      <w:r>
        <w:rPr>
          <w:rFonts w:eastAsia="Times New Roman"/>
          <w:lang w:eastAsia="en-GB"/>
        </w:rPr>
        <w:t>Appendix 16</w:t>
      </w:r>
      <w:r w:rsidR="00737863">
        <w:rPr>
          <w:rFonts w:eastAsia="Times New Roman"/>
          <w:lang w:eastAsia="en-GB"/>
        </w:rPr>
        <w:t>.</w:t>
      </w:r>
      <w:r w:rsidR="00CD3409">
        <w:rPr>
          <w:rFonts w:eastAsia="Times New Roman"/>
          <w:lang w:eastAsia="en-GB"/>
        </w:rPr>
        <w:t xml:space="preserve"> Pooled estimates of ADR proportions grouped by ADR identification methods (p =0.31)</w:t>
      </w:r>
      <w:bookmarkEnd w:id="43"/>
    </w:p>
    <w:p w14:paraId="1519CC33" w14:textId="6618183D" w:rsidR="00CD3409" w:rsidRPr="008937F3" w:rsidRDefault="00CD3409" w:rsidP="005B3E6B">
      <w:pPr>
        <w:rPr>
          <w:rFonts w:eastAsia="Times New Roman"/>
          <w:lang w:eastAsia="en-GB"/>
        </w:rPr>
        <w:sectPr w:rsidR="00CD3409" w:rsidRPr="008937F3" w:rsidSect="008937F3">
          <w:pgSz w:w="16838" w:h="11906" w:orient="landscape"/>
          <w:pgMar w:top="1440" w:right="1440" w:bottom="1440" w:left="1440" w:header="709" w:footer="709" w:gutter="0"/>
          <w:cols w:space="708"/>
          <w:docGrid w:linePitch="360"/>
        </w:sectPr>
      </w:pPr>
      <w:r w:rsidRPr="00497FA1">
        <w:rPr>
          <w:noProof/>
          <w:lang w:eastAsia="en-GB"/>
        </w:rPr>
        <w:drawing>
          <wp:inline distT="0" distB="0" distL="0" distR="0" wp14:anchorId="56781C2E" wp14:editId="58DDF929">
            <wp:extent cx="8863330" cy="531241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863330" cy="5312410"/>
                    </a:xfrm>
                    <a:prstGeom prst="rect">
                      <a:avLst/>
                    </a:prstGeom>
                  </pic:spPr>
                </pic:pic>
              </a:graphicData>
            </a:graphic>
          </wp:inline>
        </w:drawing>
      </w:r>
    </w:p>
    <w:p w14:paraId="610C3C30" w14:textId="77777777" w:rsidR="007D57FB" w:rsidRPr="00821C96" w:rsidRDefault="007D57FB" w:rsidP="005B3E6B">
      <w:pPr>
        <w:pStyle w:val="Heading1"/>
      </w:pPr>
      <w:bookmarkStart w:id="44" w:name="_Toc52396365"/>
      <w:r>
        <w:t>ADR Presentations</w:t>
      </w:r>
      <w:bookmarkEnd w:id="44"/>
      <w:r>
        <w:t xml:space="preserve"> </w:t>
      </w:r>
    </w:p>
    <w:p w14:paraId="610C3C31" w14:textId="7C24045A" w:rsidR="007D57FB" w:rsidRPr="006F44C8" w:rsidRDefault="00DA5224" w:rsidP="005B3E6B">
      <w:pPr>
        <w:pStyle w:val="Heading2"/>
      </w:pPr>
      <w:bookmarkStart w:id="45" w:name="_Toc52396366"/>
      <w:r>
        <w:t>Appendix 17</w:t>
      </w:r>
      <w:r w:rsidR="00737863">
        <w:t>.</w:t>
      </w:r>
      <w:r w:rsidR="007D57FB">
        <w:t xml:space="preserve"> Ranking of ADR Presentations by MedDRA-SOC® Classification</w:t>
      </w:r>
      <w:bookmarkEnd w:id="45"/>
    </w:p>
    <w:tbl>
      <w:tblPr>
        <w:tblW w:w="9940" w:type="dxa"/>
        <w:tblLook w:val="04A0" w:firstRow="1" w:lastRow="0" w:firstColumn="1" w:lastColumn="0" w:noHBand="0" w:noVBand="1"/>
      </w:tblPr>
      <w:tblGrid>
        <w:gridCol w:w="673"/>
        <w:gridCol w:w="6189"/>
        <w:gridCol w:w="860"/>
        <w:gridCol w:w="987"/>
        <w:gridCol w:w="1231"/>
      </w:tblGrid>
      <w:tr w:rsidR="007D57FB" w:rsidRPr="00277215" w14:paraId="610C3C37" w14:textId="7DBB727A" w:rsidTr="00E52D55">
        <w:trPr>
          <w:trHeight w:val="290"/>
        </w:trPr>
        <w:tc>
          <w:tcPr>
            <w:tcW w:w="67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4F7F5A7" w14:textId="77777777" w:rsidR="003A48A9" w:rsidRDefault="003A48A9" w:rsidP="005B3E6B">
            <w:pPr>
              <w:spacing w:after="0" w:line="240" w:lineRule="auto"/>
              <w:rPr>
                <w:rFonts w:ascii="Calibri" w:eastAsia="Times New Roman" w:hAnsi="Calibri" w:cs="Calibri"/>
                <w:b/>
                <w:bCs/>
                <w:color w:val="000000"/>
                <w:lang w:eastAsia="en-GB"/>
              </w:rPr>
            </w:pPr>
          </w:p>
          <w:p w14:paraId="610C3C32" w14:textId="36603C59" w:rsidR="007D57FB" w:rsidRPr="00277215" w:rsidRDefault="007D57FB" w:rsidP="005B3E6B">
            <w:pPr>
              <w:spacing w:after="0" w:line="240" w:lineRule="auto"/>
              <w:rPr>
                <w:rFonts w:ascii="Calibri" w:eastAsia="Times New Roman" w:hAnsi="Calibri" w:cs="Calibri"/>
                <w:b/>
                <w:bCs/>
                <w:color w:val="000000"/>
                <w:lang w:eastAsia="en-GB"/>
              </w:rPr>
            </w:pPr>
            <w:r w:rsidRPr="00277215">
              <w:rPr>
                <w:rFonts w:ascii="Calibri" w:eastAsia="Times New Roman" w:hAnsi="Calibri" w:cs="Calibri"/>
                <w:b/>
                <w:bCs/>
                <w:color w:val="000000"/>
                <w:lang w:eastAsia="en-GB"/>
              </w:rPr>
              <w:t>Rank</w:t>
            </w:r>
          </w:p>
        </w:tc>
        <w:tc>
          <w:tcPr>
            <w:tcW w:w="6189" w:type="dxa"/>
            <w:tcBorders>
              <w:top w:val="single" w:sz="4" w:space="0" w:color="auto"/>
              <w:left w:val="nil"/>
              <w:bottom w:val="single" w:sz="4" w:space="0" w:color="auto"/>
              <w:right w:val="single" w:sz="4" w:space="0" w:color="auto"/>
            </w:tcBorders>
            <w:shd w:val="clear" w:color="000000" w:fill="E7E6E6"/>
            <w:vAlign w:val="center"/>
            <w:hideMark/>
          </w:tcPr>
          <w:p w14:paraId="610C3C33" w14:textId="363ADF3C" w:rsidR="007D57FB" w:rsidRPr="00277215" w:rsidRDefault="007D57FB" w:rsidP="005B3E6B">
            <w:pPr>
              <w:spacing w:after="0" w:line="240" w:lineRule="auto"/>
              <w:rPr>
                <w:rFonts w:ascii="Calibri" w:eastAsia="Times New Roman" w:hAnsi="Calibri" w:cs="Calibri"/>
                <w:b/>
                <w:bCs/>
                <w:color w:val="000000"/>
                <w:lang w:eastAsia="en-GB"/>
              </w:rPr>
            </w:pPr>
            <w:r w:rsidRPr="00277215">
              <w:rPr>
                <w:rFonts w:ascii="Calibri" w:eastAsia="Times New Roman" w:hAnsi="Calibri" w:cs="Calibri"/>
                <w:b/>
                <w:bCs/>
                <w:color w:val="000000"/>
                <w:lang w:eastAsia="en-GB"/>
              </w:rPr>
              <w:t>MedDRA® SOC Classification</w:t>
            </w:r>
          </w:p>
        </w:tc>
        <w:tc>
          <w:tcPr>
            <w:tcW w:w="860" w:type="dxa"/>
            <w:tcBorders>
              <w:top w:val="single" w:sz="4" w:space="0" w:color="auto"/>
              <w:left w:val="nil"/>
              <w:bottom w:val="single" w:sz="4" w:space="0" w:color="auto"/>
              <w:right w:val="single" w:sz="4" w:space="0" w:color="auto"/>
            </w:tcBorders>
            <w:shd w:val="clear" w:color="000000" w:fill="E7E6E6"/>
            <w:noWrap/>
            <w:vAlign w:val="center"/>
            <w:hideMark/>
          </w:tcPr>
          <w:p w14:paraId="610C3C34" w14:textId="0B92D039" w:rsidR="007D57FB" w:rsidRPr="00277215" w:rsidRDefault="007D57FB" w:rsidP="005B3E6B">
            <w:pPr>
              <w:spacing w:after="0" w:line="240" w:lineRule="auto"/>
              <w:rPr>
                <w:rFonts w:ascii="Calibri" w:eastAsia="Times New Roman" w:hAnsi="Calibri" w:cs="Calibri"/>
                <w:b/>
                <w:bCs/>
                <w:color w:val="000000"/>
                <w:lang w:eastAsia="en-GB"/>
              </w:rPr>
            </w:pPr>
            <w:r w:rsidRPr="00277215">
              <w:rPr>
                <w:rFonts w:ascii="Calibri" w:eastAsia="Times New Roman" w:hAnsi="Calibri" w:cs="Calibri"/>
                <w:b/>
                <w:bCs/>
                <w:color w:val="000000"/>
                <w:lang w:eastAsia="en-GB"/>
              </w:rPr>
              <w:t>n</w:t>
            </w:r>
          </w:p>
        </w:tc>
        <w:tc>
          <w:tcPr>
            <w:tcW w:w="987" w:type="dxa"/>
            <w:tcBorders>
              <w:top w:val="single" w:sz="4" w:space="0" w:color="auto"/>
              <w:left w:val="nil"/>
              <w:bottom w:val="single" w:sz="4" w:space="0" w:color="auto"/>
              <w:right w:val="single" w:sz="4" w:space="0" w:color="auto"/>
            </w:tcBorders>
            <w:shd w:val="clear" w:color="000000" w:fill="E7E6E6"/>
            <w:noWrap/>
            <w:vAlign w:val="center"/>
            <w:hideMark/>
          </w:tcPr>
          <w:p w14:paraId="610C3C35" w14:textId="29081DE2" w:rsidR="007D57FB" w:rsidRPr="00277215" w:rsidRDefault="007D57FB" w:rsidP="005B3E6B">
            <w:pPr>
              <w:spacing w:after="0" w:line="240" w:lineRule="auto"/>
              <w:rPr>
                <w:rFonts w:ascii="Calibri" w:eastAsia="Times New Roman" w:hAnsi="Calibri" w:cs="Calibri"/>
                <w:b/>
                <w:bCs/>
                <w:color w:val="000000"/>
                <w:lang w:eastAsia="en-GB"/>
              </w:rPr>
            </w:pPr>
            <w:r w:rsidRPr="00277215">
              <w:rPr>
                <w:rFonts w:ascii="Calibri" w:eastAsia="Times New Roman" w:hAnsi="Calibri" w:cs="Calibri"/>
                <w:b/>
                <w:bCs/>
                <w:color w:val="000000"/>
                <w:lang w:eastAsia="en-GB"/>
              </w:rPr>
              <w:t>% of 272</w:t>
            </w:r>
            <w:r w:rsidR="00E52D55">
              <w:rPr>
                <w:rFonts w:ascii="Calibri" w:eastAsia="Times New Roman" w:hAnsi="Calibri" w:cs="Calibri"/>
                <w:b/>
                <w:bCs/>
                <w:color w:val="000000"/>
                <w:lang w:eastAsia="en-GB"/>
              </w:rPr>
              <w:t>8</w:t>
            </w:r>
          </w:p>
        </w:tc>
        <w:tc>
          <w:tcPr>
            <w:tcW w:w="1231" w:type="dxa"/>
            <w:tcBorders>
              <w:top w:val="single" w:sz="4" w:space="0" w:color="auto"/>
              <w:left w:val="nil"/>
              <w:bottom w:val="single" w:sz="4" w:space="0" w:color="auto"/>
              <w:right w:val="single" w:sz="4" w:space="0" w:color="auto"/>
            </w:tcBorders>
            <w:shd w:val="clear" w:color="000000" w:fill="E7E6E6"/>
            <w:noWrap/>
            <w:vAlign w:val="bottom"/>
            <w:hideMark/>
          </w:tcPr>
          <w:p w14:paraId="610C3C36" w14:textId="58C44C99" w:rsidR="007D57FB" w:rsidRPr="00277215" w:rsidRDefault="007D57FB" w:rsidP="005B3E6B">
            <w:pPr>
              <w:spacing w:after="0" w:line="240" w:lineRule="auto"/>
              <w:rPr>
                <w:rFonts w:ascii="Calibri" w:eastAsia="Times New Roman" w:hAnsi="Calibri" w:cs="Calibri"/>
                <w:b/>
                <w:bCs/>
                <w:color w:val="000000"/>
                <w:lang w:eastAsia="en-GB"/>
              </w:rPr>
            </w:pPr>
            <w:r w:rsidRPr="00277215">
              <w:rPr>
                <w:rFonts w:ascii="Calibri" w:eastAsia="Times New Roman" w:hAnsi="Calibri" w:cs="Calibri"/>
                <w:b/>
                <w:bCs/>
                <w:color w:val="000000"/>
                <w:lang w:eastAsia="en-GB"/>
              </w:rPr>
              <w:t>cumulative</w:t>
            </w:r>
          </w:p>
        </w:tc>
      </w:tr>
      <w:tr w:rsidR="00E52D55" w:rsidRPr="00277215" w14:paraId="610C3C3D" w14:textId="14EF3436"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38" w14:textId="4214A71D"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w:t>
            </w:r>
          </w:p>
        </w:tc>
        <w:tc>
          <w:tcPr>
            <w:tcW w:w="6189" w:type="dxa"/>
            <w:tcBorders>
              <w:top w:val="nil"/>
              <w:left w:val="nil"/>
              <w:bottom w:val="single" w:sz="4" w:space="0" w:color="auto"/>
              <w:right w:val="single" w:sz="4" w:space="0" w:color="auto"/>
            </w:tcBorders>
            <w:shd w:val="clear" w:color="auto" w:fill="auto"/>
            <w:vAlign w:val="center"/>
            <w:hideMark/>
          </w:tcPr>
          <w:p w14:paraId="610C3C39" w14:textId="57840822"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Gastrointestinal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3A" w14:textId="376F207F"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62</w:t>
            </w:r>
            <w:r>
              <w:rPr>
                <w:rFonts w:ascii="Calibri" w:eastAsia="Times New Roman" w:hAnsi="Calibri" w:cs="Calibri"/>
                <w:color w:val="000000"/>
                <w:lang w:eastAsia="en-GB"/>
              </w:rPr>
              <w:t>9</w:t>
            </w:r>
          </w:p>
        </w:tc>
        <w:tc>
          <w:tcPr>
            <w:tcW w:w="987" w:type="dxa"/>
            <w:tcBorders>
              <w:top w:val="nil"/>
              <w:left w:val="nil"/>
              <w:bottom w:val="single" w:sz="4" w:space="0" w:color="auto"/>
              <w:right w:val="single" w:sz="4" w:space="0" w:color="auto"/>
            </w:tcBorders>
            <w:shd w:val="clear" w:color="auto" w:fill="auto"/>
            <w:noWrap/>
            <w:vAlign w:val="center"/>
            <w:hideMark/>
          </w:tcPr>
          <w:p w14:paraId="610C3C3B" w14:textId="08CBBAD0"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23.05%</w:t>
            </w:r>
          </w:p>
        </w:tc>
        <w:tc>
          <w:tcPr>
            <w:tcW w:w="1231" w:type="dxa"/>
            <w:tcBorders>
              <w:top w:val="nil"/>
              <w:left w:val="nil"/>
              <w:bottom w:val="single" w:sz="4" w:space="0" w:color="auto"/>
              <w:right w:val="single" w:sz="4" w:space="0" w:color="auto"/>
            </w:tcBorders>
            <w:shd w:val="clear" w:color="auto" w:fill="auto"/>
            <w:noWrap/>
            <w:vAlign w:val="center"/>
            <w:hideMark/>
          </w:tcPr>
          <w:p w14:paraId="610C3C3C" w14:textId="3D3E8739"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23.06%</w:t>
            </w:r>
          </w:p>
        </w:tc>
      </w:tr>
      <w:tr w:rsidR="00E52D55" w:rsidRPr="00277215" w14:paraId="610C3C43" w14:textId="36C596AF"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3E" w14:textId="5E24004D"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2</w:t>
            </w:r>
          </w:p>
        </w:tc>
        <w:tc>
          <w:tcPr>
            <w:tcW w:w="6189" w:type="dxa"/>
            <w:tcBorders>
              <w:top w:val="nil"/>
              <w:left w:val="nil"/>
              <w:bottom w:val="single" w:sz="4" w:space="0" w:color="auto"/>
              <w:right w:val="single" w:sz="4" w:space="0" w:color="auto"/>
            </w:tcBorders>
            <w:shd w:val="clear" w:color="auto" w:fill="auto"/>
            <w:vAlign w:val="center"/>
            <w:hideMark/>
          </w:tcPr>
          <w:p w14:paraId="610C3C3F" w14:textId="71C14065"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Metabolism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nd Nutrition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40" w14:textId="1826AAEB"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565</w:t>
            </w:r>
          </w:p>
        </w:tc>
        <w:tc>
          <w:tcPr>
            <w:tcW w:w="987" w:type="dxa"/>
            <w:tcBorders>
              <w:top w:val="nil"/>
              <w:left w:val="nil"/>
              <w:bottom w:val="single" w:sz="4" w:space="0" w:color="auto"/>
              <w:right w:val="single" w:sz="4" w:space="0" w:color="auto"/>
            </w:tcBorders>
            <w:shd w:val="clear" w:color="auto" w:fill="auto"/>
            <w:noWrap/>
            <w:vAlign w:val="center"/>
            <w:hideMark/>
          </w:tcPr>
          <w:p w14:paraId="610C3C41" w14:textId="61D9E083"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20.73%</w:t>
            </w:r>
          </w:p>
        </w:tc>
        <w:tc>
          <w:tcPr>
            <w:tcW w:w="1231" w:type="dxa"/>
            <w:tcBorders>
              <w:top w:val="nil"/>
              <w:left w:val="nil"/>
              <w:bottom w:val="single" w:sz="4" w:space="0" w:color="auto"/>
              <w:right w:val="single" w:sz="4" w:space="0" w:color="auto"/>
            </w:tcBorders>
            <w:shd w:val="clear" w:color="auto" w:fill="auto"/>
            <w:noWrap/>
            <w:vAlign w:val="center"/>
            <w:hideMark/>
          </w:tcPr>
          <w:p w14:paraId="610C3C42" w14:textId="14A52083"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43.77%</w:t>
            </w:r>
          </w:p>
        </w:tc>
      </w:tr>
      <w:tr w:rsidR="00E52D55" w:rsidRPr="00277215" w14:paraId="610C3C49" w14:textId="22D69219"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44" w14:textId="4ED8ADFD"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3</w:t>
            </w:r>
          </w:p>
        </w:tc>
        <w:tc>
          <w:tcPr>
            <w:tcW w:w="6189" w:type="dxa"/>
            <w:tcBorders>
              <w:top w:val="nil"/>
              <w:left w:val="nil"/>
              <w:bottom w:val="single" w:sz="4" w:space="0" w:color="auto"/>
              <w:right w:val="single" w:sz="4" w:space="0" w:color="auto"/>
            </w:tcBorders>
            <w:shd w:val="clear" w:color="auto" w:fill="auto"/>
            <w:vAlign w:val="center"/>
            <w:hideMark/>
          </w:tcPr>
          <w:p w14:paraId="610C3C45" w14:textId="16248155"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Unclassifiable - Unclassifiable (Grouped Presentations / "Other")</w:t>
            </w:r>
          </w:p>
        </w:tc>
        <w:tc>
          <w:tcPr>
            <w:tcW w:w="860" w:type="dxa"/>
            <w:tcBorders>
              <w:top w:val="nil"/>
              <w:left w:val="nil"/>
              <w:bottom w:val="single" w:sz="4" w:space="0" w:color="auto"/>
              <w:right w:val="single" w:sz="4" w:space="0" w:color="auto"/>
            </w:tcBorders>
            <w:shd w:val="clear" w:color="auto" w:fill="auto"/>
            <w:noWrap/>
            <w:vAlign w:val="center"/>
            <w:hideMark/>
          </w:tcPr>
          <w:p w14:paraId="610C3C46" w14:textId="2E6D067E"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397</w:t>
            </w:r>
          </w:p>
        </w:tc>
        <w:tc>
          <w:tcPr>
            <w:tcW w:w="987" w:type="dxa"/>
            <w:tcBorders>
              <w:top w:val="nil"/>
              <w:left w:val="nil"/>
              <w:bottom w:val="single" w:sz="4" w:space="0" w:color="auto"/>
              <w:right w:val="single" w:sz="4" w:space="0" w:color="auto"/>
            </w:tcBorders>
            <w:shd w:val="clear" w:color="auto" w:fill="auto"/>
            <w:noWrap/>
            <w:vAlign w:val="center"/>
            <w:hideMark/>
          </w:tcPr>
          <w:p w14:paraId="610C3C47" w14:textId="7A10D2F0"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14.57%</w:t>
            </w:r>
          </w:p>
        </w:tc>
        <w:tc>
          <w:tcPr>
            <w:tcW w:w="1231" w:type="dxa"/>
            <w:tcBorders>
              <w:top w:val="nil"/>
              <w:left w:val="nil"/>
              <w:bottom w:val="single" w:sz="4" w:space="0" w:color="auto"/>
              <w:right w:val="single" w:sz="4" w:space="0" w:color="auto"/>
            </w:tcBorders>
            <w:shd w:val="clear" w:color="auto" w:fill="auto"/>
            <w:noWrap/>
            <w:vAlign w:val="center"/>
            <w:hideMark/>
          </w:tcPr>
          <w:p w14:paraId="610C3C48" w14:textId="1DDD03AE"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58.32%</w:t>
            </w:r>
          </w:p>
        </w:tc>
      </w:tr>
      <w:tr w:rsidR="00E52D55" w:rsidRPr="00277215" w14:paraId="610C3C4F" w14:textId="4DBF0281"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4A" w14:textId="3F98BF6D"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4</w:t>
            </w:r>
          </w:p>
        </w:tc>
        <w:tc>
          <w:tcPr>
            <w:tcW w:w="6189" w:type="dxa"/>
            <w:tcBorders>
              <w:top w:val="nil"/>
              <w:left w:val="nil"/>
              <w:bottom w:val="single" w:sz="4" w:space="0" w:color="auto"/>
              <w:right w:val="single" w:sz="4" w:space="0" w:color="auto"/>
            </w:tcBorders>
            <w:shd w:val="clear" w:color="auto" w:fill="auto"/>
            <w:vAlign w:val="center"/>
            <w:hideMark/>
          </w:tcPr>
          <w:p w14:paraId="610C3C4B" w14:textId="1B51EBA3"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Vascular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4C" w14:textId="686BFBA8"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216</w:t>
            </w:r>
          </w:p>
        </w:tc>
        <w:tc>
          <w:tcPr>
            <w:tcW w:w="987" w:type="dxa"/>
            <w:tcBorders>
              <w:top w:val="nil"/>
              <w:left w:val="nil"/>
              <w:bottom w:val="single" w:sz="4" w:space="0" w:color="auto"/>
              <w:right w:val="single" w:sz="4" w:space="0" w:color="auto"/>
            </w:tcBorders>
            <w:shd w:val="clear" w:color="auto" w:fill="auto"/>
            <w:noWrap/>
            <w:vAlign w:val="center"/>
            <w:hideMark/>
          </w:tcPr>
          <w:p w14:paraId="610C3C4D" w14:textId="3EC93CDC"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7.93%</w:t>
            </w:r>
          </w:p>
        </w:tc>
        <w:tc>
          <w:tcPr>
            <w:tcW w:w="1231" w:type="dxa"/>
            <w:tcBorders>
              <w:top w:val="nil"/>
              <w:left w:val="nil"/>
              <w:bottom w:val="single" w:sz="4" w:space="0" w:color="auto"/>
              <w:right w:val="single" w:sz="4" w:space="0" w:color="auto"/>
            </w:tcBorders>
            <w:shd w:val="clear" w:color="auto" w:fill="auto"/>
            <w:noWrap/>
            <w:vAlign w:val="center"/>
            <w:hideMark/>
          </w:tcPr>
          <w:p w14:paraId="610C3C4E" w14:textId="42E2E5A1"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66.24%</w:t>
            </w:r>
          </w:p>
        </w:tc>
      </w:tr>
      <w:tr w:rsidR="00E52D55" w:rsidRPr="00277215" w14:paraId="610C3C55" w14:textId="5FFF5A96"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50" w14:textId="7C755931"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5</w:t>
            </w:r>
          </w:p>
        </w:tc>
        <w:tc>
          <w:tcPr>
            <w:tcW w:w="6189" w:type="dxa"/>
            <w:tcBorders>
              <w:top w:val="nil"/>
              <w:left w:val="nil"/>
              <w:bottom w:val="single" w:sz="4" w:space="0" w:color="auto"/>
              <w:right w:val="single" w:sz="4" w:space="0" w:color="auto"/>
            </w:tcBorders>
            <w:shd w:val="clear" w:color="auto" w:fill="auto"/>
            <w:vAlign w:val="center"/>
            <w:hideMark/>
          </w:tcPr>
          <w:p w14:paraId="610C3C51" w14:textId="0E05DB56"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Cardiac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52" w14:textId="0FF49C0A"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187</w:t>
            </w:r>
          </w:p>
        </w:tc>
        <w:tc>
          <w:tcPr>
            <w:tcW w:w="987" w:type="dxa"/>
            <w:tcBorders>
              <w:top w:val="nil"/>
              <w:left w:val="nil"/>
              <w:bottom w:val="single" w:sz="4" w:space="0" w:color="auto"/>
              <w:right w:val="single" w:sz="4" w:space="0" w:color="auto"/>
            </w:tcBorders>
            <w:shd w:val="clear" w:color="auto" w:fill="auto"/>
            <w:noWrap/>
            <w:vAlign w:val="center"/>
            <w:hideMark/>
          </w:tcPr>
          <w:p w14:paraId="610C3C53" w14:textId="2F2DCB13"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6.86%</w:t>
            </w:r>
          </w:p>
        </w:tc>
        <w:tc>
          <w:tcPr>
            <w:tcW w:w="1231" w:type="dxa"/>
            <w:tcBorders>
              <w:top w:val="nil"/>
              <w:left w:val="nil"/>
              <w:bottom w:val="single" w:sz="4" w:space="0" w:color="auto"/>
              <w:right w:val="single" w:sz="4" w:space="0" w:color="auto"/>
            </w:tcBorders>
            <w:shd w:val="clear" w:color="auto" w:fill="auto"/>
            <w:noWrap/>
            <w:vAlign w:val="center"/>
            <w:hideMark/>
          </w:tcPr>
          <w:p w14:paraId="610C3C54" w14:textId="15902CE7"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73.09%</w:t>
            </w:r>
          </w:p>
        </w:tc>
      </w:tr>
      <w:tr w:rsidR="00E52D55" w:rsidRPr="00277215" w14:paraId="610C3C5B" w14:textId="0F13D73E"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56" w14:textId="4CEA8F26"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6</w:t>
            </w:r>
          </w:p>
        </w:tc>
        <w:tc>
          <w:tcPr>
            <w:tcW w:w="6189" w:type="dxa"/>
            <w:tcBorders>
              <w:top w:val="nil"/>
              <w:left w:val="nil"/>
              <w:bottom w:val="single" w:sz="4" w:space="0" w:color="auto"/>
              <w:right w:val="single" w:sz="4" w:space="0" w:color="auto"/>
            </w:tcBorders>
            <w:shd w:val="clear" w:color="auto" w:fill="auto"/>
            <w:vAlign w:val="center"/>
            <w:hideMark/>
          </w:tcPr>
          <w:p w14:paraId="610C3C57" w14:textId="3C44E677"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Renal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nd Urinary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58" w14:textId="4E78E908"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175</w:t>
            </w:r>
          </w:p>
        </w:tc>
        <w:tc>
          <w:tcPr>
            <w:tcW w:w="987" w:type="dxa"/>
            <w:tcBorders>
              <w:top w:val="nil"/>
              <w:left w:val="nil"/>
              <w:bottom w:val="single" w:sz="4" w:space="0" w:color="auto"/>
              <w:right w:val="single" w:sz="4" w:space="0" w:color="auto"/>
            </w:tcBorders>
            <w:shd w:val="clear" w:color="auto" w:fill="auto"/>
            <w:noWrap/>
            <w:vAlign w:val="center"/>
            <w:hideMark/>
          </w:tcPr>
          <w:p w14:paraId="610C3C59" w14:textId="11B42A7A"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6.42%</w:t>
            </w:r>
          </w:p>
        </w:tc>
        <w:tc>
          <w:tcPr>
            <w:tcW w:w="1231" w:type="dxa"/>
            <w:tcBorders>
              <w:top w:val="nil"/>
              <w:left w:val="nil"/>
              <w:bottom w:val="single" w:sz="4" w:space="0" w:color="auto"/>
              <w:right w:val="single" w:sz="4" w:space="0" w:color="auto"/>
            </w:tcBorders>
            <w:shd w:val="clear" w:color="auto" w:fill="auto"/>
            <w:noWrap/>
            <w:vAlign w:val="center"/>
            <w:hideMark/>
          </w:tcPr>
          <w:p w14:paraId="610C3C5A" w14:textId="57176478"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79.51%</w:t>
            </w:r>
          </w:p>
        </w:tc>
      </w:tr>
      <w:tr w:rsidR="00E52D55" w:rsidRPr="00277215" w14:paraId="610C3C61" w14:textId="13D879DD"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5C" w14:textId="14A119D6"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7</w:t>
            </w:r>
          </w:p>
        </w:tc>
        <w:tc>
          <w:tcPr>
            <w:tcW w:w="6189" w:type="dxa"/>
            <w:tcBorders>
              <w:top w:val="nil"/>
              <w:left w:val="nil"/>
              <w:bottom w:val="single" w:sz="4" w:space="0" w:color="auto"/>
              <w:right w:val="single" w:sz="4" w:space="0" w:color="auto"/>
            </w:tcBorders>
            <w:shd w:val="clear" w:color="auto" w:fill="auto"/>
            <w:vAlign w:val="center"/>
            <w:hideMark/>
          </w:tcPr>
          <w:p w14:paraId="610C3C5D" w14:textId="560FD6AA"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Investigations</w:t>
            </w:r>
          </w:p>
        </w:tc>
        <w:tc>
          <w:tcPr>
            <w:tcW w:w="860" w:type="dxa"/>
            <w:tcBorders>
              <w:top w:val="nil"/>
              <w:left w:val="nil"/>
              <w:bottom w:val="single" w:sz="4" w:space="0" w:color="auto"/>
              <w:right w:val="single" w:sz="4" w:space="0" w:color="auto"/>
            </w:tcBorders>
            <w:shd w:val="clear" w:color="auto" w:fill="auto"/>
            <w:noWrap/>
            <w:vAlign w:val="center"/>
            <w:hideMark/>
          </w:tcPr>
          <w:p w14:paraId="610C3C5E" w14:textId="0C01B993"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116</w:t>
            </w:r>
          </w:p>
        </w:tc>
        <w:tc>
          <w:tcPr>
            <w:tcW w:w="987" w:type="dxa"/>
            <w:tcBorders>
              <w:top w:val="nil"/>
              <w:left w:val="nil"/>
              <w:bottom w:val="single" w:sz="4" w:space="0" w:color="auto"/>
              <w:right w:val="single" w:sz="4" w:space="0" w:color="auto"/>
            </w:tcBorders>
            <w:shd w:val="clear" w:color="auto" w:fill="auto"/>
            <w:noWrap/>
            <w:vAlign w:val="center"/>
            <w:hideMark/>
          </w:tcPr>
          <w:p w14:paraId="610C3C5F" w14:textId="15F7B1F7"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4.26%</w:t>
            </w:r>
          </w:p>
        </w:tc>
        <w:tc>
          <w:tcPr>
            <w:tcW w:w="1231" w:type="dxa"/>
            <w:tcBorders>
              <w:top w:val="nil"/>
              <w:left w:val="nil"/>
              <w:bottom w:val="single" w:sz="4" w:space="0" w:color="auto"/>
              <w:right w:val="single" w:sz="4" w:space="0" w:color="auto"/>
            </w:tcBorders>
            <w:shd w:val="clear" w:color="auto" w:fill="auto"/>
            <w:noWrap/>
            <w:vAlign w:val="center"/>
            <w:hideMark/>
          </w:tcPr>
          <w:p w14:paraId="610C3C60" w14:textId="37764588"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83.76%</w:t>
            </w:r>
          </w:p>
        </w:tc>
      </w:tr>
      <w:tr w:rsidR="00E52D55" w:rsidRPr="00277215" w14:paraId="610C3C67" w14:textId="33C001DA"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62" w14:textId="02E5395F"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8</w:t>
            </w:r>
          </w:p>
        </w:tc>
        <w:tc>
          <w:tcPr>
            <w:tcW w:w="6189" w:type="dxa"/>
            <w:tcBorders>
              <w:top w:val="nil"/>
              <w:left w:val="nil"/>
              <w:bottom w:val="single" w:sz="4" w:space="0" w:color="auto"/>
              <w:right w:val="single" w:sz="4" w:space="0" w:color="auto"/>
            </w:tcBorders>
            <w:shd w:val="clear" w:color="auto" w:fill="auto"/>
            <w:vAlign w:val="center"/>
            <w:hideMark/>
          </w:tcPr>
          <w:p w14:paraId="610C3C63" w14:textId="534E2FC7"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Infections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nd Infestations</w:t>
            </w:r>
          </w:p>
        </w:tc>
        <w:tc>
          <w:tcPr>
            <w:tcW w:w="860" w:type="dxa"/>
            <w:tcBorders>
              <w:top w:val="nil"/>
              <w:left w:val="nil"/>
              <w:bottom w:val="single" w:sz="4" w:space="0" w:color="auto"/>
              <w:right w:val="single" w:sz="4" w:space="0" w:color="auto"/>
            </w:tcBorders>
            <w:shd w:val="clear" w:color="auto" w:fill="auto"/>
            <w:noWrap/>
            <w:vAlign w:val="center"/>
            <w:hideMark/>
          </w:tcPr>
          <w:p w14:paraId="610C3C64" w14:textId="4C8397F9"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87</w:t>
            </w:r>
          </w:p>
        </w:tc>
        <w:tc>
          <w:tcPr>
            <w:tcW w:w="987" w:type="dxa"/>
            <w:tcBorders>
              <w:top w:val="nil"/>
              <w:left w:val="nil"/>
              <w:bottom w:val="single" w:sz="4" w:space="0" w:color="auto"/>
              <w:right w:val="single" w:sz="4" w:space="0" w:color="auto"/>
            </w:tcBorders>
            <w:shd w:val="clear" w:color="auto" w:fill="auto"/>
            <w:noWrap/>
            <w:vAlign w:val="center"/>
            <w:hideMark/>
          </w:tcPr>
          <w:p w14:paraId="610C3C65" w14:textId="5E7217C4"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3.19%</w:t>
            </w:r>
          </w:p>
        </w:tc>
        <w:tc>
          <w:tcPr>
            <w:tcW w:w="1231" w:type="dxa"/>
            <w:tcBorders>
              <w:top w:val="nil"/>
              <w:left w:val="nil"/>
              <w:bottom w:val="single" w:sz="4" w:space="0" w:color="auto"/>
              <w:right w:val="single" w:sz="4" w:space="0" w:color="auto"/>
            </w:tcBorders>
            <w:shd w:val="clear" w:color="auto" w:fill="auto"/>
            <w:noWrap/>
            <w:vAlign w:val="center"/>
            <w:hideMark/>
          </w:tcPr>
          <w:p w14:paraId="610C3C66" w14:textId="4F564880"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86.95%</w:t>
            </w:r>
          </w:p>
        </w:tc>
      </w:tr>
      <w:tr w:rsidR="00E52D55" w:rsidRPr="00277215" w14:paraId="610C3C6D" w14:textId="5422B41A"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68" w14:textId="1FEE59DC"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w:t>
            </w:r>
          </w:p>
        </w:tc>
        <w:tc>
          <w:tcPr>
            <w:tcW w:w="6189" w:type="dxa"/>
            <w:tcBorders>
              <w:top w:val="nil"/>
              <w:left w:val="nil"/>
              <w:bottom w:val="single" w:sz="4" w:space="0" w:color="auto"/>
              <w:right w:val="single" w:sz="4" w:space="0" w:color="auto"/>
            </w:tcBorders>
            <w:shd w:val="clear" w:color="auto" w:fill="auto"/>
            <w:vAlign w:val="center"/>
            <w:hideMark/>
          </w:tcPr>
          <w:p w14:paraId="610C3C69" w14:textId="52D0DD4A"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Skin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 xml:space="preserve">nd Subcutaneous Tissue Disorders </w:t>
            </w:r>
          </w:p>
        </w:tc>
        <w:tc>
          <w:tcPr>
            <w:tcW w:w="860" w:type="dxa"/>
            <w:tcBorders>
              <w:top w:val="nil"/>
              <w:left w:val="nil"/>
              <w:bottom w:val="single" w:sz="4" w:space="0" w:color="auto"/>
              <w:right w:val="single" w:sz="4" w:space="0" w:color="auto"/>
            </w:tcBorders>
            <w:shd w:val="clear" w:color="auto" w:fill="auto"/>
            <w:noWrap/>
            <w:vAlign w:val="center"/>
            <w:hideMark/>
          </w:tcPr>
          <w:p w14:paraId="610C3C6A" w14:textId="04C2D67B"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72</w:t>
            </w:r>
          </w:p>
        </w:tc>
        <w:tc>
          <w:tcPr>
            <w:tcW w:w="987" w:type="dxa"/>
            <w:tcBorders>
              <w:top w:val="nil"/>
              <w:left w:val="nil"/>
              <w:bottom w:val="single" w:sz="4" w:space="0" w:color="auto"/>
              <w:right w:val="single" w:sz="4" w:space="0" w:color="auto"/>
            </w:tcBorders>
            <w:shd w:val="clear" w:color="auto" w:fill="auto"/>
            <w:noWrap/>
            <w:vAlign w:val="center"/>
            <w:hideMark/>
          </w:tcPr>
          <w:p w14:paraId="610C3C6B" w14:textId="5A2CAC5C"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2.64%</w:t>
            </w:r>
          </w:p>
        </w:tc>
        <w:tc>
          <w:tcPr>
            <w:tcW w:w="1231" w:type="dxa"/>
            <w:tcBorders>
              <w:top w:val="nil"/>
              <w:left w:val="nil"/>
              <w:bottom w:val="single" w:sz="4" w:space="0" w:color="auto"/>
              <w:right w:val="single" w:sz="4" w:space="0" w:color="auto"/>
            </w:tcBorders>
            <w:shd w:val="clear" w:color="auto" w:fill="auto"/>
            <w:noWrap/>
            <w:vAlign w:val="center"/>
            <w:hideMark/>
          </w:tcPr>
          <w:p w14:paraId="610C3C6C" w14:textId="3C282507"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89.59%</w:t>
            </w:r>
          </w:p>
        </w:tc>
      </w:tr>
      <w:tr w:rsidR="00E52D55" w:rsidRPr="00277215" w14:paraId="610C3C73" w14:textId="4F05E657"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6E" w14:textId="1C29D722"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10</w:t>
            </w:r>
          </w:p>
        </w:tc>
        <w:tc>
          <w:tcPr>
            <w:tcW w:w="6189" w:type="dxa"/>
            <w:tcBorders>
              <w:top w:val="nil"/>
              <w:left w:val="nil"/>
              <w:bottom w:val="single" w:sz="4" w:space="0" w:color="auto"/>
              <w:right w:val="single" w:sz="4" w:space="0" w:color="auto"/>
            </w:tcBorders>
            <w:shd w:val="clear" w:color="auto" w:fill="auto"/>
            <w:vAlign w:val="center"/>
            <w:hideMark/>
          </w:tcPr>
          <w:p w14:paraId="610C3C6F" w14:textId="74332B1D"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Blood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nd Lymphatic System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70" w14:textId="1DAC69FE"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61</w:t>
            </w:r>
          </w:p>
        </w:tc>
        <w:tc>
          <w:tcPr>
            <w:tcW w:w="987" w:type="dxa"/>
            <w:tcBorders>
              <w:top w:val="nil"/>
              <w:left w:val="nil"/>
              <w:bottom w:val="single" w:sz="4" w:space="0" w:color="auto"/>
              <w:right w:val="single" w:sz="4" w:space="0" w:color="auto"/>
            </w:tcBorders>
            <w:shd w:val="clear" w:color="auto" w:fill="auto"/>
            <w:noWrap/>
            <w:vAlign w:val="center"/>
            <w:hideMark/>
          </w:tcPr>
          <w:p w14:paraId="610C3C71" w14:textId="2E24A6CF"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2.24%</w:t>
            </w:r>
          </w:p>
        </w:tc>
        <w:tc>
          <w:tcPr>
            <w:tcW w:w="1231" w:type="dxa"/>
            <w:tcBorders>
              <w:top w:val="nil"/>
              <w:left w:val="nil"/>
              <w:bottom w:val="single" w:sz="4" w:space="0" w:color="auto"/>
              <w:right w:val="single" w:sz="4" w:space="0" w:color="auto"/>
            </w:tcBorders>
            <w:shd w:val="clear" w:color="auto" w:fill="auto"/>
            <w:noWrap/>
            <w:vAlign w:val="center"/>
            <w:hideMark/>
          </w:tcPr>
          <w:p w14:paraId="610C3C72" w14:textId="6B213ECE"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91.83%</w:t>
            </w:r>
          </w:p>
        </w:tc>
      </w:tr>
      <w:tr w:rsidR="00E52D55" w:rsidRPr="00277215" w14:paraId="610C3C79" w14:textId="52BCECF9"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74" w14:textId="46F755D8"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11</w:t>
            </w:r>
          </w:p>
        </w:tc>
        <w:tc>
          <w:tcPr>
            <w:tcW w:w="6189" w:type="dxa"/>
            <w:tcBorders>
              <w:top w:val="nil"/>
              <w:left w:val="nil"/>
              <w:bottom w:val="single" w:sz="4" w:space="0" w:color="auto"/>
              <w:right w:val="single" w:sz="4" w:space="0" w:color="auto"/>
            </w:tcBorders>
            <w:shd w:val="clear" w:color="auto" w:fill="auto"/>
            <w:vAlign w:val="center"/>
            <w:hideMark/>
          </w:tcPr>
          <w:p w14:paraId="610C3C75" w14:textId="51A94632"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Psychiatric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76" w14:textId="6AB6C243"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58</w:t>
            </w:r>
          </w:p>
        </w:tc>
        <w:tc>
          <w:tcPr>
            <w:tcW w:w="987" w:type="dxa"/>
            <w:tcBorders>
              <w:top w:val="nil"/>
              <w:left w:val="nil"/>
              <w:bottom w:val="single" w:sz="4" w:space="0" w:color="auto"/>
              <w:right w:val="single" w:sz="4" w:space="0" w:color="auto"/>
            </w:tcBorders>
            <w:shd w:val="clear" w:color="auto" w:fill="auto"/>
            <w:noWrap/>
            <w:vAlign w:val="center"/>
            <w:hideMark/>
          </w:tcPr>
          <w:p w14:paraId="610C3C77" w14:textId="4D1BC050"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2.13%</w:t>
            </w:r>
          </w:p>
        </w:tc>
        <w:tc>
          <w:tcPr>
            <w:tcW w:w="1231" w:type="dxa"/>
            <w:tcBorders>
              <w:top w:val="nil"/>
              <w:left w:val="nil"/>
              <w:bottom w:val="single" w:sz="4" w:space="0" w:color="auto"/>
              <w:right w:val="single" w:sz="4" w:space="0" w:color="auto"/>
            </w:tcBorders>
            <w:shd w:val="clear" w:color="auto" w:fill="auto"/>
            <w:noWrap/>
            <w:vAlign w:val="center"/>
            <w:hideMark/>
          </w:tcPr>
          <w:p w14:paraId="610C3C78" w14:textId="757346B0"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93.95%</w:t>
            </w:r>
          </w:p>
        </w:tc>
      </w:tr>
      <w:tr w:rsidR="00E52D55" w:rsidRPr="00277215" w14:paraId="610C3C7F" w14:textId="66612ED2" w:rsidTr="008937F3">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7A" w14:textId="28DD3CBE" w:rsidR="00E52D55" w:rsidRPr="00277215" w:rsidRDefault="00E52D55" w:rsidP="00E52D55">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12</w:t>
            </w:r>
          </w:p>
        </w:tc>
        <w:tc>
          <w:tcPr>
            <w:tcW w:w="6189" w:type="dxa"/>
            <w:tcBorders>
              <w:top w:val="nil"/>
              <w:left w:val="nil"/>
              <w:bottom w:val="single" w:sz="4" w:space="0" w:color="auto"/>
              <w:right w:val="single" w:sz="4" w:space="0" w:color="auto"/>
            </w:tcBorders>
            <w:shd w:val="clear" w:color="auto" w:fill="auto"/>
            <w:vAlign w:val="center"/>
            <w:hideMark/>
          </w:tcPr>
          <w:p w14:paraId="610C3C7B" w14:textId="0B47C117"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Nervous System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7C" w14:textId="626BD6D4"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5</w:t>
            </w:r>
            <w:r>
              <w:rPr>
                <w:rFonts w:ascii="Calibri" w:eastAsia="Times New Roman" w:hAnsi="Calibri" w:cs="Calibri"/>
                <w:color w:val="000000"/>
                <w:lang w:eastAsia="en-GB"/>
              </w:rPr>
              <w:t>6</w:t>
            </w:r>
          </w:p>
        </w:tc>
        <w:tc>
          <w:tcPr>
            <w:tcW w:w="987" w:type="dxa"/>
            <w:tcBorders>
              <w:top w:val="nil"/>
              <w:left w:val="nil"/>
              <w:bottom w:val="single" w:sz="4" w:space="0" w:color="auto"/>
              <w:right w:val="single" w:sz="4" w:space="0" w:color="auto"/>
            </w:tcBorders>
            <w:shd w:val="clear" w:color="auto" w:fill="auto"/>
            <w:noWrap/>
            <w:vAlign w:val="center"/>
            <w:hideMark/>
          </w:tcPr>
          <w:p w14:paraId="610C3C7D" w14:textId="64571458" w:rsidR="00E52D55" w:rsidRPr="00277215" w:rsidRDefault="00E52D55" w:rsidP="00E52D55">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2.02%</w:t>
            </w:r>
          </w:p>
        </w:tc>
        <w:tc>
          <w:tcPr>
            <w:tcW w:w="1231" w:type="dxa"/>
            <w:tcBorders>
              <w:top w:val="nil"/>
              <w:left w:val="nil"/>
              <w:bottom w:val="single" w:sz="4" w:space="0" w:color="auto"/>
              <w:right w:val="single" w:sz="4" w:space="0" w:color="auto"/>
            </w:tcBorders>
            <w:shd w:val="clear" w:color="auto" w:fill="auto"/>
            <w:noWrap/>
            <w:vAlign w:val="center"/>
            <w:hideMark/>
          </w:tcPr>
          <w:p w14:paraId="610C3C7E" w14:textId="5E1D7DD2" w:rsidR="00E52D55" w:rsidRPr="00277215" w:rsidRDefault="00E52D55" w:rsidP="00E52D55">
            <w:pPr>
              <w:spacing w:after="0" w:line="240" w:lineRule="auto"/>
              <w:jc w:val="right"/>
              <w:rPr>
                <w:rFonts w:ascii="Calibri" w:eastAsia="Times New Roman" w:hAnsi="Calibri" w:cs="Calibri"/>
                <w:color w:val="000000"/>
                <w:lang w:eastAsia="en-GB"/>
              </w:rPr>
            </w:pPr>
            <w:r w:rsidRPr="003A48A9">
              <w:rPr>
                <w:rFonts w:ascii="Calibri" w:eastAsia="Times New Roman" w:hAnsi="Calibri" w:cs="Calibri"/>
                <w:color w:val="000000"/>
                <w:lang w:eastAsia="en-GB"/>
              </w:rPr>
              <w:t>96.00%</w:t>
            </w:r>
          </w:p>
        </w:tc>
      </w:tr>
      <w:tr w:rsidR="007D57FB" w:rsidRPr="00277215" w14:paraId="610C3C85" w14:textId="43EBCAE3"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80" w14:textId="394E19F6"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13</w:t>
            </w:r>
          </w:p>
        </w:tc>
        <w:tc>
          <w:tcPr>
            <w:tcW w:w="6189" w:type="dxa"/>
            <w:tcBorders>
              <w:top w:val="nil"/>
              <w:left w:val="nil"/>
              <w:bottom w:val="single" w:sz="4" w:space="0" w:color="auto"/>
              <w:right w:val="single" w:sz="4" w:space="0" w:color="auto"/>
            </w:tcBorders>
            <w:shd w:val="clear" w:color="auto" w:fill="auto"/>
            <w:vAlign w:val="center"/>
            <w:hideMark/>
          </w:tcPr>
          <w:p w14:paraId="610C3C81" w14:textId="3B32BC81"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Injury, Pois</w:t>
            </w:r>
            <w:r>
              <w:rPr>
                <w:rFonts w:ascii="Calibri" w:eastAsia="Times New Roman" w:hAnsi="Calibri" w:cs="Calibri"/>
                <w:color w:val="000000"/>
                <w:lang w:eastAsia="en-GB"/>
              </w:rPr>
              <w:t>oning a</w:t>
            </w:r>
            <w:r w:rsidRPr="00277215">
              <w:rPr>
                <w:rFonts w:ascii="Calibri" w:eastAsia="Times New Roman" w:hAnsi="Calibri" w:cs="Calibri"/>
                <w:color w:val="000000"/>
                <w:lang w:eastAsia="en-GB"/>
              </w:rPr>
              <w:t>nd Procedural Complications</w:t>
            </w:r>
          </w:p>
        </w:tc>
        <w:tc>
          <w:tcPr>
            <w:tcW w:w="860" w:type="dxa"/>
            <w:tcBorders>
              <w:top w:val="nil"/>
              <w:left w:val="nil"/>
              <w:bottom w:val="single" w:sz="4" w:space="0" w:color="auto"/>
              <w:right w:val="single" w:sz="4" w:space="0" w:color="auto"/>
            </w:tcBorders>
            <w:shd w:val="clear" w:color="auto" w:fill="auto"/>
            <w:noWrap/>
            <w:vAlign w:val="center"/>
            <w:hideMark/>
          </w:tcPr>
          <w:p w14:paraId="610C3C82" w14:textId="2C70D654"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4</w:t>
            </w:r>
            <w:r w:rsidR="00E52D55">
              <w:rPr>
                <w:rFonts w:ascii="Calibri" w:eastAsia="Times New Roman" w:hAnsi="Calibri" w:cs="Calibri"/>
                <w:color w:val="000000"/>
                <w:lang w:eastAsia="en-GB"/>
              </w:rPr>
              <w:t>8</w:t>
            </w:r>
          </w:p>
        </w:tc>
        <w:tc>
          <w:tcPr>
            <w:tcW w:w="987" w:type="dxa"/>
            <w:tcBorders>
              <w:top w:val="nil"/>
              <w:left w:val="nil"/>
              <w:bottom w:val="single" w:sz="4" w:space="0" w:color="auto"/>
              <w:right w:val="single" w:sz="4" w:space="0" w:color="auto"/>
            </w:tcBorders>
            <w:shd w:val="clear" w:color="auto" w:fill="auto"/>
            <w:noWrap/>
            <w:vAlign w:val="center"/>
            <w:hideMark/>
          </w:tcPr>
          <w:p w14:paraId="610C3C83" w14:textId="6F11EB49"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1.72%</w:t>
            </w:r>
          </w:p>
        </w:tc>
        <w:tc>
          <w:tcPr>
            <w:tcW w:w="1231" w:type="dxa"/>
            <w:tcBorders>
              <w:top w:val="nil"/>
              <w:left w:val="nil"/>
              <w:bottom w:val="single" w:sz="4" w:space="0" w:color="auto"/>
              <w:right w:val="single" w:sz="4" w:space="0" w:color="auto"/>
            </w:tcBorders>
            <w:shd w:val="clear" w:color="auto" w:fill="auto"/>
            <w:noWrap/>
            <w:vAlign w:val="bottom"/>
            <w:hideMark/>
          </w:tcPr>
          <w:p w14:paraId="610C3C84" w14:textId="1D7C483B"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97.76%</w:t>
            </w:r>
          </w:p>
        </w:tc>
      </w:tr>
      <w:tr w:rsidR="007D57FB" w:rsidRPr="00277215" w14:paraId="610C3C8B" w14:textId="625B2043"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86" w14:textId="47D33CEF"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14</w:t>
            </w:r>
          </w:p>
        </w:tc>
        <w:tc>
          <w:tcPr>
            <w:tcW w:w="6189" w:type="dxa"/>
            <w:tcBorders>
              <w:top w:val="nil"/>
              <w:left w:val="nil"/>
              <w:bottom w:val="single" w:sz="4" w:space="0" w:color="auto"/>
              <w:right w:val="single" w:sz="4" w:space="0" w:color="auto"/>
            </w:tcBorders>
            <w:shd w:val="clear" w:color="auto" w:fill="auto"/>
            <w:vAlign w:val="center"/>
            <w:hideMark/>
          </w:tcPr>
          <w:p w14:paraId="610C3C87" w14:textId="5B6A53FF"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Respiratory, T</w:t>
            </w:r>
            <w:r>
              <w:rPr>
                <w:rFonts w:ascii="Calibri" w:eastAsia="Times New Roman" w:hAnsi="Calibri" w:cs="Calibri"/>
                <w:color w:val="000000"/>
                <w:lang w:eastAsia="en-GB"/>
              </w:rPr>
              <w:t>horacic a</w:t>
            </w:r>
            <w:r w:rsidRPr="00277215">
              <w:rPr>
                <w:rFonts w:ascii="Calibri" w:eastAsia="Times New Roman" w:hAnsi="Calibri" w:cs="Calibri"/>
                <w:color w:val="000000"/>
                <w:lang w:eastAsia="en-GB"/>
              </w:rPr>
              <w:t>nd Mediastinal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88" w14:textId="192554C7"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23</w:t>
            </w:r>
          </w:p>
        </w:tc>
        <w:tc>
          <w:tcPr>
            <w:tcW w:w="987" w:type="dxa"/>
            <w:tcBorders>
              <w:top w:val="nil"/>
              <w:left w:val="nil"/>
              <w:bottom w:val="single" w:sz="4" w:space="0" w:color="auto"/>
              <w:right w:val="single" w:sz="4" w:space="0" w:color="auto"/>
            </w:tcBorders>
            <w:shd w:val="clear" w:color="auto" w:fill="auto"/>
            <w:noWrap/>
            <w:vAlign w:val="center"/>
            <w:hideMark/>
          </w:tcPr>
          <w:p w14:paraId="610C3C89" w14:textId="4832026D"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0.84%</w:t>
            </w:r>
          </w:p>
        </w:tc>
        <w:tc>
          <w:tcPr>
            <w:tcW w:w="1231" w:type="dxa"/>
            <w:tcBorders>
              <w:top w:val="nil"/>
              <w:left w:val="nil"/>
              <w:bottom w:val="single" w:sz="4" w:space="0" w:color="auto"/>
              <w:right w:val="single" w:sz="4" w:space="0" w:color="auto"/>
            </w:tcBorders>
            <w:shd w:val="clear" w:color="auto" w:fill="auto"/>
            <w:noWrap/>
            <w:vAlign w:val="bottom"/>
            <w:hideMark/>
          </w:tcPr>
          <w:p w14:paraId="610C3C8A" w14:textId="4193E8EA"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98.61%</w:t>
            </w:r>
          </w:p>
        </w:tc>
      </w:tr>
      <w:tr w:rsidR="007D57FB" w:rsidRPr="00277215" w14:paraId="610C3C91" w14:textId="40FBEABB"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8C" w14:textId="5CF1A093"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15</w:t>
            </w:r>
          </w:p>
        </w:tc>
        <w:tc>
          <w:tcPr>
            <w:tcW w:w="6189" w:type="dxa"/>
            <w:tcBorders>
              <w:top w:val="nil"/>
              <w:left w:val="nil"/>
              <w:bottom w:val="single" w:sz="4" w:space="0" w:color="auto"/>
              <w:right w:val="single" w:sz="4" w:space="0" w:color="auto"/>
            </w:tcBorders>
            <w:shd w:val="clear" w:color="auto" w:fill="auto"/>
            <w:vAlign w:val="center"/>
            <w:hideMark/>
          </w:tcPr>
          <w:p w14:paraId="610C3C8D" w14:textId="6A8E9319"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Musculoskeletal </w:t>
            </w:r>
            <w:r>
              <w:rPr>
                <w:rFonts w:ascii="Calibri" w:eastAsia="Times New Roman" w:hAnsi="Calibri" w:cs="Calibri"/>
                <w:color w:val="000000"/>
                <w:lang w:eastAsia="en-GB"/>
              </w:rPr>
              <w:t>a</w:t>
            </w:r>
            <w:r w:rsidRPr="00277215">
              <w:rPr>
                <w:rFonts w:ascii="Calibri" w:eastAsia="Times New Roman" w:hAnsi="Calibri" w:cs="Calibri"/>
                <w:color w:val="000000"/>
                <w:lang w:eastAsia="en-GB"/>
              </w:rPr>
              <w:t>nd Connective Tissue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8E" w14:textId="7AAE2921"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12</w:t>
            </w:r>
          </w:p>
        </w:tc>
        <w:tc>
          <w:tcPr>
            <w:tcW w:w="987" w:type="dxa"/>
            <w:tcBorders>
              <w:top w:val="nil"/>
              <w:left w:val="nil"/>
              <w:bottom w:val="single" w:sz="4" w:space="0" w:color="auto"/>
              <w:right w:val="single" w:sz="4" w:space="0" w:color="auto"/>
            </w:tcBorders>
            <w:shd w:val="clear" w:color="auto" w:fill="auto"/>
            <w:noWrap/>
            <w:vAlign w:val="center"/>
            <w:hideMark/>
          </w:tcPr>
          <w:p w14:paraId="610C3C8F" w14:textId="066CCB48"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0.44%</w:t>
            </w:r>
          </w:p>
        </w:tc>
        <w:tc>
          <w:tcPr>
            <w:tcW w:w="1231" w:type="dxa"/>
            <w:tcBorders>
              <w:top w:val="nil"/>
              <w:left w:val="nil"/>
              <w:bottom w:val="single" w:sz="4" w:space="0" w:color="auto"/>
              <w:right w:val="single" w:sz="4" w:space="0" w:color="auto"/>
            </w:tcBorders>
            <w:shd w:val="clear" w:color="auto" w:fill="auto"/>
            <w:noWrap/>
            <w:vAlign w:val="bottom"/>
            <w:hideMark/>
          </w:tcPr>
          <w:p w14:paraId="610C3C90" w14:textId="16BF390A"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99.05%</w:t>
            </w:r>
          </w:p>
        </w:tc>
      </w:tr>
      <w:tr w:rsidR="007D57FB" w:rsidRPr="00277215" w14:paraId="610C3C97" w14:textId="49576970"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92" w14:textId="1B68E752"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16</w:t>
            </w:r>
          </w:p>
        </w:tc>
        <w:tc>
          <w:tcPr>
            <w:tcW w:w="6189" w:type="dxa"/>
            <w:tcBorders>
              <w:top w:val="nil"/>
              <w:left w:val="nil"/>
              <w:bottom w:val="single" w:sz="4" w:space="0" w:color="auto"/>
              <w:right w:val="single" w:sz="4" w:space="0" w:color="auto"/>
            </w:tcBorders>
            <w:shd w:val="clear" w:color="auto" w:fill="auto"/>
            <w:vAlign w:val="center"/>
            <w:hideMark/>
          </w:tcPr>
          <w:p w14:paraId="610C3C93" w14:textId="21DD8379"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xml:space="preserve">General </w:t>
            </w:r>
            <w:r>
              <w:rPr>
                <w:rFonts w:ascii="Calibri" w:eastAsia="Times New Roman" w:hAnsi="Calibri" w:cs="Calibri"/>
                <w:color w:val="000000"/>
                <w:lang w:eastAsia="en-GB"/>
              </w:rPr>
              <w:t>Disorders a</w:t>
            </w:r>
            <w:r w:rsidRPr="00277215">
              <w:rPr>
                <w:rFonts w:ascii="Calibri" w:eastAsia="Times New Roman" w:hAnsi="Calibri" w:cs="Calibri"/>
                <w:color w:val="000000"/>
                <w:lang w:eastAsia="en-GB"/>
              </w:rPr>
              <w:t>nd Administration Site Conditions</w:t>
            </w:r>
          </w:p>
        </w:tc>
        <w:tc>
          <w:tcPr>
            <w:tcW w:w="860" w:type="dxa"/>
            <w:tcBorders>
              <w:top w:val="nil"/>
              <w:left w:val="nil"/>
              <w:bottom w:val="single" w:sz="4" w:space="0" w:color="auto"/>
              <w:right w:val="single" w:sz="4" w:space="0" w:color="auto"/>
            </w:tcBorders>
            <w:shd w:val="clear" w:color="auto" w:fill="auto"/>
            <w:noWrap/>
            <w:vAlign w:val="center"/>
            <w:hideMark/>
          </w:tcPr>
          <w:p w14:paraId="610C3C94" w14:textId="4A098CCD"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9</w:t>
            </w:r>
          </w:p>
        </w:tc>
        <w:tc>
          <w:tcPr>
            <w:tcW w:w="987" w:type="dxa"/>
            <w:tcBorders>
              <w:top w:val="nil"/>
              <w:left w:val="nil"/>
              <w:bottom w:val="single" w:sz="4" w:space="0" w:color="auto"/>
              <w:right w:val="single" w:sz="4" w:space="0" w:color="auto"/>
            </w:tcBorders>
            <w:shd w:val="clear" w:color="auto" w:fill="auto"/>
            <w:noWrap/>
            <w:vAlign w:val="center"/>
            <w:hideMark/>
          </w:tcPr>
          <w:p w14:paraId="610C3C95" w14:textId="6B6B7820"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0.33%</w:t>
            </w:r>
          </w:p>
        </w:tc>
        <w:tc>
          <w:tcPr>
            <w:tcW w:w="1231" w:type="dxa"/>
            <w:tcBorders>
              <w:top w:val="nil"/>
              <w:left w:val="nil"/>
              <w:bottom w:val="single" w:sz="4" w:space="0" w:color="auto"/>
              <w:right w:val="single" w:sz="4" w:space="0" w:color="auto"/>
            </w:tcBorders>
            <w:shd w:val="clear" w:color="auto" w:fill="auto"/>
            <w:noWrap/>
            <w:vAlign w:val="bottom"/>
            <w:hideMark/>
          </w:tcPr>
          <w:p w14:paraId="610C3C96" w14:textId="14EC53CC"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99.38%</w:t>
            </w:r>
          </w:p>
        </w:tc>
      </w:tr>
      <w:tr w:rsidR="007D57FB" w:rsidRPr="00277215" w14:paraId="610C3C9D" w14:textId="1E1CFC69"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98" w14:textId="3974CD99"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17</w:t>
            </w:r>
          </w:p>
        </w:tc>
        <w:tc>
          <w:tcPr>
            <w:tcW w:w="6189" w:type="dxa"/>
            <w:tcBorders>
              <w:top w:val="nil"/>
              <w:left w:val="nil"/>
              <w:bottom w:val="single" w:sz="4" w:space="0" w:color="auto"/>
              <w:right w:val="single" w:sz="4" w:space="0" w:color="auto"/>
            </w:tcBorders>
            <w:shd w:val="clear" w:color="auto" w:fill="auto"/>
            <w:vAlign w:val="center"/>
            <w:hideMark/>
          </w:tcPr>
          <w:p w14:paraId="610C3C99" w14:textId="51002D3D"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Immune System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9A" w14:textId="0ED46204"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8</w:t>
            </w:r>
          </w:p>
        </w:tc>
        <w:tc>
          <w:tcPr>
            <w:tcW w:w="987" w:type="dxa"/>
            <w:tcBorders>
              <w:top w:val="nil"/>
              <w:left w:val="nil"/>
              <w:bottom w:val="single" w:sz="4" w:space="0" w:color="auto"/>
              <w:right w:val="single" w:sz="4" w:space="0" w:color="auto"/>
            </w:tcBorders>
            <w:shd w:val="clear" w:color="auto" w:fill="auto"/>
            <w:noWrap/>
            <w:vAlign w:val="center"/>
            <w:hideMark/>
          </w:tcPr>
          <w:p w14:paraId="610C3C9B" w14:textId="04C0F9AA"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0.29%</w:t>
            </w:r>
          </w:p>
        </w:tc>
        <w:tc>
          <w:tcPr>
            <w:tcW w:w="1231" w:type="dxa"/>
            <w:tcBorders>
              <w:top w:val="nil"/>
              <w:left w:val="nil"/>
              <w:bottom w:val="single" w:sz="4" w:space="0" w:color="auto"/>
              <w:right w:val="single" w:sz="4" w:space="0" w:color="auto"/>
            </w:tcBorders>
            <w:shd w:val="clear" w:color="auto" w:fill="auto"/>
            <w:noWrap/>
            <w:vAlign w:val="bottom"/>
            <w:hideMark/>
          </w:tcPr>
          <w:p w14:paraId="610C3C9C" w14:textId="7A36A9CC"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99.67%</w:t>
            </w:r>
          </w:p>
        </w:tc>
      </w:tr>
      <w:tr w:rsidR="007D57FB" w:rsidRPr="00277215" w14:paraId="610C3CA3" w14:textId="5C117C77"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9E" w14:textId="590C0104"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18</w:t>
            </w:r>
          </w:p>
        </w:tc>
        <w:tc>
          <w:tcPr>
            <w:tcW w:w="6189" w:type="dxa"/>
            <w:tcBorders>
              <w:top w:val="nil"/>
              <w:left w:val="nil"/>
              <w:bottom w:val="single" w:sz="4" w:space="0" w:color="auto"/>
              <w:right w:val="single" w:sz="4" w:space="0" w:color="auto"/>
            </w:tcBorders>
            <w:shd w:val="clear" w:color="auto" w:fill="auto"/>
            <w:vAlign w:val="center"/>
            <w:hideMark/>
          </w:tcPr>
          <w:p w14:paraId="610C3C9F" w14:textId="3C8FCB1F"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Hepatobiliary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A0" w14:textId="737047D7"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5</w:t>
            </w:r>
          </w:p>
        </w:tc>
        <w:tc>
          <w:tcPr>
            <w:tcW w:w="987" w:type="dxa"/>
            <w:tcBorders>
              <w:top w:val="nil"/>
              <w:left w:val="nil"/>
              <w:bottom w:val="single" w:sz="4" w:space="0" w:color="auto"/>
              <w:right w:val="single" w:sz="4" w:space="0" w:color="auto"/>
            </w:tcBorders>
            <w:shd w:val="clear" w:color="auto" w:fill="auto"/>
            <w:noWrap/>
            <w:vAlign w:val="center"/>
            <w:hideMark/>
          </w:tcPr>
          <w:p w14:paraId="610C3CA1" w14:textId="3580EC4E"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0.18%</w:t>
            </w:r>
          </w:p>
        </w:tc>
        <w:tc>
          <w:tcPr>
            <w:tcW w:w="1231" w:type="dxa"/>
            <w:tcBorders>
              <w:top w:val="nil"/>
              <w:left w:val="nil"/>
              <w:bottom w:val="single" w:sz="4" w:space="0" w:color="auto"/>
              <w:right w:val="single" w:sz="4" w:space="0" w:color="auto"/>
            </w:tcBorders>
            <w:shd w:val="clear" w:color="auto" w:fill="auto"/>
            <w:noWrap/>
            <w:vAlign w:val="bottom"/>
            <w:hideMark/>
          </w:tcPr>
          <w:p w14:paraId="610C3CA2" w14:textId="2DF64713"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99.85%</w:t>
            </w:r>
          </w:p>
        </w:tc>
      </w:tr>
      <w:tr w:rsidR="007D57FB" w:rsidRPr="00277215" w14:paraId="610C3CA9" w14:textId="6F07ED2C"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A4" w14:textId="25E0D5E5"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19</w:t>
            </w:r>
          </w:p>
        </w:tc>
        <w:tc>
          <w:tcPr>
            <w:tcW w:w="6189" w:type="dxa"/>
            <w:tcBorders>
              <w:top w:val="nil"/>
              <w:left w:val="nil"/>
              <w:bottom w:val="single" w:sz="4" w:space="0" w:color="auto"/>
              <w:right w:val="single" w:sz="4" w:space="0" w:color="auto"/>
            </w:tcBorders>
            <w:shd w:val="clear" w:color="auto" w:fill="auto"/>
            <w:vAlign w:val="center"/>
            <w:hideMark/>
          </w:tcPr>
          <w:p w14:paraId="610C3CA5" w14:textId="3D7A84EA"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Eye Disorders</w:t>
            </w:r>
          </w:p>
        </w:tc>
        <w:tc>
          <w:tcPr>
            <w:tcW w:w="860" w:type="dxa"/>
            <w:tcBorders>
              <w:top w:val="nil"/>
              <w:left w:val="nil"/>
              <w:bottom w:val="single" w:sz="4" w:space="0" w:color="auto"/>
              <w:right w:val="single" w:sz="4" w:space="0" w:color="auto"/>
            </w:tcBorders>
            <w:shd w:val="clear" w:color="auto" w:fill="auto"/>
            <w:noWrap/>
            <w:vAlign w:val="center"/>
            <w:hideMark/>
          </w:tcPr>
          <w:p w14:paraId="610C3CA6" w14:textId="2049CCDE"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4</w:t>
            </w:r>
          </w:p>
        </w:tc>
        <w:tc>
          <w:tcPr>
            <w:tcW w:w="987" w:type="dxa"/>
            <w:tcBorders>
              <w:top w:val="nil"/>
              <w:left w:val="nil"/>
              <w:bottom w:val="single" w:sz="4" w:space="0" w:color="auto"/>
              <w:right w:val="single" w:sz="4" w:space="0" w:color="auto"/>
            </w:tcBorders>
            <w:shd w:val="clear" w:color="auto" w:fill="auto"/>
            <w:noWrap/>
            <w:vAlign w:val="center"/>
            <w:hideMark/>
          </w:tcPr>
          <w:p w14:paraId="610C3CA7" w14:textId="4A451B8B"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0.15%</w:t>
            </w:r>
          </w:p>
        </w:tc>
        <w:tc>
          <w:tcPr>
            <w:tcW w:w="1231" w:type="dxa"/>
            <w:tcBorders>
              <w:top w:val="nil"/>
              <w:left w:val="nil"/>
              <w:bottom w:val="single" w:sz="4" w:space="0" w:color="auto"/>
              <w:right w:val="single" w:sz="4" w:space="0" w:color="auto"/>
            </w:tcBorders>
            <w:shd w:val="clear" w:color="auto" w:fill="auto"/>
            <w:noWrap/>
            <w:vAlign w:val="bottom"/>
            <w:hideMark/>
          </w:tcPr>
          <w:p w14:paraId="610C3CA8" w14:textId="583E747E" w:rsidR="007D57FB" w:rsidRPr="00277215" w:rsidRDefault="007D57FB" w:rsidP="005B3E6B">
            <w:pPr>
              <w:spacing w:after="0" w:line="240" w:lineRule="auto"/>
              <w:jc w:val="right"/>
              <w:rPr>
                <w:rFonts w:ascii="Calibri" w:eastAsia="Times New Roman" w:hAnsi="Calibri" w:cs="Calibri"/>
                <w:color w:val="000000"/>
                <w:lang w:eastAsia="en-GB"/>
              </w:rPr>
            </w:pPr>
            <w:r w:rsidRPr="00277215">
              <w:rPr>
                <w:rFonts w:ascii="Calibri" w:eastAsia="Times New Roman" w:hAnsi="Calibri" w:cs="Calibri"/>
                <w:color w:val="000000"/>
                <w:lang w:eastAsia="en-GB"/>
              </w:rPr>
              <w:t>100.00%</w:t>
            </w:r>
          </w:p>
        </w:tc>
      </w:tr>
      <w:tr w:rsidR="007D57FB" w:rsidRPr="00277215" w14:paraId="610C3CAF" w14:textId="31927E59" w:rsidTr="00E52D55">
        <w:trPr>
          <w:trHeight w:val="290"/>
        </w:trPr>
        <w:tc>
          <w:tcPr>
            <w:tcW w:w="673" w:type="dxa"/>
            <w:tcBorders>
              <w:top w:val="nil"/>
              <w:left w:val="single" w:sz="4" w:space="0" w:color="auto"/>
              <w:bottom w:val="single" w:sz="4" w:space="0" w:color="auto"/>
              <w:right w:val="single" w:sz="4" w:space="0" w:color="auto"/>
            </w:tcBorders>
            <w:shd w:val="clear" w:color="auto" w:fill="auto"/>
            <w:noWrap/>
            <w:vAlign w:val="bottom"/>
            <w:hideMark/>
          </w:tcPr>
          <w:p w14:paraId="610C3CAA" w14:textId="1E22A44D"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w:t>
            </w:r>
          </w:p>
        </w:tc>
        <w:tc>
          <w:tcPr>
            <w:tcW w:w="6189" w:type="dxa"/>
            <w:tcBorders>
              <w:top w:val="nil"/>
              <w:left w:val="nil"/>
              <w:bottom w:val="single" w:sz="4" w:space="0" w:color="auto"/>
              <w:right w:val="single" w:sz="4" w:space="0" w:color="auto"/>
            </w:tcBorders>
            <w:shd w:val="clear" w:color="auto" w:fill="auto"/>
            <w:vAlign w:val="center"/>
            <w:hideMark/>
          </w:tcPr>
          <w:p w14:paraId="610C3CAB" w14:textId="3205E66E"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10C3CAC" w14:textId="7FDB23B6"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272</w:t>
            </w:r>
            <w:r w:rsidR="004A0DD7">
              <w:rPr>
                <w:rFonts w:ascii="Calibri" w:eastAsia="Times New Roman" w:hAnsi="Calibri" w:cs="Calibri"/>
                <w:color w:val="000000"/>
                <w:lang w:eastAsia="en-GB"/>
              </w:rPr>
              <w:t>8</w:t>
            </w:r>
          </w:p>
        </w:tc>
        <w:tc>
          <w:tcPr>
            <w:tcW w:w="987" w:type="dxa"/>
            <w:tcBorders>
              <w:top w:val="nil"/>
              <w:left w:val="nil"/>
              <w:bottom w:val="single" w:sz="4" w:space="0" w:color="auto"/>
              <w:right w:val="single" w:sz="4" w:space="0" w:color="auto"/>
            </w:tcBorders>
            <w:shd w:val="clear" w:color="auto" w:fill="auto"/>
            <w:noWrap/>
            <w:vAlign w:val="center"/>
            <w:hideMark/>
          </w:tcPr>
          <w:p w14:paraId="610C3CAD" w14:textId="7D2CE39E" w:rsidR="007D57FB" w:rsidRPr="00277215" w:rsidRDefault="007D57FB" w:rsidP="005B3E6B">
            <w:pPr>
              <w:spacing w:after="0" w:line="240" w:lineRule="auto"/>
              <w:rPr>
                <w:rFonts w:ascii="Calibri" w:eastAsia="Times New Roman" w:hAnsi="Calibri" w:cs="Calibri"/>
                <w:color w:val="000000"/>
                <w:lang w:eastAsia="en-GB"/>
              </w:rPr>
            </w:pPr>
            <w:r w:rsidRPr="00277215">
              <w:rPr>
                <w:rFonts w:ascii="Calibri" w:eastAsia="Times New Roman" w:hAnsi="Calibri" w:cs="Calibri"/>
                <w:color w:val="000000"/>
                <w:lang w:eastAsia="en-GB"/>
              </w:rPr>
              <w:t>100.00%</w:t>
            </w:r>
          </w:p>
        </w:tc>
        <w:tc>
          <w:tcPr>
            <w:tcW w:w="1231" w:type="dxa"/>
            <w:tcBorders>
              <w:top w:val="nil"/>
              <w:left w:val="nil"/>
              <w:bottom w:val="nil"/>
              <w:right w:val="nil"/>
            </w:tcBorders>
            <w:shd w:val="clear" w:color="auto" w:fill="auto"/>
            <w:noWrap/>
            <w:vAlign w:val="bottom"/>
            <w:hideMark/>
          </w:tcPr>
          <w:p w14:paraId="610C3CAE" w14:textId="3E2521E7" w:rsidR="007D57FB" w:rsidRPr="00277215" w:rsidRDefault="007D57FB" w:rsidP="005B3E6B">
            <w:pPr>
              <w:spacing w:after="0" w:line="240" w:lineRule="auto"/>
              <w:rPr>
                <w:rFonts w:ascii="Calibri" w:eastAsia="Times New Roman" w:hAnsi="Calibri" w:cs="Calibri"/>
                <w:color w:val="000000"/>
                <w:lang w:eastAsia="en-GB"/>
              </w:rPr>
            </w:pPr>
          </w:p>
        </w:tc>
      </w:tr>
    </w:tbl>
    <w:p w14:paraId="610C3CB2" w14:textId="77777777" w:rsidR="007D57FB" w:rsidRDefault="007D57FB" w:rsidP="005B3E6B">
      <w:pPr>
        <w:rPr>
          <w:b/>
          <w:u w:val="single"/>
        </w:rPr>
        <w:sectPr w:rsidR="007D57FB" w:rsidSect="005B3E6B">
          <w:pgSz w:w="11906" w:h="16838"/>
          <w:pgMar w:top="1440" w:right="1440" w:bottom="1440" w:left="1440" w:header="708" w:footer="708" w:gutter="0"/>
          <w:cols w:space="708"/>
          <w:docGrid w:linePitch="360"/>
        </w:sectPr>
      </w:pPr>
    </w:p>
    <w:p w14:paraId="610C3CB3" w14:textId="0E3252BB" w:rsidR="007D57FB" w:rsidRPr="00D35E6A" w:rsidRDefault="00DA5224" w:rsidP="005B3E6B">
      <w:pPr>
        <w:pStyle w:val="Heading2"/>
      </w:pPr>
      <w:bookmarkStart w:id="46" w:name="_Toc52396367"/>
      <w:r>
        <w:t>Appendix 18</w:t>
      </w:r>
      <w:r w:rsidR="00737863">
        <w:t>.</w:t>
      </w:r>
      <w:r w:rsidR="007D57FB">
        <w:t xml:space="preserve"> Breakdown of ADR Presentations by ADR Detail (In Descending Frequency).</w:t>
      </w:r>
      <w:bookmarkEnd w:id="46"/>
    </w:p>
    <w:tbl>
      <w:tblPr>
        <w:tblW w:w="13563" w:type="dxa"/>
        <w:tblLook w:val="04A0" w:firstRow="1" w:lastRow="0" w:firstColumn="1" w:lastColumn="0" w:noHBand="0" w:noVBand="1"/>
      </w:tblPr>
      <w:tblGrid>
        <w:gridCol w:w="2405"/>
        <w:gridCol w:w="875"/>
        <w:gridCol w:w="663"/>
        <w:gridCol w:w="2935"/>
        <w:gridCol w:w="567"/>
        <w:gridCol w:w="2514"/>
        <w:gridCol w:w="663"/>
        <w:gridCol w:w="2390"/>
        <w:gridCol w:w="551"/>
      </w:tblGrid>
      <w:tr w:rsidR="007D57FB" w:rsidRPr="001F242F" w14:paraId="610C3CBD"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4" w14:textId="77777777" w:rsidR="007D57FB" w:rsidRPr="00090FBA" w:rsidRDefault="007D57FB" w:rsidP="005B3E6B">
            <w:pPr>
              <w:rPr>
                <w:rFonts w:ascii="Calibri" w:eastAsia="Times New Roman" w:hAnsi="Calibri" w:cs="Calibri"/>
                <w:b/>
                <w:bCs/>
                <w:color w:val="000000"/>
                <w:lang w:eastAsia="en-GB"/>
              </w:rPr>
            </w:pPr>
            <w:bookmarkStart w:id="47" w:name="RANGE!A1:I104"/>
            <w:r w:rsidRPr="00090FBA">
              <w:rPr>
                <w:rFonts w:ascii="Calibri" w:eastAsia="Times New Roman" w:hAnsi="Calibri" w:cs="Calibri"/>
                <w:b/>
                <w:bCs/>
                <w:color w:val="000000"/>
                <w:lang w:eastAsia="en-GB"/>
              </w:rPr>
              <w:t>MedDRA® SOC Classification</w:t>
            </w:r>
            <w:bookmarkEnd w:id="47"/>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5" w14:textId="3BA21F5C"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6"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7"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8"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CB9"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A"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CBB"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CBC"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7D57FB" w:rsidRPr="001F242F" w14:paraId="610C3CC7" w14:textId="77777777" w:rsidTr="00D0006B">
        <w:trPr>
          <w:trHeight w:val="290"/>
        </w:trPr>
        <w:tc>
          <w:tcPr>
            <w:tcW w:w="2405" w:type="dxa"/>
            <w:vMerge w:val="restart"/>
            <w:tcBorders>
              <w:top w:val="single" w:sz="4" w:space="0" w:color="auto"/>
              <w:left w:val="single" w:sz="8" w:space="0" w:color="auto"/>
              <w:bottom w:val="nil"/>
              <w:right w:val="nil"/>
            </w:tcBorders>
            <w:shd w:val="clear" w:color="auto" w:fill="auto"/>
            <w:vAlign w:val="center"/>
            <w:hideMark/>
          </w:tcPr>
          <w:p w14:paraId="610C3CBE"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Gastrointestinal disorders</w:t>
            </w:r>
          </w:p>
        </w:tc>
        <w:tc>
          <w:tcPr>
            <w:tcW w:w="875" w:type="dxa"/>
            <w:vMerge w:val="restart"/>
            <w:tcBorders>
              <w:top w:val="single" w:sz="4" w:space="0" w:color="auto"/>
              <w:left w:val="nil"/>
              <w:right w:val="nil"/>
            </w:tcBorders>
            <w:shd w:val="clear" w:color="auto" w:fill="auto"/>
            <w:noWrap/>
            <w:vAlign w:val="center"/>
            <w:hideMark/>
          </w:tcPr>
          <w:p w14:paraId="610C3CBF" w14:textId="5599EBA8"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23.0</w:t>
            </w:r>
            <w:r w:rsidR="003A48A9">
              <w:rPr>
                <w:rFonts w:ascii="Calibri" w:eastAsia="Times New Roman" w:hAnsi="Calibri" w:cs="Calibri"/>
                <w:color w:val="000000"/>
                <w:lang w:eastAsia="en-GB"/>
              </w:rPr>
              <w:t>6</w:t>
            </w:r>
            <w:r w:rsidRPr="001F242F">
              <w:rPr>
                <w:rFonts w:ascii="Calibri" w:eastAsia="Times New Roman" w:hAnsi="Calibri" w:cs="Calibri"/>
                <w:color w:val="000000"/>
                <w:lang w:eastAsia="en-GB"/>
              </w:rPr>
              <w:t>%</w:t>
            </w:r>
          </w:p>
        </w:tc>
        <w:tc>
          <w:tcPr>
            <w:tcW w:w="663" w:type="dxa"/>
            <w:vMerge w:val="restart"/>
            <w:tcBorders>
              <w:top w:val="single" w:sz="4" w:space="0" w:color="auto"/>
              <w:left w:val="nil"/>
              <w:bottom w:val="single" w:sz="8" w:space="0" w:color="auto"/>
            </w:tcBorders>
            <w:shd w:val="clear" w:color="auto" w:fill="auto"/>
            <w:noWrap/>
            <w:vAlign w:val="center"/>
            <w:hideMark/>
          </w:tcPr>
          <w:p w14:paraId="610C3CC0" w14:textId="0CF260B4"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62</w:t>
            </w:r>
            <w:r w:rsidR="00FD7C12">
              <w:rPr>
                <w:rFonts w:ascii="Calibri" w:eastAsia="Times New Roman" w:hAnsi="Calibri" w:cs="Calibri"/>
                <w:i/>
                <w:color w:val="000000"/>
                <w:lang w:eastAsia="en-GB"/>
              </w:rPr>
              <w:t>9</w:t>
            </w:r>
          </w:p>
        </w:tc>
        <w:tc>
          <w:tcPr>
            <w:tcW w:w="2935" w:type="dxa"/>
            <w:vMerge w:val="restart"/>
            <w:tcBorders>
              <w:top w:val="single" w:sz="4" w:space="0" w:color="auto"/>
              <w:left w:val="nil"/>
              <w:bottom w:val="single" w:sz="4" w:space="0" w:color="000000"/>
              <w:right w:val="nil"/>
            </w:tcBorders>
            <w:shd w:val="clear" w:color="auto" w:fill="auto"/>
            <w:vAlign w:val="center"/>
            <w:hideMark/>
          </w:tcPr>
          <w:p w14:paraId="610C3CC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motility and defaecation conditions </w:t>
            </w:r>
          </w:p>
        </w:tc>
        <w:tc>
          <w:tcPr>
            <w:tcW w:w="567" w:type="dxa"/>
            <w:vMerge w:val="restart"/>
            <w:tcBorders>
              <w:top w:val="single" w:sz="4" w:space="0" w:color="auto"/>
              <w:left w:val="nil"/>
              <w:right w:val="nil"/>
            </w:tcBorders>
            <w:shd w:val="clear" w:color="auto" w:fill="auto"/>
            <w:noWrap/>
            <w:vAlign w:val="center"/>
            <w:hideMark/>
          </w:tcPr>
          <w:p w14:paraId="610C3CC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392</w:t>
            </w:r>
          </w:p>
        </w:tc>
        <w:tc>
          <w:tcPr>
            <w:tcW w:w="2514" w:type="dxa"/>
            <w:tcBorders>
              <w:top w:val="single" w:sz="4" w:space="0" w:color="auto"/>
              <w:left w:val="nil"/>
              <w:bottom w:val="single" w:sz="4" w:space="0" w:color="auto"/>
              <w:right w:val="nil"/>
            </w:tcBorders>
            <w:shd w:val="clear" w:color="auto" w:fill="auto"/>
            <w:vAlign w:val="center"/>
            <w:hideMark/>
          </w:tcPr>
          <w:p w14:paraId="610C3CC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Constipation</w:t>
            </w:r>
          </w:p>
        </w:tc>
        <w:tc>
          <w:tcPr>
            <w:tcW w:w="663" w:type="dxa"/>
            <w:tcBorders>
              <w:top w:val="single" w:sz="4" w:space="0" w:color="auto"/>
              <w:left w:val="nil"/>
              <w:bottom w:val="single" w:sz="4" w:space="0" w:color="auto"/>
              <w:right w:val="nil"/>
            </w:tcBorders>
            <w:shd w:val="clear" w:color="auto" w:fill="auto"/>
            <w:noWrap/>
            <w:vAlign w:val="center"/>
            <w:hideMark/>
          </w:tcPr>
          <w:p w14:paraId="610C3CC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254</w:t>
            </w:r>
          </w:p>
        </w:tc>
        <w:tc>
          <w:tcPr>
            <w:tcW w:w="2390" w:type="dxa"/>
            <w:tcBorders>
              <w:top w:val="single" w:sz="4" w:space="0" w:color="auto"/>
              <w:left w:val="nil"/>
              <w:bottom w:val="single" w:sz="4" w:space="0" w:color="auto"/>
              <w:right w:val="nil"/>
            </w:tcBorders>
            <w:shd w:val="clear" w:color="auto" w:fill="auto"/>
            <w:noWrap/>
            <w:vAlign w:val="center"/>
            <w:hideMark/>
          </w:tcPr>
          <w:p w14:paraId="610C3CC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CC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CD1"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C8"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C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C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CC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CCC"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CC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Diarrhoea</w:t>
            </w:r>
          </w:p>
        </w:tc>
        <w:tc>
          <w:tcPr>
            <w:tcW w:w="663" w:type="dxa"/>
            <w:tcBorders>
              <w:top w:val="single" w:sz="4" w:space="0" w:color="auto"/>
              <w:left w:val="nil"/>
              <w:bottom w:val="single" w:sz="4" w:space="0" w:color="auto"/>
              <w:right w:val="nil"/>
            </w:tcBorders>
            <w:shd w:val="clear" w:color="auto" w:fill="auto"/>
            <w:noWrap/>
            <w:vAlign w:val="center"/>
            <w:hideMark/>
          </w:tcPr>
          <w:p w14:paraId="610C3CC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138</w:t>
            </w:r>
          </w:p>
        </w:tc>
        <w:tc>
          <w:tcPr>
            <w:tcW w:w="2390" w:type="dxa"/>
            <w:tcBorders>
              <w:top w:val="single" w:sz="4" w:space="0" w:color="auto"/>
              <w:left w:val="nil"/>
              <w:bottom w:val="single" w:sz="4" w:space="0" w:color="auto"/>
              <w:right w:val="nil"/>
            </w:tcBorders>
            <w:shd w:val="clear" w:color="auto" w:fill="auto"/>
            <w:noWrap/>
            <w:vAlign w:val="center"/>
            <w:hideMark/>
          </w:tcPr>
          <w:p w14:paraId="610C3CC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CD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CDB"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D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D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D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CD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Gastrointestinal disorders</w:t>
            </w:r>
          </w:p>
        </w:tc>
        <w:tc>
          <w:tcPr>
            <w:tcW w:w="567" w:type="dxa"/>
            <w:vMerge w:val="restart"/>
            <w:tcBorders>
              <w:top w:val="nil"/>
              <w:left w:val="nil"/>
              <w:right w:val="nil"/>
            </w:tcBorders>
            <w:shd w:val="clear" w:color="auto" w:fill="auto"/>
            <w:noWrap/>
            <w:vAlign w:val="center"/>
            <w:hideMark/>
          </w:tcPr>
          <w:p w14:paraId="610C3CD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90</w:t>
            </w:r>
          </w:p>
        </w:tc>
        <w:tc>
          <w:tcPr>
            <w:tcW w:w="2514" w:type="dxa"/>
            <w:tcBorders>
              <w:top w:val="single" w:sz="4" w:space="0" w:color="auto"/>
              <w:left w:val="nil"/>
              <w:bottom w:val="single" w:sz="4" w:space="0" w:color="auto"/>
              <w:right w:val="nil"/>
            </w:tcBorders>
            <w:shd w:val="clear" w:color="auto" w:fill="auto"/>
            <w:vAlign w:val="center"/>
            <w:hideMark/>
          </w:tcPr>
          <w:p w14:paraId="610C3CD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w:t>
            </w:r>
          </w:p>
        </w:tc>
        <w:tc>
          <w:tcPr>
            <w:tcW w:w="663" w:type="dxa"/>
            <w:tcBorders>
              <w:top w:val="single" w:sz="4" w:space="0" w:color="auto"/>
              <w:left w:val="nil"/>
              <w:bottom w:val="single" w:sz="4" w:space="0" w:color="auto"/>
              <w:right w:val="nil"/>
            </w:tcBorders>
            <w:shd w:val="clear" w:color="auto" w:fill="auto"/>
            <w:noWrap/>
            <w:vAlign w:val="center"/>
            <w:hideMark/>
          </w:tcPr>
          <w:p w14:paraId="610C3CD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88</w:t>
            </w:r>
          </w:p>
        </w:tc>
        <w:tc>
          <w:tcPr>
            <w:tcW w:w="2390" w:type="dxa"/>
            <w:tcBorders>
              <w:top w:val="single" w:sz="4" w:space="0" w:color="auto"/>
              <w:left w:val="nil"/>
              <w:bottom w:val="single" w:sz="4" w:space="0" w:color="auto"/>
              <w:right w:val="nil"/>
            </w:tcBorders>
            <w:shd w:val="clear" w:color="auto" w:fill="auto"/>
            <w:noWrap/>
            <w:vAlign w:val="center"/>
            <w:hideMark/>
          </w:tcPr>
          <w:p w14:paraId="610C3CD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CD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CE5"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D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D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DE"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CD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CE0"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CE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Vomiting and diarrhoea</w:t>
            </w:r>
          </w:p>
        </w:tc>
        <w:tc>
          <w:tcPr>
            <w:tcW w:w="663" w:type="dxa"/>
            <w:tcBorders>
              <w:top w:val="single" w:sz="4" w:space="0" w:color="auto"/>
              <w:left w:val="nil"/>
              <w:bottom w:val="single" w:sz="4" w:space="0" w:color="auto"/>
              <w:right w:val="nil"/>
            </w:tcBorders>
            <w:shd w:val="clear" w:color="auto" w:fill="auto"/>
            <w:noWrap/>
            <w:vAlign w:val="center"/>
            <w:hideMark/>
          </w:tcPr>
          <w:p w14:paraId="610C3CE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noWrap/>
            <w:vAlign w:val="center"/>
            <w:hideMark/>
          </w:tcPr>
          <w:p w14:paraId="610C3CE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CE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CEF"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E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E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E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CE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haemorrhages NEC </w:t>
            </w:r>
          </w:p>
        </w:tc>
        <w:tc>
          <w:tcPr>
            <w:tcW w:w="567" w:type="dxa"/>
            <w:vMerge w:val="restart"/>
            <w:tcBorders>
              <w:top w:val="nil"/>
              <w:left w:val="nil"/>
              <w:right w:val="nil"/>
            </w:tcBorders>
            <w:shd w:val="clear" w:color="auto" w:fill="auto"/>
            <w:noWrap/>
            <w:vAlign w:val="center"/>
            <w:hideMark/>
          </w:tcPr>
          <w:p w14:paraId="610C3CEA" w14:textId="4974969B"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w:t>
            </w:r>
            <w:r w:rsidR="00FD7C12">
              <w:rPr>
                <w:rFonts w:ascii="Calibri" w:eastAsia="Times New Roman" w:hAnsi="Calibri" w:cs="Calibri"/>
                <w:i/>
                <w:color w:val="000000"/>
                <w:lang w:eastAsia="en-GB"/>
              </w:rPr>
              <w:t>7</w:t>
            </w:r>
          </w:p>
        </w:tc>
        <w:tc>
          <w:tcPr>
            <w:tcW w:w="2514" w:type="dxa"/>
            <w:tcBorders>
              <w:top w:val="single" w:sz="4" w:space="0" w:color="auto"/>
              <w:left w:val="nil"/>
              <w:bottom w:val="single" w:sz="4" w:space="0" w:color="auto"/>
              <w:right w:val="nil"/>
            </w:tcBorders>
            <w:shd w:val="clear" w:color="auto" w:fill="auto"/>
            <w:vAlign w:val="center"/>
            <w:hideMark/>
          </w:tcPr>
          <w:p w14:paraId="610C3CE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GI Bleed</w:t>
            </w:r>
          </w:p>
        </w:tc>
        <w:tc>
          <w:tcPr>
            <w:tcW w:w="663" w:type="dxa"/>
            <w:tcBorders>
              <w:top w:val="single" w:sz="4" w:space="0" w:color="auto"/>
              <w:left w:val="nil"/>
              <w:bottom w:val="single" w:sz="4" w:space="0" w:color="auto"/>
              <w:right w:val="nil"/>
            </w:tcBorders>
            <w:shd w:val="clear" w:color="auto" w:fill="auto"/>
            <w:noWrap/>
            <w:vAlign w:val="center"/>
            <w:hideMark/>
          </w:tcPr>
          <w:p w14:paraId="610C3CEC" w14:textId="18C2A183" w:rsidR="007D57FB" w:rsidRPr="00EE59A4" w:rsidRDefault="00FD7C12"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60</w:t>
            </w:r>
          </w:p>
        </w:tc>
        <w:tc>
          <w:tcPr>
            <w:tcW w:w="2390" w:type="dxa"/>
            <w:tcBorders>
              <w:top w:val="single" w:sz="4" w:space="0" w:color="auto"/>
              <w:left w:val="nil"/>
              <w:bottom w:val="single" w:sz="4" w:space="0" w:color="auto"/>
              <w:right w:val="nil"/>
            </w:tcBorders>
            <w:shd w:val="clear" w:color="auto" w:fill="auto"/>
            <w:noWrap/>
            <w:vAlign w:val="center"/>
            <w:hideMark/>
          </w:tcPr>
          <w:p w14:paraId="610C3CE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CE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CF9"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F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F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F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CF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CF4"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CF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Gastrointestinal bleeding</w:t>
            </w:r>
          </w:p>
        </w:tc>
        <w:tc>
          <w:tcPr>
            <w:tcW w:w="663" w:type="dxa"/>
            <w:tcBorders>
              <w:top w:val="single" w:sz="4" w:space="0" w:color="auto"/>
              <w:left w:val="nil"/>
              <w:bottom w:val="single" w:sz="4" w:space="0" w:color="auto"/>
              <w:right w:val="nil"/>
            </w:tcBorders>
            <w:shd w:val="clear" w:color="auto" w:fill="auto"/>
            <w:noWrap/>
            <w:vAlign w:val="center"/>
            <w:hideMark/>
          </w:tcPr>
          <w:p w14:paraId="610C3CF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w:t>
            </w:r>
          </w:p>
        </w:tc>
        <w:tc>
          <w:tcPr>
            <w:tcW w:w="2390" w:type="dxa"/>
            <w:tcBorders>
              <w:top w:val="single" w:sz="4" w:space="0" w:color="auto"/>
              <w:left w:val="nil"/>
              <w:bottom w:val="single" w:sz="4" w:space="0" w:color="auto"/>
              <w:right w:val="nil"/>
            </w:tcBorders>
            <w:shd w:val="clear" w:color="auto" w:fill="auto"/>
            <w:noWrap/>
            <w:vAlign w:val="center"/>
            <w:hideMark/>
          </w:tcPr>
          <w:p w14:paraId="610C3CF7"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CF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03"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CFA"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CF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CFC"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CF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signs and symptoms </w:t>
            </w:r>
          </w:p>
        </w:tc>
        <w:tc>
          <w:tcPr>
            <w:tcW w:w="567" w:type="dxa"/>
            <w:vMerge w:val="restart"/>
            <w:tcBorders>
              <w:top w:val="nil"/>
              <w:left w:val="nil"/>
              <w:right w:val="nil"/>
            </w:tcBorders>
            <w:shd w:val="clear" w:color="auto" w:fill="auto"/>
            <w:noWrap/>
            <w:vAlign w:val="center"/>
            <w:hideMark/>
          </w:tcPr>
          <w:p w14:paraId="610C3CF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61</w:t>
            </w:r>
          </w:p>
        </w:tc>
        <w:tc>
          <w:tcPr>
            <w:tcW w:w="2514" w:type="dxa"/>
            <w:tcBorders>
              <w:top w:val="single" w:sz="4" w:space="0" w:color="auto"/>
              <w:left w:val="nil"/>
              <w:bottom w:val="single" w:sz="4" w:space="0" w:color="auto"/>
              <w:right w:val="nil"/>
            </w:tcBorders>
            <w:shd w:val="clear" w:color="auto" w:fill="auto"/>
            <w:vAlign w:val="center"/>
            <w:hideMark/>
          </w:tcPr>
          <w:p w14:paraId="610C3CF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Nausea / vomiting</w:t>
            </w:r>
          </w:p>
        </w:tc>
        <w:tc>
          <w:tcPr>
            <w:tcW w:w="663" w:type="dxa"/>
            <w:tcBorders>
              <w:top w:val="single" w:sz="4" w:space="0" w:color="auto"/>
              <w:left w:val="nil"/>
              <w:bottom w:val="single" w:sz="4" w:space="0" w:color="auto"/>
              <w:right w:val="nil"/>
            </w:tcBorders>
            <w:shd w:val="clear" w:color="auto" w:fill="auto"/>
            <w:noWrap/>
            <w:vAlign w:val="center"/>
            <w:hideMark/>
          </w:tcPr>
          <w:p w14:paraId="610C3D0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59</w:t>
            </w:r>
          </w:p>
        </w:tc>
        <w:tc>
          <w:tcPr>
            <w:tcW w:w="2390" w:type="dxa"/>
            <w:tcBorders>
              <w:top w:val="single" w:sz="4" w:space="0" w:color="auto"/>
              <w:left w:val="nil"/>
              <w:bottom w:val="single" w:sz="4" w:space="0" w:color="auto"/>
              <w:right w:val="nil"/>
            </w:tcBorders>
            <w:shd w:val="clear" w:color="auto" w:fill="auto"/>
            <w:noWrap/>
            <w:vAlign w:val="center"/>
            <w:hideMark/>
          </w:tcPr>
          <w:p w14:paraId="610C3D01"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D0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0D"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D0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0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06"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D0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08"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D0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Dyspepsia</w:t>
            </w:r>
          </w:p>
        </w:tc>
        <w:tc>
          <w:tcPr>
            <w:tcW w:w="663" w:type="dxa"/>
            <w:tcBorders>
              <w:top w:val="single" w:sz="4" w:space="0" w:color="auto"/>
              <w:left w:val="nil"/>
              <w:bottom w:val="single" w:sz="4" w:space="0" w:color="auto"/>
              <w:right w:val="nil"/>
            </w:tcBorders>
            <w:shd w:val="clear" w:color="auto" w:fill="auto"/>
            <w:noWrap/>
            <w:vAlign w:val="center"/>
            <w:hideMark/>
          </w:tcPr>
          <w:p w14:paraId="610C3D0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noWrap/>
            <w:vAlign w:val="center"/>
            <w:hideMark/>
          </w:tcPr>
          <w:p w14:paraId="610C3D0B"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D0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17"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D0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0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1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D1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stenosis and obstruction </w:t>
            </w:r>
          </w:p>
        </w:tc>
        <w:tc>
          <w:tcPr>
            <w:tcW w:w="567" w:type="dxa"/>
            <w:tcBorders>
              <w:top w:val="nil"/>
              <w:left w:val="nil"/>
              <w:bottom w:val="nil"/>
              <w:right w:val="nil"/>
            </w:tcBorders>
            <w:shd w:val="clear" w:color="auto" w:fill="auto"/>
            <w:noWrap/>
            <w:vAlign w:val="center"/>
            <w:hideMark/>
          </w:tcPr>
          <w:p w14:paraId="610C3D1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10</w:t>
            </w:r>
          </w:p>
        </w:tc>
        <w:tc>
          <w:tcPr>
            <w:tcW w:w="2514" w:type="dxa"/>
            <w:tcBorders>
              <w:top w:val="single" w:sz="4" w:space="0" w:color="auto"/>
              <w:left w:val="nil"/>
              <w:bottom w:val="single" w:sz="4" w:space="0" w:color="auto"/>
              <w:right w:val="nil"/>
            </w:tcBorders>
            <w:shd w:val="clear" w:color="auto" w:fill="auto"/>
            <w:noWrap/>
            <w:vAlign w:val="center"/>
            <w:hideMark/>
          </w:tcPr>
          <w:p w14:paraId="610C3D1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Ileus</w:t>
            </w:r>
          </w:p>
        </w:tc>
        <w:tc>
          <w:tcPr>
            <w:tcW w:w="663" w:type="dxa"/>
            <w:tcBorders>
              <w:top w:val="single" w:sz="4" w:space="0" w:color="auto"/>
              <w:left w:val="nil"/>
              <w:bottom w:val="single" w:sz="4" w:space="0" w:color="auto"/>
              <w:right w:val="nil"/>
            </w:tcBorders>
            <w:shd w:val="clear" w:color="auto" w:fill="auto"/>
            <w:noWrap/>
            <w:vAlign w:val="center"/>
            <w:hideMark/>
          </w:tcPr>
          <w:p w14:paraId="610C3D1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10</w:t>
            </w:r>
          </w:p>
        </w:tc>
        <w:tc>
          <w:tcPr>
            <w:tcW w:w="2390" w:type="dxa"/>
            <w:tcBorders>
              <w:top w:val="single" w:sz="4" w:space="0" w:color="auto"/>
              <w:left w:val="nil"/>
              <w:bottom w:val="single" w:sz="4" w:space="0" w:color="auto"/>
              <w:right w:val="nil"/>
            </w:tcBorders>
            <w:shd w:val="clear" w:color="auto" w:fill="auto"/>
            <w:noWrap/>
            <w:vAlign w:val="center"/>
            <w:hideMark/>
          </w:tcPr>
          <w:p w14:paraId="610C3D1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D1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21"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D18"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1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1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single" w:sz="4" w:space="0" w:color="auto"/>
              <w:left w:val="nil"/>
              <w:bottom w:val="single" w:sz="4" w:space="0" w:color="000000"/>
              <w:right w:val="nil"/>
            </w:tcBorders>
            <w:shd w:val="clear" w:color="auto" w:fill="auto"/>
            <w:vAlign w:val="center"/>
            <w:hideMark/>
          </w:tcPr>
          <w:p w14:paraId="610C3D1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Gastrointestinal inflammatory conditions </w:t>
            </w:r>
          </w:p>
        </w:tc>
        <w:tc>
          <w:tcPr>
            <w:tcW w:w="567" w:type="dxa"/>
            <w:vMerge w:val="restart"/>
            <w:tcBorders>
              <w:top w:val="single" w:sz="4" w:space="0" w:color="auto"/>
              <w:left w:val="nil"/>
              <w:right w:val="nil"/>
            </w:tcBorders>
            <w:shd w:val="clear" w:color="auto" w:fill="auto"/>
            <w:noWrap/>
            <w:vAlign w:val="center"/>
            <w:hideMark/>
          </w:tcPr>
          <w:p w14:paraId="610C3D1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w:t>
            </w:r>
          </w:p>
        </w:tc>
        <w:tc>
          <w:tcPr>
            <w:tcW w:w="2514" w:type="dxa"/>
            <w:tcBorders>
              <w:top w:val="single" w:sz="4" w:space="0" w:color="auto"/>
              <w:left w:val="nil"/>
              <w:bottom w:val="single" w:sz="4" w:space="0" w:color="auto"/>
              <w:right w:val="nil"/>
            </w:tcBorders>
            <w:shd w:val="clear" w:color="auto" w:fill="auto"/>
            <w:noWrap/>
            <w:vAlign w:val="center"/>
            <w:hideMark/>
          </w:tcPr>
          <w:p w14:paraId="610C3D1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Haemorrhage / gastritis</w:t>
            </w:r>
          </w:p>
        </w:tc>
        <w:tc>
          <w:tcPr>
            <w:tcW w:w="663" w:type="dxa"/>
            <w:tcBorders>
              <w:top w:val="single" w:sz="4" w:space="0" w:color="auto"/>
              <w:left w:val="nil"/>
              <w:bottom w:val="single" w:sz="4" w:space="0" w:color="auto"/>
              <w:right w:val="nil"/>
            </w:tcBorders>
            <w:shd w:val="clear" w:color="auto" w:fill="auto"/>
            <w:noWrap/>
            <w:vAlign w:val="center"/>
            <w:hideMark/>
          </w:tcPr>
          <w:p w14:paraId="610C3D1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w:t>
            </w:r>
          </w:p>
        </w:tc>
        <w:tc>
          <w:tcPr>
            <w:tcW w:w="2390" w:type="dxa"/>
            <w:tcBorders>
              <w:top w:val="single" w:sz="4" w:space="0" w:color="auto"/>
              <w:left w:val="nil"/>
              <w:bottom w:val="single" w:sz="4" w:space="0" w:color="auto"/>
              <w:right w:val="nil"/>
            </w:tcBorders>
            <w:shd w:val="clear" w:color="auto" w:fill="auto"/>
            <w:noWrap/>
            <w:vAlign w:val="center"/>
            <w:hideMark/>
          </w:tcPr>
          <w:p w14:paraId="610C3D1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2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2B"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D2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2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2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4" w:space="0" w:color="auto"/>
              <w:left w:val="nil"/>
              <w:bottom w:val="single" w:sz="4" w:space="0" w:color="000000"/>
              <w:right w:val="nil"/>
            </w:tcBorders>
            <w:vAlign w:val="center"/>
            <w:hideMark/>
          </w:tcPr>
          <w:p w14:paraId="610C3D2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26"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D2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Gastritis</w:t>
            </w:r>
          </w:p>
        </w:tc>
        <w:tc>
          <w:tcPr>
            <w:tcW w:w="663" w:type="dxa"/>
            <w:tcBorders>
              <w:top w:val="single" w:sz="4" w:space="0" w:color="auto"/>
              <w:left w:val="nil"/>
              <w:bottom w:val="single" w:sz="4" w:space="0" w:color="auto"/>
              <w:right w:val="nil"/>
            </w:tcBorders>
            <w:shd w:val="clear" w:color="auto" w:fill="auto"/>
            <w:noWrap/>
            <w:vAlign w:val="center"/>
            <w:hideMark/>
          </w:tcPr>
          <w:p w14:paraId="610C3D2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D2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D2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35"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D2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D2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2E"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D2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Oral soft tissue conditions </w:t>
            </w:r>
          </w:p>
        </w:tc>
        <w:tc>
          <w:tcPr>
            <w:tcW w:w="567" w:type="dxa"/>
            <w:tcBorders>
              <w:top w:val="nil"/>
              <w:left w:val="nil"/>
              <w:bottom w:val="nil"/>
              <w:right w:val="nil"/>
            </w:tcBorders>
            <w:shd w:val="clear" w:color="auto" w:fill="auto"/>
            <w:noWrap/>
            <w:vAlign w:val="center"/>
            <w:hideMark/>
          </w:tcPr>
          <w:p w14:paraId="610C3D3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8" w:space="0" w:color="auto"/>
              <w:right w:val="nil"/>
            </w:tcBorders>
            <w:shd w:val="clear" w:color="auto" w:fill="auto"/>
            <w:noWrap/>
            <w:vAlign w:val="center"/>
            <w:hideMark/>
          </w:tcPr>
          <w:p w14:paraId="610C3D3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Oral ulcers</w:t>
            </w:r>
          </w:p>
        </w:tc>
        <w:tc>
          <w:tcPr>
            <w:tcW w:w="663" w:type="dxa"/>
            <w:tcBorders>
              <w:top w:val="nil"/>
              <w:left w:val="nil"/>
              <w:bottom w:val="single" w:sz="8" w:space="0" w:color="auto"/>
              <w:right w:val="nil"/>
            </w:tcBorders>
            <w:shd w:val="clear" w:color="auto" w:fill="auto"/>
            <w:noWrap/>
            <w:vAlign w:val="center"/>
            <w:hideMark/>
          </w:tcPr>
          <w:p w14:paraId="610C3D3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8" w:space="0" w:color="auto"/>
              <w:right w:val="nil"/>
            </w:tcBorders>
            <w:shd w:val="clear" w:color="auto" w:fill="auto"/>
            <w:noWrap/>
            <w:vAlign w:val="center"/>
            <w:hideMark/>
          </w:tcPr>
          <w:p w14:paraId="610C3D3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vAlign w:val="center"/>
            <w:hideMark/>
          </w:tcPr>
          <w:p w14:paraId="610C3D3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40" w14:textId="77777777" w:rsidTr="00D0006B">
        <w:trPr>
          <w:trHeight w:val="583"/>
        </w:trPr>
        <w:tc>
          <w:tcPr>
            <w:tcW w:w="2405" w:type="dxa"/>
            <w:vMerge w:val="restart"/>
            <w:tcBorders>
              <w:top w:val="single" w:sz="8" w:space="0" w:color="auto"/>
              <w:left w:val="single" w:sz="8" w:space="0" w:color="auto"/>
              <w:bottom w:val="single" w:sz="8" w:space="0" w:color="000000"/>
              <w:right w:val="nil"/>
            </w:tcBorders>
            <w:shd w:val="clear" w:color="auto" w:fill="auto"/>
            <w:vAlign w:val="center"/>
            <w:hideMark/>
          </w:tcPr>
          <w:p w14:paraId="610C3D36" w14:textId="77777777" w:rsidR="007D57FB" w:rsidRPr="00090FBA" w:rsidRDefault="007D57FB" w:rsidP="005B3E6B">
            <w:pPr>
              <w:spacing w:after="0" w:line="240" w:lineRule="auto"/>
              <w:jc w:val="center"/>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Metabolism and nutrition disorders</w:t>
            </w:r>
          </w:p>
        </w:tc>
        <w:tc>
          <w:tcPr>
            <w:tcW w:w="875" w:type="dxa"/>
            <w:vMerge w:val="restart"/>
            <w:tcBorders>
              <w:top w:val="single" w:sz="8" w:space="0" w:color="auto"/>
              <w:left w:val="nil"/>
              <w:right w:val="nil"/>
            </w:tcBorders>
            <w:shd w:val="clear" w:color="auto" w:fill="auto"/>
            <w:noWrap/>
            <w:vAlign w:val="center"/>
            <w:hideMark/>
          </w:tcPr>
          <w:p w14:paraId="610C3D37" w14:textId="7DBAD2F6"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20.7</w:t>
            </w:r>
            <w:r w:rsidR="003A48A9">
              <w:rPr>
                <w:rFonts w:ascii="Calibri" w:eastAsia="Times New Roman" w:hAnsi="Calibri" w:cs="Calibri"/>
                <w:color w:val="000000"/>
                <w:lang w:eastAsia="en-GB"/>
              </w:rPr>
              <w:t>1</w:t>
            </w:r>
            <w:r w:rsidRPr="001F242F">
              <w:rPr>
                <w:rFonts w:ascii="Calibri" w:eastAsia="Times New Roman" w:hAnsi="Calibri" w:cs="Calibri"/>
                <w:color w:val="000000"/>
                <w:lang w:eastAsia="en-GB"/>
              </w:rPr>
              <w:t>%</w:t>
            </w:r>
          </w:p>
        </w:tc>
        <w:tc>
          <w:tcPr>
            <w:tcW w:w="663" w:type="dxa"/>
            <w:vMerge w:val="restart"/>
            <w:tcBorders>
              <w:top w:val="single" w:sz="8" w:space="0" w:color="auto"/>
              <w:left w:val="nil"/>
            </w:tcBorders>
            <w:shd w:val="clear" w:color="auto" w:fill="auto"/>
            <w:noWrap/>
            <w:vAlign w:val="center"/>
            <w:hideMark/>
          </w:tcPr>
          <w:p w14:paraId="610C3D38"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565</w:t>
            </w:r>
          </w:p>
        </w:tc>
        <w:tc>
          <w:tcPr>
            <w:tcW w:w="2935" w:type="dxa"/>
            <w:vMerge w:val="restart"/>
            <w:tcBorders>
              <w:top w:val="single" w:sz="8" w:space="0" w:color="auto"/>
              <w:left w:val="nil"/>
              <w:bottom w:val="single" w:sz="4" w:space="0" w:color="000000"/>
              <w:right w:val="nil"/>
            </w:tcBorders>
            <w:shd w:val="clear" w:color="auto" w:fill="auto"/>
            <w:vAlign w:val="center"/>
            <w:hideMark/>
          </w:tcPr>
          <w:p w14:paraId="610C3D3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Electrolyte and fluid balance conditions </w:t>
            </w:r>
          </w:p>
        </w:tc>
        <w:tc>
          <w:tcPr>
            <w:tcW w:w="567" w:type="dxa"/>
            <w:vMerge w:val="restart"/>
            <w:tcBorders>
              <w:top w:val="single" w:sz="8" w:space="0" w:color="auto"/>
              <w:left w:val="nil"/>
              <w:right w:val="nil"/>
            </w:tcBorders>
            <w:shd w:val="clear" w:color="auto" w:fill="auto"/>
            <w:noWrap/>
            <w:vAlign w:val="center"/>
            <w:hideMark/>
          </w:tcPr>
          <w:p w14:paraId="610C3D3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461</w:t>
            </w:r>
          </w:p>
          <w:p w14:paraId="610C3D3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514" w:type="dxa"/>
            <w:vMerge w:val="restart"/>
            <w:tcBorders>
              <w:top w:val="single" w:sz="8" w:space="0" w:color="auto"/>
              <w:left w:val="nil"/>
              <w:bottom w:val="nil"/>
              <w:right w:val="nil"/>
            </w:tcBorders>
            <w:shd w:val="clear" w:color="auto" w:fill="auto"/>
            <w:vAlign w:val="center"/>
            <w:hideMark/>
          </w:tcPr>
          <w:p w14:paraId="610C3D3C"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Potassium imbalance</w:t>
            </w:r>
          </w:p>
        </w:tc>
        <w:tc>
          <w:tcPr>
            <w:tcW w:w="663" w:type="dxa"/>
            <w:vMerge w:val="restart"/>
            <w:tcBorders>
              <w:top w:val="single" w:sz="8" w:space="0" w:color="auto"/>
              <w:left w:val="nil"/>
              <w:right w:val="nil"/>
            </w:tcBorders>
            <w:shd w:val="clear" w:color="auto" w:fill="auto"/>
            <w:noWrap/>
            <w:vAlign w:val="center"/>
            <w:hideMark/>
          </w:tcPr>
          <w:p w14:paraId="610C3D3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299</w:t>
            </w:r>
          </w:p>
        </w:tc>
        <w:tc>
          <w:tcPr>
            <w:tcW w:w="2390" w:type="dxa"/>
            <w:tcBorders>
              <w:top w:val="single" w:sz="8" w:space="0" w:color="auto"/>
              <w:left w:val="nil"/>
              <w:bottom w:val="nil"/>
              <w:right w:val="nil"/>
            </w:tcBorders>
            <w:shd w:val="clear" w:color="auto" w:fill="auto"/>
            <w:vAlign w:val="center"/>
            <w:hideMark/>
          </w:tcPr>
          <w:p w14:paraId="610C3D3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Hypokalaemia</w:t>
            </w:r>
          </w:p>
        </w:tc>
        <w:tc>
          <w:tcPr>
            <w:tcW w:w="551" w:type="dxa"/>
            <w:tcBorders>
              <w:top w:val="single" w:sz="8" w:space="0" w:color="auto"/>
              <w:left w:val="nil"/>
              <w:bottom w:val="nil"/>
              <w:right w:val="single" w:sz="8" w:space="0" w:color="auto"/>
            </w:tcBorders>
            <w:shd w:val="clear" w:color="auto" w:fill="auto"/>
            <w:noWrap/>
            <w:vAlign w:val="center"/>
            <w:hideMark/>
          </w:tcPr>
          <w:p w14:paraId="610C3D3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275</w:t>
            </w:r>
          </w:p>
        </w:tc>
      </w:tr>
      <w:tr w:rsidR="007D57FB" w:rsidRPr="001F242F" w14:paraId="610C3D4A"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41"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42"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43"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44"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45"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single" w:sz="8" w:space="0" w:color="auto"/>
              <w:left w:val="nil"/>
              <w:bottom w:val="single" w:sz="4" w:space="0" w:color="auto"/>
              <w:right w:val="nil"/>
            </w:tcBorders>
            <w:vAlign w:val="center"/>
            <w:hideMark/>
          </w:tcPr>
          <w:p w14:paraId="610C3D4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D47"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390" w:type="dxa"/>
            <w:tcBorders>
              <w:top w:val="nil"/>
              <w:left w:val="nil"/>
              <w:bottom w:val="single" w:sz="4" w:space="0" w:color="auto"/>
              <w:right w:val="nil"/>
            </w:tcBorders>
            <w:shd w:val="clear" w:color="auto" w:fill="auto"/>
            <w:vAlign w:val="center"/>
            <w:hideMark/>
          </w:tcPr>
          <w:p w14:paraId="610C3D48"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Hyperkalaemia</w:t>
            </w:r>
          </w:p>
        </w:tc>
        <w:tc>
          <w:tcPr>
            <w:tcW w:w="551" w:type="dxa"/>
            <w:tcBorders>
              <w:top w:val="nil"/>
              <w:left w:val="nil"/>
              <w:bottom w:val="single" w:sz="4" w:space="0" w:color="auto"/>
              <w:right w:val="single" w:sz="8" w:space="0" w:color="auto"/>
            </w:tcBorders>
            <w:shd w:val="clear" w:color="auto" w:fill="auto"/>
            <w:noWrap/>
            <w:vAlign w:val="center"/>
            <w:hideMark/>
          </w:tcPr>
          <w:p w14:paraId="610C3D4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24</w:t>
            </w:r>
          </w:p>
        </w:tc>
      </w:tr>
      <w:tr w:rsidR="007D57FB" w:rsidRPr="001F242F" w14:paraId="610C3D54"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4B"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4C"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4D"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4E"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4F"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val="restart"/>
            <w:tcBorders>
              <w:top w:val="single" w:sz="4" w:space="0" w:color="auto"/>
              <w:left w:val="nil"/>
              <w:bottom w:val="nil"/>
              <w:right w:val="nil"/>
            </w:tcBorders>
            <w:shd w:val="clear" w:color="auto" w:fill="auto"/>
            <w:vAlign w:val="center"/>
            <w:hideMark/>
          </w:tcPr>
          <w:p w14:paraId="610C3D5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Sodium imbalance</w:t>
            </w:r>
          </w:p>
        </w:tc>
        <w:tc>
          <w:tcPr>
            <w:tcW w:w="663" w:type="dxa"/>
            <w:vMerge w:val="restart"/>
            <w:tcBorders>
              <w:top w:val="single" w:sz="4" w:space="0" w:color="auto"/>
              <w:left w:val="nil"/>
              <w:right w:val="nil"/>
            </w:tcBorders>
            <w:shd w:val="clear" w:color="auto" w:fill="auto"/>
            <w:noWrap/>
            <w:vAlign w:val="center"/>
            <w:hideMark/>
          </w:tcPr>
          <w:p w14:paraId="610C3D5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29</w:t>
            </w:r>
          </w:p>
        </w:tc>
        <w:tc>
          <w:tcPr>
            <w:tcW w:w="2390" w:type="dxa"/>
            <w:tcBorders>
              <w:top w:val="single" w:sz="4" w:space="0" w:color="auto"/>
              <w:left w:val="nil"/>
              <w:bottom w:val="single" w:sz="4" w:space="0" w:color="auto"/>
              <w:right w:val="nil"/>
            </w:tcBorders>
            <w:shd w:val="clear" w:color="auto" w:fill="auto"/>
            <w:vAlign w:val="center"/>
            <w:hideMark/>
          </w:tcPr>
          <w:p w14:paraId="610C3D52"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Hyponatraemia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5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27</w:t>
            </w:r>
          </w:p>
        </w:tc>
      </w:tr>
      <w:tr w:rsidR="007D57FB" w:rsidRPr="001F242F" w14:paraId="610C3D5E"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55"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5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57"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58"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59"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nil"/>
              <w:left w:val="nil"/>
              <w:bottom w:val="single" w:sz="4" w:space="0" w:color="auto"/>
              <w:right w:val="nil"/>
            </w:tcBorders>
            <w:vAlign w:val="center"/>
            <w:hideMark/>
          </w:tcPr>
          <w:p w14:paraId="610C3D5A"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D5B"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D5C"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Hypernatraemia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5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r>
      <w:tr w:rsidR="007D57FB" w:rsidRPr="001F242F" w14:paraId="610C3D68"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5F"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60"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61"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62"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63"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D64"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Total fluid volume decreased </w:t>
            </w:r>
          </w:p>
        </w:tc>
        <w:tc>
          <w:tcPr>
            <w:tcW w:w="663" w:type="dxa"/>
            <w:tcBorders>
              <w:top w:val="single" w:sz="4" w:space="0" w:color="auto"/>
              <w:left w:val="nil"/>
              <w:bottom w:val="single" w:sz="4" w:space="0" w:color="auto"/>
              <w:right w:val="nil"/>
            </w:tcBorders>
            <w:shd w:val="clear" w:color="auto" w:fill="auto"/>
            <w:noWrap/>
            <w:vAlign w:val="center"/>
            <w:hideMark/>
          </w:tcPr>
          <w:p w14:paraId="610C3D6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vAlign w:val="center"/>
            <w:hideMark/>
          </w:tcPr>
          <w:p w14:paraId="610C3D66"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Dehydration</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6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r>
      <w:tr w:rsidR="007D57FB" w:rsidRPr="001F242F" w14:paraId="610C3D72"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69"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6A"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6B"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6C"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6D"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D6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Total fluid volume increased </w:t>
            </w:r>
          </w:p>
        </w:tc>
        <w:tc>
          <w:tcPr>
            <w:tcW w:w="663" w:type="dxa"/>
            <w:tcBorders>
              <w:top w:val="single" w:sz="4" w:space="0" w:color="auto"/>
              <w:left w:val="nil"/>
              <w:bottom w:val="single" w:sz="4" w:space="0" w:color="auto"/>
              <w:right w:val="nil"/>
            </w:tcBorders>
            <w:shd w:val="clear" w:color="auto" w:fill="auto"/>
            <w:noWrap/>
            <w:vAlign w:val="center"/>
            <w:hideMark/>
          </w:tcPr>
          <w:p w14:paraId="610C3D6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single" w:sz="4" w:space="0" w:color="auto"/>
              <w:left w:val="nil"/>
              <w:bottom w:val="single" w:sz="4" w:space="0" w:color="auto"/>
              <w:right w:val="nil"/>
            </w:tcBorders>
            <w:shd w:val="clear" w:color="auto" w:fill="auto"/>
            <w:vAlign w:val="center"/>
            <w:hideMark/>
          </w:tcPr>
          <w:p w14:paraId="610C3D7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Oedema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7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r>
      <w:tr w:rsidR="007D57FB" w:rsidRPr="001F242F" w14:paraId="610C3D7D"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73"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74"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75"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7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77"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val="restart"/>
            <w:tcBorders>
              <w:top w:val="single" w:sz="4" w:space="0" w:color="auto"/>
              <w:left w:val="nil"/>
              <w:bottom w:val="single" w:sz="4" w:space="0" w:color="000000"/>
              <w:right w:val="nil"/>
            </w:tcBorders>
            <w:shd w:val="clear" w:color="auto" w:fill="auto"/>
            <w:noWrap/>
            <w:vAlign w:val="center"/>
            <w:hideMark/>
          </w:tcPr>
          <w:p w14:paraId="610C3D78"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Unspecified / unclassifiable - Electrolyte and fluid balance conditions </w:t>
            </w:r>
          </w:p>
        </w:tc>
        <w:tc>
          <w:tcPr>
            <w:tcW w:w="663" w:type="dxa"/>
            <w:vMerge w:val="restart"/>
            <w:tcBorders>
              <w:top w:val="single" w:sz="4" w:space="0" w:color="auto"/>
              <w:left w:val="nil"/>
              <w:right w:val="nil"/>
            </w:tcBorders>
            <w:shd w:val="clear" w:color="auto" w:fill="auto"/>
            <w:noWrap/>
            <w:vAlign w:val="center"/>
            <w:hideMark/>
          </w:tcPr>
          <w:p w14:paraId="610C3D7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128</w:t>
            </w:r>
          </w:p>
          <w:p w14:paraId="610C3D7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390" w:type="dxa"/>
            <w:tcBorders>
              <w:top w:val="single" w:sz="4" w:space="0" w:color="auto"/>
              <w:left w:val="nil"/>
              <w:bottom w:val="single" w:sz="4" w:space="0" w:color="auto"/>
              <w:right w:val="nil"/>
            </w:tcBorders>
            <w:shd w:val="clear" w:color="auto" w:fill="auto"/>
            <w:vAlign w:val="center"/>
            <w:hideMark/>
          </w:tcPr>
          <w:p w14:paraId="610C3D7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Electrolyte disturbance</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7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78</w:t>
            </w:r>
          </w:p>
        </w:tc>
      </w:tr>
      <w:tr w:rsidR="007D57FB" w:rsidRPr="001F242F" w14:paraId="610C3D87"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3D7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7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8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8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82"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vMerge/>
            <w:tcBorders>
              <w:top w:val="nil"/>
              <w:left w:val="nil"/>
              <w:bottom w:val="single" w:sz="4" w:space="0" w:color="auto"/>
              <w:right w:val="nil"/>
            </w:tcBorders>
            <w:vAlign w:val="center"/>
            <w:hideMark/>
          </w:tcPr>
          <w:p w14:paraId="610C3D8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D84"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D8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Electrolytic </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8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50</w:t>
            </w:r>
          </w:p>
        </w:tc>
      </w:tr>
      <w:tr w:rsidR="007D57FB" w:rsidRPr="001F242F" w14:paraId="610C3D91"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8" w14:textId="77777777" w:rsidR="007D57FB" w:rsidRPr="00090FBA" w:rsidRDefault="007D57FB" w:rsidP="005B3E6B">
            <w:pPr>
              <w:rPr>
                <w:rFonts w:ascii="Calibri" w:eastAsia="Times New Roman" w:hAnsi="Calibri" w:cs="Calibri"/>
                <w:b/>
                <w:bCs/>
                <w:color w:val="000000"/>
                <w:lang w:eastAsia="en-GB"/>
              </w:rPr>
            </w:pPr>
            <w:r w:rsidRPr="00C566A8">
              <w:rPr>
                <w:rFonts w:ascii="Calibri" w:eastAsia="Times New Roman" w:hAnsi="Calibri" w:cs="Calibri"/>
                <w:b/>
                <w:bCs/>
                <w:i/>
                <w:color w:val="000000"/>
                <w:lang w:eastAsia="en-GB"/>
              </w:rPr>
              <w:t>Contd.</w:t>
            </w:r>
            <w:r>
              <w:rPr>
                <w:rFonts w:ascii="Calibri" w:eastAsia="Times New Roman" w:hAnsi="Calibri" w:cs="Calibri"/>
                <w:b/>
                <w:bCs/>
                <w:color w:val="000000"/>
                <w:lang w:eastAsia="en-GB"/>
              </w:rPr>
              <w:t xml:space="preserve"> </w:t>
            </w:r>
            <w:r w:rsidRPr="00090FBA">
              <w:rPr>
                <w:rFonts w:ascii="Calibri" w:eastAsia="Times New Roman" w:hAnsi="Calibri" w:cs="Calibri"/>
                <w:b/>
                <w:bCs/>
                <w:color w:val="000000"/>
                <w:lang w:eastAsia="en-GB"/>
              </w:rPr>
              <w:t>MedDRA® SOC Classification</w:t>
            </w:r>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9" w14:textId="033C264D"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A"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B"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C"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D8D"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E"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D8F"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D90"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7D57FB" w:rsidRPr="001F242F" w14:paraId="610C3D9B" w14:textId="77777777" w:rsidTr="00D0006B">
        <w:trPr>
          <w:trHeight w:val="290"/>
        </w:trPr>
        <w:tc>
          <w:tcPr>
            <w:tcW w:w="2405" w:type="dxa"/>
            <w:vMerge w:val="restart"/>
            <w:tcBorders>
              <w:top w:val="single" w:sz="8" w:space="0" w:color="auto"/>
              <w:left w:val="single" w:sz="8" w:space="0" w:color="auto"/>
              <w:right w:val="nil"/>
            </w:tcBorders>
            <w:vAlign w:val="center"/>
            <w:hideMark/>
          </w:tcPr>
          <w:p w14:paraId="610C3D92"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Metabolism and nutrition disorders</w:t>
            </w:r>
            <w:r>
              <w:rPr>
                <w:rFonts w:ascii="Calibri" w:eastAsia="Times New Roman" w:hAnsi="Calibri" w:cs="Calibri"/>
                <w:b/>
                <w:i/>
                <w:color w:val="000000"/>
                <w:lang w:eastAsia="en-GB"/>
              </w:rPr>
              <w:t xml:space="preserve"> contd.</w:t>
            </w:r>
          </w:p>
        </w:tc>
        <w:tc>
          <w:tcPr>
            <w:tcW w:w="875" w:type="dxa"/>
            <w:tcBorders>
              <w:left w:val="nil"/>
              <w:right w:val="nil"/>
            </w:tcBorders>
            <w:shd w:val="clear" w:color="auto" w:fill="auto"/>
            <w:noWrap/>
            <w:vAlign w:val="center"/>
            <w:hideMark/>
          </w:tcPr>
          <w:p w14:paraId="610C3D9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tcBorders>
              <w:left w:val="nil"/>
            </w:tcBorders>
            <w:shd w:val="clear" w:color="auto" w:fill="auto"/>
            <w:noWrap/>
            <w:vAlign w:val="center"/>
            <w:hideMark/>
          </w:tcPr>
          <w:p w14:paraId="610C3D9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bottom w:val="single" w:sz="4" w:space="0" w:color="000000"/>
              <w:right w:val="nil"/>
            </w:tcBorders>
            <w:shd w:val="clear" w:color="auto" w:fill="auto"/>
            <w:vAlign w:val="center"/>
            <w:hideMark/>
          </w:tcPr>
          <w:p w14:paraId="610C3D9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Bone, calcium, magnesium and phosphorus metabolism disorders </w:t>
            </w:r>
          </w:p>
        </w:tc>
        <w:tc>
          <w:tcPr>
            <w:tcW w:w="567" w:type="dxa"/>
            <w:vMerge w:val="restart"/>
            <w:tcBorders>
              <w:top w:val="nil"/>
              <w:left w:val="nil"/>
              <w:right w:val="nil"/>
            </w:tcBorders>
            <w:shd w:val="clear" w:color="auto" w:fill="auto"/>
            <w:noWrap/>
            <w:vAlign w:val="center"/>
            <w:hideMark/>
          </w:tcPr>
          <w:p w14:paraId="610C3D9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single" w:sz="4" w:space="0" w:color="auto"/>
              <w:left w:val="nil"/>
              <w:bottom w:val="single" w:sz="4" w:space="0" w:color="auto"/>
              <w:right w:val="nil"/>
            </w:tcBorders>
            <w:shd w:val="clear" w:color="auto" w:fill="auto"/>
            <w:vAlign w:val="center"/>
            <w:hideMark/>
          </w:tcPr>
          <w:p w14:paraId="610C3D9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Hypercalcaemia</w:t>
            </w:r>
          </w:p>
        </w:tc>
        <w:tc>
          <w:tcPr>
            <w:tcW w:w="663" w:type="dxa"/>
            <w:tcBorders>
              <w:top w:val="single" w:sz="4" w:space="0" w:color="auto"/>
              <w:left w:val="nil"/>
              <w:bottom w:val="single" w:sz="4" w:space="0" w:color="auto"/>
              <w:right w:val="nil"/>
            </w:tcBorders>
            <w:shd w:val="clear" w:color="auto" w:fill="auto"/>
            <w:noWrap/>
            <w:vAlign w:val="center"/>
            <w:hideMark/>
          </w:tcPr>
          <w:p w14:paraId="610C3D9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noWrap/>
            <w:vAlign w:val="center"/>
            <w:hideMark/>
          </w:tcPr>
          <w:p w14:paraId="610C3D9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9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A5" w14:textId="77777777" w:rsidTr="00D0006B">
        <w:trPr>
          <w:trHeight w:val="1160"/>
        </w:trPr>
        <w:tc>
          <w:tcPr>
            <w:tcW w:w="2405" w:type="dxa"/>
            <w:vMerge/>
            <w:tcBorders>
              <w:left w:val="single" w:sz="8" w:space="0" w:color="auto"/>
              <w:right w:val="nil"/>
            </w:tcBorders>
            <w:shd w:val="clear" w:color="auto" w:fill="auto"/>
            <w:vAlign w:val="center"/>
            <w:hideMark/>
          </w:tcPr>
          <w:p w14:paraId="610C3D9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val="restart"/>
            <w:tcBorders>
              <w:left w:val="nil"/>
              <w:right w:val="nil"/>
            </w:tcBorders>
            <w:shd w:val="clear" w:color="auto" w:fill="auto"/>
            <w:noWrap/>
            <w:vAlign w:val="center"/>
            <w:hideMark/>
          </w:tcPr>
          <w:p w14:paraId="610C3D9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val="restart"/>
            <w:tcBorders>
              <w:left w:val="nil"/>
            </w:tcBorders>
            <w:shd w:val="clear" w:color="auto" w:fill="auto"/>
            <w:noWrap/>
            <w:vAlign w:val="center"/>
            <w:hideMark/>
          </w:tcPr>
          <w:p w14:paraId="610C3D9E"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bottom w:val="single" w:sz="4" w:space="0" w:color="000000"/>
              <w:right w:val="nil"/>
            </w:tcBorders>
            <w:vAlign w:val="center"/>
            <w:hideMark/>
          </w:tcPr>
          <w:p w14:paraId="610C3D9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A0"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DA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Unspecified / unclassifiable - Bone, calcium, magnesium and phosphorus metabolism disorders </w:t>
            </w:r>
          </w:p>
        </w:tc>
        <w:tc>
          <w:tcPr>
            <w:tcW w:w="663" w:type="dxa"/>
            <w:tcBorders>
              <w:top w:val="single" w:sz="4" w:space="0" w:color="auto"/>
              <w:left w:val="nil"/>
              <w:bottom w:val="single" w:sz="4" w:space="0" w:color="auto"/>
              <w:right w:val="nil"/>
            </w:tcBorders>
            <w:shd w:val="clear" w:color="auto" w:fill="auto"/>
            <w:noWrap/>
            <w:vAlign w:val="center"/>
            <w:hideMark/>
          </w:tcPr>
          <w:p w14:paraId="610C3DA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vAlign w:val="center"/>
            <w:hideMark/>
          </w:tcPr>
          <w:p w14:paraId="610C3DA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Hypokalaemia / Hypocalcaemia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A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r>
      <w:tr w:rsidR="007D57FB" w:rsidRPr="001F242F" w14:paraId="610C3DAF" w14:textId="77777777" w:rsidTr="00D0006B">
        <w:trPr>
          <w:trHeight w:val="290"/>
        </w:trPr>
        <w:tc>
          <w:tcPr>
            <w:tcW w:w="2405" w:type="dxa"/>
            <w:vMerge/>
            <w:tcBorders>
              <w:left w:val="single" w:sz="8" w:space="0" w:color="auto"/>
              <w:right w:val="nil"/>
            </w:tcBorders>
            <w:vAlign w:val="center"/>
            <w:hideMark/>
          </w:tcPr>
          <w:p w14:paraId="610C3DA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A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A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bottom w:val="single" w:sz="4" w:space="0" w:color="auto"/>
              <w:right w:val="nil"/>
            </w:tcBorders>
            <w:shd w:val="clear" w:color="auto" w:fill="auto"/>
            <w:noWrap/>
            <w:vAlign w:val="center"/>
            <w:hideMark/>
          </w:tcPr>
          <w:p w14:paraId="610C3DA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 Metabolism and nutrition disorders</w:t>
            </w:r>
          </w:p>
        </w:tc>
        <w:tc>
          <w:tcPr>
            <w:tcW w:w="567" w:type="dxa"/>
            <w:tcBorders>
              <w:top w:val="nil"/>
              <w:left w:val="nil"/>
              <w:bottom w:val="single" w:sz="4" w:space="0" w:color="auto"/>
              <w:right w:val="nil"/>
            </w:tcBorders>
            <w:shd w:val="clear" w:color="auto" w:fill="auto"/>
            <w:noWrap/>
            <w:vAlign w:val="center"/>
            <w:hideMark/>
          </w:tcPr>
          <w:p w14:paraId="610C3DA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26</w:t>
            </w:r>
          </w:p>
        </w:tc>
        <w:tc>
          <w:tcPr>
            <w:tcW w:w="2514" w:type="dxa"/>
            <w:tcBorders>
              <w:top w:val="nil"/>
              <w:left w:val="nil"/>
              <w:bottom w:val="single" w:sz="4" w:space="0" w:color="auto"/>
              <w:right w:val="nil"/>
            </w:tcBorders>
            <w:shd w:val="clear" w:color="auto" w:fill="auto"/>
            <w:noWrap/>
            <w:vAlign w:val="center"/>
            <w:hideMark/>
          </w:tcPr>
          <w:p w14:paraId="610C3DA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Electrolyte </w:t>
            </w:r>
            <w:r>
              <w:rPr>
                <w:rFonts w:ascii="Calibri" w:eastAsia="Times New Roman" w:hAnsi="Calibri" w:cs="Calibri"/>
                <w:color w:val="000000"/>
                <w:lang w:eastAsia="en-GB"/>
              </w:rPr>
              <w:t>/ metabolic abnorm</w:t>
            </w:r>
            <w:r w:rsidRPr="001F242F">
              <w:rPr>
                <w:rFonts w:ascii="Calibri" w:eastAsia="Times New Roman" w:hAnsi="Calibri" w:cs="Calibri"/>
                <w:color w:val="000000"/>
                <w:lang w:eastAsia="en-GB"/>
              </w:rPr>
              <w:t>a</w:t>
            </w:r>
            <w:r>
              <w:rPr>
                <w:rFonts w:ascii="Calibri" w:eastAsia="Times New Roman" w:hAnsi="Calibri" w:cs="Calibri"/>
                <w:color w:val="000000"/>
                <w:lang w:eastAsia="en-GB"/>
              </w:rPr>
              <w:t>l</w:t>
            </w:r>
            <w:r w:rsidRPr="001F242F">
              <w:rPr>
                <w:rFonts w:ascii="Calibri" w:eastAsia="Times New Roman" w:hAnsi="Calibri" w:cs="Calibri"/>
                <w:color w:val="000000"/>
                <w:lang w:eastAsia="en-GB"/>
              </w:rPr>
              <w:t>ity</w:t>
            </w:r>
          </w:p>
        </w:tc>
        <w:tc>
          <w:tcPr>
            <w:tcW w:w="663" w:type="dxa"/>
            <w:tcBorders>
              <w:top w:val="nil"/>
              <w:left w:val="nil"/>
              <w:bottom w:val="single" w:sz="4" w:space="0" w:color="auto"/>
              <w:right w:val="nil"/>
            </w:tcBorders>
            <w:shd w:val="clear" w:color="auto" w:fill="auto"/>
            <w:noWrap/>
            <w:vAlign w:val="center"/>
            <w:hideMark/>
          </w:tcPr>
          <w:p w14:paraId="610C3DA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26</w:t>
            </w:r>
          </w:p>
        </w:tc>
        <w:tc>
          <w:tcPr>
            <w:tcW w:w="2390" w:type="dxa"/>
            <w:tcBorders>
              <w:top w:val="nil"/>
              <w:left w:val="nil"/>
              <w:bottom w:val="single" w:sz="4" w:space="0" w:color="auto"/>
              <w:right w:val="nil"/>
            </w:tcBorders>
            <w:shd w:val="clear" w:color="auto" w:fill="auto"/>
            <w:noWrap/>
            <w:vAlign w:val="center"/>
            <w:hideMark/>
          </w:tcPr>
          <w:p w14:paraId="610C3DA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noWrap/>
            <w:vAlign w:val="center"/>
            <w:hideMark/>
          </w:tcPr>
          <w:p w14:paraId="610C3DA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B9" w14:textId="77777777" w:rsidTr="00D0006B">
        <w:trPr>
          <w:trHeight w:val="290"/>
        </w:trPr>
        <w:tc>
          <w:tcPr>
            <w:tcW w:w="2405" w:type="dxa"/>
            <w:vMerge/>
            <w:tcBorders>
              <w:left w:val="single" w:sz="8" w:space="0" w:color="auto"/>
              <w:right w:val="nil"/>
            </w:tcBorders>
            <w:vAlign w:val="center"/>
            <w:hideMark/>
          </w:tcPr>
          <w:p w14:paraId="610C3DB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B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B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bottom w:val="single" w:sz="4" w:space="0" w:color="000000"/>
              <w:right w:val="nil"/>
            </w:tcBorders>
            <w:shd w:val="clear" w:color="auto" w:fill="auto"/>
            <w:vAlign w:val="center"/>
            <w:hideMark/>
          </w:tcPr>
          <w:p w14:paraId="610C3DB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Glucose metabolism disorders (incl</w:t>
            </w:r>
            <w:r>
              <w:rPr>
                <w:rFonts w:ascii="Calibri" w:eastAsia="Times New Roman" w:hAnsi="Calibri" w:cs="Calibri"/>
                <w:color w:val="000000"/>
                <w:lang w:eastAsia="en-GB"/>
              </w:rPr>
              <w:t>.</w:t>
            </w:r>
            <w:r w:rsidRPr="001F242F">
              <w:rPr>
                <w:rFonts w:ascii="Calibri" w:eastAsia="Times New Roman" w:hAnsi="Calibri" w:cs="Calibri"/>
                <w:color w:val="000000"/>
                <w:lang w:eastAsia="en-GB"/>
              </w:rPr>
              <w:t xml:space="preserve"> diabetes mellitus) </w:t>
            </w:r>
          </w:p>
        </w:tc>
        <w:tc>
          <w:tcPr>
            <w:tcW w:w="567" w:type="dxa"/>
            <w:vMerge w:val="restart"/>
            <w:tcBorders>
              <w:top w:val="nil"/>
              <w:left w:val="nil"/>
              <w:right w:val="nil"/>
            </w:tcBorders>
            <w:shd w:val="clear" w:color="auto" w:fill="auto"/>
            <w:noWrap/>
            <w:vAlign w:val="center"/>
            <w:hideMark/>
          </w:tcPr>
          <w:p w14:paraId="610C3DB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74</w:t>
            </w:r>
          </w:p>
        </w:tc>
        <w:tc>
          <w:tcPr>
            <w:tcW w:w="2514" w:type="dxa"/>
            <w:vMerge w:val="restart"/>
            <w:tcBorders>
              <w:top w:val="single" w:sz="4" w:space="0" w:color="auto"/>
              <w:left w:val="nil"/>
              <w:bottom w:val="nil"/>
              <w:right w:val="nil"/>
            </w:tcBorders>
            <w:shd w:val="clear" w:color="auto" w:fill="auto"/>
            <w:vAlign w:val="center"/>
            <w:hideMark/>
          </w:tcPr>
          <w:p w14:paraId="610C3DB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Hyperglycaemic conditions NEC </w:t>
            </w:r>
          </w:p>
        </w:tc>
        <w:tc>
          <w:tcPr>
            <w:tcW w:w="663" w:type="dxa"/>
            <w:vMerge w:val="restart"/>
            <w:tcBorders>
              <w:top w:val="single" w:sz="4" w:space="0" w:color="auto"/>
              <w:left w:val="nil"/>
              <w:bottom w:val="nil"/>
              <w:right w:val="nil"/>
            </w:tcBorders>
            <w:shd w:val="clear" w:color="auto" w:fill="auto"/>
            <w:noWrap/>
            <w:vAlign w:val="center"/>
            <w:hideMark/>
          </w:tcPr>
          <w:p w14:paraId="610C3DB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23</w:t>
            </w:r>
          </w:p>
        </w:tc>
        <w:tc>
          <w:tcPr>
            <w:tcW w:w="2390" w:type="dxa"/>
            <w:tcBorders>
              <w:top w:val="single" w:sz="4" w:space="0" w:color="auto"/>
              <w:left w:val="nil"/>
              <w:bottom w:val="single" w:sz="4" w:space="0" w:color="auto"/>
              <w:right w:val="nil"/>
            </w:tcBorders>
            <w:shd w:val="clear" w:color="auto" w:fill="auto"/>
            <w:vAlign w:val="center"/>
            <w:hideMark/>
          </w:tcPr>
          <w:p w14:paraId="610C3DB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Hyperglycaemia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B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21</w:t>
            </w:r>
          </w:p>
        </w:tc>
      </w:tr>
      <w:tr w:rsidR="007D57FB" w:rsidRPr="001F242F" w14:paraId="610C3DC3" w14:textId="77777777" w:rsidTr="00D0006B">
        <w:trPr>
          <w:trHeight w:val="290"/>
        </w:trPr>
        <w:tc>
          <w:tcPr>
            <w:tcW w:w="2405" w:type="dxa"/>
            <w:vMerge/>
            <w:tcBorders>
              <w:left w:val="single" w:sz="8" w:space="0" w:color="auto"/>
              <w:right w:val="nil"/>
            </w:tcBorders>
            <w:shd w:val="clear" w:color="auto" w:fill="auto"/>
            <w:vAlign w:val="center"/>
            <w:hideMark/>
          </w:tcPr>
          <w:p w14:paraId="610C3DBA"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val="restart"/>
            <w:tcBorders>
              <w:left w:val="nil"/>
              <w:right w:val="nil"/>
            </w:tcBorders>
            <w:shd w:val="clear" w:color="auto" w:fill="auto"/>
            <w:noWrap/>
            <w:vAlign w:val="center"/>
            <w:hideMark/>
          </w:tcPr>
          <w:p w14:paraId="610C3DB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val="restart"/>
            <w:tcBorders>
              <w:left w:val="nil"/>
            </w:tcBorders>
            <w:shd w:val="clear" w:color="auto" w:fill="auto"/>
            <w:noWrap/>
            <w:vAlign w:val="center"/>
            <w:hideMark/>
          </w:tcPr>
          <w:p w14:paraId="610C3DBC"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bottom w:val="single" w:sz="4" w:space="0" w:color="000000"/>
              <w:right w:val="nil"/>
            </w:tcBorders>
            <w:vAlign w:val="center"/>
            <w:hideMark/>
          </w:tcPr>
          <w:p w14:paraId="610C3DB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DBE"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nil"/>
              <w:left w:val="nil"/>
              <w:bottom w:val="single" w:sz="4" w:space="0" w:color="auto"/>
              <w:right w:val="nil"/>
            </w:tcBorders>
            <w:vAlign w:val="center"/>
            <w:hideMark/>
          </w:tcPr>
          <w:p w14:paraId="610C3DB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top w:val="nil"/>
              <w:left w:val="nil"/>
              <w:bottom w:val="single" w:sz="4" w:space="0" w:color="auto"/>
              <w:right w:val="nil"/>
            </w:tcBorders>
            <w:vAlign w:val="center"/>
            <w:hideMark/>
          </w:tcPr>
          <w:p w14:paraId="610C3DC0"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DC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Steroid diabetes</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C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r>
      <w:tr w:rsidR="007D57FB" w:rsidRPr="001F242F" w14:paraId="610C3DCD" w14:textId="77777777" w:rsidTr="00D0006B">
        <w:trPr>
          <w:trHeight w:val="290"/>
        </w:trPr>
        <w:tc>
          <w:tcPr>
            <w:tcW w:w="2405" w:type="dxa"/>
            <w:vMerge/>
            <w:tcBorders>
              <w:left w:val="single" w:sz="8" w:space="0" w:color="auto"/>
              <w:right w:val="nil"/>
            </w:tcBorders>
            <w:vAlign w:val="center"/>
            <w:hideMark/>
          </w:tcPr>
          <w:p w14:paraId="610C3DC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C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DC6"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bottom w:val="single" w:sz="4" w:space="0" w:color="000000"/>
              <w:right w:val="nil"/>
            </w:tcBorders>
            <w:vAlign w:val="center"/>
            <w:hideMark/>
          </w:tcPr>
          <w:p w14:paraId="610C3DC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C8"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DC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Hypoglycaemic conditions NEC </w:t>
            </w:r>
          </w:p>
        </w:tc>
        <w:tc>
          <w:tcPr>
            <w:tcW w:w="663" w:type="dxa"/>
            <w:tcBorders>
              <w:top w:val="single" w:sz="4" w:space="0" w:color="auto"/>
              <w:left w:val="nil"/>
              <w:bottom w:val="single" w:sz="4" w:space="0" w:color="auto"/>
              <w:right w:val="nil"/>
            </w:tcBorders>
            <w:shd w:val="clear" w:color="auto" w:fill="auto"/>
            <w:noWrap/>
            <w:vAlign w:val="center"/>
            <w:hideMark/>
          </w:tcPr>
          <w:p w14:paraId="610C3DC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51</w:t>
            </w:r>
          </w:p>
        </w:tc>
        <w:tc>
          <w:tcPr>
            <w:tcW w:w="2390" w:type="dxa"/>
            <w:tcBorders>
              <w:top w:val="single" w:sz="4" w:space="0" w:color="auto"/>
              <w:left w:val="nil"/>
              <w:bottom w:val="single" w:sz="4" w:space="0" w:color="auto"/>
              <w:right w:val="nil"/>
            </w:tcBorders>
            <w:shd w:val="clear" w:color="auto" w:fill="auto"/>
            <w:vAlign w:val="center"/>
            <w:hideMark/>
          </w:tcPr>
          <w:p w14:paraId="610C3DC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Hypoglycaemia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DC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51</w:t>
            </w:r>
          </w:p>
        </w:tc>
      </w:tr>
      <w:tr w:rsidR="007D57FB" w:rsidRPr="001F242F" w14:paraId="610C3DD7" w14:textId="77777777" w:rsidTr="00D0006B">
        <w:trPr>
          <w:trHeight w:val="300"/>
        </w:trPr>
        <w:tc>
          <w:tcPr>
            <w:tcW w:w="2405" w:type="dxa"/>
            <w:vMerge/>
            <w:tcBorders>
              <w:left w:val="single" w:sz="8" w:space="0" w:color="auto"/>
              <w:bottom w:val="single" w:sz="8" w:space="0" w:color="000000"/>
              <w:right w:val="nil"/>
            </w:tcBorders>
            <w:vAlign w:val="center"/>
            <w:hideMark/>
          </w:tcPr>
          <w:p w14:paraId="610C3DC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3DC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D0"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tcBorders>
              <w:top w:val="nil"/>
              <w:bottom w:val="single" w:sz="8" w:space="0" w:color="auto"/>
              <w:right w:val="nil"/>
            </w:tcBorders>
            <w:shd w:val="clear" w:color="auto" w:fill="auto"/>
            <w:noWrap/>
            <w:vAlign w:val="center"/>
            <w:hideMark/>
          </w:tcPr>
          <w:p w14:paraId="610C3DD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Purine and pyrimidine metabolism disorders </w:t>
            </w:r>
          </w:p>
        </w:tc>
        <w:tc>
          <w:tcPr>
            <w:tcW w:w="567" w:type="dxa"/>
            <w:tcBorders>
              <w:top w:val="nil"/>
              <w:left w:val="nil"/>
              <w:bottom w:val="single" w:sz="8" w:space="0" w:color="auto"/>
              <w:right w:val="nil"/>
            </w:tcBorders>
            <w:shd w:val="clear" w:color="auto" w:fill="auto"/>
            <w:noWrap/>
            <w:vAlign w:val="center"/>
            <w:hideMark/>
          </w:tcPr>
          <w:p w14:paraId="610C3DD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8" w:space="0" w:color="auto"/>
              <w:right w:val="nil"/>
            </w:tcBorders>
            <w:shd w:val="clear" w:color="auto" w:fill="auto"/>
            <w:noWrap/>
            <w:vAlign w:val="center"/>
            <w:hideMark/>
          </w:tcPr>
          <w:p w14:paraId="610C3DD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Disorders of purine metabolism </w:t>
            </w:r>
          </w:p>
        </w:tc>
        <w:tc>
          <w:tcPr>
            <w:tcW w:w="663" w:type="dxa"/>
            <w:tcBorders>
              <w:top w:val="nil"/>
              <w:left w:val="nil"/>
              <w:bottom w:val="single" w:sz="8" w:space="0" w:color="auto"/>
              <w:right w:val="nil"/>
            </w:tcBorders>
            <w:shd w:val="clear" w:color="auto" w:fill="auto"/>
            <w:noWrap/>
            <w:vAlign w:val="center"/>
            <w:hideMark/>
          </w:tcPr>
          <w:p w14:paraId="610C3DD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8" w:space="0" w:color="auto"/>
              <w:right w:val="nil"/>
            </w:tcBorders>
            <w:shd w:val="clear" w:color="auto" w:fill="auto"/>
            <w:vAlign w:val="center"/>
            <w:hideMark/>
          </w:tcPr>
          <w:p w14:paraId="610C3DD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Hyperuricemia</w:t>
            </w:r>
          </w:p>
        </w:tc>
        <w:tc>
          <w:tcPr>
            <w:tcW w:w="551" w:type="dxa"/>
            <w:tcBorders>
              <w:top w:val="nil"/>
              <w:left w:val="nil"/>
              <w:bottom w:val="single" w:sz="8" w:space="0" w:color="auto"/>
              <w:right w:val="single" w:sz="8" w:space="0" w:color="auto"/>
            </w:tcBorders>
            <w:shd w:val="clear" w:color="auto" w:fill="auto"/>
            <w:noWrap/>
            <w:vAlign w:val="center"/>
            <w:hideMark/>
          </w:tcPr>
          <w:p w14:paraId="610C3DD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r>
      <w:tr w:rsidR="007D57FB" w:rsidRPr="001F242F" w14:paraId="610C3DE1" w14:textId="77777777" w:rsidTr="00D0006B">
        <w:trPr>
          <w:trHeight w:val="290"/>
        </w:trPr>
        <w:tc>
          <w:tcPr>
            <w:tcW w:w="2405" w:type="dxa"/>
            <w:vMerge w:val="restart"/>
            <w:tcBorders>
              <w:top w:val="nil"/>
              <w:left w:val="single" w:sz="8" w:space="0" w:color="auto"/>
              <w:bottom w:val="nil"/>
              <w:right w:val="nil"/>
            </w:tcBorders>
            <w:shd w:val="clear" w:color="auto" w:fill="auto"/>
            <w:noWrap/>
            <w:vAlign w:val="center"/>
            <w:hideMark/>
          </w:tcPr>
          <w:p w14:paraId="610C3DD8"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 xml:space="preserve">Unclassifiable </w:t>
            </w:r>
          </w:p>
        </w:tc>
        <w:tc>
          <w:tcPr>
            <w:tcW w:w="875" w:type="dxa"/>
            <w:vMerge w:val="restart"/>
            <w:tcBorders>
              <w:top w:val="nil"/>
              <w:left w:val="nil"/>
              <w:right w:val="nil"/>
            </w:tcBorders>
            <w:shd w:val="clear" w:color="auto" w:fill="auto"/>
            <w:noWrap/>
            <w:vAlign w:val="center"/>
            <w:hideMark/>
          </w:tcPr>
          <w:p w14:paraId="610C3DD9" w14:textId="3596000F"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14.5</w:t>
            </w:r>
            <w:r w:rsidR="003A48A9">
              <w:rPr>
                <w:rFonts w:ascii="Calibri" w:eastAsia="Times New Roman" w:hAnsi="Calibri" w:cs="Calibri"/>
                <w:color w:val="000000"/>
                <w:lang w:eastAsia="en-GB"/>
              </w:rPr>
              <w:t>5</w:t>
            </w:r>
            <w:r w:rsidRPr="001F242F">
              <w:rPr>
                <w:rFonts w:ascii="Calibri" w:eastAsia="Times New Roman" w:hAnsi="Calibri" w:cs="Calibri"/>
                <w:color w:val="000000"/>
                <w:lang w:eastAsia="en-GB"/>
              </w:rPr>
              <w:t>%</w:t>
            </w:r>
          </w:p>
        </w:tc>
        <w:tc>
          <w:tcPr>
            <w:tcW w:w="663" w:type="dxa"/>
            <w:vMerge w:val="restart"/>
            <w:tcBorders>
              <w:top w:val="nil"/>
              <w:left w:val="nil"/>
              <w:right w:val="nil"/>
            </w:tcBorders>
            <w:shd w:val="clear" w:color="auto" w:fill="auto"/>
            <w:noWrap/>
            <w:vAlign w:val="center"/>
            <w:hideMark/>
          </w:tcPr>
          <w:p w14:paraId="610C3DDA"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397</w:t>
            </w:r>
          </w:p>
        </w:tc>
        <w:tc>
          <w:tcPr>
            <w:tcW w:w="2935" w:type="dxa"/>
            <w:vMerge w:val="restart"/>
            <w:tcBorders>
              <w:top w:val="nil"/>
              <w:left w:val="nil"/>
              <w:bottom w:val="nil"/>
              <w:right w:val="nil"/>
            </w:tcBorders>
            <w:shd w:val="clear" w:color="auto" w:fill="auto"/>
            <w:vAlign w:val="center"/>
            <w:hideMark/>
          </w:tcPr>
          <w:p w14:paraId="610C3DD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Unclassifiable into </w:t>
            </w:r>
            <w:r>
              <w:rPr>
                <w:rFonts w:ascii="Calibri" w:eastAsia="Times New Roman" w:hAnsi="Calibri" w:cs="Calibri"/>
                <w:color w:val="000000"/>
                <w:lang w:eastAsia="en-GB"/>
              </w:rPr>
              <w:t>MedDRA</w:t>
            </w:r>
            <w:r w:rsidRPr="001F242F">
              <w:rPr>
                <w:rFonts w:ascii="Calibri" w:eastAsia="Times New Roman" w:hAnsi="Calibri" w:cs="Calibri"/>
                <w:color w:val="000000"/>
                <w:lang w:eastAsia="en-GB"/>
              </w:rPr>
              <w:t>® SOC grouping from extractable ADR data</w:t>
            </w:r>
          </w:p>
        </w:tc>
        <w:tc>
          <w:tcPr>
            <w:tcW w:w="567" w:type="dxa"/>
            <w:vMerge w:val="restart"/>
            <w:tcBorders>
              <w:top w:val="nil"/>
              <w:left w:val="nil"/>
              <w:right w:val="nil"/>
            </w:tcBorders>
            <w:shd w:val="clear" w:color="auto" w:fill="auto"/>
            <w:noWrap/>
            <w:vAlign w:val="center"/>
            <w:hideMark/>
          </w:tcPr>
          <w:p w14:paraId="610C3DD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397</w:t>
            </w:r>
          </w:p>
        </w:tc>
        <w:tc>
          <w:tcPr>
            <w:tcW w:w="2514" w:type="dxa"/>
            <w:tcBorders>
              <w:top w:val="single" w:sz="8" w:space="0" w:color="auto"/>
              <w:left w:val="nil"/>
              <w:bottom w:val="single" w:sz="4" w:space="0" w:color="auto"/>
              <w:right w:val="nil"/>
            </w:tcBorders>
            <w:shd w:val="clear" w:color="auto" w:fill="auto"/>
            <w:noWrap/>
            <w:vAlign w:val="center"/>
            <w:hideMark/>
          </w:tcPr>
          <w:p w14:paraId="610C3DD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Multiple presentations grouped</w:t>
            </w:r>
          </w:p>
        </w:tc>
        <w:tc>
          <w:tcPr>
            <w:tcW w:w="663" w:type="dxa"/>
            <w:tcBorders>
              <w:top w:val="single" w:sz="8" w:space="0" w:color="auto"/>
              <w:left w:val="nil"/>
              <w:bottom w:val="single" w:sz="4" w:space="0" w:color="auto"/>
              <w:right w:val="nil"/>
            </w:tcBorders>
            <w:shd w:val="clear" w:color="auto" w:fill="auto"/>
            <w:noWrap/>
            <w:vAlign w:val="center"/>
            <w:hideMark/>
          </w:tcPr>
          <w:p w14:paraId="610C3DD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370</w:t>
            </w:r>
          </w:p>
        </w:tc>
        <w:tc>
          <w:tcPr>
            <w:tcW w:w="2390" w:type="dxa"/>
            <w:tcBorders>
              <w:top w:val="single" w:sz="8" w:space="0" w:color="auto"/>
              <w:left w:val="nil"/>
              <w:bottom w:val="single" w:sz="4" w:space="0" w:color="auto"/>
              <w:right w:val="nil"/>
            </w:tcBorders>
            <w:shd w:val="clear" w:color="auto" w:fill="auto"/>
            <w:noWrap/>
            <w:vAlign w:val="center"/>
            <w:hideMark/>
          </w:tcPr>
          <w:p w14:paraId="610C3DD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3DE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EB" w14:textId="77777777" w:rsidTr="00D0006B">
        <w:trPr>
          <w:trHeight w:val="300"/>
        </w:trPr>
        <w:tc>
          <w:tcPr>
            <w:tcW w:w="2405" w:type="dxa"/>
            <w:vMerge/>
            <w:tcBorders>
              <w:top w:val="nil"/>
              <w:left w:val="single" w:sz="8" w:space="0" w:color="auto"/>
              <w:bottom w:val="nil"/>
              <w:right w:val="nil"/>
            </w:tcBorders>
            <w:vAlign w:val="center"/>
            <w:hideMark/>
          </w:tcPr>
          <w:p w14:paraId="610C3DE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DE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right w:val="nil"/>
            </w:tcBorders>
            <w:shd w:val="clear" w:color="auto" w:fill="auto"/>
            <w:noWrap/>
            <w:vAlign w:val="center"/>
            <w:hideMark/>
          </w:tcPr>
          <w:p w14:paraId="610C3DE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nil"/>
              <w:right w:val="nil"/>
            </w:tcBorders>
            <w:vAlign w:val="center"/>
            <w:hideMark/>
          </w:tcPr>
          <w:p w14:paraId="610C3DE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nil"/>
              <w:right w:val="nil"/>
            </w:tcBorders>
            <w:shd w:val="clear" w:color="auto" w:fill="auto"/>
            <w:noWrap/>
            <w:vAlign w:val="center"/>
            <w:hideMark/>
          </w:tcPr>
          <w:p w14:paraId="610C3DE6"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nil"/>
              <w:right w:val="nil"/>
            </w:tcBorders>
            <w:shd w:val="clear" w:color="auto" w:fill="auto"/>
            <w:noWrap/>
            <w:vAlign w:val="center"/>
            <w:hideMark/>
          </w:tcPr>
          <w:p w14:paraId="610C3DE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Reported as "other" or "missing"</w:t>
            </w:r>
          </w:p>
        </w:tc>
        <w:tc>
          <w:tcPr>
            <w:tcW w:w="663" w:type="dxa"/>
            <w:tcBorders>
              <w:top w:val="single" w:sz="4" w:space="0" w:color="auto"/>
              <w:left w:val="nil"/>
              <w:bottom w:val="nil"/>
              <w:right w:val="nil"/>
            </w:tcBorders>
            <w:shd w:val="clear" w:color="auto" w:fill="auto"/>
            <w:noWrap/>
            <w:vAlign w:val="center"/>
            <w:hideMark/>
          </w:tcPr>
          <w:p w14:paraId="610C3DE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27</w:t>
            </w:r>
          </w:p>
        </w:tc>
        <w:tc>
          <w:tcPr>
            <w:tcW w:w="2390" w:type="dxa"/>
            <w:tcBorders>
              <w:top w:val="single" w:sz="4" w:space="0" w:color="auto"/>
              <w:left w:val="nil"/>
              <w:bottom w:val="nil"/>
              <w:right w:val="nil"/>
            </w:tcBorders>
            <w:shd w:val="clear" w:color="auto" w:fill="auto"/>
            <w:noWrap/>
            <w:vAlign w:val="center"/>
            <w:hideMark/>
          </w:tcPr>
          <w:p w14:paraId="610C3DE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nil"/>
              <w:right w:val="single" w:sz="8" w:space="0" w:color="auto"/>
            </w:tcBorders>
            <w:shd w:val="clear" w:color="auto" w:fill="auto"/>
            <w:noWrap/>
            <w:vAlign w:val="center"/>
            <w:hideMark/>
          </w:tcPr>
          <w:p w14:paraId="610C3DE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DF5" w14:textId="77777777" w:rsidTr="00D0006B">
        <w:trPr>
          <w:trHeight w:val="29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DEC"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Vascular disorders</w:t>
            </w:r>
          </w:p>
        </w:tc>
        <w:tc>
          <w:tcPr>
            <w:tcW w:w="875" w:type="dxa"/>
            <w:vMerge w:val="restart"/>
            <w:tcBorders>
              <w:top w:val="single" w:sz="8" w:space="0" w:color="auto"/>
              <w:left w:val="nil"/>
              <w:right w:val="nil"/>
            </w:tcBorders>
            <w:shd w:val="clear" w:color="auto" w:fill="auto"/>
            <w:noWrap/>
            <w:vAlign w:val="center"/>
            <w:hideMark/>
          </w:tcPr>
          <w:p w14:paraId="610C3DED" w14:textId="568D201C"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7.9</w:t>
            </w:r>
            <w:r w:rsidR="003A48A9">
              <w:rPr>
                <w:rFonts w:ascii="Calibri" w:eastAsia="Times New Roman" w:hAnsi="Calibri" w:cs="Calibri"/>
                <w:color w:val="000000"/>
                <w:lang w:eastAsia="en-GB"/>
              </w:rPr>
              <w:t>2</w:t>
            </w:r>
            <w:r w:rsidRPr="001F242F">
              <w:rPr>
                <w:rFonts w:ascii="Calibri" w:eastAsia="Times New Roman" w:hAnsi="Calibri" w:cs="Calibri"/>
                <w:color w:val="000000"/>
                <w:lang w:eastAsia="en-GB"/>
              </w:rPr>
              <w:t>%</w:t>
            </w:r>
          </w:p>
        </w:tc>
        <w:tc>
          <w:tcPr>
            <w:tcW w:w="663" w:type="dxa"/>
            <w:vMerge w:val="restart"/>
            <w:tcBorders>
              <w:top w:val="single" w:sz="8" w:space="0" w:color="auto"/>
              <w:left w:val="nil"/>
              <w:bottom w:val="single" w:sz="8" w:space="0" w:color="auto"/>
            </w:tcBorders>
            <w:shd w:val="clear" w:color="auto" w:fill="auto"/>
            <w:noWrap/>
            <w:vAlign w:val="center"/>
            <w:hideMark/>
          </w:tcPr>
          <w:p w14:paraId="610C3DEE"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216</w:t>
            </w:r>
          </w:p>
        </w:tc>
        <w:tc>
          <w:tcPr>
            <w:tcW w:w="2935" w:type="dxa"/>
            <w:vMerge w:val="restart"/>
            <w:tcBorders>
              <w:top w:val="single" w:sz="8" w:space="0" w:color="auto"/>
              <w:left w:val="nil"/>
              <w:bottom w:val="single" w:sz="4" w:space="0" w:color="000000"/>
              <w:right w:val="nil"/>
            </w:tcBorders>
            <w:shd w:val="clear" w:color="auto" w:fill="auto"/>
            <w:vAlign w:val="center"/>
            <w:hideMark/>
          </w:tcPr>
          <w:p w14:paraId="610C3DE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Decreased and nonspecific blood pressure disorders and shock </w:t>
            </w:r>
          </w:p>
        </w:tc>
        <w:tc>
          <w:tcPr>
            <w:tcW w:w="567" w:type="dxa"/>
            <w:vMerge w:val="restart"/>
            <w:tcBorders>
              <w:top w:val="single" w:sz="8" w:space="0" w:color="auto"/>
              <w:left w:val="nil"/>
              <w:right w:val="nil"/>
            </w:tcBorders>
            <w:shd w:val="clear" w:color="auto" w:fill="auto"/>
            <w:noWrap/>
            <w:vAlign w:val="center"/>
            <w:hideMark/>
          </w:tcPr>
          <w:p w14:paraId="610C3DF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126</w:t>
            </w:r>
          </w:p>
        </w:tc>
        <w:tc>
          <w:tcPr>
            <w:tcW w:w="2514" w:type="dxa"/>
            <w:vMerge w:val="restart"/>
            <w:tcBorders>
              <w:top w:val="single" w:sz="8" w:space="0" w:color="auto"/>
              <w:left w:val="nil"/>
              <w:bottom w:val="single" w:sz="4" w:space="0" w:color="000000"/>
              <w:right w:val="nil"/>
            </w:tcBorders>
            <w:shd w:val="clear" w:color="auto" w:fill="auto"/>
            <w:noWrap/>
            <w:vAlign w:val="center"/>
            <w:hideMark/>
          </w:tcPr>
          <w:p w14:paraId="610C3DF1" w14:textId="77777777" w:rsidR="007D57FB" w:rsidRPr="001F242F" w:rsidRDefault="007D57FB" w:rsidP="005B3E6B">
            <w:pPr>
              <w:spacing w:after="0" w:line="240" w:lineRule="auto"/>
              <w:jc w:val="center"/>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Vascular hypotensive disorders </w:t>
            </w:r>
          </w:p>
        </w:tc>
        <w:tc>
          <w:tcPr>
            <w:tcW w:w="663" w:type="dxa"/>
            <w:tcBorders>
              <w:top w:val="single" w:sz="8" w:space="0" w:color="auto"/>
              <w:left w:val="nil"/>
              <w:bottom w:val="nil"/>
              <w:right w:val="nil"/>
            </w:tcBorders>
            <w:shd w:val="clear" w:color="auto" w:fill="auto"/>
            <w:noWrap/>
            <w:vAlign w:val="center"/>
            <w:hideMark/>
          </w:tcPr>
          <w:p w14:paraId="610C3DF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126</w:t>
            </w:r>
          </w:p>
        </w:tc>
        <w:tc>
          <w:tcPr>
            <w:tcW w:w="2390" w:type="dxa"/>
            <w:tcBorders>
              <w:top w:val="single" w:sz="8" w:space="0" w:color="auto"/>
              <w:left w:val="nil"/>
              <w:bottom w:val="nil"/>
              <w:right w:val="nil"/>
            </w:tcBorders>
            <w:shd w:val="clear" w:color="auto" w:fill="auto"/>
            <w:vAlign w:val="center"/>
            <w:hideMark/>
          </w:tcPr>
          <w:p w14:paraId="610C3DF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Hypotension</w:t>
            </w:r>
          </w:p>
        </w:tc>
        <w:tc>
          <w:tcPr>
            <w:tcW w:w="551" w:type="dxa"/>
            <w:tcBorders>
              <w:top w:val="single" w:sz="8" w:space="0" w:color="auto"/>
              <w:left w:val="nil"/>
              <w:bottom w:val="nil"/>
              <w:right w:val="single" w:sz="8" w:space="0" w:color="auto"/>
            </w:tcBorders>
            <w:shd w:val="clear" w:color="auto" w:fill="auto"/>
            <w:noWrap/>
            <w:vAlign w:val="center"/>
            <w:hideMark/>
          </w:tcPr>
          <w:p w14:paraId="610C3DF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81</w:t>
            </w:r>
          </w:p>
        </w:tc>
      </w:tr>
      <w:tr w:rsidR="007D57FB" w:rsidRPr="001F242F" w14:paraId="610C3DFF"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DF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DF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DF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DF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DFA"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vMerge/>
            <w:tcBorders>
              <w:top w:val="single" w:sz="8" w:space="0" w:color="auto"/>
              <w:left w:val="nil"/>
              <w:bottom w:val="single" w:sz="4" w:space="0" w:color="000000"/>
              <w:right w:val="nil"/>
            </w:tcBorders>
            <w:vAlign w:val="center"/>
            <w:hideMark/>
          </w:tcPr>
          <w:p w14:paraId="610C3DF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tcBorders>
              <w:top w:val="nil"/>
              <w:left w:val="nil"/>
              <w:bottom w:val="single" w:sz="4" w:space="0" w:color="auto"/>
              <w:right w:val="nil"/>
            </w:tcBorders>
            <w:shd w:val="clear" w:color="auto" w:fill="auto"/>
            <w:noWrap/>
            <w:vAlign w:val="center"/>
            <w:hideMark/>
          </w:tcPr>
          <w:p w14:paraId="610C3DF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390" w:type="dxa"/>
            <w:tcBorders>
              <w:top w:val="nil"/>
              <w:left w:val="nil"/>
              <w:bottom w:val="single" w:sz="4" w:space="0" w:color="auto"/>
              <w:right w:val="nil"/>
            </w:tcBorders>
            <w:shd w:val="clear" w:color="auto" w:fill="auto"/>
            <w:vAlign w:val="center"/>
            <w:hideMark/>
          </w:tcPr>
          <w:p w14:paraId="610C3DF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Postural hypotension</w:t>
            </w:r>
          </w:p>
        </w:tc>
        <w:tc>
          <w:tcPr>
            <w:tcW w:w="551" w:type="dxa"/>
            <w:tcBorders>
              <w:top w:val="nil"/>
              <w:left w:val="nil"/>
              <w:bottom w:val="single" w:sz="4" w:space="0" w:color="auto"/>
              <w:right w:val="single" w:sz="8" w:space="0" w:color="auto"/>
            </w:tcBorders>
            <w:shd w:val="clear" w:color="auto" w:fill="auto"/>
            <w:noWrap/>
            <w:vAlign w:val="center"/>
            <w:hideMark/>
          </w:tcPr>
          <w:p w14:paraId="610C3DF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45</w:t>
            </w:r>
          </w:p>
        </w:tc>
      </w:tr>
      <w:tr w:rsidR="007D57FB" w:rsidRPr="001F242F" w14:paraId="610C3E09"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0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0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0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E0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Vascular haemorrhagic disorders</w:t>
            </w:r>
          </w:p>
        </w:tc>
        <w:tc>
          <w:tcPr>
            <w:tcW w:w="567" w:type="dxa"/>
            <w:vMerge w:val="restart"/>
            <w:tcBorders>
              <w:top w:val="nil"/>
              <w:left w:val="nil"/>
              <w:right w:val="nil"/>
            </w:tcBorders>
            <w:shd w:val="clear" w:color="auto" w:fill="auto"/>
            <w:noWrap/>
            <w:vAlign w:val="center"/>
            <w:hideMark/>
          </w:tcPr>
          <w:p w14:paraId="610C3E0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89</w:t>
            </w:r>
          </w:p>
        </w:tc>
        <w:tc>
          <w:tcPr>
            <w:tcW w:w="2514" w:type="dxa"/>
            <w:vMerge w:val="restart"/>
            <w:tcBorders>
              <w:top w:val="nil"/>
              <w:left w:val="nil"/>
              <w:bottom w:val="single" w:sz="4" w:space="0" w:color="000000"/>
              <w:right w:val="nil"/>
            </w:tcBorders>
            <w:shd w:val="clear" w:color="auto" w:fill="auto"/>
            <w:vAlign w:val="center"/>
            <w:hideMark/>
          </w:tcPr>
          <w:p w14:paraId="610C3E05" w14:textId="77777777" w:rsidR="007D57FB" w:rsidRPr="001F242F" w:rsidRDefault="007D57FB" w:rsidP="005B3E6B">
            <w:pPr>
              <w:spacing w:after="0" w:line="240" w:lineRule="auto"/>
              <w:jc w:val="center"/>
              <w:rPr>
                <w:rFonts w:ascii="Calibri" w:eastAsia="Times New Roman" w:hAnsi="Calibri" w:cs="Calibri"/>
                <w:color w:val="000000"/>
                <w:lang w:eastAsia="en-GB"/>
              </w:rPr>
            </w:pPr>
            <w:r w:rsidRPr="001F242F">
              <w:rPr>
                <w:rFonts w:ascii="Calibri" w:eastAsia="Times New Roman" w:hAnsi="Calibri" w:cs="Calibri"/>
                <w:color w:val="000000"/>
                <w:lang w:eastAsia="en-GB"/>
              </w:rPr>
              <w:t>Haemorrhages NEC</w:t>
            </w:r>
          </w:p>
        </w:tc>
        <w:tc>
          <w:tcPr>
            <w:tcW w:w="663" w:type="dxa"/>
            <w:vMerge w:val="restart"/>
            <w:tcBorders>
              <w:top w:val="nil"/>
              <w:left w:val="nil"/>
              <w:right w:val="nil"/>
            </w:tcBorders>
            <w:shd w:val="clear" w:color="auto" w:fill="auto"/>
            <w:noWrap/>
            <w:vAlign w:val="center"/>
            <w:hideMark/>
          </w:tcPr>
          <w:p w14:paraId="610C3E0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89 </w:t>
            </w:r>
          </w:p>
        </w:tc>
        <w:tc>
          <w:tcPr>
            <w:tcW w:w="2390" w:type="dxa"/>
            <w:tcBorders>
              <w:top w:val="single" w:sz="4" w:space="0" w:color="auto"/>
              <w:left w:val="nil"/>
              <w:bottom w:val="single" w:sz="4" w:space="0" w:color="auto"/>
              <w:right w:val="nil"/>
            </w:tcBorders>
            <w:shd w:val="clear" w:color="auto" w:fill="auto"/>
            <w:vAlign w:val="center"/>
            <w:hideMark/>
          </w:tcPr>
          <w:p w14:paraId="610C3E0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Haematoma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0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20</w:t>
            </w:r>
          </w:p>
        </w:tc>
      </w:tr>
      <w:tr w:rsidR="007D57FB" w:rsidRPr="001F242F" w14:paraId="610C3E13"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0A"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0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0C"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0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E0E"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nil"/>
              <w:left w:val="nil"/>
              <w:bottom w:val="single" w:sz="4" w:space="0" w:color="000000"/>
              <w:right w:val="nil"/>
            </w:tcBorders>
            <w:vAlign w:val="center"/>
            <w:hideMark/>
          </w:tcPr>
          <w:p w14:paraId="610C3E0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right w:val="nil"/>
            </w:tcBorders>
            <w:shd w:val="clear" w:color="auto" w:fill="auto"/>
            <w:noWrap/>
            <w:vAlign w:val="center"/>
            <w:hideMark/>
          </w:tcPr>
          <w:p w14:paraId="610C3E10"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E1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Bleeding</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1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58</w:t>
            </w:r>
          </w:p>
        </w:tc>
      </w:tr>
      <w:tr w:rsidR="007D57FB" w:rsidRPr="001F242F" w14:paraId="610C3E1D"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1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1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16"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1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18"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vMerge/>
            <w:tcBorders>
              <w:top w:val="nil"/>
              <w:left w:val="nil"/>
              <w:bottom w:val="single" w:sz="4" w:space="0" w:color="000000"/>
              <w:right w:val="nil"/>
            </w:tcBorders>
            <w:vAlign w:val="center"/>
            <w:hideMark/>
          </w:tcPr>
          <w:p w14:paraId="610C3E1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E1A"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390" w:type="dxa"/>
            <w:tcBorders>
              <w:top w:val="single" w:sz="4" w:space="0" w:color="auto"/>
              <w:left w:val="nil"/>
              <w:bottom w:val="single" w:sz="4" w:space="0" w:color="auto"/>
              <w:right w:val="nil"/>
            </w:tcBorders>
            <w:shd w:val="clear" w:color="auto" w:fill="auto"/>
            <w:noWrap/>
            <w:vAlign w:val="center"/>
            <w:hideMark/>
          </w:tcPr>
          <w:p w14:paraId="610C3E1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Bleeding requiring transfusion with or without hemostasis intervention</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1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11</w:t>
            </w:r>
          </w:p>
        </w:tc>
      </w:tr>
      <w:tr w:rsidR="007D57FB" w:rsidRPr="001F242F" w14:paraId="610C3E27"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E1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E1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2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E2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Vascular hypertensive disorders </w:t>
            </w:r>
          </w:p>
        </w:tc>
        <w:tc>
          <w:tcPr>
            <w:tcW w:w="567" w:type="dxa"/>
            <w:tcBorders>
              <w:top w:val="nil"/>
              <w:left w:val="nil"/>
              <w:bottom w:val="nil"/>
              <w:right w:val="nil"/>
            </w:tcBorders>
            <w:shd w:val="clear" w:color="auto" w:fill="auto"/>
            <w:noWrap/>
            <w:vAlign w:val="center"/>
            <w:hideMark/>
          </w:tcPr>
          <w:p w14:paraId="610C3E2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8" w:space="0" w:color="auto"/>
              <w:right w:val="nil"/>
            </w:tcBorders>
            <w:shd w:val="clear" w:color="auto" w:fill="auto"/>
            <w:vAlign w:val="center"/>
            <w:hideMark/>
          </w:tcPr>
          <w:p w14:paraId="610C3E2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Hypertension</w:t>
            </w:r>
          </w:p>
        </w:tc>
        <w:tc>
          <w:tcPr>
            <w:tcW w:w="663" w:type="dxa"/>
            <w:tcBorders>
              <w:top w:val="nil"/>
              <w:left w:val="nil"/>
              <w:bottom w:val="single" w:sz="8" w:space="0" w:color="auto"/>
              <w:right w:val="nil"/>
            </w:tcBorders>
            <w:shd w:val="clear" w:color="auto" w:fill="auto"/>
            <w:noWrap/>
            <w:vAlign w:val="center"/>
            <w:hideMark/>
          </w:tcPr>
          <w:p w14:paraId="610C3E2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8" w:space="0" w:color="auto"/>
              <w:right w:val="nil"/>
            </w:tcBorders>
            <w:shd w:val="clear" w:color="auto" w:fill="auto"/>
            <w:noWrap/>
            <w:vAlign w:val="center"/>
            <w:hideMark/>
          </w:tcPr>
          <w:p w14:paraId="610C3E2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1F242F">
              <w:rPr>
                <w:rFonts w:ascii="Calibri" w:eastAsia="Times New Roman" w:hAnsi="Calibri" w:cs="Calibri"/>
                <w:color w:val="000000"/>
                <w:lang w:eastAsia="en-GB"/>
              </w:rPr>
              <w:t> </w:t>
            </w:r>
          </w:p>
        </w:tc>
        <w:tc>
          <w:tcPr>
            <w:tcW w:w="551" w:type="dxa"/>
            <w:tcBorders>
              <w:top w:val="nil"/>
              <w:left w:val="nil"/>
              <w:bottom w:val="single" w:sz="8" w:space="0" w:color="auto"/>
              <w:right w:val="single" w:sz="8" w:space="0" w:color="auto"/>
            </w:tcBorders>
            <w:shd w:val="clear" w:color="auto" w:fill="auto"/>
            <w:vAlign w:val="center"/>
            <w:hideMark/>
          </w:tcPr>
          <w:p w14:paraId="610C3E2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31"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8" w14:textId="77777777" w:rsidR="007D57FB" w:rsidRPr="00090FBA" w:rsidRDefault="007D57FB" w:rsidP="005B3E6B">
            <w:pPr>
              <w:rPr>
                <w:rFonts w:ascii="Calibri" w:eastAsia="Times New Roman" w:hAnsi="Calibri" w:cs="Calibri"/>
                <w:b/>
                <w:bCs/>
                <w:color w:val="000000"/>
                <w:lang w:eastAsia="en-GB"/>
              </w:rPr>
            </w:pPr>
            <w:r w:rsidRPr="00C566A8">
              <w:rPr>
                <w:rFonts w:ascii="Calibri" w:eastAsia="Times New Roman" w:hAnsi="Calibri" w:cs="Calibri"/>
                <w:b/>
                <w:bCs/>
                <w:i/>
                <w:color w:val="000000"/>
                <w:lang w:eastAsia="en-GB"/>
              </w:rPr>
              <w:t>Contd.</w:t>
            </w:r>
            <w:r>
              <w:rPr>
                <w:rFonts w:ascii="Calibri" w:eastAsia="Times New Roman" w:hAnsi="Calibri" w:cs="Calibri"/>
                <w:b/>
                <w:bCs/>
                <w:color w:val="000000"/>
                <w:lang w:eastAsia="en-GB"/>
              </w:rPr>
              <w:t xml:space="preserve"> </w:t>
            </w:r>
            <w:r w:rsidRPr="00090FBA">
              <w:rPr>
                <w:rFonts w:ascii="Calibri" w:eastAsia="Times New Roman" w:hAnsi="Calibri" w:cs="Calibri"/>
                <w:b/>
                <w:bCs/>
                <w:color w:val="000000"/>
                <w:lang w:eastAsia="en-GB"/>
              </w:rPr>
              <w:t>MedDRA® SOC Classification</w:t>
            </w:r>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9" w14:textId="7F15A8C9"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A"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B"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C"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E2D"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E"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2F"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E30"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7D57FB" w:rsidRPr="001F242F" w14:paraId="610C3E3B" w14:textId="77777777" w:rsidTr="00D0006B">
        <w:trPr>
          <w:trHeight w:val="29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E32"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Cardiac disorders</w:t>
            </w:r>
          </w:p>
        </w:tc>
        <w:tc>
          <w:tcPr>
            <w:tcW w:w="875" w:type="dxa"/>
            <w:vMerge w:val="restart"/>
            <w:tcBorders>
              <w:top w:val="single" w:sz="8" w:space="0" w:color="auto"/>
              <w:left w:val="nil"/>
              <w:right w:val="nil"/>
            </w:tcBorders>
            <w:shd w:val="clear" w:color="auto" w:fill="auto"/>
            <w:noWrap/>
            <w:vAlign w:val="center"/>
            <w:hideMark/>
          </w:tcPr>
          <w:p w14:paraId="610C3E33" w14:textId="7CF92652"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6.8</w:t>
            </w:r>
            <w:r w:rsidR="003A48A9">
              <w:rPr>
                <w:rFonts w:ascii="Calibri" w:eastAsia="Times New Roman" w:hAnsi="Calibri" w:cs="Calibri"/>
                <w:color w:val="000000"/>
                <w:lang w:eastAsia="en-GB"/>
              </w:rPr>
              <w:t>5</w:t>
            </w:r>
            <w:r w:rsidRPr="001F242F">
              <w:rPr>
                <w:rFonts w:ascii="Calibri" w:eastAsia="Times New Roman" w:hAnsi="Calibri" w:cs="Calibri"/>
                <w:color w:val="000000"/>
                <w:lang w:eastAsia="en-GB"/>
              </w:rPr>
              <w:t>%</w:t>
            </w:r>
          </w:p>
        </w:tc>
        <w:tc>
          <w:tcPr>
            <w:tcW w:w="663" w:type="dxa"/>
            <w:vMerge w:val="restart"/>
            <w:tcBorders>
              <w:top w:val="single" w:sz="8" w:space="0" w:color="auto"/>
              <w:left w:val="nil"/>
              <w:bottom w:val="single" w:sz="8" w:space="0" w:color="auto"/>
            </w:tcBorders>
            <w:shd w:val="clear" w:color="auto" w:fill="auto"/>
            <w:noWrap/>
            <w:vAlign w:val="center"/>
            <w:hideMark/>
          </w:tcPr>
          <w:p w14:paraId="610C3E34"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187</w:t>
            </w:r>
          </w:p>
        </w:tc>
        <w:tc>
          <w:tcPr>
            <w:tcW w:w="2935" w:type="dxa"/>
            <w:vMerge w:val="restart"/>
            <w:tcBorders>
              <w:top w:val="single" w:sz="8" w:space="0" w:color="auto"/>
              <w:left w:val="nil"/>
              <w:bottom w:val="single" w:sz="4" w:space="0" w:color="000000"/>
              <w:right w:val="nil"/>
            </w:tcBorders>
            <w:shd w:val="clear" w:color="auto" w:fill="auto"/>
            <w:noWrap/>
            <w:vAlign w:val="center"/>
            <w:hideMark/>
          </w:tcPr>
          <w:p w14:paraId="610C3E3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Rate and rhythm disorders</w:t>
            </w:r>
          </w:p>
        </w:tc>
        <w:tc>
          <w:tcPr>
            <w:tcW w:w="567" w:type="dxa"/>
            <w:vMerge w:val="restart"/>
            <w:tcBorders>
              <w:top w:val="single" w:sz="8" w:space="0" w:color="auto"/>
              <w:left w:val="nil"/>
              <w:right w:val="nil"/>
            </w:tcBorders>
            <w:shd w:val="clear" w:color="auto" w:fill="auto"/>
            <w:noWrap/>
            <w:vAlign w:val="center"/>
            <w:hideMark/>
          </w:tcPr>
          <w:p w14:paraId="610C3E3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74 </w:t>
            </w:r>
          </w:p>
        </w:tc>
        <w:tc>
          <w:tcPr>
            <w:tcW w:w="2514" w:type="dxa"/>
            <w:tcBorders>
              <w:top w:val="single" w:sz="8" w:space="0" w:color="auto"/>
              <w:left w:val="nil"/>
              <w:bottom w:val="single" w:sz="4" w:space="0" w:color="auto"/>
              <w:right w:val="nil"/>
            </w:tcBorders>
            <w:shd w:val="clear" w:color="auto" w:fill="auto"/>
            <w:vAlign w:val="center"/>
            <w:hideMark/>
          </w:tcPr>
          <w:p w14:paraId="610C3E3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Bradycardia</w:t>
            </w:r>
          </w:p>
        </w:tc>
        <w:tc>
          <w:tcPr>
            <w:tcW w:w="663" w:type="dxa"/>
            <w:tcBorders>
              <w:top w:val="single" w:sz="8" w:space="0" w:color="auto"/>
              <w:left w:val="nil"/>
              <w:bottom w:val="single" w:sz="4" w:space="0" w:color="auto"/>
              <w:right w:val="nil"/>
            </w:tcBorders>
            <w:shd w:val="clear" w:color="auto" w:fill="auto"/>
            <w:noWrap/>
            <w:vAlign w:val="center"/>
            <w:hideMark/>
          </w:tcPr>
          <w:p w14:paraId="610C3E3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55</w:t>
            </w:r>
          </w:p>
        </w:tc>
        <w:tc>
          <w:tcPr>
            <w:tcW w:w="2390" w:type="dxa"/>
            <w:tcBorders>
              <w:top w:val="single" w:sz="8" w:space="0" w:color="auto"/>
              <w:left w:val="nil"/>
              <w:bottom w:val="single" w:sz="4" w:space="0" w:color="auto"/>
              <w:right w:val="nil"/>
            </w:tcBorders>
            <w:shd w:val="clear" w:color="auto" w:fill="auto"/>
            <w:noWrap/>
            <w:vAlign w:val="center"/>
            <w:hideMark/>
          </w:tcPr>
          <w:p w14:paraId="610C3E3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1F242F">
              <w:rPr>
                <w:rFonts w:ascii="Calibri" w:eastAsia="Times New Roman" w:hAnsi="Calibri" w:cs="Calibri"/>
                <w:color w:val="000000"/>
                <w:lang w:eastAsia="en-GB"/>
              </w:rPr>
              <w:t> </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3E3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45"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3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3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3E"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E3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E40"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E4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Tachycardia</w:t>
            </w:r>
          </w:p>
        </w:tc>
        <w:tc>
          <w:tcPr>
            <w:tcW w:w="663" w:type="dxa"/>
            <w:tcBorders>
              <w:top w:val="single" w:sz="4" w:space="0" w:color="auto"/>
              <w:left w:val="nil"/>
              <w:bottom w:val="single" w:sz="4" w:space="0" w:color="auto"/>
              <w:right w:val="nil"/>
            </w:tcBorders>
            <w:shd w:val="clear" w:color="auto" w:fill="auto"/>
            <w:noWrap/>
            <w:vAlign w:val="center"/>
            <w:hideMark/>
          </w:tcPr>
          <w:p w14:paraId="610C3E4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w:t>
            </w:r>
          </w:p>
        </w:tc>
        <w:tc>
          <w:tcPr>
            <w:tcW w:w="2390" w:type="dxa"/>
            <w:tcBorders>
              <w:top w:val="single" w:sz="4" w:space="0" w:color="auto"/>
              <w:left w:val="nil"/>
              <w:bottom w:val="single" w:sz="4" w:space="0" w:color="auto"/>
              <w:right w:val="nil"/>
            </w:tcBorders>
            <w:shd w:val="clear" w:color="auto" w:fill="auto"/>
            <w:noWrap/>
            <w:vAlign w:val="center"/>
            <w:hideMark/>
          </w:tcPr>
          <w:p w14:paraId="610C3E4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4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4F"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4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4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4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E4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4A"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E4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AV Block</w:t>
            </w:r>
          </w:p>
        </w:tc>
        <w:tc>
          <w:tcPr>
            <w:tcW w:w="663" w:type="dxa"/>
            <w:tcBorders>
              <w:top w:val="single" w:sz="4" w:space="0" w:color="auto"/>
              <w:left w:val="nil"/>
              <w:bottom w:val="single" w:sz="4" w:space="0" w:color="auto"/>
              <w:right w:val="nil"/>
            </w:tcBorders>
            <w:shd w:val="clear" w:color="auto" w:fill="auto"/>
            <w:noWrap/>
            <w:vAlign w:val="center"/>
            <w:hideMark/>
          </w:tcPr>
          <w:p w14:paraId="610C3E4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12</w:t>
            </w:r>
          </w:p>
        </w:tc>
        <w:tc>
          <w:tcPr>
            <w:tcW w:w="2390" w:type="dxa"/>
            <w:tcBorders>
              <w:top w:val="single" w:sz="4" w:space="0" w:color="auto"/>
              <w:left w:val="nil"/>
              <w:bottom w:val="single" w:sz="4" w:space="0" w:color="auto"/>
              <w:right w:val="nil"/>
            </w:tcBorders>
            <w:shd w:val="clear" w:color="auto" w:fill="auto"/>
            <w:noWrap/>
            <w:vAlign w:val="center"/>
            <w:hideMark/>
          </w:tcPr>
          <w:p w14:paraId="610C3E4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4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5A"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5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5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5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E5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Cardiovascular</w:t>
            </w:r>
          </w:p>
        </w:tc>
        <w:tc>
          <w:tcPr>
            <w:tcW w:w="567" w:type="dxa"/>
            <w:vMerge w:val="restart"/>
            <w:tcBorders>
              <w:top w:val="nil"/>
              <w:left w:val="nil"/>
              <w:right w:val="nil"/>
            </w:tcBorders>
            <w:shd w:val="clear" w:color="auto" w:fill="auto"/>
            <w:noWrap/>
            <w:vAlign w:val="center"/>
            <w:hideMark/>
          </w:tcPr>
          <w:p w14:paraId="610C3E5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110</w:t>
            </w:r>
          </w:p>
          <w:p w14:paraId="610C3E5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514" w:type="dxa"/>
            <w:tcBorders>
              <w:top w:val="single" w:sz="4" w:space="0" w:color="auto"/>
              <w:left w:val="nil"/>
              <w:bottom w:val="single" w:sz="4" w:space="0" w:color="auto"/>
              <w:right w:val="nil"/>
            </w:tcBorders>
            <w:shd w:val="clear" w:color="auto" w:fill="auto"/>
            <w:noWrap/>
            <w:vAlign w:val="center"/>
            <w:hideMark/>
          </w:tcPr>
          <w:p w14:paraId="610C3E56"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Cardiovascular and arrhythmic complications </w:t>
            </w:r>
          </w:p>
        </w:tc>
        <w:tc>
          <w:tcPr>
            <w:tcW w:w="663" w:type="dxa"/>
            <w:tcBorders>
              <w:top w:val="single" w:sz="4" w:space="0" w:color="auto"/>
              <w:left w:val="nil"/>
              <w:bottom w:val="single" w:sz="4" w:space="0" w:color="auto"/>
              <w:right w:val="nil"/>
            </w:tcBorders>
            <w:shd w:val="clear" w:color="auto" w:fill="auto"/>
            <w:noWrap/>
            <w:vAlign w:val="center"/>
            <w:hideMark/>
          </w:tcPr>
          <w:p w14:paraId="610C3E5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97</w:t>
            </w:r>
          </w:p>
        </w:tc>
        <w:tc>
          <w:tcPr>
            <w:tcW w:w="2390" w:type="dxa"/>
            <w:tcBorders>
              <w:top w:val="single" w:sz="4" w:space="0" w:color="auto"/>
              <w:left w:val="nil"/>
              <w:bottom w:val="single" w:sz="4" w:space="0" w:color="auto"/>
              <w:right w:val="nil"/>
            </w:tcBorders>
            <w:shd w:val="clear" w:color="auto" w:fill="auto"/>
            <w:noWrap/>
            <w:vAlign w:val="center"/>
            <w:hideMark/>
          </w:tcPr>
          <w:p w14:paraId="610C3E58"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5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64" w14:textId="77777777" w:rsidTr="00D0006B">
        <w:trPr>
          <w:trHeight w:val="36"/>
        </w:trPr>
        <w:tc>
          <w:tcPr>
            <w:tcW w:w="2405" w:type="dxa"/>
            <w:vMerge/>
            <w:tcBorders>
              <w:top w:val="single" w:sz="8" w:space="0" w:color="auto"/>
              <w:left w:val="single" w:sz="8" w:space="0" w:color="auto"/>
              <w:bottom w:val="nil"/>
              <w:right w:val="nil"/>
            </w:tcBorders>
            <w:vAlign w:val="center"/>
            <w:hideMark/>
          </w:tcPr>
          <w:p w14:paraId="610C3E5B"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5C"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5D"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5E"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5F"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E6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Cardiovascular system</w:t>
            </w:r>
          </w:p>
        </w:tc>
        <w:tc>
          <w:tcPr>
            <w:tcW w:w="663" w:type="dxa"/>
            <w:tcBorders>
              <w:top w:val="single" w:sz="4" w:space="0" w:color="auto"/>
              <w:left w:val="nil"/>
              <w:bottom w:val="single" w:sz="4" w:space="0" w:color="auto"/>
              <w:right w:val="nil"/>
            </w:tcBorders>
            <w:shd w:val="clear" w:color="auto" w:fill="auto"/>
            <w:noWrap/>
            <w:vAlign w:val="center"/>
            <w:hideMark/>
          </w:tcPr>
          <w:p w14:paraId="610C3E6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13</w:t>
            </w:r>
          </w:p>
        </w:tc>
        <w:tc>
          <w:tcPr>
            <w:tcW w:w="2390" w:type="dxa"/>
            <w:tcBorders>
              <w:top w:val="single" w:sz="4" w:space="0" w:color="auto"/>
              <w:left w:val="nil"/>
              <w:bottom w:val="single" w:sz="4" w:space="0" w:color="auto"/>
              <w:right w:val="nil"/>
            </w:tcBorders>
            <w:shd w:val="clear" w:color="auto" w:fill="auto"/>
            <w:noWrap/>
            <w:vAlign w:val="center"/>
            <w:hideMark/>
          </w:tcPr>
          <w:p w14:paraId="610C3E62"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6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6E" w14:textId="77777777" w:rsidTr="00D0006B">
        <w:trPr>
          <w:trHeight w:val="580"/>
        </w:trPr>
        <w:tc>
          <w:tcPr>
            <w:tcW w:w="2405" w:type="dxa"/>
            <w:vMerge/>
            <w:tcBorders>
              <w:top w:val="single" w:sz="8" w:space="0" w:color="auto"/>
              <w:left w:val="single" w:sz="8" w:space="0" w:color="auto"/>
              <w:bottom w:val="nil"/>
              <w:right w:val="nil"/>
            </w:tcBorders>
            <w:vAlign w:val="center"/>
            <w:hideMark/>
          </w:tcPr>
          <w:p w14:paraId="610C3E65"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6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67"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vAlign w:val="center"/>
            <w:hideMark/>
          </w:tcPr>
          <w:p w14:paraId="610C3E68"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Cardiac failure</w:t>
            </w:r>
          </w:p>
        </w:tc>
        <w:tc>
          <w:tcPr>
            <w:tcW w:w="567" w:type="dxa"/>
            <w:tcBorders>
              <w:top w:val="nil"/>
              <w:left w:val="nil"/>
              <w:bottom w:val="single" w:sz="4" w:space="0" w:color="auto"/>
              <w:right w:val="nil"/>
            </w:tcBorders>
            <w:shd w:val="clear" w:color="auto" w:fill="auto"/>
            <w:vAlign w:val="center"/>
            <w:hideMark/>
          </w:tcPr>
          <w:p w14:paraId="610C3E6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4" w:space="0" w:color="auto"/>
              <w:right w:val="nil"/>
            </w:tcBorders>
            <w:shd w:val="clear" w:color="auto" w:fill="auto"/>
            <w:vAlign w:val="center"/>
            <w:hideMark/>
          </w:tcPr>
          <w:p w14:paraId="610C3E6A"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Left ventricular failure / overload</w:t>
            </w:r>
          </w:p>
        </w:tc>
        <w:tc>
          <w:tcPr>
            <w:tcW w:w="663" w:type="dxa"/>
            <w:tcBorders>
              <w:top w:val="nil"/>
              <w:left w:val="nil"/>
              <w:bottom w:val="single" w:sz="4" w:space="0" w:color="auto"/>
              <w:right w:val="nil"/>
            </w:tcBorders>
            <w:shd w:val="clear" w:color="auto" w:fill="auto"/>
            <w:noWrap/>
            <w:vAlign w:val="center"/>
            <w:hideMark/>
          </w:tcPr>
          <w:p w14:paraId="610C3E6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4" w:space="0" w:color="auto"/>
              <w:right w:val="nil"/>
            </w:tcBorders>
            <w:shd w:val="clear" w:color="auto" w:fill="auto"/>
            <w:noWrap/>
            <w:vAlign w:val="center"/>
            <w:hideMark/>
          </w:tcPr>
          <w:p w14:paraId="610C3E6C"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3E6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78"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E6F"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E70"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71"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E72"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Chest pain</w:t>
            </w:r>
          </w:p>
        </w:tc>
        <w:tc>
          <w:tcPr>
            <w:tcW w:w="567" w:type="dxa"/>
            <w:tcBorders>
              <w:top w:val="nil"/>
              <w:left w:val="nil"/>
              <w:bottom w:val="nil"/>
              <w:right w:val="nil"/>
            </w:tcBorders>
            <w:shd w:val="clear" w:color="auto" w:fill="auto"/>
            <w:noWrap/>
            <w:vAlign w:val="center"/>
            <w:hideMark/>
          </w:tcPr>
          <w:p w14:paraId="610C3E7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8" w:space="0" w:color="auto"/>
              <w:right w:val="nil"/>
            </w:tcBorders>
            <w:shd w:val="clear" w:color="auto" w:fill="auto"/>
            <w:noWrap/>
            <w:vAlign w:val="center"/>
            <w:hideMark/>
          </w:tcPr>
          <w:p w14:paraId="610C3E74"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Chest pain</w:t>
            </w:r>
          </w:p>
        </w:tc>
        <w:tc>
          <w:tcPr>
            <w:tcW w:w="663" w:type="dxa"/>
            <w:tcBorders>
              <w:top w:val="nil"/>
              <w:left w:val="nil"/>
              <w:bottom w:val="single" w:sz="8" w:space="0" w:color="auto"/>
              <w:right w:val="nil"/>
            </w:tcBorders>
            <w:shd w:val="clear" w:color="auto" w:fill="auto"/>
            <w:noWrap/>
            <w:vAlign w:val="center"/>
            <w:hideMark/>
          </w:tcPr>
          <w:p w14:paraId="610C3E7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8" w:space="0" w:color="auto"/>
              <w:right w:val="nil"/>
            </w:tcBorders>
            <w:shd w:val="clear" w:color="auto" w:fill="auto"/>
            <w:noWrap/>
            <w:vAlign w:val="center"/>
            <w:hideMark/>
          </w:tcPr>
          <w:p w14:paraId="610C3E76"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vAlign w:val="center"/>
            <w:hideMark/>
          </w:tcPr>
          <w:p w14:paraId="610C3E7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82" w14:textId="77777777" w:rsidTr="00D0006B">
        <w:trPr>
          <w:trHeight w:val="29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E79"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Renal and urinary disorders</w:t>
            </w:r>
          </w:p>
        </w:tc>
        <w:tc>
          <w:tcPr>
            <w:tcW w:w="875" w:type="dxa"/>
            <w:vMerge w:val="restart"/>
            <w:tcBorders>
              <w:top w:val="single" w:sz="8" w:space="0" w:color="auto"/>
              <w:left w:val="nil"/>
              <w:right w:val="nil"/>
            </w:tcBorders>
            <w:shd w:val="clear" w:color="auto" w:fill="auto"/>
            <w:noWrap/>
            <w:vAlign w:val="center"/>
            <w:hideMark/>
          </w:tcPr>
          <w:p w14:paraId="610C3E7A" w14:textId="7D400901"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6.4</w:t>
            </w:r>
            <w:r w:rsidR="003A48A9">
              <w:rPr>
                <w:rFonts w:ascii="Calibri" w:eastAsia="Times New Roman" w:hAnsi="Calibri" w:cs="Calibri"/>
                <w:color w:val="000000"/>
                <w:lang w:eastAsia="en-GB"/>
              </w:rPr>
              <w:t>1</w:t>
            </w:r>
            <w:r w:rsidRPr="001F242F">
              <w:rPr>
                <w:rFonts w:ascii="Calibri" w:eastAsia="Times New Roman" w:hAnsi="Calibri" w:cs="Calibri"/>
                <w:color w:val="000000"/>
                <w:lang w:eastAsia="en-GB"/>
              </w:rPr>
              <w:t>%</w:t>
            </w:r>
          </w:p>
        </w:tc>
        <w:tc>
          <w:tcPr>
            <w:tcW w:w="663" w:type="dxa"/>
            <w:vMerge w:val="restart"/>
            <w:tcBorders>
              <w:top w:val="single" w:sz="8" w:space="0" w:color="auto"/>
              <w:left w:val="nil"/>
              <w:bottom w:val="single" w:sz="8" w:space="0" w:color="auto"/>
            </w:tcBorders>
            <w:shd w:val="clear" w:color="auto" w:fill="auto"/>
            <w:noWrap/>
            <w:vAlign w:val="center"/>
            <w:hideMark/>
          </w:tcPr>
          <w:p w14:paraId="610C3E7B"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175</w:t>
            </w:r>
          </w:p>
        </w:tc>
        <w:tc>
          <w:tcPr>
            <w:tcW w:w="2935" w:type="dxa"/>
            <w:vMerge w:val="restart"/>
            <w:tcBorders>
              <w:top w:val="single" w:sz="8" w:space="0" w:color="auto"/>
              <w:left w:val="nil"/>
              <w:bottom w:val="single" w:sz="4" w:space="0" w:color="000000"/>
              <w:right w:val="nil"/>
            </w:tcBorders>
            <w:shd w:val="clear" w:color="auto" w:fill="auto"/>
            <w:noWrap/>
            <w:vAlign w:val="center"/>
            <w:hideMark/>
          </w:tcPr>
          <w:p w14:paraId="610C3E7C"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Renal disorders (excl. </w:t>
            </w:r>
            <w:r w:rsidRPr="001F242F">
              <w:rPr>
                <w:rFonts w:ascii="Calibri" w:eastAsia="Times New Roman" w:hAnsi="Calibri" w:cs="Calibri"/>
                <w:color w:val="000000"/>
                <w:lang w:eastAsia="en-GB"/>
              </w:rPr>
              <w:t xml:space="preserve">nephropathies) </w:t>
            </w:r>
          </w:p>
        </w:tc>
        <w:tc>
          <w:tcPr>
            <w:tcW w:w="567" w:type="dxa"/>
            <w:vMerge w:val="restart"/>
            <w:tcBorders>
              <w:top w:val="single" w:sz="8" w:space="0" w:color="auto"/>
              <w:left w:val="nil"/>
              <w:right w:val="nil"/>
            </w:tcBorders>
            <w:shd w:val="clear" w:color="auto" w:fill="auto"/>
            <w:noWrap/>
            <w:vAlign w:val="center"/>
            <w:hideMark/>
          </w:tcPr>
          <w:p w14:paraId="610C3E7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150</w:t>
            </w:r>
          </w:p>
        </w:tc>
        <w:tc>
          <w:tcPr>
            <w:tcW w:w="2514" w:type="dxa"/>
            <w:tcBorders>
              <w:top w:val="single" w:sz="8" w:space="0" w:color="auto"/>
              <w:left w:val="nil"/>
              <w:bottom w:val="single" w:sz="4" w:space="0" w:color="auto"/>
              <w:right w:val="nil"/>
            </w:tcBorders>
            <w:shd w:val="clear" w:color="auto" w:fill="auto"/>
            <w:vAlign w:val="center"/>
            <w:hideMark/>
          </w:tcPr>
          <w:p w14:paraId="610C3E7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AKI</w:t>
            </w:r>
          </w:p>
        </w:tc>
        <w:tc>
          <w:tcPr>
            <w:tcW w:w="663" w:type="dxa"/>
            <w:tcBorders>
              <w:top w:val="single" w:sz="8" w:space="0" w:color="auto"/>
              <w:left w:val="nil"/>
              <w:bottom w:val="single" w:sz="4" w:space="0" w:color="auto"/>
              <w:right w:val="nil"/>
            </w:tcBorders>
            <w:shd w:val="clear" w:color="auto" w:fill="auto"/>
            <w:noWrap/>
            <w:vAlign w:val="center"/>
            <w:hideMark/>
          </w:tcPr>
          <w:p w14:paraId="610C3E7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148</w:t>
            </w:r>
          </w:p>
        </w:tc>
        <w:tc>
          <w:tcPr>
            <w:tcW w:w="2390" w:type="dxa"/>
            <w:tcBorders>
              <w:top w:val="single" w:sz="8" w:space="0" w:color="auto"/>
              <w:left w:val="nil"/>
              <w:bottom w:val="single" w:sz="4" w:space="0" w:color="auto"/>
              <w:right w:val="nil"/>
            </w:tcBorders>
            <w:shd w:val="clear" w:color="auto" w:fill="auto"/>
            <w:vAlign w:val="center"/>
            <w:hideMark/>
          </w:tcPr>
          <w:p w14:paraId="610C3E8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AKI</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3E8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148</w:t>
            </w:r>
          </w:p>
        </w:tc>
      </w:tr>
      <w:tr w:rsidR="007D57FB" w:rsidRPr="001F242F" w14:paraId="610C3E8C"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83"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84"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85"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E8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87"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E88"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Renal failure complications </w:t>
            </w:r>
          </w:p>
        </w:tc>
        <w:tc>
          <w:tcPr>
            <w:tcW w:w="663" w:type="dxa"/>
            <w:tcBorders>
              <w:top w:val="single" w:sz="4" w:space="0" w:color="auto"/>
              <w:left w:val="nil"/>
              <w:bottom w:val="single" w:sz="4" w:space="0" w:color="auto"/>
              <w:right w:val="nil"/>
            </w:tcBorders>
            <w:shd w:val="clear" w:color="auto" w:fill="auto"/>
            <w:noWrap/>
            <w:vAlign w:val="center"/>
            <w:hideMark/>
          </w:tcPr>
          <w:p w14:paraId="610C3E8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vAlign w:val="center"/>
            <w:hideMark/>
          </w:tcPr>
          <w:p w14:paraId="610C3E8A"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Hyperazotaemia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8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r>
      <w:tr w:rsidR="007D57FB" w:rsidRPr="001F242F" w14:paraId="610C3E96" w14:textId="77777777" w:rsidTr="00D0006B">
        <w:trPr>
          <w:trHeight w:val="36"/>
        </w:trPr>
        <w:tc>
          <w:tcPr>
            <w:tcW w:w="2405" w:type="dxa"/>
            <w:vMerge/>
            <w:tcBorders>
              <w:top w:val="single" w:sz="8" w:space="0" w:color="auto"/>
              <w:left w:val="single" w:sz="8" w:space="0" w:color="auto"/>
              <w:bottom w:val="nil"/>
              <w:right w:val="nil"/>
            </w:tcBorders>
            <w:vAlign w:val="center"/>
            <w:hideMark/>
          </w:tcPr>
          <w:p w14:paraId="610C3E8D"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8E"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8F"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E9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Urinary tract signs and symptoms</w:t>
            </w:r>
          </w:p>
        </w:tc>
        <w:tc>
          <w:tcPr>
            <w:tcW w:w="567" w:type="dxa"/>
            <w:vMerge w:val="restart"/>
            <w:tcBorders>
              <w:top w:val="nil"/>
              <w:left w:val="nil"/>
              <w:right w:val="nil"/>
            </w:tcBorders>
            <w:shd w:val="clear" w:color="auto" w:fill="auto"/>
            <w:noWrap/>
            <w:vAlign w:val="center"/>
            <w:hideMark/>
          </w:tcPr>
          <w:p w14:paraId="610C3E9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22</w:t>
            </w:r>
          </w:p>
        </w:tc>
        <w:tc>
          <w:tcPr>
            <w:tcW w:w="2514" w:type="dxa"/>
            <w:vMerge w:val="restart"/>
            <w:tcBorders>
              <w:top w:val="nil"/>
              <w:left w:val="nil"/>
              <w:right w:val="nil"/>
            </w:tcBorders>
            <w:shd w:val="clear" w:color="auto" w:fill="auto"/>
            <w:vAlign w:val="center"/>
            <w:hideMark/>
          </w:tcPr>
          <w:p w14:paraId="610C3E92"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Bladder and urethral symptoms </w:t>
            </w:r>
          </w:p>
        </w:tc>
        <w:tc>
          <w:tcPr>
            <w:tcW w:w="663" w:type="dxa"/>
            <w:vMerge w:val="restart"/>
            <w:tcBorders>
              <w:top w:val="nil"/>
              <w:left w:val="nil"/>
              <w:right w:val="nil"/>
            </w:tcBorders>
            <w:shd w:val="clear" w:color="auto" w:fill="auto"/>
            <w:noWrap/>
            <w:vAlign w:val="center"/>
            <w:hideMark/>
          </w:tcPr>
          <w:p w14:paraId="610C3E9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22</w:t>
            </w:r>
          </w:p>
        </w:tc>
        <w:tc>
          <w:tcPr>
            <w:tcW w:w="2390" w:type="dxa"/>
            <w:tcBorders>
              <w:top w:val="single" w:sz="4" w:space="0" w:color="auto"/>
              <w:left w:val="nil"/>
              <w:bottom w:val="single" w:sz="4" w:space="0" w:color="auto"/>
              <w:right w:val="nil"/>
            </w:tcBorders>
            <w:shd w:val="clear" w:color="auto" w:fill="auto"/>
            <w:vAlign w:val="center"/>
            <w:hideMark/>
          </w:tcPr>
          <w:p w14:paraId="610C3E94"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Haematuria</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9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18</w:t>
            </w:r>
          </w:p>
        </w:tc>
      </w:tr>
      <w:tr w:rsidR="007D57FB" w:rsidRPr="001F242F" w14:paraId="610C3EA0"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97"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98"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99"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9A"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9B"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vMerge/>
            <w:tcBorders>
              <w:left w:val="nil"/>
              <w:bottom w:val="single" w:sz="4" w:space="0" w:color="auto"/>
              <w:right w:val="nil"/>
            </w:tcBorders>
            <w:shd w:val="clear" w:color="auto" w:fill="auto"/>
            <w:vAlign w:val="center"/>
            <w:hideMark/>
          </w:tcPr>
          <w:p w14:paraId="610C3E9C"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E9D"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E9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Urine retention</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E9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w:t>
            </w:r>
          </w:p>
        </w:tc>
      </w:tr>
      <w:tr w:rsidR="007D57FB" w:rsidRPr="001F242F" w14:paraId="610C3EAA"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EA1"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EA2"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A3"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EA4"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Nephropathies </w:t>
            </w:r>
          </w:p>
        </w:tc>
        <w:tc>
          <w:tcPr>
            <w:tcW w:w="567" w:type="dxa"/>
            <w:tcBorders>
              <w:top w:val="nil"/>
              <w:left w:val="nil"/>
              <w:bottom w:val="nil"/>
              <w:right w:val="nil"/>
            </w:tcBorders>
            <w:shd w:val="clear" w:color="auto" w:fill="auto"/>
            <w:noWrap/>
            <w:vAlign w:val="center"/>
            <w:hideMark/>
          </w:tcPr>
          <w:p w14:paraId="610C3EA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nil"/>
              <w:left w:val="nil"/>
              <w:bottom w:val="single" w:sz="8" w:space="0" w:color="auto"/>
              <w:right w:val="nil"/>
            </w:tcBorders>
            <w:shd w:val="clear" w:color="auto" w:fill="auto"/>
            <w:vAlign w:val="center"/>
            <w:hideMark/>
          </w:tcPr>
          <w:p w14:paraId="610C3EA6"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Nephritis</w:t>
            </w:r>
          </w:p>
        </w:tc>
        <w:tc>
          <w:tcPr>
            <w:tcW w:w="663" w:type="dxa"/>
            <w:tcBorders>
              <w:top w:val="nil"/>
              <w:left w:val="nil"/>
              <w:bottom w:val="single" w:sz="8" w:space="0" w:color="auto"/>
              <w:right w:val="nil"/>
            </w:tcBorders>
            <w:shd w:val="clear" w:color="auto" w:fill="auto"/>
            <w:noWrap/>
            <w:vAlign w:val="center"/>
            <w:hideMark/>
          </w:tcPr>
          <w:p w14:paraId="610C3EA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nil"/>
              <w:left w:val="nil"/>
              <w:bottom w:val="single" w:sz="8" w:space="0" w:color="auto"/>
              <w:right w:val="nil"/>
            </w:tcBorders>
            <w:shd w:val="clear" w:color="auto" w:fill="auto"/>
            <w:noWrap/>
            <w:vAlign w:val="center"/>
            <w:hideMark/>
          </w:tcPr>
          <w:p w14:paraId="610C3EA8"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vAlign w:val="center"/>
            <w:hideMark/>
          </w:tcPr>
          <w:p w14:paraId="610C3EA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B5" w14:textId="77777777" w:rsidTr="00D0006B">
        <w:trPr>
          <w:trHeight w:val="29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EAB"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Investigations</w:t>
            </w:r>
          </w:p>
        </w:tc>
        <w:tc>
          <w:tcPr>
            <w:tcW w:w="875" w:type="dxa"/>
            <w:vMerge w:val="restart"/>
            <w:tcBorders>
              <w:top w:val="single" w:sz="8" w:space="0" w:color="auto"/>
              <w:left w:val="nil"/>
              <w:right w:val="nil"/>
            </w:tcBorders>
            <w:shd w:val="clear" w:color="auto" w:fill="auto"/>
            <w:noWrap/>
            <w:vAlign w:val="center"/>
            <w:hideMark/>
          </w:tcPr>
          <w:p w14:paraId="610C3EAC" w14:textId="1CA656E3"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4.2</w:t>
            </w:r>
            <w:r w:rsidR="003A48A9">
              <w:rPr>
                <w:rFonts w:ascii="Calibri" w:eastAsia="Times New Roman" w:hAnsi="Calibri" w:cs="Calibri"/>
                <w:color w:val="000000"/>
                <w:lang w:eastAsia="en-GB"/>
              </w:rPr>
              <w:t>5</w:t>
            </w:r>
            <w:r w:rsidRPr="001F242F">
              <w:rPr>
                <w:rFonts w:ascii="Calibri" w:eastAsia="Times New Roman" w:hAnsi="Calibri" w:cs="Calibri"/>
                <w:color w:val="000000"/>
                <w:lang w:eastAsia="en-GB"/>
              </w:rPr>
              <w:t>%</w:t>
            </w:r>
          </w:p>
        </w:tc>
        <w:tc>
          <w:tcPr>
            <w:tcW w:w="663" w:type="dxa"/>
            <w:vMerge w:val="restart"/>
            <w:tcBorders>
              <w:top w:val="single" w:sz="8" w:space="0" w:color="auto"/>
              <w:left w:val="nil"/>
              <w:bottom w:val="single" w:sz="8" w:space="0" w:color="auto"/>
            </w:tcBorders>
            <w:shd w:val="clear" w:color="auto" w:fill="auto"/>
            <w:noWrap/>
            <w:vAlign w:val="center"/>
            <w:hideMark/>
          </w:tcPr>
          <w:p w14:paraId="610C3EAD"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116</w:t>
            </w:r>
          </w:p>
        </w:tc>
        <w:tc>
          <w:tcPr>
            <w:tcW w:w="2935" w:type="dxa"/>
            <w:vMerge w:val="restart"/>
            <w:tcBorders>
              <w:top w:val="single" w:sz="8" w:space="0" w:color="auto"/>
              <w:left w:val="nil"/>
              <w:bottom w:val="single" w:sz="4" w:space="0" w:color="000000"/>
              <w:right w:val="nil"/>
            </w:tcBorders>
            <w:shd w:val="clear" w:color="auto" w:fill="auto"/>
            <w:vAlign w:val="center"/>
            <w:hideMark/>
          </w:tcPr>
          <w:p w14:paraId="610C3EA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Haematology investigations - Coagulation and bleeding analyses </w:t>
            </w:r>
          </w:p>
        </w:tc>
        <w:tc>
          <w:tcPr>
            <w:tcW w:w="567" w:type="dxa"/>
            <w:vMerge w:val="restart"/>
            <w:tcBorders>
              <w:top w:val="single" w:sz="8" w:space="0" w:color="auto"/>
              <w:left w:val="nil"/>
              <w:right w:val="nil"/>
            </w:tcBorders>
            <w:shd w:val="clear" w:color="auto" w:fill="auto"/>
            <w:noWrap/>
            <w:vAlign w:val="center"/>
            <w:hideMark/>
          </w:tcPr>
          <w:p w14:paraId="610C3EA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98</w:t>
            </w:r>
          </w:p>
          <w:p w14:paraId="610C3EB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514" w:type="dxa"/>
            <w:tcBorders>
              <w:top w:val="single" w:sz="8" w:space="0" w:color="auto"/>
              <w:left w:val="nil"/>
              <w:bottom w:val="single" w:sz="4" w:space="0" w:color="auto"/>
              <w:right w:val="nil"/>
            </w:tcBorders>
            <w:shd w:val="clear" w:color="auto" w:fill="auto"/>
            <w:vAlign w:val="center"/>
            <w:hideMark/>
          </w:tcPr>
          <w:p w14:paraId="610C3EB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INR increase</w:t>
            </w:r>
          </w:p>
        </w:tc>
        <w:tc>
          <w:tcPr>
            <w:tcW w:w="663" w:type="dxa"/>
            <w:tcBorders>
              <w:top w:val="single" w:sz="8" w:space="0" w:color="auto"/>
              <w:left w:val="nil"/>
              <w:bottom w:val="single" w:sz="4" w:space="0" w:color="auto"/>
              <w:right w:val="nil"/>
            </w:tcBorders>
            <w:shd w:val="clear" w:color="auto" w:fill="auto"/>
            <w:noWrap/>
            <w:vAlign w:val="center"/>
            <w:hideMark/>
          </w:tcPr>
          <w:p w14:paraId="610C3EB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97</w:t>
            </w:r>
          </w:p>
        </w:tc>
        <w:tc>
          <w:tcPr>
            <w:tcW w:w="2390" w:type="dxa"/>
            <w:tcBorders>
              <w:top w:val="single" w:sz="8" w:space="0" w:color="auto"/>
              <w:left w:val="nil"/>
              <w:bottom w:val="single" w:sz="4" w:space="0" w:color="auto"/>
              <w:right w:val="nil"/>
            </w:tcBorders>
            <w:shd w:val="clear" w:color="auto" w:fill="auto"/>
            <w:noWrap/>
            <w:vAlign w:val="center"/>
            <w:hideMark/>
          </w:tcPr>
          <w:p w14:paraId="610C3EB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3EB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BF"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B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B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B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EB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EBA"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EB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Low prothrombin time</w:t>
            </w:r>
          </w:p>
        </w:tc>
        <w:tc>
          <w:tcPr>
            <w:tcW w:w="663" w:type="dxa"/>
            <w:tcBorders>
              <w:top w:val="single" w:sz="4" w:space="0" w:color="auto"/>
              <w:left w:val="nil"/>
              <w:bottom w:val="single" w:sz="4" w:space="0" w:color="auto"/>
              <w:right w:val="nil"/>
            </w:tcBorders>
            <w:shd w:val="clear" w:color="auto" w:fill="auto"/>
            <w:noWrap/>
            <w:vAlign w:val="center"/>
            <w:hideMark/>
          </w:tcPr>
          <w:p w14:paraId="610C3EB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EB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B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C9"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EC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C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C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3EC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Toxicology and therapeutic drug monitoring - antibiotic level</w:t>
            </w:r>
          </w:p>
        </w:tc>
        <w:tc>
          <w:tcPr>
            <w:tcW w:w="567" w:type="dxa"/>
            <w:tcBorders>
              <w:top w:val="nil"/>
              <w:left w:val="nil"/>
              <w:bottom w:val="single" w:sz="4" w:space="0" w:color="auto"/>
              <w:right w:val="nil"/>
            </w:tcBorders>
            <w:shd w:val="clear" w:color="auto" w:fill="auto"/>
            <w:noWrap/>
            <w:vAlign w:val="center"/>
            <w:hideMark/>
          </w:tcPr>
          <w:p w14:paraId="610C3EC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4" w:space="0" w:color="auto"/>
              <w:right w:val="nil"/>
            </w:tcBorders>
            <w:shd w:val="clear" w:color="auto" w:fill="auto"/>
            <w:vAlign w:val="center"/>
            <w:hideMark/>
          </w:tcPr>
          <w:p w14:paraId="610C3EC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Elevated vanc</w:t>
            </w:r>
            <w:r>
              <w:rPr>
                <w:rFonts w:ascii="Calibri" w:eastAsia="Times New Roman" w:hAnsi="Calibri" w:cs="Calibri"/>
                <w:color w:val="000000"/>
                <w:lang w:eastAsia="en-GB"/>
              </w:rPr>
              <w:t>omycin</w:t>
            </w:r>
            <w:r w:rsidRPr="001F242F">
              <w:rPr>
                <w:rFonts w:ascii="Calibri" w:eastAsia="Times New Roman" w:hAnsi="Calibri" w:cs="Calibri"/>
                <w:color w:val="000000"/>
                <w:lang w:eastAsia="en-GB"/>
              </w:rPr>
              <w:t xml:space="preserve"> level</w:t>
            </w:r>
          </w:p>
        </w:tc>
        <w:tc>
          <w:tcPr>
            <w:tcW w:w="663" w:type="dxa"/>
            <w:tcBorders>
              <w:top w:val="nil"/>
              <w:left w:val="nil"/>
              <w:bottom w:val="single" w:sz="4" w:space="0" w:color="auto"/>
              <w:right w:val="nil"/>
            </w:tcBorders>
            <w:shd w:val="clear" w:color="auto" w:fill="auto"/>
            <w:noWrap/>
            <w:vAlign w:val="center"/>
            <w:hideMark/>
          </w:tcPr>
          <w:p w14:paraId="610C3EC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4" w:space="0" w:color="auto"/>
              <w:right w:val="nil"/>
            </w:tcBorders>
            <w:shd w:val="clear" w:color="auto" w:fill="auto"/>
            <w:noWrap/>
            <w:vAlign w:val="center"/>
            <w:hideMark/>
          </w:tcPr>
          <w:p w14:paraId="610C3EC7"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3EC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D3"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ECA"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ECB"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ECC"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EC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Hepatobiliary investigations - liver function analyses</w:t>
            </w:r>
          </w:p>
        </w:tc>
        <w:tc>
          <w:tcPr>
            <w:tcW w:w="567" w:type="dxa"/>
            <w:tcBorders>
              <w:top w:val="nil"/>
              <w:left w:val="nil"/>
              <w:bottom w:val="nil"/>
              <w:right w:val="nil"/>
            </w:tcBorders>
            <w:shd w:val="clear" w:color="auto" w:fill="auto"/>
            <w:noWrap/>
            <w:vAlign w:val="center"/>
            <w:hideMark/>
          </w:tcPr>
          <w:p w14:paraId="610C3EC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16</w:t>
            </w:r>
          </w:p>
        </w:tc>
        <w:tc>
          <w:tcPr>
            <w:tcW w:w="2514" w:type="dxa"/>
            <w:tcBorders>
              <w:top w:val="nil"/>
              <w:left w:val="nil"/>
              <w:bottom w:val="nil"/>
              <w:right w:val="nil"/>
            </w:tcBorders>
            <w:shd w:val="clear" w:color="auto" w:fill="auto"/>
            <w:vAlign w:val="center"/>
            <w:hideMark/>
          </w:tcPr>
          <w:p w14:paraId="610C3EC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Elevated liver enzymes</w:t>
            </w:r>
          </w:p>
        </w:tc>
        <w:tc>
          <w:tcPr>
            <w:tcW w:w="663" w:type="dxa"/>
            <w:tcBorders>
              <w:top w:val="nil"/>
              <w:left w:val="nil"/>
              <w:bottom w:val="nil"/>
              <w:right w:val="nil"/>
            </w:tcBorders>
            <w:shd w:val="clear" w:color="auto" w:fill="auto"/>
            <w:noWrap/>
            <w:vAlign w:val="center"/>
            <w:hideMark/>
          </w:tcPr>
          <w:p w14:paraId="610C3ED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16</w:t>
            </w:r>
          </w:p>
        </w:tc>
        <w:tc>
          <w:tcPr>
            <w:tcW w:w="2390" w:type="dxa"/>
            <w:tcBorders>
              <w:top w:val="nil"/>
              <w:left w:val="nil"/>
              <w:bottom w:val="nil"/>
              <w:right w:val="nil"/>
            </w:tcBorders>
            <w:shd w:val="clear" w:color="auto" w:fill="auto"/>
            <w:noWrap/>
            <w:vAlign w:val="center"/>
            <w:hideMark/>
          </w:tcPr>
          <w:p w14:paraId="610C3ED1"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nil"/>
              <w:right w:val="single" w:sz="8" w:space="0" w:color="auto"/>
            </w:tcBorders>
            <w:shd w:val="clear" w:color="auto" w:fill="auto"/>
            <w:vAlign w:val="center"/>
            <w:hideMark/>
          </w:tcPr>
          <w:p w14:paraId="610C3ED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DD" w14:textId="77777777" w:rsidTr="00D0006B">
        <w:trPr>
          <w:trHeight w:val="290"/>
        </w:trPr>
        <w:tc>
          <w:tcPr>
            <w:tcW w:w="2405" w:type="dxa"/>
            <w:tcBorders>
              <w:top w:val="single" w:sz="8" w:space="0" w:color="auto"/>
              <w:left w:val="single" w:sz="8" w:space="0" w:color="auto"/>
              <w:bottom w:val="single" w:sz="8" w:space="0" w:color="000000"/>
              <w:right w:val="nil"/>
            </w:tcBorders>
            <w:shd w:val="clear" w:color="auto" w:fill="auto"/>
            <w:noWrap/>
            <w:vAlign w:val="center"/>
            <w:hideMark/>
          </w:tcPr>
          <w:p w14:paraId="610C3ED4"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Infections and infestations</w:t>
            </w:r>
          </w:p>
        </w:tc>
        <w:tc>
          <w:tcPr>
            <w:tcW w:w="875" w:type="dxa"/>
            <w:tcBorders>
              <w:top w:val="single" w:sz="8" w:space="0" w:color="auto"/>
              <w:left w:val="nil"/>
              <w:right w:val="nil"/>
            </w:tcBorders>
            <w:shd w:val="clear" w:color="auto" w:fill="auto"/>
            <w:noWrap/>
            <w:vAlign w:val="center"/>
            <w:hideMark/>
          </w:tcPr>
          <w:p w14:paraId="610C3ED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3.19%</w:t>
            </w:r>
          </w:p>
        </w:tc>
        <w:tc>
          <w:tcPr>
            <w:tcW w:w="663" w:type="dxa"/>
            <w:tcBorders>
              <w:top w:val="single" w:sz="8" w:space="0" w:color="auto"/>
              <w:left w:val="nil"/>
              <w:bottom w:val="single" w:sz="8" w:space="0" w:color="auto"/>
            </w:tcBorders>
            <w:shd w:val="clear" w:color="auto" w:fill="auto"/>
            <w:noWrap/>
            <w:vAlign w:val="center"/>
            <w:hideMark/>
          </w:tcPr>
          <w:p w14:paraId="610C3ED6"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87</w:t>
            </w:r>
          </w:p>
        </w:tc>
        <w:tc>
          <w:tcPr>
            <w:tcW w:w="2935" w:type="dxa"/>
            <w:tcBorders>
              <w:top w:val="single" w:sz="8" w:space="0" w:color="auto"/>
              <w:left w:val="nil"/>
              <w:bottom w:val="single" w:sz="4" w:space="0" w:color="auto"/>
              <w:right w:val="nil"/>
            </w:tcBorders>
            <w:shd w:val="clear" w:color="auto" w:fill="auto"/>
            <w:noWrap/>
            <w:vAlign w:val="center"/>
            <w:hideMark/>
          </w:tcPr>
          <w:p w14:paraId="610C3ED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Fungal infectious disorders - Candida infections </w:t>
            </w:r>
          </w:p>
        </w:tc>
        <w:tc>
          <w:tcPr>
            <w:tcW w:w="567" w:type="dxa"/>
            <w:tcBorders>
              <w:top w:val="single" w:sz="8" w:space="0" w:color="auto"/>
              <w:left w:val="nil"/>
              <w:bottom w:val="single" w:sz="4" w:space="0" w:color="auto"/>
              <w:right w:val="nil"/>
            </w:tcBorders>
            <w:shd w:val="clear" w:color="auto" w:fill="auto"/>
            <w:noWrap/>
            <w:vAlign w:val="center"/>
            <w:hideMark/>
          </w:tcPr>
          <w:p w14:paraId="610C3ED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67</w:t>
            </w:r>
          </w:p>
        </w:tc>
        <w:tc>
          <w:tcPr>
            <w:tcW w:w="2514" w:type="dxa"/>
            <w:tcBorders>
              <w:top w:val="single" w:sz="8" w:space="0" w:color="auto"/>
              <w:left w:val="nil"/>
              <w:bottom w:val="single" w:sz="4" w:space="0" w:color="auto"/>
              <w:right w:val="nil"/>
            </w:tcBorders>
            <w:shd w:val="clear" w:color="auto" w:fill="auto"/>
            <w:vAlign w:val="center"/>
            <w:hideMark/>
          </w:tcPr>
          <w:p w14:paraId="610C3ED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Thrush</w:t>
            </w:r>
          </w:p>
        </w:tc>
        <w:tc>
          <w:tcPr>
            <w:tcW w:w="663" w:type="dxa"/>
            <w:tcBorders>
              <w:top w:val="single" w:sz="8" w:space="0" w:color="auto"/>
              <w:left w:val="nil"/>
              <w:bottom w:val="single" w:sz="4" w:space="0" w:color="auto"/>
              <w:right w:val="nil"/>
            </w:tcBorders>
            <w:shd w:val="clear" w:color="auto" w:fill="auto"/>
            <w:noWrap/>
            <w:vAlign w:val="center"/>
            <w:hideMark/>
          </w:tcPr>
          <w:p w14:paraId="610C3ED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67</w:t>
            </w:r>
          </w:p>
        </w:tc>
        <w:tc>
          <w:tcPr>
            <w:tcW w:w="2390" w:type="dxa"/>
            <w:tcBorders>
              <w:top w:val="single" w:sz="8" w:space="0" w:color="auto"/>
              <w:left w:val="nil"/>
              <w:bottom w:val="single" w:sz="4" w:space="0" w:color="auto"/>
              <w:right w:val="nil"/>
            </w:tcBorders>
            <w:shd w:val="clear" w:color="auto" w:fill="auto"/>
            <w:noWrap/>
            <w:vAlign w:val="center"/>
            <w:hideMark/>
          </w:tcPr>
          <w:p w14:paraId="610C3EDB"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3ED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E7"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DE" w14:textId="77777777" w:rsidR="007D57FB" w:rsidRPr="00090FBA" w:rsidRDefault="007D57FB" w:rsidP="005B3E6B">
            <w:pPr>
              <w:rPr>
                <w:rFonts w:ascii="Calibri" w:eastAsia="Times New Roman" w:hAnsi="Calibri" w:cs="Calibri"/>
                <w:b/>
                <w:bCs/>
                <w:color w:val="000000"/>
                <w:lang w:eastAsia="en-GB"/>
              </w:rPr>
            </w:pPr>
            <w:r w:rsidRPr="00C566A8">
              <w:rPr>
                <w:rFonts w:ascii="Calibri" w:eastAsia="Times New Roman" w:hAnsi="Calibri" w:cs="Calibri"/>
                <w:b/>
                <w:bCs/>
                <w:i/>
                <w:color w:val="000000"/>
                <w:lang w:eastAsia="en-GB"/>
              </w:rPr>
              <w:t>Contd.</w:t>
            </w:r>
            <w:r>
              <w:rPr>
                <w:rFonts w:ascii="Calibri" w:eastAsia="Times New Roman" w:hAnsi="Calibri" w:cs="Calibri"/>
                <w:b/>
                <w:bCs/>
                <w:color w:val="000000"/>
                <w:lang w:eastAsia="en-GB"/>
              </w:rPr>
              <w:t xml:space="preserve"> </w:t>
            </w:r>
            <w:r w:rsidRPr="00090FBA">
              <w:rPr>
                <w:rFonts w:ascii="Calibri" w:eastAsia="Times New Roman" w:hAnsi="Calibri" w:cs="Calibri"/>
                <w:b/>
                <w:bCs/>
                <w:color w:val="000000"/>
                <w:lang w:eastAsia="en-GB"/>
              </w:rPr>
              <w:t>MedDRA® SOC Classification</w:t>
            </w:r>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DF" w14:textId="34600F1E"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E0"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E1"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E2"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EE3"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E4"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EE5"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EE6"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7D57FB" w:rsidRPr="001F242F" w14:paraId="610C3EF1" w14:textId="77777777" w:rsidTr="00D0006B">
        <w:trPr>
          <w:trHeight w:val="290"/>
        </w:trPr>
        <w:tc>
          <w:tcPr>
            <w:tcW w:w="2405" w:type="dxa"/>
            <w:vMerge w:val="restart"/>
            <w:tcBorders>
              <w:top w:val="single" w:sz="8" w:space="0" w:color="auto"/>
              <w:left w:val="single" w:sz="8" w:space="0" w:color="auto"/>
              <w:right w:val="nil"/>
            </w:tcBorders>
            <w:shd w:val="clear" w:color="auto" w:fill="auto"/>
            <w:vAlign w:val="center"/>
            <w:hideMark/>
          </w:tcPr>
          <w:p w14:paraId="610C3EE8"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Infections and infestations</w:t>
            </w:r>
            <w:r>
              <w:rPr>
                <w:rFonts w:ascii="Calibri" w:eastAsia="Times New Roman" w:hAnsi="Calibri" w:cs="Calibri"/>
                <w:b/>
                <w:i/>
                <w:color w:val="000000"/>
                <w:lang w:eastAsia="en-GB"/>
              </w:rPr>
              <w:t xml:space="preserve"> contd. </w:t>
            </w:r>
          </w:p>
        </w:tc>
        <w:tc>
          <w:tcPr>
            <w:tcW w:w="875" w:type="dxa"/>
            <w:vMerge w:val="restart"/>
            <w:tcBorders>
              <w:left w:val="nil"/>
              <w:right w:val="nil"/>
            </w:tcBorders>
            <w:shd w:val="clear" w:color="auto" w:fill="auto"/>
            <w:noWrap/>
            <w:vAlign w:val="center"/>
            <w:hideMark/>
          </w:tcPr>
          <w:p w14:paraId="610C3EE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val="restart"/>
            <w:tcBorders>
              <w:left w:val="nil"/>
            </w:tcBorders>
            <w:shd w:val="clear" w:color="auto" w:fill="auto"/>
            <w:noWrap/>
            <w:vAlign w:val="center"/>
            <w:hideMark/>
          </w:tcPr>
          <w:p w14:paraId="610C3EE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single" w:sz="4" w:space="0" w:color="auto"/>
              <w:left w:val="nil"/>
              <w:bottom w:val="single" w:sz="4" w:space="0" w:color="000000"/>
              <w:right w:val="nil"/>
            </w:tcBorders>
            <w:shd w:val="clear" w:color="auto" w:fill="auto"/>
            <w:vAlign w:val="center"/>
            <w:hideMark/>
          </w:tcPr>
          <w:p w14:paraId="610C3EE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Bacterial infectious disorders - Clostridia infections </w:t>
            </w:r>
          </w:p>
        </w:tc>
        <w:tc>
          <w:tcPr>
            <w:tcW w:w="567" w:type="dxa"/>
            <w:vMerge w:val="restart"/>
            <w:tcBorders>
              <w:top w:val="single" w:sz="4" w:space="0" w:color="auto"/>
              <w:left w:val="nil"/>
              <w:right w:val="nil"/>
            </w:tcBorders>
            <w:shd w:val="clear" w:color="auto" w:fill="auto"/>
            <w:noWrap/>
            <w:vAlign w:val="center"/>
            <w:hideMark/>
          </w:tcPr>
          <w:p w14:paraId="610C3EE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19</w:t>
            </w:r>
          </w:p>
        </w:tc>
        <w:tc>
          <w:tcPr>
            <w:tcW w:w="2514" w:type="dxa"/>
            <w:tcBorders>
              <w:top w:val="single" w:sz="4" w:space="0" w:color="auto"/>
              <w:left w:val="nil"/>
              <w:bottom w:val="single" w:sz="4" w:space="0" w:color="auto"/>
              <w:right w:val="nil"/>
            </w:tcBorders>
            <w:shd w:val="clear" w:color="auto" w:fill="auto"/>
            <w:noWrap/>
            <w:vAlign w:val="center"/>
            <w:hideMark/>
          </w:tcPr>
          <w:p w14:paraId="610C3EE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Clostridium difficile +ve w/o diarrhoea</w:t>
            </w:r>
          </w:p>
        </w:tc>
        <w:tc>
          <w:tcPr>
            <w:tcW w:w="663" w:type="dxa"/>
            <w:tcBorders>
              <w:top w:val="single" w:sz="4" w:space="0" w:color="auto"/>
              <w:left w:val="nil"/>
              <w:bottom w:val="single" w:sz="4" w:space="0" w:color="auto"/>
              <w:right w:val="nil"/>
            </w:tcBorders>
            <w:shd w:val="clear" w:color="auto" w:fill="auto"/>
            <w:noWrap/>
            <w:vAlign w:val="center"/>
            <w:hideMark/>
          </w:tcPr>
          <w:p w14:paraId="610C3EE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w:t>
            </w:r>
          </w:p>
        </w:tc>
        <w:tc>
          <w:tcPr>
            <w:tcW w:w="2390" w:type="dxa"/>
            <w:tcBorders>
              <w:top w:val="single" w:sz="4" w:space="0" w:color="auto"/>
              <w:left w:val="nil"/>
              <w:bottom w:val="single" w:sz="4" w:space="0" w:color="auto"/>
              <w:right w:val="nil"/>
            </w:tcBorders>
            <w:shd w:val="clear" w:color="auto" w:fill="auto"/>
            <w:noWrap/>
            <w:vAlign w:val="center"/>
            <w:hideMark/>
          </w:tcPr>
          <w:p w14:paraId="610C3EE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F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EFB" w14:textId="77777777" w:rsidTr="00D0006B">
        <w:trPr>
          <w:trHeight w:val="290"/>
        </w:trPr>
        <w:tc>
          <w:tcPr>
            <w:tcW w:w="2405" w:type="dxa"/>
            <w:vMerge/>
            <w:tcBorders>
              <w:left w:val="single" w:sz="8" w:space="0" w:color="auto"/>
              <w:right w:val="nil"/>
            </w:tcBorders>
            <w:shd w:val="clear" w:color="auto" w:fill="auto"/>
            <w:vAlign w:val="center"/>
            <w:hideMark/>
          </w:tcPr>
          <w:p w14:paraId="610C3EF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F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EF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F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EF6"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EF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Clostridium difﬁcile diarrhoea</w:t>
            </w:r>
          </w:p>
        </w:tc>
        <w:tc>
          <w:tcPr>
            <w:tcW w:w="663" w:type="dxa"/>
            <w:tcBorders>
              <w:top w:val="single" w:sz="4" w:space="0" w:color="auto"/>
              <w:left w:val="nil"/>
              <w:bottom w:val="single" w:sz="4" w:space="0" w:color="auto"/>
              <w:right w:val="nil"/>
            </w:tcBorders>
            <w:shd w:val="clear" w:color="auto" w:fill="auto"/>
            <w:noWrap/>
            <w:vAlign w:val="center"/>
            <w:hideMark/>
          </w:tcPr>
          <w:p w14:paraId="610C3EF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w:t>
            </w:r>
          </w:p>
        </w:tc>
        <w:tc>
          <w:tcPr>
            <w:tcW w:w="2390" w:type="dxa"/>
            <w:tcBorders>
              <w:top w:val="single" w:sz="4" w:space="0" w:color="auto"/>
              <w:left w:val="nil"/>
              <w:bottom w:val="single" w:sz="4" w:space="0" w:color="auto"/>
              <w:right w:val="nil"/>
            </w:tcBorders>
            <w:shd w:val="clear" w:color="auto" w:fill="auto"/>
            <w:noWrap/>
            <w:vAlign w:val="center"/>
            <w:hideMark/>
          </w:tcPr>
          <w:p w14:paraId="610C3EF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EF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05" w14:textId="77777777" w:rsidTr="00D0006B">
        <w:trPr>
          <w:trHeight w:val="290"/>
        </w:trPr>
        <w:tc>
          <w:tcPr>
            <w:tcW w:w="2405" w:type="dxa"/>
            <w:vMerge/>
            <w:tcBorders>
              <w:left w:val="single" w:sz="8" w:space="0" w:color="auto"/>
              <w:right w:val="nil"/>
            </w:tcBorders>
            <w:shd w:val="clear" w:color="auto" w:fill="auto"/>
            <w:vAlign w:val="center"/>
            <w:hideMark/>
          </w:tcPr>
          <w:p w14:paraId="610C3EF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EF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EFE"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EF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F00"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F0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Clostridium difficile diarrhoea, vancomycin-resistant enterococci, gentamicin-induced acute kidney injury</w:t>
            </w:r>
          </w:p>
        </w:tc>
        <w:tc>
          <w:tcPr>
            <w:tcW w:w="663" w:type="dxa"/>
            <w:tcBorders>
              <w:top w:val="single" w:sz="4" w:space="0" w:color="auto"/>
              <w:left w:val="nil"/>
              <w:bottom w:val="single" w:sz="4" w:space="0" w:color="auto"/>
              <w:right w:val="nil"/>
            </w:tcBorders>
            <w:shd w:val="clear" w:color="auto" w:fill="auto"/>
            <w:noWrap/>
            <w:vAlign w:val="center"/>
            <w:hideMark/>
          </w:tcPr>
          <w:p w14:paraId="610C3F0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w:t>
            </w:r>
          </w:p>
        </w:tc>
        <w:tc>
          <w:tcPr>
            <w:tcW w:w="2390" w:type="dxa"/>
            <w:tcBorders>
              <w:top w:val="single" w:sz="4" w:space="0" w:color="auto"/>
              <w:left w:val="nil"/>
              <w:bottom w:val="single" w:sz="4" w:space="0" w:color="auto"/>
              <w:right w:val="nil"/>
            </w:tcBorders>
            <w:shd w:val="clear" w:color="auto" w:fill="auto"/>
            <w:noWrap/>
            <w:vAlign w:val="center"/>
            <w:hideMark/>
          </w:tcPr>
          <w:p w14:paraId="610C3F0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F0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0F" w14:textId="77777777" w:rsidTr="00D0006B">
        <w:trPr>
          <w:trHeight w:val="290"/>
        </w:trPr>
        <w:tc>
          <w:tcPr>
            <w:tcW w:w="2405" w:type="dxa"/>
            <w:vMerge/>
            <w:tcBorders>
              <w:left w:val="single" w:sz="8" w:space="0" w:color="auto"/>
              <w:right w:val="nil"/>
            </w:tcBorders>
            <w:shd w:val="clear" w:color="auto" w:fill="auto"/>
            <w:vAlign w:val="center"/>
            <w:hideMark/>
          </w:tcPr>
          <w:p w14:paraId="610C3F0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0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0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auto"/>
              <w:right w:val="nil"/>
            </w:tcBorders>
            <w:vAlign w:val="center"/>
            <w:hideMark/>
          </w:tcPr>
          <w:p w14:paraId="610C3F0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0A"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F0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 Diff Colitis</w:t>
            </w:r>
          </w:p>
        </w:tc>
        <w:tc>
          <w:tcPr>
            <w:tcW w:w="663" w:type="dxa"/>
            <w:tcBorders>
              <w:top w:val="single" w:sz="4" w:space="0" w:color="auto"/>
              <w:left w:val="nil"/>
              <w:bottom w:val="single" w:sz="4" w:space="0" w:color="auto"/>
              <w:right w:val="nil"/>
            </w:tcBorders>
            <w:shd w:val="clear" w:color="auto" w:fill="auto"/>
            <w:noWrap/>
            <w:vAlign w:val="center"/>
            <w:hideMark/>
          </w:tcPr>
          <w:p w14:paraId="610C3F0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single" w:sz="4" w:space="0" w:color="auto"/>
              <w:left w:val="nil"/>
              <w:bottom w:val="single" w:sz="4" w:space="0" w:color="auto"/>
              <w:right w:val="nil"/>
            </w:tcBorders>
            <w:shd w:val="clear" w:color="auto" w:fill="auto"/>
            <w:noWrap/>
            <w:vAlign w:val="center"/>
            <w:hideMark/>
          </w:tcPr>
          <w:p w14:paraId="610C3F0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F0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19" w14:textId="77777777" w:rsidTr="00D0006B">
        <w:trPr>
          <w:trHeight w:val="300"/>
        </w:trPr>
        <w:tc>
          <w:tcPr>
            <w:tcW w:w="2405" w:type="dxa"/>
            <w:vMerge/>
            <w:tcBorders>
              <w:left w:val="single" w:sz="8" w:space="0" w:color="auto"/>
              <w:bottom w:val="single" w:sz="8" w:space="0" w:color="000000"/>
              <w:right w:val="nil"/>
            </w:tcBorders>
            <w:shd w:val="clear" w:color="auto" w:fill="auto"/>
            <w:vAlign w:val="center"/>
            <w:hideMark/>
          </w:tcPr>
          <w:p w14:paraId="610C3F1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3F1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12"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tcBorders>
              <w:top w:val="single" w:sz="4" w:space="0" w:color="auto"/>
              <w:left w:val="nil"/>
              <w:bottom w:val="single" w:sz="8" w:space="0" w:color="auto"/>
              <w:right w:val="nil"/>
            </w:tcBorders>
            <w:shd w:val="clear" w:color="auto" w:fill="auto"/>
            <w:noWrap/>
            <w:vAlign w:val="center"/>
            <w:hideMark/>
          </w:tcPr>
          <w:p w14:paraId="610C3F1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Viral infectious disor</w:t>
            </w:r>
            <w:r>
              <w:rPr>
                <w:rFonts w:ascii="Calibri" w:eastAsia="Times New Roman" w:hAnsi="Calibri" w:cs="Calibri"/>
                <w:color w:val="000000"/>
                <w:lang w:eastAsia="en-GB"/>
              </w:rPr>
              <w:t>ders - herpes viral inf</w:t>
            </w:r>
            <w:r w:rsidRPr="001F242F">
              <w:rPr>
                <w:rFonts w:ascii="Calibri" w:eastAsia="Times New Roman" w:hAnsi="Calibri" w:cs="Calibri"/>
                <w:color w:val="000000"/>
                <w:lang w:eastAsia="en-GB"/>
              </w:rPr>
              <w:t>ections</w:t>
            </w:r>
          </w:p>
        </w:tc>
        <w:tc>
          <w:tcPr>
            <w:tcW w:w="567" w:type="dxa"/>
            <w:tcBorders>
              <w:top w:val="single" w:sz="4" w:space="0" w:color="auto"/>
              <w:left w:val="nil"/>
              <w:bottom w:val="single" w:sz="8" w:space="0" w:color="auto"/>
              <w:right w:val="nil"/>
            </w:tcBorders>
            <w:shd w:val="clear" w:color="auto" w:fill="auto"/>
            <w:noWrap/>
            <w:vAlign w:val="center"/>
            <w:hideMark/>
          </w:tcPr>
          <w:p w14:paraId="610C3F1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single" w:sz="4" w:space="0" w:color="auto"/>
              <w:left w:val="nil"/>
              <w:bottom w:val="single" w:sz="8" w:space="0" w:color="auto"/>
              <w:right w:val="nil"/>
            </w:tcBorders>
            <w:shd w:val="clear" w:color="auto" w:fill="auto"/>
            <w:vAlign w:val="center"/>
            <w:hideMark/>
          </w:tcPr>
          <w:p w14:paraId="610C3F1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Her</w:t>
            </w:r>
            <w:r w:rsidRPr="001F242F">
              <w:rPr>
                <w:rFonts w:ascii="Calibri" w:eastAsia="Times New Roman" w:hAnsi="Calibri" w:cs="Calibri"/>
                <w:color w:val="000000"/>
                <w:lang w:eastAsia="en-GB"/>
              </w:rPr>
              <w:t>pes zoster</w:t>
            </w:r>
          </w:p>
        </w:tc>
        <w:tc>
          <w:tcPr>
            <w:tcW w:w="663" w:type="dxa"/>
            <w:tcBorders>
              <w:top w:val="single" w:sz="4" w:space="0" w:color="auto"/>
              <w:left w:val="nil"/>
              <w:bottom w:val="single" w:sz="8" w:space="0" w:color="auto"/>
              <w:right w:val="nil"/>
            </w:tcBorders>
            <w:shd w:val="clear" w:color="auto" w:fill="auto"/>
            <w:noWrap/>
            <w:vAlign w:val="center"/>
            <w:hideMark/>
          </w:tcPr>
          <w:p w14:paraId="610C3F1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8" w:space="0" w:color="auto"/>
              <w:right w:val="nil"/>
            </w:tcBorders>
            <w:shd w:val="clear" w:color="auto" w:fill="auto"/>
            <w:noWrap/>
            <w:vAlign w:val="center"/>
            <w:hideMark/>
          </w:tcPr>
          <w:p w14:paraId="610C3F17"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8" w:space="0" w:color="auto"/>
              <w:right w:val="single" w:sz="8" w:space="0" w:color="auto"/>
            </w:tcBorders>
            <w:shd w:val="clear" w:color="auto" w:fill="auto"/>
            <w:noWrap/>
            <w:vAlign w:val="center"/>
            <w:hideMark/>
          </w:tcPr>
          <w:p w14:paraId="610C3F1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23" w14:textId="77777777" w:rsidTr="00D0006B">
        <w:trPr>
          <w:trHeight w:val="202"/>
        </w:trPr>
        <w:tc>
          <w:tcPr>
            <w:tcW w:w="2405" w:type="dxa"/>
            <w:vMerge w:val="restart"/>
            <w:tcBorders>
              <w:top w:val="nil"/>
              <w:left w:val="single" w:sz="8" w:space="0" w:color="auto"/>
              <w:bottom w:val="nil"/>
              <w:right w:val="nil"/>
            </w:tcBorders>
            <w:shd w:val="clear" w:color="auto" w:fill="auto"/>
            <w:vAlign w:val="center"/>
            <w:hideMark/>
          </w:tcPr>
          <w:p w14:paraId="610C3F1A"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 xml:space="preserve">Skin and subcutaneous tissue disorders </w:t>
            </w:r>
          </w:p>
        </w:tc>
        <w:tc>
          <w:tcPr>
            <w:tcW w:w="875" w:type="dxa"/>
            <w:vMerge w:val="restart"/>
            <w:tcBorders>
              <w:top w:val="nil"/>
              <w:left w:val="nil"/>
              <w:right w:val="nil"/>
            </w:tcBorders>
            <w:shd w:val="clear" w:color="auto" w:fill="auto"/>
            <w:noWrap/>
            <w:vAlign w:val="center"/>
            <w:hideMark/>
          </w:tcPr>
          <w:p w14:paraId="610C3F1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2.64%</w:t>
            </w:r>
          </w:p>
        </w:tc>
        <w:tc>
          <w:tcPr>
            <w:tcW w:w="663" w:type="dxa"/>
            <w:vMerge w:val="restart"/>
            <w:tcBorders>
              <w:top w:val="nil"/>
              <w:left w:val="nil"/>
              <w:right w:val="nil"/>
            </w:tcBorders>
            <w:shd w:val="clear" w:color="auto" w:fill="auto"/>
            <w:noWrap/>
            <w:vAlign w:val="center"/>
            <w:hideMark/>
          </w:tcPr>
          <w:p w14:paraId="610C3F1C"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72</w:t>
            </w:r>
          </w:p>
        </w:tc>
        <w:tc>
          <w:tcPr>
            <w:tcW w:w="2935" w:type="dxa"/>
            <w:vMerge w:val="restart"/>
            <w:tcBorders>
              <w:top w:val="nil"/>
              <w:left w:val="nil"/>
              <w:bottom w:val="nil"/>
              <w:right w:val="nil"/>
            </w:tcBorders>
            <w:shd w:val="clear" w:color="auto" w:fill="auto"/>
            <w:vAlign w:val="center"/>
            <w:hideMark/>
          </w:tcPr>
          <w:p w14:paraId="610C3F1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Epidermal and dermal conditions</w:t>
            </w:r>
          </w:p>
        </w:tc>
        <w:tc>
          <w:tcPr>
            <w:tcW w:w="567" w:type="dxa"/>
            <w:vMerge w:val="restart"/>
            <w:tcBorders>
              <w:top w:val="nil"/>
              <w:left w:val="nil"/>
              <w:right w:val="nil"/>
            </w:tcBorders>
            <w:shd w:val="clear" w:color="auto" w:fill="auto"/>
            <w:noWrap/>
            <w:vAlign w:val="center"/>
            <w:hideMark/>
          </w:tcPr>
          <w:p w14:paraId="610C3F1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72</w:t>
            </w:r>
          </w:p>
        </w:tc>
        <w:tc>
          <w:tcPr>
            <w:tcW w:w="2514" w:type="dxa"/>
            <w:vMerge w:val="restart"/>
            <w:tcBorders>
              <w:top w:val="nil"/>
              <w:left w:val="nil"/>
              <w:bottom w:val="nil"/>
              <w:right w:val="nil"/>
            </w:tcBorders>
            <w:shd w:val="clear" w:color="auto" w:fill="auto"/>
            <w:vAlign w:val="center"/>
            <w:hideMark/>
          </w:tcPr>
          <w:p w14:paraId="610C3F1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Rashes, eruptions and exanthems NEC </w:t>
            </w:r>
          </w:p>
        </w:tc>
        <w:tc>
          <w:tcPr>
            <w:tcW w:w="663" w:type="dxa"/>
            <w:vMerge w:val="restart"/>
            <w:tcBorders>
              <w:top w:val="nil"/>
              <w:left w:val="nil"/>
              <w:right w:val="nil"/>
            </w:tcBorders>
            <w:shd w:val="clear" w:color="auto" w:fill="auto"/>
            <w:noWrap/>
            <w:vAlign w:val="center"/>
            <w:hideMark/>
          </w:tcPr>
          <w:p w14:paraId="610C3F2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72</w:t>
            </w:r>
          </w:p>
        </w:tc>
        <w:tc>
          <w:tcPr>
            <w:tcW w:w="2390" w:type="dxa"/>
            <w:tcBorders>
              <w:top w:val="single" w:sz="8" w:space="0" w:color="auto"/>
              <w:left w:val="nil"/>
              <w:bottom w:val="single" w:sz="4" w:space="0" w:color="auto"/>
              <w:right w:val="nil"/>
            </w:tcBorders>
            <w:shd w:val="clear" w:color="auto" w:fill="auto"/>
            <w:vAlign w:val="center"/>
            <w:hideMark/>
          </w:tcPr>
          <w:p w14:paraId="610C3F2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Cutaneous Rash</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3F2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60</w:t>
            </w:r>
          </w:p>
        </w:tc>
      </w:tr>
      <w:tr w:rsidR="007D57FB" w:rsidRPr="001F242F" w14:paraId="610C3F2D" w14:textId="77777777" w:rsidTr="00D0006B">
        <w:trPr>
          <w:trHeight w:val="290"/>
        </w:trPr>
        <w:tc>
          <w:tcPr>
            <w:tcW w:w="2405" w:type="dxa"/>
            <w:vMerge/>
            <w:tcBorders>
              <w:top w:val="nil"/>
              <w:left w:val="single" w:sz="8" w:space="0" w:color="auto"/>
              <w:bottom w:val="nil"/>
              <w:right w:val="nil"/>
            </w:tcBorders>
            <w:vAlign w:val="center"/>
            <w:hideMark/>
          </w:tcPr>
          <w:p w14:paraId="610C3F2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2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right w:val="nil"/>
            </w:tcBorders>
            <w:shd w:val="clear" w:color="auto" w:fill="auto"/>
            <w:noWrap/>
            <w:vAlign w:val="center"/>
            <w:hideMark/>
          </w:tcPr>
          <w:p w14:paraId="610C3F26"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nil"/>
              <w:right w:val="nil"/>
            </w:tcBorders>
            <w:vAlign w:val="center"/>
            <w:hideMark/>
          </w:tcPr>
          <w:p w14:paraId="610C3F2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3F28"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nil"/>
              <w:left w:val="nil"/>
              <w:bottom w:val="nil"/>
              <w:right w:val="nil"/>
            </w:tcBorders>
            <w:vAlign w:val="center"/>
            <w:hideMark/>
          </w:tcPr>
          <w:p w14:paraId="610C3F2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right w:val="nil"/>
            </w:tcBorders>
            <w:shd w:val="clear" w:color="auto" w:fill="auto"/>
            <w:noWrap/>
            <w:vAlign w:val="center"/>
            <w:hideMark/>
          </w:tcPr>
          <w:p w14:paraId="610C3F2A"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390" w:type="dxa"/>
            <w:tcBorders>
              <w:top w:val="single" w:sz="4" w:space="0" w:color="auto"/>
              <w:left w:val="nil"/>
              <w:bottom w:val="single" w:sz="4" w:space="0" w:color="auto"/>
              <w:right w:val="nil"/>
            </w:tcBorders>
            <w:shd w:val="clear" w:color="auto" w:fill="auto"/>
            <w:vAlign w:val="center"/>
            <w:hideMark/>
          </w:tcPr>
          <w:p w14:paraId="610C3F2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Prurigo</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2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r>
      <w:tr w:rsidR="007D57FB" w:rsidRPr="001F242F" w14:paraId="610C3F37" w14:textId="77777777" w:rsidTr="00D0006B">
        <w:trPr>
          <w:trHeight w:val="300"/>
        </w:trPr>
        <w:tc>
          <w:tcPr>
            <w:tcW w:w="2405" w:type="dxa"/>
            <w:vMerge/>
            <w:tcBorders>
              <w:top w:val="nil"/>
              <w:left w:val="single" w:sz="8" w:space="0" w:color="auto"/>
              <w:bottom w:val="nil"/>
              <w:right w:val="nil"/>
            </w:tcBorders>
            <w:vAlign w:val="center"/>
            <w:hideMark/>
          </w:tcPr>
          <w:p w14:paraId="610C3F2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F2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right w:val="nil"/>
            </w:tcBorders>
            <w:shd w:val="clear" w:color="auto" w:fill="auto"/>
            <w:noWrap/>
            <w:vAlign w:val="center"/>
            <w:hideMark/>
          </w:tcPr>
          <w:p w14:paraId="610C3F3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nil"/>
              <w:right w:val="nil"/>
            </w:tcBorders>
            <w:vAlign w:val="center"/>
            <w:hideMark/>
          </w:tcPr>
          <w:p w14:paraId="610C3F3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nil"/>
              <w:right w:val="nil"/>
            </w:tcBorders>
            <w:shd w:val="clear" w:color="auto" w:fill="auto"/>
            <w:noWrap/>
            <w:vAlign w:val="center"/>
            <w:hideMark/>
          </w:tcPr>
          <w:p w14:paraId="610C3F32"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vMerge/>
            <w:tcBorders>
              <w:top w:val="nil"/>
              <w:left w:val="nil"/>
              <w:bottom w:val="single" w:sz="8" w:space="0" w:color="auto"/>
              <w:right w:val="nil"/>
            </w:tcBorders>
            <w:vAlign w:val="center"/>
            <w:hideMark/>
          </w:tcPr>
          <w:p w14:paraId="610C3F3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right w:val="nil"/>
            </w:tcBorders>
            <w:shd w:val="clear" w:color="auto" w:fill="auto"/>
            <w:noWrap/>
            <w:vAlign w:val="center"/>
            <w:hideMark/>
          </w:tcPr>
          <w:p w14:paraId="610C3F34"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390" w:type="dxa"/>
            <w:tcBorders>
              <w:top w:val="single" w:sz="4" w:space="0" w:color="auto"/>
              <w:left w:val="nil"/>
              <w:bottom w:val="single" w:sz="8" w:space="0" w:color="auto"/>
              <w:right w:val="nil"/>
            </w:tcBorders>
            <w:shd w:val="clear" w:color="auto" w:fill="auto"/>
            <w:vAlign w:val="center"/>
            <w:hideMark/>
          </w:tcPr>
          <w:p w14:paraId="610C3F3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Urticaria</w:t>
            </w:r>
          </w:p>
        </w:tc>
        <w:tc>
          <w:tcPr>
            <w:tcW w:w="551" w:type="dxa"/>
            <w:tcBorders>
              <w:top w:val="single" w:sz="4" w:space="0" w:color="auto"/>
              <w:left w:val="nil"/>
              <w:bottom w:val="single" w:sz="8" w:space="0" w:color="auto"/>
              <w:right w:val="single" w:sz="8" w:space="0" w:color="auto"/>
            </w:tcBorders>
            <w:shd w:val="clear" w:color="auto" w:fill="auto"/>
            <w:noWrap/>
            <w:vAlign w:val="center"/>
            <w:hideMark/>
          </w:tcPr>
          <w:p w14:paraId="610C3F3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10</w:t>
            </w:r>
          </w:p>
        </w:tc>
      </w:tr>
      <w:tr w:rsidR="007D57FB" w:rsidRPr="001F242F" w14:paraId="610C3F42" w14:textId="77777777" w:rsidTr="00D0006B">
        <w:trPr>
          <w:trHeight w:val="583"/>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F38"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Blood and lymphatic system disorders</w:t>
            </w:r>
          </w:p>
        </w:tc>
        <w:tc>
          <w:tcPr>
            <w:tcW w:w="875" w:type="dxa"/>
            <w:vMerge w:val="restart"/>
            <w:tcBorders>
              <w:top w:val="single" w:sz="8" w:space="0" w:color="auto"/>
              <w:left w:val="nil"/>
              <w:right w:val="nil"/>
            </w:tcBorders>
            <w:shd w:val="clear" w:color="auto" w:fill="auto"/>
            <w:noWrap/>
            <w:vAlign w:val="center"/>
            <w:hideMark/>
          </w:tcPr>
          <w:p w14:paraId="610C3F3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2.24%</w:t>
            </w:r>
          </w:p>
        </w:tc>
        <w:tc>
          <w:tcPr>
            <w:tcW w:w="663" w:type="dxa"/>
            <w:vMerge w:val="restart"/>
            <w:tcBorders>
              <w:top w:val="single" w:sz="8" w:space="0" w:color="auto"/>
              <w:left w:val="nil"/>
              <w:bottom w:val="single" w:sz="8" w:space="0" w:color="auto"/>
            </w:tcBorders>
            <w:shd w:val="clear" w:color="auto" w:fill="auto"/>
            <w:noWrap/>
            <w:vAlign w:val="center"/>
            <w:hideMark/>
          </w:tcPr>
          <w:p w14:paraId="610C3F3A"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61</w:t>
            </w:r>
          </w:p>
        </w:tc>
        <w:tc>
          <w:tcPr>
            <w:tcW w:w="2935" w:type="dxa"/>
            <w:vMerge w:val="restart"/>
            <w:tcBorders>
              <w:top w:val="single" w:sz="8" w:space="0" w:color="auto"/>
              <w:left w:val="nil"/>
              <w:bottom w:val="single" w:sz="4" w:space="0" w:color="000000"/>
              <w:right w:val="nil"/>
            </w:tcBorders>
            <w:shd w:val="clear" w:color="auto" w:fill="auto"/>
            <w:vAlign w:val="center"/>
            <w:hideMark/>
          </w:tcPr>
          <w:p w14:paraId="610C3F3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Anaemias nonhaemolytic and marrow depression</w:t>
            </w:r>
          </w:p>
        </w:tc>
        <w:tc>
          <w:tcPr>
            <w:tcW w:w="567" w:type="dxa"/>
            <w:vMerge w:val="restart"/>
            <w:tcBorders>
              <w:top w:val="single" w:sz="8" w:space="0" w:color="auto"/>
              <w:left w:val="nil"/>
              <w:right w:val="nil"/>
            </w:tcBorders>
            <w:shd w:val="clear" w:color="auto" w:fill="auto"/>
            <w:noWrap/>
            <w:vAlign w:val="center"/>
            <w:hideMark/>
          </w:tcPr>
          <w:p w14:paraId="610C3F3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27</w:t>
            </w:r>
          </w:p>
          <w:p w14:paraId="610C3F3D"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8" w:space="0" w:color="auto"/>
              <w:left w:val="nil"/>
              <w:bottom w:val="single" w:sz="4" w:space="0" w:color="auto"/>
              <w:right w:val="nil"/>
            </w:tcBorders>
            <w:shd w:val="clear" w:color="auto" w:fill="auto"/>
            <w:vAlign w:val="center"/>
            <w:hideMark/>
          </w:tcPr>
          <w:p w14:paraId="610C3F3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Anaemia</w:t>
            </w:r>
          </w:p>
        </w:tc>
        <w:tc>
          <w:tcPr>
            <w:tcW w:w="663" w:type="dxa"/>
            <w:tcBorders>
              <w:top w:val="single" w:sz="8" w:space="0" w:color="auto"/>
              <w:left w:val="nil"/>
              <w:bottom w:val="single" w:sz="4" w:space="0" w:color="auto"/>
              <w:right w:val="nil"/>
            </w:tcBorders>
            <w:shd w:val="clear" w:color="auto" w:fill="auto"/>
            <w:noWrap/>
            <w:vAlign w:val="center"/>
            <w:hideMark/>
          </w:tcPr>
          <w:p w14:paraId="610C3F3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26</w:t>
            </w:r>
          </w:p>
        </w:tc>
        <w:tc>
          <w:tcPr>
            <w:tcW w:w="2390" w:type="dxa"/>
            <w:tcBorders>
              <w:top w:val="single" w:sz="8" w:space="0" w:color="auto"/>
              <w:left w:val="nil"/>
              <w:bottom w:val="single" w:sz="4" w:space="0" w:color="auto"/>
              <w:right w:val="nil"/>
            </w:tcBorders>
            <w:shd w:val="clear" w:color="auto" w:fill="auto"/>
            <w:noWrap/>
            <w:vAlign w:val="center"/>
            <w:hideMark/>
          </w:tcPr>
          <w:p w14:paraId="610C3F40"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3F4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4C"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F43"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44"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45"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F4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47"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F48"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Pancytopaenia</w:t>
            </w:r>
          </w:p>
        </w:tc>
        <w:tc>
          <w:tcPr>
            <w:tcW w:w="663" w:type="dxa"/>
            <w:tcBorders>
              <w:top w:val="single" w:sz="4" w:space="0" w:color="auto"/>
              <w:left w:val="nil"/>
              <w:bottom w:val="single" w:sz="4" w:space="0" w:color="auto"/>
              <w:right w:val="nil"/>
            </w:tcBorders>
            <w:shd w:val="clear" w:color="auto" w:fill="auto"/>
            <w:noWrap/>
            <w:vAlign w:val="center"/>
            <w:hideMark/>
          </w:tcPr>
          <w:p w14:paraId="610C3F4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F4A"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4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56"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F4D"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4E"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4F"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3F5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Platelet disorders </w:t>
            </w:r>
          </w:p>
        </w:tc>
        <w:tc>
          <w:tcPr>
            <w:tcW w:w="567" w:type="dxa"/>
            <w:tcBorders>
              <w:top w:val="nil"/>
              <w:left w:val="nil"/>
              <w:bottom w:val="single" w:sz="4" w:space="0" w:color="auto"/>
              <w:right w:val="nil"/>
            </w:tcBorders>
            <w:shd w:val="clear" w:color="auto" w:fill="auto"/>
            <w:noWrap/>
            <w:vAlign w:val="center"/>
            <w:hideMark/>
          </w:tcPr>
          <w:p w14:paraId="610C3F5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16</w:t>
            </w:r>
          </w:p>
        </w:tc>
        <w:tc>
          <w:tcPr>
            <w:tcW w:w="2514" w:type="dxa"/>
            <w:tcBorders>
              <w:top w:val="nil"/>
              <w:left w:val="nil"/>
              <w:bottom w:val="single" w:sz="4" w:space="0" w:color="auto"/>
              <w:right w:val="nil"/>
            </w:tcBorders>
            <w:shd w:val="clear" w:color="auto" w:fill="auto"/>
            <w:vAlign w:val="center"/>
            <w:hideMark/>
          </w:tcPr>
          <w:p w14:paraId="610C3F52"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Thrombocytopaenia</w:t>
            </w:r>
          </w:p>
        </w:tc>
        <w:tc>
          <w:tcPr>
            <w:tcW w:w="663" w:type="dxa"/>
            <w:tcBorders>
              <w:top w:val="nil"/>
              <w:left w:val="nil"/>
              <w:bottom w:val="single" w:sz="4" w:space="0" w:color="auto"/>
              <w:right w:val="nil"/>
            </w:tcBorders>
            <w:shd w:val="clear" w:color="auto" w:fill="auto"/>
            <w:noWrap/>
            <w:vAlign w:val="center"/>
            <w:hideMark/>
          </w:tcPr>
          <w:p w14:paraId="610C3F5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16</w:t>
            </w:r>
          </w:p>
        </w:tc>
        <w:tc>
          <w:tcPr>
            <w:tcW w:w="2390" w:type="dxa"/>
            <w:tcBorders>
              <w:top w:val="nil"/>
              <w:left w:val="nil"/>
              <w:bottom w:val="single" w:sz="4" w:space="0" w:color="auto"/>
              <w:right w:val="nil"/>
            </w:tcBorders>
            <w:shd w:val="clear" w:color="auto" w:fill="auto"/>
            <w:noWrap/>
            <w:vAlign w:val="center"/>
            <w:hideMark/>
          </w:tcPr>
          <w:p w14:paraId="610C3F54"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3F5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60"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F57"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58"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59"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F5A"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Blood and lymphatic system disorders</w:t>
            </w:r>
          </w:p>
        </w:tc>
        <w:tc>
          <w:tcPr>
            <w:tcW w:w="567" w:type="dxa"/>
            <w:vMerge w:val="restart"/>
            <w:tcBorders>
              <w:top w:val="nil"/>
              <w:left w:val="nil"/>
              <w:right w:val="nil"/>
            </w:tcBorders>
            <w:shd w:val="clear" w:color="auto" w:fill="auto"/>
            <w:noWrap/>
            <w:vAlign w:val="center"/>
            <w:hideMark/>
          </w:tcPr>
          <w:p w14:paraId="610C3F5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15 </w:t>
            </w:r>
          </w:p>
        </w:tc>
        <w:tc>
          <w:tcPr>
            <w:tcW w:w="2514" w:type="dxa"/>
            <w:tcBorders>
              <w:top w:val="single" w:sz="4" w:space="0" w:color="auto"/>
              <w:left w:val="nil"/>
              <w:bottom w:val="single" w:sz="4" w:space="0" w:color="auto"/>
              <w:right w:val="nil"/>
            </w:tcBorders>
            <w:shd w:val="clear" w:color="auto" w:fill="auto"/>
            <w:noWrap/>
            <w:vAlign w:val="center"/>
            <w:hideMark/>
          </w:tcPr>
          <w:p w14:paraId="610C3F5C"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Haematological disturbance</w:t>
            </w:r>
          </w:p>
        </w:tc>
        <w:tc>
          <w:tcPr>
            <w:tcW w:w="663" w:type="dxa"/>
            <w:tcBorders>
              <w:top w:val="single" w:sz="4" w:space="0" w:color="auto"/>
              <w:left w:val="nil"/>
              <w:bottom w:val="single" w:sz="4" w:space="0" w:color="auto"/>
              <w:right w:val="nil"/>
            </w:tcBorders>
            <w:shd w:val="clear" w:color="auto" w:fill="auto"/>
            <w:noWrap/>
            <w:vAlign w:val="center"/>
            <w:hideMark/>
          </w:tcPr>
          <w:p w14:paraId="610C3F5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14</w:t>
            </w:r>
          </w:p>
        </w:tc>
        <w:tc>
          <w:tcPr>
            <w:tcW w:w="2390" w:type="dxa"/>
            <w:tcBorders>
              <w:top w:val="single" w:sz="4" w:space="0" w:color="auto"/>
              <w:left w:val="nil"/>
              <w:bottom w:val="single" w:sz="4" w:space="0" w:color="auto"/>
              <w:right w:val="nil"/>
            </w:tcBorders>
            <w:shd w:val="clear" w:color="auto" w:fill="auto"/>
            <w:noWrap/>
            <w:vAlign w:val="center"/>
            <w:hideMark/>
          </w:tcPr>
          <w:p w14:paraId="610C3F5E"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F5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6A"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F61"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62"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63"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F64"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65"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3F66"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Coagulation</w:t>
            </w:r>
          </w:p>
        </w:tc>
        <w:tc>
          <w:tcPr>
            <w:tcW w:w="663" w:type="dxa"/>
            <w:tcBorders>
              <w:top w:val="single" w:sz="4" w:space="0" w:color="auto"/>
              <w:left w:val="nil"/>
              <w:bottom w:val="single" w:sz="4" w:space="0" w:color="auto"/>
              <w:right w:val="nil"/>
            </w:tcBorders>
            <w:shd w:val="clear" w:color="auto" w:fill="auto"/>
            <w:noWrap/>
            <w:vAlign w:val="center"/>
            <w:hideMark/>
          </w:tcPr>
          <w:p w14:paraId="610C3F6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F68"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F69"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74"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3F6B"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6C"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6D"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nil"/>
              <w:right w:val="nil"/>
            </w:tcBorders>
            <w:shd w:val="clear" w:color="auto" w:fill="auto"/>
            <w:vAlign w:val="center"/>
            <w:hideMark/>
          </w:tcPr>
          <w:p w14:paraId="610C3F6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White blood cell disorders</w:t>
            </w:r>
          </w:p>
        </w:tc>
        <w:tc>
          <w:tcPr>
            <w:tcW w:w="567" w:type="dxa"/>
            <w:vMerge w:val="restart"/>
            <w:tcBorders>
              <w:top w:val="nil"/>
              <w:left w:val="nil"/>
              <w:right w:val="nil"/>
            </w:tcBorders>
            <w:shd w:val="clear" w:color="auto" w:fill="auto"/>
            <w:noWrap/>
            <w:vAlign w:val="center"/>
            <w:hideMark/>
          </w:tcPr>
          <w:p w14:paraId="610C3F6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single" w:sz="4" w:space="0" w:color="auto"/>
              <w:left w:val="nil"/>
              <w:bottom w:val="single" w:sz="4" w:space="0" w:color="auto"/>
              <w:right w:val="nil"/>
            </w:tcBorders>
            <w:shd w:val="clear" w:color="auto" w:fill="auto"/>
            <w:noWrap/>
            <w:vAlign w:val="center"/>
            <w:hideMark/>
          </w:tcPr>
          <w:p w14:paraId="610C3F7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Neutropenia</w:t>
            </w:r>
          </w:p>
        </w:tc>
        <w:tc>
          <w:tcPr>
            <w:tcW w:w="663" w:type="dxa"/>
            <w:tcBorders>
              <w:top w:val="single" w:sz="4" w:space="0" w:color="auto"/>
              <w:left w:val="nil"/>
              <w:bottom w:val="single" w:sz="4" w:space="0" w:color="auto"/>
              <w:right w:val="nil"/>
            </w:tcBorders>
            <w:shd w:val="clear" w:color="auto" w:fill="auto"/>
            <w:noWrap/>
            <w:vAlign w:val="center"/>
            <w:hideMark/>
          </w:tcPr>
          <w:p w14:paraId="610C3F7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noWrap/>
            <w:vAlign w:val="center"/>
            <w:hideMark/>
          </w:tcPr>
          <w:p w14:paraId="610C3F72"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3F7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7E"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F75"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F76"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77"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nil"/>
              <w:right w:val="nil"/>
            </w:tcBorders>
            <w:vAlign w:val="center"/>
            <w:hideMark/>
          </w:tcPr>
          <w:p w14:paraId="610C3F78"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nil"/>
              <w:right w:val="nil"/>
            </w:tcBorders>
            <w:shd w:val="clear" w:color="auto" w:fill="auto"/>
            <w:noWrap/>
            <w:vAlign w:val="center"/>
            <w:hideMark/>
          </w:tcPr>
          <w:p w14:paraId="610C3F79" w14:textId="77777777" w:rsidR="007D57FB" w:rsidRPr="00EE59A4" w:rsidRDefault="007D57F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nil"/>
              <w:right w:val="nil"/>
            </w:tcBorders>
            <w:shd w:val="clear" w:color="auto" w:fill="auto"/>
            <w:vAlign w:val="center"/>
            <w:hideMark/>
          </w:tcPr>
          <w:p w14:paraId="610C3F7A"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Leukopaenia</w:t>
            </w:r>
          </w:p>
        </w:tc>
        <w:tc>
          <w:tcPr>
            <w:tcW w:w="663" w:type="dxa"/>
            <w:tcBorders>
              <w:top w:val="single" w:sz="4" w:space="0" w:color="auto"/>
              <w:left w:val="nil"/>
              <w:bottom w:val="nil"/>
              <w:right w:val="nil"/>
            </w:tcBorders>
            <w:shd w:val="clear" w:color="auto" w:fill="auto"/>
            <w:noWrap/>
            <w:vAlign w:val="center"/>
            <w:hideMark/>
          </w:tcPr>
          <w:p w14:paraId="610C3F7B"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nil"/>
              <w:right w:val="nil"/>
            </w:tcBorders>
            <w:shd w:val="clear" w:color="auto" w:fill="auto"/>
            <w:noWrap/>
            <w:vAlign w:val="center"/>
            <w:hideMark/>
          </w:tcPr>
          <w:p w14:paraId="610C3F7C"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nil"/>
              <w:right w:val="single" w:sz="8" w:space="0" w:color="auto"/>
            </w:tcBorders>
            <w:shd w:val="clear" w:color="auto" w:fill="auto"/>
            <w:vAlign w:val="center"/>
            <w:hideMark/>
          </w:tcPr>
          <w:p w14:paraId="610C3F7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88" w14:textId="77777777" w:rsidTr="00D0006B">
        <w:trPr>
          <w:trHeight w:val="29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3F7F"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Psychiatric disorders</w:t>
            </w:r>
          </w:p>
        </w:tc>
        <w:tc>
          <w:tcPr>
            <w:tcW w:w="875" w:type="dxa"/>
            <w:vMerge w:val="restart"/>
            <w:tcBorders>
              <w:top w:val="single" w:sz="8" w:space="0" w:color="auto"/>
              <w:left w:val="nil"/>
              <w:right w:val="nil"/>
            </w:tcBorders>
            <w:shd w:val="clear" w:color="auto" w:fill="auto"/>
            <w:noWrap/>
            <w:vAlign w:val="center"/>
            <w:hideMark/>
          </w:tcPr>
          <w:p w14:paraId="610C3F80"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2.13%</w:t>
            </w:r>
          </w:p>
        </w:tc>
        <w:tc>
          <w:tcPr>
            <w:tcW w:w="663" w:type="dxa"/>
            <w:vMerge w:val="restart"/>
            <w:tcBorders>
              <w:top w:val="single" w:sz="8" w:space="0" w:color="auto"/>
              <w:left w:val="nil"/>
              <w:bottom w:val="single" w:sz="8" w:space="0" w:color="auto"/>
            </w:tcBorders>
            <w:shd w:val="clear" w:color="auto" w:fill="auto"/>
            <w:noWrap/>
            <w:vAlign w:val="center"/>
            <w:hideMark/>
          </w:tcPr>
          <w:p w14:paraId="610C3F81"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58</w:t>
            </w:r>
          </w:p>
        </w:tc>
        <w:tc>
          <w:tcPr>
            <w:tcW w:w="2935" w:type="dxa"/>
            <w:tcBorders>
              <w:top w:val="single" w:sz="8" w:space="0" w:color="auto"/>
              <w:left w:val="nil"/>
              <w:bottom w:val="single" w:sz="4" w:space="0" w:color="auto"/>
              <w:right w:val="nil"/>
            </w:tcBorders>
            <w:shd w:val="clear" w:color="auto" w:fill="auto"/>
            <w:noWrap/>
            <w:vAlign w:val="center"/>
            <w:hideMark/>
          </w:tcPr>
          <w:p w14:paraId="610C3F82"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Deliria (incl. </w:t>
            </w:r>
            <w:r w:rsidRPr="001F242F">
              <w:rPr>
                <w:rFonts w:ascii="Calibri" w:eastAsia="Times New Roman" w:hAnsi="Calibri" w:cs="Calibri"/>
                <w:color w:val="000000"/>
                <w:lang w:eastAsia="en-GB"/>
              </w:rPr>
              <w:t xml:space="preserve">confusion) </w:t>
            </w:r>
          </w:p>
        </w:tc>
        <w:tc>
          <w:tcPr>
            <w:tcW w:w="567" w:type="dxa"/>
            <w:tcBorders>
              <w:top w:val="single" w:sz="8" w:space="0" w:color="auto"/>
              <w:left w:val="nil"/>
              <w:bottom w:val="single" w:sz="4" w:space="0" w:color="auto"/>
              <w:right w:val="nil"/>
            </w:tcBorders>
            <w:shd w:val="clear" w:color="auto" w:fill="auto"/>
            <w:noWrap/>
            <w:vAlign w:val="center"/>
            <w:hideMark/>
          </w:tcPr>
          <w:p w14:paraId="610C3F83"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52</w:t>
            </w:r>
          </w:p>
        </w:tc>
        <w:tc>
          <w:tcPr>
            <w:tcW w:w="2514" w:type="dxa"/>
            <w:tcBorders>
              <w:top w:val="single" w:sz="8" w:space="0" w:color="auto"/>
              <w:left w:val="nil"/>
              <w:bottom w:val="single" w:sz="4" w:space="0" w:color="auto"/>
              <w:right w:val="nil"/>
            </w:tcBorders>
            <w:shd w:val="clear" w:color="auto" w:fill="auto"/>
            <w:vAlign w:val="center"/>
            <w:hideMark/>
          </w:tcPr>
          <w:p w14:paraId="610C3F84"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Confusion</w:t>
            </w:r>
          </w:p>
        </w:tc>
        <w:tc>
          <w:tcPr>
            <w:tcW w:w="663" w:type="dxa"/>
            <w:tcBorders>
              <w:top w:val="single" w:sz="8" w:space="0" w:color="auto"/>
              <w:left w:val="nil"/>
              <w:bottom w:val="single" w:sz="4" w:space="0" w:color="auto"/>
              <w:right w:val="nil"/>
            </w:tcBorders>
            <w:shd w:val="clear" w:color="auto" w:fill="auto"/>
            <w:noWrap/>
            <w:vAlign w:val="center"/>
            <w:hideMark/>
          </w:tcPr>
          <w:p w14:paraId="610C3F85"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52</w:t>
            </w:r>
          </w:p>
        </w:tc>
        <w:tc>
          <w:tcPr>
            <w:tcW w:w="2390" w:type="dxa"/>
            <w:tcBorders>
              <w:top w:val="single" w:sz="8" w:space="0" w:color="auto"/>
              <w:left w:val="nil"/>
              <w:bottom w:val="single" w:sz="4" w:space="0" w:color="auto"/>
              <w:right w:val="nil"/>
            </w:tcBorders>
            <w:shd w:val="clear" w:color="auto" w:fill="auto"/>
            <w:noWrap/>
            <w:vAlign w:val="center"/>
            <w:hideMark/>
          </w:tcPr>
          <w:p w14:paraId="610C3F86"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1F242F">
              <w:rPr>
                <w:rFonts w:ascii="Calibri" w:eastAsia="Times New Roman" w:hAnsi="Calibri" w:cs="Calibri"/>
                <w:color w:val="000000"/>
                <w:lang w:eastAsia="en-GB"/>
              </w:rPr>
              <w:t> </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3F87"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92"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3F89"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3F8A"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3F8B"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3F8C"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Disturbances in thinking and perception </w:t>
            </w:r>
          </w:p>
        </w:tc>
        <w:tc>
          <w:tcPr>
            <w:tcW w:w="567" w:type="dxa"/>
            <w:tcBorders>
              <w:top w:val="nil"/>
              <w:left w:val="nil"/>
              <w:bottom w:val="nil"/>
              <w:right w:val="nil"/>
            </w:tcBorders>
            <w:shd w:val="clear" w:color="auto" w:fill="auto"/>
            <w:noWrap/>
            <w:vAlign w:val="center"/>
            <w:hideMark/>
          </w:tcPr>
          <w:p w14:paraId="610C3F8D"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w:t>
            </w:r>
          </w:p>
        </w:tc>
        <w:tc>
          <w:tcPr>
            <w:tcW w:w="2514" w:type="dxa"/>
            <w:tcBorders>
              <w:top w:val="nil"/>
              <w:left w:val="nil"/>
              <w:bottom w:val="nil"/>
              <w:right w:val="nil"/>
            </w:tcBorders>
            <w:shd w:val="clear" w:color="auto" w:fill="auto"/>
            <w:vAlign w:val="center"/>
            <w:hideMark/>
          </w:tcPr>
          <w:p w14:paraId="610C3F8E"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Hallucination</w:t>
            </w:r>
          </w:p>
        </w:tc>
        <w:tc>
          <w:tcPr>
            <w:tcW w:w="663" w:type="dxa"/>
            <w:tcBorders>
              <w:top w:val="nil"/>
              <w:left w:val="nil"/>
              <w:bottom w:val="nil"/>
              <w:right w:val="nil"/>
            </w:tcBorders>
            <w:shd w:val="clear" w:color="auto" w:fill="auto"/>
            <w:noWrap/>
            <w:vAlign w:val="center"/>
            <w:hideMark/>
          </w:tcPr>
          <w:p w14:paraId="610C3F8F"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w:t>
            </w:r>
          </w:p>
        </w:tc>
        <w:tc>
          <w:tcPr>
            <w:tcW w:w="2390" w:type="dxa"/>
            <w:tcBorders>
              <w:top w:val="nil"/>
              <w:left w:val="nil"/>
              <w:bottom w:val="single" w:sz="8" w:space="0" w:color="auto"/>
              <w:right w:val="nil"/>
            </w:tcBorders>
            <w:shd w:val="clear" w:color="auto" w:fill="auto"/>
            <w:noWrap/>
            <w:vAlign w:val="center"/>
            <w:hideMark/>
          </w:tcPr>
          <w:p w14:paraId="610C3F90"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noWrap/>
            <w:vAlign w:val="center"/>
            <w:hideMark/>
          </w:tcPr>
          <w:p w14:paraId="610C3F91"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7D57FB" w:rsidRPr="001F242F" w14:paraId="610C3F9C"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3" w14:textId="77777777" w:rsidR="007D57FB" w:rsidRPr="00090FBA" w:rsidRDefault="007D57FB" w:rsidP="005B3E6B">
            <w:pPr>
              <w:rPr>
                <w:rFonts w:ascii="Calibri" w:eastAsia="Times New Roman" w:hAnsi="Calibri" w:cs="Calibri"/>
                <w:b/>
                <w:bCs/>
                <w:color w:val="000000"/>
                <w:lang w:eastAsia="en-GB"/>
              </w:rPr>
            </w:pPr>
            <w:r w:rsidRPr="00C566A8">
              <w:rPr>
                <w:rFonts w:ascii="Calibri" w:eastAsia="Times New Roman" w:hAnsi="Calibri" w:cs="Calibri"/>
                <w:b/>
                <w:bCs/>
                <w:i/>
                <w:color w:val="000000"/>
                <w:lang w:eastAsia="en-GB"/>
              </w:rPr>
              <w:t>Contd.</w:t>
            </w:r>
            <w:r>
              <w:rPr>
                <w:rFonts w:ascii="Calibri" w:eastAsia="Times New Roman" w:hAnsi="Calibri" w:cs="Calibri"/>
                <w:b/>
                <w:bCs/>
                <w:color w:val="000000"/>
                <w:lang w:eastAsia="en-GB"/>
              </w:rPr>
              <w:t xml:space="preserve"> </w:t>
            </w:r>
            <w:r w:rsidRPr="00090FBA">
              <w:rPr>
                <w:rFonts w:ascii="Calibri" w:eastAsia="Times New Roman" w:hAnsi="Calibri" w:cs="Calibri"/>
                <w:b/>
                <w:bCs/>
                <w:color w:val="000000"/>
                <w:lang w:eastAsia="en-GB"/>
              </w:rPr>
              <w:t>MedDRA® SOC Classification</w:t>
            </w:r>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4" w14:textId="6430C4C4"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5"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6"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7"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F98"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9"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3F9A"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3F9B"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D0006B" w:rsidRPr="001F242F" w14:paraId="610C3FA7" w14:textId="77777777" w:rsidTr="00EE4387">
        <w:trPr>
          <w:trHeight w:val="290"/>
        </w:trPr>
        <w:tc>
          <w:tcPr>
            <w:tcW w:w="2405" w:type="dxa"/>
            <w:vMerge w:val="restart"/>
            <w:tcBorders>
              <w:top w:val="single" w:sz="8" w:space="0" w:color="auto"/>
              <w:left w:val="single" w:sz="8" w:space="0" w:color="auto"/>
              <w:right w:val="nil"/>
            </w:tcBorders>
            <w:shd w:val="clear" w:color="auto" w:fill="auto"/>
            <w:noWrap/>
            <w:vAlign w:val="center"/>
            <w:hideMark/>
          </w:tcPr>
          <w:p w14:paraId="353728A2" w14:textId="77777777" w:rsidR="00D0006B" w:rsidRPr="00090FBA" w:rsidRDefault="00D0006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Nervous system disorders</w:t>
            </w:r>
          </w:p>
          <w:p w14:paraId="610C3F9D" w14:textId="4F7D04E0"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val="restart"/>
            <w:tcBorders>
              <w:top w:val="single" w:sz="8" w:space="0" w:color="auto"/>
              <w:left w:val="nil"/>
              <w:right w:val="nil"/>
            </w:tcBorders>
            <w:shd w:val="clear" w:color="auto" w:fill="auto"/>
            <w:noWrap/>
            <w:vAlign w:val="center"/>
            <w:hideMark/>
          </w:tcPr>
          <w:p w14:paraId="58F6CE30" w14:textId="3DF98F5C"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2.0</w:t>
            </w:r>
            <w:r w:rsidR="003A48A9">
              <w:rPr>
                <w:rFonts w:ascii="Calibri" w:eastAsia="Times New Roman" w:hAnsi="Calibri" w:cs="Calibri"/>
                <w:color w:val="000000"/>
                <w:lang w:eastAsia="en-GB"/>
              </w:rPr>
              <w:t>5</w:t>
            </w:r>
            <w:r w:rsidRPr="001F242F">
              <w:rPr>
                <w:rFonts w:ascii="Calibri" w:eastAsia="Times New Roman" w:hAnsi="Calibri" w:cs="Calibri"/>
                <w:color w:val="000000"/>
                <w:lang w:eastAsia="en-GB"/>
              </w:rPr>
              <w:t>%</w:t>
            </w:r>
          </w:p>
          <w:p w14:paraId="610C3F9E" w14:textId="6BA62CBF"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val="restart"/>
            <w:tcBorders>
              <w:top w:val="single" w:sz="8" w:space="0" w:color="auto"/>
              <w:left w:val="nil"/>
            </w:tcBorders>
            <w:shd w:val="clear" w:color="auto" w:fill="auto"/>
            <w:noWrap/>
            <w:vAlign w:val="center"/>
            <w:hideMark/>
          </w:tcPr>
          <w:p w14:paraId="3FCAE41A" w14:textId="29FD9570" w:rsidR="00D0006B" w:rsidRPr="00BB2C26" w:rsidRDefault="00D0006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5</w:t>
            </w:r>
            <w:r w:rsidR="007071BD">
              <w:rPr>
                <w:rFonts w:ascii="Calibri" w:eastAsia="Times New Roman" w:hAnsi="Calibri" w:cs="Calibri"/>
                <w:i/>
                <w:color w:val="000000"/>
                <w:lang w:eastAsia="en-GB"/>
              </w:rPr>
              <w:t>6</w:t>
            </w:r>
          </w:p>
          <w:p w14:paraId="610C3F9F" w14:textId="7E2BEE98" w:rsidR="00D0006B" w:rsidRPr="00BB2C26" w:rsidRDefault="00D0006B" w:rsidP="005B3E6B">
            <w:pPr>
              <w:spacing w:after="0" w:line="240" w:lineRule="auto"/>
              <w:rPr>
                <w:rFonts w:ascii="Calibri" w:eastAsia="Times New Roman" w:hAnsi="Calibri" w:cs="Calibri"/>
                <w:i/>
                <w:color w:val="000000"/>
                <w:lang w:eastAsia="en-GB"/>
              </w:rPr>
            </w:pPr>
          </w:p>
        </w:tc>
        <w:tc>
          <w:tcPr>
            <w:tcW w:w="2935" w:type="dxa"/>
            <w:vMerge w:val="restart"/>
            <w:tcBorders>
              <w:top w:val="single" w:sz="8" w:space="0" w:color="auto"/>
              <w:left w:val="nil"/>
              <w:bottom w:val="single" w:sz="4" w:space="0" w:color="000000"/>
              <w:right w:val="nil"/>
            </w:tcBorders>
            <w:shd w:val="clear" w:color="auto" w:fill="auto"/>
            <w:vAlign w:val="center"/>
            <w:hideMark/>
          </w:tcPr>
          <w:p w14:paraId="610C3FA0"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Neurological disorders NEC</w:t>
            </w:r>
          </w:p>
        </w:tc>
        <w:tc>
          <w:tcPr>
            <w:tcW w:w="567" w:type="dxa"/>
            <w:vMerge w:val="restart"/>
            <w:tcBorders>
              <w:top w:val="single" w:sz="8" w:space="0" w:color="auto"/>
              <w:left w:val="nil"/>
              <w:right w:val="nil"/>
            </w:tcBorders>
            <w:shd w:val="clear" w:color="auto" w:fill="auto"/>
            <w:noWrap/>
            <w:vAlign w:val="center"/>
            <w:hideMark/>
          </w:tcPr>
          <w:p w14:paraId="610C3FA1"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25</w:t>
            </w:r>
          </w:p>
        </w:tc>
        <w:tc>
          <w:tcPr>
            <w:tcW w:w="2514" w:type="dxa"/>
            <w:vMerge w:val="restart"/>
            <w:tcBorders>
              <w:top w:val="single" w:sz="8" w:space="0" w:color="auto"/>
              <w:left w:val="nil"/>
              <w:bottom w:val="single" w:sz="4" w:space="0" w:color="000000"/>
              <w:right w:val="nil"/>
            </w:tcBorders>
            <w:shd w:val="clear" w:color="auto" w:fill="auto"/>
            <w:vAlign w:val="center"/>
            <w:hideMark/>
          </w:tcPr>
          <w:p w14:paraId="610C3FA2"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Disturbances in consciousness NEC </w:t>
            </w:r>
          </w:p>
        </w:tc>
        <w:tc>
          <w:tcPr>
            <w:tcW w:w="663" w:type="dxa"/>
            <w:vMerge w:val="restart"/>
            <w:tcBorders>
              <w:top w:val="single" w:sz="8" w:space="0" w:color="auto"/>
              <w:left w:val="nil"/>
              <w:right w:val="nil"/>
            </w:tcBorders>
            <w:shd w:val="clear" w:color="auto" w:fill="auto"/>
            <w:noWrap/>
            <w:vAlign w:val="center"/>
            <w:hideMark/>
          </w:tcPr>
          <w:p w14:paraId="610C3FA3"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25</w:t>
            </w:r>
          </w:p>
          <w:p w14:paraId="610C3FA4"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 </w:t>
            </w:r>
          </w:p>
        </w:tc>
        <w:tc>
          <w:tcPr>
            <w:tcW w:w="2390" w:type="dxa"/>
            <w:tcBorders>
              <w:top w:val="single" w:sz="8" w:space="0" w:color="auto"/>
              <w:left w:val="nil"/>
              <w:bottom w:val="single" w:sz="4" w:space="0" w:color="auto"/>
              <w:right w:val="nil"/>
            </w:tcBorders>
            <w:shd w:val="clear" w:color="auto" w:fill="auto"/>
            <w:vAlign w:val="center"/>
            <w:hideMark/>
          </w:tcPr>
          <w:p w14:paraId="610C3FA5"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Unconscious</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3FA6"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r>
      <w:tr w:rsidR="00D0006B" w:rsidRPr="001F242F" w14:paraId="610C3FB1" w14:textId="77777777" w:rsidTr="00EE4387">
        <w:trPr>
          <w:trHeight w:val="290"/>
        </w:trPr>
        <w:tc>
          <w:tcPr>
            <w:tcW w:w="2405" w:type="dxa"/>
            <w:vMerge/>
            <w:tcBorders>
              <w:left w:val="single" w:sz="8" w:space="0" w:color="auto"/>
              <w:right w:val="nil"/>
            </w:tcBorders>
            <w:vAlign w:val="center"/>
            <w:hideMark/>
          </w:tcPr>
          <w:p w14:paraId="610C3FA8" w14:textId="2626B29F"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A9" w14:textId="7D71FD11"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AA" w14:textId="2BC3EB1C"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3FAB" w14:textId="77777777" w:rsidR="00D0006B" w:rsidRPr="001F242F" w:rsidRDefault="00D0006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AC" w14:textId="77777777" w:rsidR="00D0006B" w:rsidRPr="00EE59A4" w:rsidRDefault="00D0006B" w:rsidP="005B3E6B">
            <w:pPr>
              <w:spacing w:after="0" w:line="240" w:lineRule="auto"/>
              <w:rPr>
                <w:rFonts w:ascii="Calibri" w:eastAsia="Times New Roman" w:hAnsi="Calibri" w:cs="Calibri"/>
                <w:i/>
                <w:color w:val="000000"/>
                <w:lang w:eastAsia="en-GB"/>
              </w:rPr>
            </w:pPr>
          </w:p>
        </w:tc>
        <w:tc>
          <w:tcPr>
            <w:tcW w:w="2514" w:type="dxa"/>
            <w:vMerge/>
            <w:tcBorders>
              <w:top w:val="single" w:sz="8" w:space="0" w:color="auto"/>
              <w:left w:val="nil"/>
              <w:bottom w:val="single" w:sz="4" w:space="0" w:color="000000"/>
              <w:right w:val="nil"/>
            </w:tcBorders>
            <w:vAlign w:val="center"/>
            <w:hideMark/>
          </w:tcPr>
          <w:p w14:paraId="610C3FAD" w14:textId="77777777"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bottom w:val="single" w:sz="4" w:space="0" w:color="auto"/>
              <w:right w:val="nil"/>
            </w:tcBorders>
            <w:shd w:val="clear" w:color="auto" w:fill="auto"/>
            <w:noWrap/>
            <w:vAlign w:val="center"/>
            <w:hideMark/>
          </w:tcPr>
          <w:p w14:paraId="610C3FAE" w14:textId="77777777" w:rsidR="00D0006B" w:rsidRPr="00EE59A4" w:rsidRDefault="00D0006B" w:rsidP="005B3E6B">
            <w:pPr>
              <w:spacing w:after="0" w:line="240" w:lineRule="auto"/>
              <w:rPr>
                <w:rFonts w:ascii="Calibri" w:eastAsia="Times New Roman" w:hAnsi="Calibri" w:cs="Calibri"/>
                <w:i/>
                <w:color w:val="000000"/>
                <w:lang w:eastAsia="en-GB"/>
              </w:rPr>
            </w:pPr>
          </w:p>
        </w:tc>
        <w:tc>
          <w:tcPr>
            <w:tcW w:w="2390" w:type="dxa"/>
            <w:tcBorders>
              <w:top w:val="single" w:sz="4" w:space="0" w:color="auto"/>
              <w:left w:val="nil"/>
              <w:bottom w:val="single" w:sz="4" w:space="0" w:color="auto"/>
              <w:right w:val="nil"/>
            </w:tcBorders>
            <w:shd w:val="clear" w:color="auto" w:fill="auto"/>
            <w:noWrap/>
            <w:vAlign w:val="center"/>
            <w:hideMark/>
          </w:tcPr>
          <w:p w14:paraId="610C3FAF"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Drowsiness / Somnolence / sleepiness</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B0"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24</w:t>
            </w:r>
          </w:p>
        </w:tc>
      </w:tr>
      <w:tr w:rsidR="00D0006B" w:rsidRPr="001F242F" w14:paraId="610C3FBB" w14:textId="77777777" w:rsidTr="00EE4387">
        <w:trPr>
          <w:trHeight w:val="290"/>
        </w:trPr>
        <w:tc>
          <w:tcPr>
            <w:tcW w:w="2405" w:type="dxa"/>
            <w:vMerge/>
            <w:tcBorders>
              <w:left w:val="single" w:sz="8" w:space="0" w:color="auto"/>
              <w:right w:val="nil"/>
            </w:tcBorders>
            <w:vAlign w:val="center"/>
            <w:hideMark/>
          </w:tcPr>
          <w:p w14:paraId="610C3FB2" w14:textId="50B64C75"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B3" w14:textId="00A3FFC1"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B4" w14:textId="25375AAC"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vAlign w:val="center"/>
            <w:hideMark/>
          </w:tcPr>
          <w:p w14:paraId="610C3FB5"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Headaches</w:t>
            </w:r>
          </w:p>
        </w:tc>
        <w:tc>
          <w:tcPr>
            <w:tcW w:w="567" w:type="dxa"/>
            <w:tcBorders>
              <w:top w:val="nil"/>
              <w:left w:val="nil"/>
              <w:bottom w:val="single" w:sz="4" w:space="0" w:color="auto"/>
              <w:right w:val="nil"/>
            </w:tcBorders>
            <w:shd w:val="clear" w:color="auto" w:fill="auto"/>
            <w:noWrap/>
            <w:vAlign w:val="center"/>
            <w:hideMark/>
          </w:tcPr>
          <w:p w14:paraId="610C3FB6"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9</w:t>
            </w:r>
          </w:p>
        </w:tc>
        <w:tc>
          <w:tcPr>
            <w:tcW w:w="2514" w:type="dxa"/>
            <w:tcBorders>
              <w:top w:val="nil"/>
              <w:left w:val="nil"/>
              <w:bottom w:val="single" w:sz="4" w:space="0" w:color="auto"/>
              <w:right w:val="nil"/>
            </w:tcBorders>
            <w:shd w:val="clear" w:color="auto" w:fill="auto"/>
            <w:noWrap/>
            <w:vAlign w:val="center"/>
            <w:hideMark/>
          </w:tcPr>
          <w:p w14:paraId="610C3FB7"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663" w:type="dxa"/>
            <w:tcBorders>
              <w:top w:val="nil"/>
              <w:left w:val="nil"/>
              <w:bottom w:val="single" w:sz="4" w:space="0" w:color="auto"/>
              <w:right w:val="nil"/>
            </w:tcBorders>
            <w:shd w:val="clear" w:color="auto" w:fill="auto"/>
            <w:noWrap/>
            <w:vAlign w:val="center"/>
            <w:hideMark/>
          </w:tcPr>
          <w:p w14:paraId="610C3FB8"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c>
          <w:tcPr>
            <w:tcW w:w="2390" w:type="dxa"/>
            <w:tcBorders>
              <w:top w:val="nil"/>
              <w:left w:val="nil"/>
              <w:bottom w:val="single" w:sz="4" w:space="0" w:color="auto"/>
              <w:right w:val="nil"/>
            </w:tcBorders>
            <w:shd w:val="clear" w:color="auto" w:fill="auto"/>
            <w:noWrap/>
            <w:vAlign w:val="center"/>
            <w:hideMark/>
          </w:tcPr>
          <w:p w14:paraId="610C3FB9"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noWrap/>
            <w:vAlign w:val="center"/>
            <w:hideMark/>
          </w:tcPr>
          <w:p w14:paraId="610C3FBA"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C5" w14:textId="77777777" w:rsidTr="00EE4387">
        <w:trPr>
          <w:trHeight w:val="290"/>
        </w:trPr>
        <w:tc>
          <w:tcPr>
            <w:tcW w:w="2405" w:type="dxa"/>
            <w:vMerge/>
            <w:tcBorders>
              <w:left w:val="single" w:sz="8" w:space="0" w:color="auto"/>
              <w:right w:val="nil"/>
            </w:tcBorders>
            <w:vAlign w:val="center"/>
            <w:hideMark/>
          </w:tcPr>
          <w:p w14:paraId="610C3FBC" w14:textId="35A7633A"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BD" w14:textId="077AC701"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BE" w14:textId="07BA0BDF"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3FBF"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nervous system disorders</w:t>
            </w:r>
          </w:p>
        </w:tc>
        <w:tc>
          <w:tcPr>
            <w:tcW w:w="567" w:type="dxa"/>
            <w:tcBorders>
              <w:top w:val="nil"/>
              <w:left w:val="nil"/>
              <w:bottom w:val="single" w:sz="4" w:space="0" w:color="auto"/>
              <w:right w:val="nil"/>
            </w:tcBorders>
            <w:shd w:val="clear" w:color="auto" w:fill="auto"/>
            <w:noWrap/>
            <w:vAlign w:val="center"/>
            <w:hideMark/>
          </w:tcPr>
          <w:p w14:paraId="610C3FC0"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11</w:t>
            </w:r>
          </w:p>
        </w:tc>
        <w:tc>
          <w:tcPr>
            <w:tcW w:w="2514" w:type="dxa"/>
            <w:tcBorders>
              <w:top w:val="nil"/>
              <w:left w:val="nil"/>
              <w:bottom w:val="single" w:sz="4" w:space="0" w:color="auto"/>
              <w:right w:val="nil"/>
            </w:tcBorders>
            <w:shd w:val="clear" w:color="auto" w:fill="auto"/>
            <w:noWrap/>
            <w:vAlign w:val="center"/>
            <w:hideMark/>
          </w:tcPr>
          <w:p w14:paraId="610C3FC1"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Central nervous system</w:t>
            </w:r>
          </w:p>
        </w:tc>
        <w:tc>
          <w:tcPr>
            <w:tcW w:w="663" w:type="dxa"/>
            <w:tcBorders>
              <w:top w:val="nil"/>
              <w:left w:val="nil"/>
              <w:bottom w:val="single" w:sz="4" w:space="0" w:color="auto"/>
              <w:right w:val="nil"/>
            </w:tcBorders>
            <w:shd w:val="clear" w:color="auto" w:fill="auto"/>
            <w:noWrap/>
            <w:vAlign w:val="center"/>
            <w:hideMark/>
          </w:tcPr>
          <w:p w14:paraId="610C3FC2"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11</w:t>
            </w:r>
          </w:p>
        </w:tc>
        <w:tc>
          <w:tcPr>
            <w:tcW w:w="2390" w:type="dxa"/>
            <w:tcBorders>
              <w:top w:val="nil"/>
              <w:left w:val="nil"/>
              <w:bottom w:val="single" w:sz="4" w:space="0" w:color="auto"/>
              <w:right w:val="nil"/>
            </w:tcBorders>
            <w:shd w:val="clear" w:color="auto" w:fill="auto"/>
            <w:noWrap/>
            <w:vAlign w:val="center"/>
            <w:hideMark/>
          </w:tcPr>
          <w:p w14:paraId="610C3FC3"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noWrap/>
            <w:vAlign w:val="center"/>
            <w:hideMark/>
          </w:tcPr>
          <w:p w14:paraId="610C3FC4"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CF" w14:textId="77777777" w:rsidTr="00EE4387">
        <w:trPr>
          <w:trHeight w:val="290"/>
        </w:trPr>
        <w:tc>
          <w:tcPr>
            <w:tcW w:w="2405" w:type="dxa"/>
            <w:vMerge/>
            <w:tcBorders>
              <w:left w:val="single" w:sz="8" w:space="0" w:color="auto"/>
              <w:right w:val="nil"/>
            </w:tcBorders>
            <w:vAlign w:val="center"/>
            <w:hideMark/>
          </w:tcPr>
          <w:p w14:paraId="610C3FC6" w14:textId="76270C1A"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C7" w14:textId="4DCC5371"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C8" w14:textId="6E73E0B8"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3FC9"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Neurological signs and symptoms NEC</w:t>
            </w:r>
          </w:p>
        </w:tc>
        <w:tc>
          <w:tcPr>
            <w:tcW w:w="567" w:type="dxa"/>
            <w:tcBorders>
              <w:top w:val="nil"/>
              <w:left w:val="nil"/>
              <w:bottom w:val="single" w:sz="4" w:space="0" w:color="auto"/>
              <w:right w:val="nil"/>
            </w:tcBorders>
            <w:shd w:val="clear" w:color="auto" w:fill="auto"/>
            <w:noWrap/>
            <w:vAlign w:val="center"/>
            <w:hideMark/>
          </w:tcPr>
          <w:p w14:paraId="610C3FCA"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w:t>
            </w:r>
          </w:p>
        </w:tc>
        <w:tc>
          <w:tcPr>
            <w:tcW w:w="2514" w:type="dxa"/>
            <w:tcBorders>
              <w:top w:val="nil"/>
              <w:left w:val="nil"/>
              <w:bottom w:val="single" w:sz="4" w:space="0" w:color="auto"/>
              <w:right w:val="nil"/>
            </w:tcBorders>
            <w:shd w:val="clear" w:color="auto" w:fill="auto"/>
            <w:vAlign w:val="center"/>
            <w:hideMark/>
          </w:tcPr>
          <w:p w14:paraId="610C3FCB"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Dizziness</w:t>
            </w:r>
          </w:p>
        </w:tc>
        <w:tc>
          <w:tcPr>
            <w:tcW w:w="663" w:type="dxa"/>
            <w:tcBorders>
              <w:top w:val="nil"/>
              <w:left w:val="nil"/>
              <w:bottom w:val="single" w:sz="4" w:space="0" w:color="auto"/>
              <w:right w:val="nil"/>
            </w:tcBorders>
            <w:shd w:val="clear" w:color="auto" w:fill="auto"/>
            <w:noWrap/>
            <w:vAlign w:val="center"/>
            <w:hideMark/>
          </w:tcPr>
          <w:p w14:paraId="610C3FCC"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w:t>
            </w:r>
          </w:p>
        </w:tc>
        <w:tc>
          <w:tcPr>
            <w:tcW w:w="2390" w:type="dxa"/>
            <w:tcBorders>
              <w:top w:val="nil"/>
              <w:left w:val="nil"/>
              <w:bottom w:val="single" w:sz="4" w:space="0" w:color="auto"/>
              <w:right w:val="nil"/>
            </w:tcBorders>
            <w:shd w:val="clear" w:color="auto" w:fill="auto"/>
            <w:noWrap/>
            <w:vAlign w:val="center"/>
            <w:hideMark/>
          </w:tcPr>
          <w:p w14:paraId="610C3FCD"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noWrap/>
            <w:vAlign w:val="center"/>
            <w:hideMark/>
          </w:tcPr>
          <w:p w14:paraId="610C3FCE"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D9" w14:textId="77777777" w:rsidTr="00EE4387">
        <w:trPr>
          <w:trHeight w:val="290"/>
        </w:trPr>
        <w:tc>
          <w:tcPr>
            <w:tcW w:w="2405" w:type="dxa"/>
            <w:vMerge/>
            <w:tcBorders>
              <w:left w:val="single" w:sz="8" w:space="0" w:color="auto"/>
              <w:right w:val="nil"/>
            </w:tcBorders>
            <w:vAlign w:val="center"/>
            <w:hideMark/>
          </w:tcPr>
          <w:p w14:paraId="610C3FD0" w14:textId="79F51FE0"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D1" w14:textId="155526A7"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D2" w14:textId="0F7227AC"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vAlign w:val="center"/>
            <w:hideMark/>
          </w:tcPr>
          <w:p w14:paraId="610C3FD3"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Movement disorders (incl</w:t>
            </w:r>
            <w:r>
              <w:rPr>
                <w:rFonts w:ascii="Calibri" w:eastAsia="Times New Roman" w:hAnsi="Calibri" w:cs="Calibri"/>
                <w:color w:val="000000"/>
                <w:lang w:eastAsia="en-GB"/>
              </w:rPr>
              <w:t>.</w:t>
            </w:r>
            <w:r w:rsidRPr="001F242F">
              <w:rPr>
                <w:rFonts w:ascii="Calibri" w:eastAsia="Times New Roman" w:hAnsi="Calibri" w:cs="Calibri"/>
                <w:color w:val="000000"/>
                <w:lang w:eastAsia="en-GB"/>
              </w:rPr>
              <w:t xml:space="preserve"> parkinsonism) </w:t>
            </w:r>
          </w:p>
        </w:tc>
        <w:tc>
          <w:tcPr>
            <w:tcW w:w="567" w:type="dxa"/>
            <w:vMerge w:val="restart"/>
            <w:tcBorders>
              <w:top w:val="nil"/>
              <w:left w:val="nil"/>
              <w:right w:val="nil"/>
            </w:tcBorders>
            <w:shd w:val="clear" w:color="auto" w:fill="auto"/>
            <w:noWrap/>
            <w:vAlign w:val="center"/>
            <w:hideMark/>
          </w:tcPr>
          <w:p w14:paraId="610C3FD4"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single" w:sz="4" w:space="0" w:color="auto"/>
              <w:left w:val="nil"/>
              <w:bottom w:val="single" w:sz="4" w:space="0" w:color="auto"/>
              <w:right w:val="nil"/>
            </w:tcBorders>
            <w:shd w:val="clear" w:color="auto" w:fill="auto"/>
            <w:vAlign w:val="center"/>
            <w:hideMark/>
          </w:tcPr>
          <w:p w14:paraId="610C3FD5"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Tremor</w:t>
            </w:r>
          </w:p>
        </w:tc>
        <w:tc>
          <w:tcPr>
            <w:tcW w:w="663" w:type="dxa"/>
            <w:tcBorders>
              <w:top w:val="single" w:sz="4" w:space="0" w:color="auto"/>
              <w:left w:val="nil"/>
              <w:bottom w:val="single" w:sz="4" w:space="0" w:color="auto"/>
              <w:right w:val="nil"/>
            </w:tcBorders>
            <w:shd w:val="clear" w:color="auto" w:fill="auto"/>
            <w:noWrap/>
            <w:vAlign w:val="center"/>
            <w:hideMark/>
          </w:tcPr>
          <w:p w14:paraId="610C3FD6"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single" w:sz="4" w:space="0" w:color="auto"/>
              <w:left w:val="nil"/>
              <w:bottom w:val="single" w:sz="4" w:space="0" w:color="auto"/>
              <w:right w:val="nil"/>
            </w:tcBorders>
            <w:shd w:val="clear" w:color="auto" w:fill="auto"/>
            <w:noWrap/>
            <w:vAlign w:val="center"/>
            <w:hideMark/>
          </w:tcPr>
          <w:p w14:paraId="610C3FD7"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D8"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E3" w14:textId="77777777" w:rsidTr="00EE4387">
        <w:trPr>
          <w:trHeight w:val="290"/>
        </w:trPr>
        <w:tc>
          <w:tcPr>
            <w:tcW w:w="2405" w:type="dxa"/>
            <w:vMerge/>
            <w:tcBorders>
              <w:left w:val="single" w:sz="8" w:space="0" w:color="auto"/>
              <w:right w:val="nil"/>
            </w:tcBorders>
            <w:vAlign w:val="center"/>
            <w:hideMark/>
          </w:tcPr>
          <w:p w14:paraId="610C3FDA" w14:textId="479E5D4B"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DB" w14:textId="2D4594AC"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DC" w14:textId="76C4F75C"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3FDD" w14:textId="77777777" w:rsidR="00D0006B" w:rsidRPr="001F242F" w:rsidRDefault="00D0006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DE" w14:textId="77777777" w:rsidR="00D0006B" w:rsidRPr="00EE59A4" w:rsidRDefault="00D0006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3FDF"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Extra-pyramidal SEs</w:t>
            </w:r>
          </w:p>
        </w:tc>
        <w:tc>
          <w:tcPr>
            <w:tcW w:w="663" w:type="dxa"/>
            <w:tcBorders>
              <w:top w:val="single" w:sz="4" w:space="0" w:color="auto"/>
              <w:left w:val="nil"/>
              <w:bottom w:val="single" w:sz="4" w:space="0" w:color="auto"/>
              <w:right w:val="nil"/>
            </w:tcBorders>
            <w:shd w:val="clear" w:color="auto" w:fill="auto"/>
            <w:noWrap/>
            <w:vAlign w:val="center"/>
            <w:hideMark/>
          </w:tcPr>
          <w:p w14:paraId="610C3FE0"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FE1"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E2"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ED" w14:textId="77777777" w:rsidTr="00EE4387">
        <w:trPr>
          <w:trHeight w:val="580"/>
        </w:trPr>
        <w:tc>
          <w:tcPr>
            <w:tcW w:w="2405" w:type="dxa"/>
            <w:vMerge/>
            <w:tcBorders>
              <w:left w:val="single" w:sz="8" w:space="0" w:color="auto"/>
              <w:right w:val="nil"/>
            </w:tcBorders>
            <w:vAlign w:val="center"/>
            <w:hideMark/>
          </w:tcPr>
          <w:p w14:paraId="610C3FE4" w14:textId="759D8A16"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E5" w14:textId="5A8F81A1"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E6" w14:textId="197D6702"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nil"/>
              <w:right w:val="nil"/>
            </w:tcBorders>
            <w:shd w:val="clear" w:color="auto" w:fill="auto"/>
            <w:noWrap/>
            <w:vAlign w:val="center"/>
            <w:hideMark/>
          </w:tcPr>
          <w:p w14:paraId="610C3FE7"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Seizures (incl</w:t>
            </w:r>
            <w:r>
              <w:rPr>
                <w:rFonts w:ascii="Calibri" w:eastAsia="Times New Roman" w:hAnsi="Calibri" w:cs="Calibri"/>
                <w:color w:val="000000"/>
                <w:lang w:eastAsia="en-GB"/>
              </w:rPr>
              <w:t>.</w:t>
            </w:r>
            <w:r w:rsidRPr="001F242F">
              <w:rPr>
                <w:rFonts w:ascii="Calibri" w:eastAsia="Times New Roman" w:hAnsi="Calibri" w:cs="Calibri"/>
                <w:color w:val="000000"/>
                <w:lang w:eastAsia="en-GB"/>
              </w:rPr>
              <w:t xml:space="preserve"> subtypes) </w:t>
            </w:r>
          </w:p>
        </w:tc>
        <w:tc>
          <w:tcPr>
            <w:tcW w:w="567" w:type="dxa"/>
            <w:vMerge w:val="restart"/>
            <w:tcBorders>
              <w:top w:val="nil"/>
              <w:left w:val="nil"/>
              <w:right w:val="nil"/>
            </w:tcBorders>
            <w:shd w:val="clear" w:color="auto" w:fill="auto"/>
            <w:noWrap/>
            <w:vAlign w:val="center"/>
            <w:hideMark/>
          </w:tcPr>
          <w:p w14:paraId="610C3FE8"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single" w:sz="4" w:space="0" w:color="auto"/>
              <w:left w:val="nil"/>
              <w:bottom w:val="single" w:sz="4" w:space="0" w:color="auto"/>
              <w:right w:val="nil"/>
            </w:tcBorders>
            <w:shd w:val="clear" w:color="auto" w:fill="auto"/>
            <w:vAlign w:val="center"/>
            <w:hideMark/>
          </w:tcPr>
          <w:p w14:paraId="610C3FE9"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Non-convulsive epileptic crisis</w:t>
            </w:r>
          </w:p>
        </w:tc>
        <w:tc>
          <w:tcPr>
            <w:tcW w:w="663" w:type="dxa"/>
            <w:tcBorders>
              <w:top w:val="single" w:sz="4" w:space="0" w:color="auto"/>
              <w:left w:val="nil"/>
              <w:bottom w:val="single" w:sz="4" w:space="0" w:color="auto"/>
              <w:right w:val="nil"/>
            </w:tcBorders>
            <w:shd w:val="clear" w:color="auto" w:fill="auto"/>
            <w:noWrap/>
            <w:vAlign w:val="center"/>
            <w:hideMark/>
          </w:tcPr>
          <w:p w14:paraId="610C3FEA"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3FEB"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noWrap/>
            <w:vAlign w:val="center"/>
            <w:hideMark/>
          </w:tcPr>
          <w:p w14:paraId="610C3FEC"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610C3FF7" w14:textId="77777777" w:rsidTr="008937F3">
        <w:trPr>
          <w:trHeight w:val="300"/>
        </w:trPr>
        <w:tc>
          <w:tcPr>
            <w:tcW w:w="2405" w:type="dxa"/>
            <w:vMerge/>
            <w:tcBorders>
              <w:left w:val="single" w:sz="8" w:space="0" w:color="auto"/>
              <w:right w:val="nil"/>
            </w:tcBorders>
            <w:vAlign w:val="center"/>
            <w:hideMark/>
          </w:tcPr>
          <w:p w14:paraId="610C3FEE" w14:textId="52B7F74C"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3FEF" w14:textId="07056AFF"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3FF0" w14:textId="57295798"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auto"/>
              <w:right w:val="nil"/>
            </w:tcBorders>
            <w:vAlign w:val="center"/>
            <w:hideMark/>
          </w:tcPr>
          <w:p w14:paraId="610C3FF1" w14:textId="77777777" w:rsidR="00D0006B" w:rsidRPr="001F242F" w:rsidRDefault="00D0006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3FF2" w14:textId="77777777" w:rsidR="00D0006B" w:rsidRPr="00EE59A4" w:rsidRDefault="00D0006B"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nil"/>
              <w:right w:val="nil"/>
            </w:tcBorders>
            <w:shd w:val="clear" w:color="auto" w:fill="auto"/>
            <w:noWrap/>
            <w:vAlign w:val="center"/>
            <w:hideMark/>
          </w:tcPr>
          <w:p w14:paraId="610C3FF3" w14:textId="77777777" w:rsidR="00D0006B" w:rsidRPr="001F242F" w:rsidRDefault="00D0006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Seizure</w:t>
            </w:r>
          </w:p>
        </w:tc>
        <w:tc>
          <w:tcPr>
            <w:tcW w:w="663" w:type="dxa"/>
            <w:tcBorders>
              <w:top w:val="single" w:sz="4" w:space="0" w:color="auto"/>
              <w:left w:val="nil"/>
              <w:bottom w:val="nil"/>
              <w:right w:val="nil"/>
            </w:tcBorders>
            <w:shd w:val="clear" w:color="auto" w:fill="auto"/>
            <w:noWrap/>
            <w:vAlign w:val="center"/>
            <w:hideMark/>
          </w:tcPr>
          <w:p w14:paraId="610C3FF4"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nil"/>
              <w:right w:val="nil"/>
            </w:tcBorders>
            <w:shd w:val="clear" w:color="auto" w:fill="auto"/>
            <w:vAlign w:val="center"/>
            <w:hideMark/>
          </w:tcPr>
          <w:p w14:paraId="610C3FF5" w14:textId="77777777"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nil"/>
              <w:right w:val="single" w:sz="8" w:space="0" w:color="auto"/>
            </w:tcBorders>
            <w:shd w:val="clear" w:color="auto" w:fill="auto"/>
            <w:noWrap/>
            <w:vAlign w:val="center"/>
            <w:hideMark/>
          </w:tcPr>
          <w:p w14:paraId="610C3FF6" w14:textId="77777777" w:rsidR="00D0006B" w:rsidRPr="00EE59A4" w:rsidRDefault="00D0006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w:t>
            </w:r>
          </w:p>
        </w:tc>
      </w:tr>
      <w:tr w:rsidR="00D0006B" w:rsidRPr="001F242F" w14:paraId="0553A509" w14:textId="77777777" w:rsidTr="008937F3">
        <w:trPr>
          <w:trHeight w:val="300"/>
        </w:trPr>
        <w:tc>
          <w:tcPr>
            <w:tcW w:w="2405" w:type="dxa"/>
            <w:vMerge/>
            <w:tcBorders>
              <w:left w:val="single" w:sz="8" w:space="0" w:color="auto"/>
              <w:bottom w:val="nil"/>
              <w:right w:val="nil"/>
            </w:tcBorders>
            <w:vAlign w:val="center"/>
          </w:tcPr>
          <w:p w14:paraId="216231FC" w14:textId="09D4F5EF" w:rsidR="00D0006B" w:rsidRPr="00090FBA" w:rsidRDefault="00D0006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tcPr>
          <w:p w14:paraId="4F2456E7" w14:textId="21932EB7" w:rsidR="00D0006B" w:rsidRPr="001F242F" w:rsidRDefault="00D0006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tcPr>
          <w:p w14:paraId="4026CB43" w14:textId="1C6684CF" w:rsidR="00D0006B" w:rsidRPr="00BB2C26" w:rsidRDefault="00D0006B" w:rsidP="005B3E6B">
            <w:pPr>
              <w:spacing w:after="0" w:line="240" w:lineRule="auto"/>
              <w:rPr>
                <w:rFonts w:ascii="Times New Roman" w:eastAsia="Times New Roman" w:hAnsi="Times New Roman" w:cs="Times New Roman"/>
                <w:i/>
                <w:sz w:val="20"/>
                <w:szCs w:val="20"/>
                <w:lang w:eastAsia="en-GB"/>
              </w:rPr>
            </w:pPr>
          </w:p>
        </w:tc>
        <w:tc>
          <w:tcPr>
            <w:tcW w:w="2935" w:type="dxa"/>
            <w:tcBorders>
              <w:top w:val="single" w:sz="4" w:space="0" w:color="auto"/>
              <w:left w:val="nil"/>
              <w:bottom w:val="single" w:sz="8" w:space="0" w:color="auto"/>
              <w:right w:val="nil"/>
            </w:tcBorders>
            <w:vAlign w:val="center"/>
          </w:tcPr>
          <w:p w14:paraId="2B50A009" w14:textId="7E9581CC"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CNS Vascular disorder</w:t>
            </w:r>
          </w:p>
        </w:tc>
        <w:tc>
          <w:tcPr>
            <w:tcW w:w="567" w:type="dxa"/>
            <w:tcBorders>
              <w:top w:val="single" w:sz="4" w:space="0" w:color="auto"/>
              <w:left w:val="nil"/>
              <w:bottom w:val="single" w:sz="8" w:space="0" w:color="auto"/>
              <w:right w:val="nil"/>
            </w:tcBorders>
            <w:shd w:val="clear" w:color="auto" w:fill="auto"/>
            <w:noWrap/>
            <w:vAlign w:val="center"/>
          </w:tcPr>
          <w:p w14:paraId="4F1832D0" w14:textId="36412D0E" w:rsidR="00D0006B" w:rsidRPr="00EE59A4" w:rsidRDefault="00D0006B" w:rsidP="005B3E6B">
            <w:pPr>
              <w:spacing w:after="0" w:line="240" w:lineRule="auto"/>
              <w:rPr>
                <w:rFonts w:ascii="Times New Roman" w:eastAsia="Times New Roman" w:hAnsi="Times New Roman" w:cs="Times New Roman"/>
                <w:i/>
                <w:sz w:val="20"/>
                <w:szCs w:val="20"/>
                <w:lang w:eastAsia="en-GB"/>
              </w:rPr>
            </w:pPr>
            <w:r>
              <w:rPr>
                <w:rFonts w:ascii="Times New Roman" w:eastAsia="Times New Roman" w:hAnsi="Times New Roman" w:cs="Times New Roman"/>
                <w:i/>
                <w:sz w:val="20"/>
                <w:szCs w:val="20"/>
                <w:lang w:eastAsia="en-GB"/>
              </w:rPr>
              <w:t>1</w:t>
            </w:r>
          </w:p>
        </w:tc>
        <w:tc>
          <w:tcPr>
            <w:tcW w:w="2514" w:type="dxa"/>
            <w:tcBorders>
              <w:top w:val="single" w:sz="4" w:space="0" w:color="auto"/>
              <w:left w:val="nil"/>
              <w:bottom w:val="nil"/>
              <w:right w:val="nil"/>
            </w:tcBorders>
            <w:shd w:val="clear" w:color="auto" w:fill="auto"/>
            <w:noWrap/>
            <w:vAlign w:val="center"/>
          </w:tcPr>
          <w:p w14:paraId="6E624295" w14:textId="7FD5E6A0" w:rsidR="00D0006B" w:rsidRPr="001F242F"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CNS Haemorrhage &amp; cerebrovascular accident</w:t>
            </w:r>
          </w:p>
        </w:tc>
        <w:tc>
          <w:tcPr>
            <w:tcW w:w="663" w:type="dxa"/>
            <w:tcBorders>
              <w:top w:val="single" w:sz="4" w:space="0" w:color="auto"/>
              <w:left w:val="nil"/>
              <w:bottom w:val="nil"/>
              <w:right w:val="nil"/>
            </w:tcBorders>
            <w:shd w:val="clear" w:color="auto" w:fill="auto"/>
            <w:noWrap/>
            <w:vAlign w:val="center"/>
          </w:tcPr>
          <w:p w14:paraId="4AA132FB" w14:textId="003509DB" w:rsidR="00D0006B" w:rsidRPr="00EE59A4" w:rsidRDefault="00D0006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1</w:t>
            </w:r>
          </w:p>
        </w:tc>
        <w:tc>
          <w:tcPr>
            <w:tcW w:w="2390" w:type="dxa"/>
            <w:tcBorders>
              <w:top w:val="single" w:sz="4" w:space="0" w:color="auto"/>
              <w:left w:val="nil"/>
              <w:bottom w:val="nil"/>
              <w:right w:val="nil"/>
            </w:tcBorders>
            <w:shd w:val="clear" w:color="auto" w:fill="auto"/>
            <w:vAlign w:val="center"/>
          </w:tcPr>
          <w:p w14:paraId="252DB3E8" w14:textId="271A28A2" w:rsidR="00D0006B" w:rsidRDefault="00D0006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Haemorrhagic transformation stroke</w:t>
            </w:r>
          </w:p>
        </w:tc>
        <w:tc>
          <w:tcPr>
            <w:tcW w:w="551" w:type="dxa"/>
            <w:tcBorders>
              <w:top w:val="single" w:sz="4" w:space="0" w:color="auto"/>
              <w:left w:val="nil"/>
              <w:bottom w:val="nil"/>
              <w:right w:val="single" w:sz="8" w:space="0" w:color="auto"/>
            </w:tcBorders>
            <w:shd w:val="clear" w:color="auto" w:fill="auto"/>
            <w:noWrap/>
            <w:vAlign w:val="center"/>
          </w:tcPr>
          <w:p w14:paraId="655B9442" w14:textId="7440CE69" w:rsidR="00D0006B" w:rsidRPr="00EE59A4" w:rsidRDefault="00D0006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1</w:t>
            </w:r>
          </w:p>
        </w:tc>
      </w:tr>
      <w:tr w:rsidR="00AE5E73" w:rsidRPr="001F242F" w14:paraId="610C4001" w14:textId="77777777" w:rsidTr="00EE4387">
        <w:trPr>
          <w:trHeight w:val="215"/>
        </w:trPr>
        <w:tc>
          <w:tcPr>
            <w:tcW w:w="2405" w:type="dxa"/>
            <w:vMerge w:val="restart"/>
            <w:tcBorders>
              <w:top w:val="single" w:sz="8" w:space="0" w:color="auto"/>
              <w:left w:val="single" w:sz="8" w:space="0" w:color="auto"/>
              <w:right w:val="nil"/>
            </w:tcBorders>
            <w:shd w:val="clear" w:color="auto" w:fill="auto"/>
            <w:vAlign w:val="center"/>
            <w:hideMark/>
          </w:tcPr>
          <w:p w14:paraId="22177B26" w14:textId="77777777" w:rsidR="00AE5E73" w:rsidRPr="00090FBA" w:rsidRDefault="00AE5E73"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Injury, poisoning and procedural complications</w:t>
            </w:r>
          </w:p>
          <w:p w14:paraId="610C3FF8" w14:textId="7CC4EFD5"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val="restart"/>
            <w:tcBorders>
              <w:top w:val="single" w:sz="8" w:space="0" w:color="auto"/>
              <w:left w:val="nil"/>
              <w:right w:val="nil"/>
            </w:tcBorders>
            <w:shd w:val="clear" w:color="auto" w:fill="auto"/>
            <w:noWrap/>
            <w:vAlign w:val="center"/>
            <w:hideMark/>
          </w:tcPr>
          <w:p w14:paraId="4A0B8C89" w14:textId="005ABB70"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1.7</w:t>
            </w:r>
            <w:r w:rsidR="003A48A9">
              <w:rPr>
                <w:rFonts w:ascii="Calibri" w:eastAsia="Times New Roman" w:hAnsi="Calibri" w:cs="Calibri"/>
                <w:color w:val="000000"/>
                <w:lang w:eastAsia="en-GB"/>
              </w:rPr>
              <w:t>6</w:t>
            </w:r>
            <w:r w:rsidRPr="001F242F">
              <w:rPr>
                <w:rFonts w:ascii="Calibri" w:eastAsia="Times New Roman" w:hAnsi="Calibri" w:cs="Calibri"/>
                <w:color w:val="000000"/>
                <w:lang w:eastAsia="en-GB"/>
              </w:rPr>
              <w:t>%</w:t>
            </w:r>
          </w:p>
          <w:p w14:paraId="610C3FF9" w14:textId="64B21635"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val="restart"/>
            <w:tcBorders>
              <w:top w:val="single" w:sz="8" w:space="0" w:color="auto"/>
              <w:left w:val="nil"/>
            </w:tcBorders>
            <w:shd w:val="clear" w:color="auto" w:fill="auto"/>
            <w:noWrap/>
            <w:vAlign w:val="center"/>
            <w:hideMark/>
          </w:tcPr>
          <w:p w14:paraId="423B8F73" w14:textId="33D571AF" w:rsidR="00AE5E73" w:rsidRPr="00BB2C26" w:rsidRDefault="00AE5E73"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4</w:t>
            </w:r>
            <w:r w:rsidR="00F032C9">
              <w:rPr>
                <w:rFonts w:ascii="Calibri" w:eastAsia="Times New Roman" w:hAnsi="Calibri" w:cs="Calibri"/>
                <w:i/>
                <w:color w:val="000000"/>
                <w:lang w:eastAsia="en-GB"/>
              </w:rPr>
              <w:t>8</w:t>
            </w:r>
          </w:p>
          <w:p w14:paraId="610C3FFA" w14:textId="66D48C32" w:rsidR="00AE5E73" w:rsidRPr="00BB2C26" w:rsidRDefault="00AE5E73" w:rsidP="005B3E6B">
            <w:pPr>
              <w:spacing w:after="0" w:line="240" w:lineRule="auto"/>
              <w:rPr>
                <w:rFonts w:ascii="Calibri" w:eastAsia="Times New Roman" w:hAnsi="Calibri" w:cs="Calibri"/>
                <w:i/>
                <w:color w:val="000000"/>
                <w:lang w:eastAsia="en-GB"/>
              </w:rPr>
            </w:pPr>
          </w:p>
        </w:tc>
        <w:tc>
          <w:tcPr>
            <w:tcW w:w="2935" w:type="dxa"/>
            <w:tcBorders>
              <w:top w:val="single" w:sz="8" w:space="0" w:color="auto"/>
              <w:left w:val="nil"/>
              <w:bottom w:val="single" w:sz="4" w:space="0" w:color="auto"/>
              <w:right w:val="nil"/>
            </w:tcBorders>
            <w:shd w:val="clear" w:color="auto" w:fill="auto"/>
            <w:noWrap/>
            <w:vAlign w:val="center"/>
            <w:hideMark/>
          </w:tcPr>
          <w:p w14:paraId="610C3FFB"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Injuries NEC</w:t>
            </w:r>
          </w:p>
        </w:tc>
        <w:tc>
          <w:tcPr>
            <w:tcW w:w="567" w:type="dxa"/>
            <w:tcBorders>
              <w:top w:val="single" w:sz="8" w:space="0" w:color="auto"/>
              <w:left w:val="nil"/>
              <w:bottom w:val="single" w:sz="4" w:space="0" w:color="auto"/>
              <w:right w:val="nil"/>
            </w:tcBorders>
            <w:shd w:val="clear" w:color="auto" w:fill="auto"/>
            <w:noWrap/>
            <w:vAlign w:val="center"/>
            <w:hideMark/>
          </w:tcPr>
          <w:p w14:paraId="610C3FFC"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34</w:t>
            </w:r>
          </w:p>
        </w:tc>
        <w:tc>
          <w:tcPr>
            <w:tcW w:w="2514" w:type="dxa"/>
            <w:tcBorders>
              <w:top w:val="single" w:sz="8" w:space="0" w:color="auto"/>
              <w:left w:val="nil"/>
              <w:bottom w:val="single" w:sz="4" w:space="0" w:color="auto"/>
              <w:right w:val="nil"/>
            </w:tcBorders>
            <w:shd w:val="clear" w:color="auto" w:fill="auto"/>
            <w:vAlign w:val="center"/>
            <w:hideMark/>
          </w:tcPr>
          <w:p w14:paraId="610C3FFD"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Fall</w:t>
            </w:r>
          </w:p>
        </w:tc>
        <w:tc>
          <w:tcPr>
            <w:tcW w:w="663" w:type="dxa"/>
            <w:tcBorders>
              <w:top w:val="single" w:sz="8" w:space="0" w:color="auto"/>
              <w:left w:val="nil"/>
              <w:bottom w:val="single" w:sz="4" w:space="0" w:color="auto"/>
              <w:right w:val="nil"/>
            </w:tcBorders>
            <w:shd w:val="clear" w:color="auto" w:fill="auto"/>
            <w:noWrap/>
            <w:vAlign w:val="center"/>
            <w:hideMark/>
          </w:tcPr>
          <w:p w14:paraId="610C3FFE"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34</w:t>
            </w:r>
          </w:p>
        </w:tc>
        <w:tc>
          <w:tcPr>
            <w:tcW w:w="2390" w:type="dxa"/>
            <w:tcBorders>
              <w:top w:val="single" w:sz="8" w:space="0" w:color="auto"/>
              <w:left w:val="nil"/>
              <w:bottom w:val="single" w:sz="4" w:space="0" w:color="auto"/>
              <w:right w:val="nil"/>
            </w:tcBorders>
            <w:shd w:val="clear" w:color="auto" w:fill="auto"/>
            <w:noWrap/>
            <w:vAlign w:val="center"/>
            <w:hideMark/>
          </w:tcPr>
          <w:p w14:paraId="610C3FFF"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4000"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610C400B" w14:textId="77777777" w:rsidTr="00EE4387">
        <w:trPr>
          <w:trHeight w:val="290"/>
        </w:trPr>
        <w:tc>
          <w:tcPr>
            <w:tcW w:w="2405" w:type="dxa"/>
            <w:vMerge/>
            <w:tcBorders>
              <w:left w:val="single" w:sz="8" w:space="0" w:color="auto"/>
              <w:right w:val="nil"/>
            </w:tcBorders>
            <w:vAlign w:val="center"/>
            <w:hideMark/>
          </w:tcPr>
          <w:p w14:paraId="610C4002" w14:textId="1F795C5A"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03" w14:textId="6827095D"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4004" w14:textId="2AF59C5F"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05"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Bone and joint injuries </w:t>
            </w:r>
          </w:p>
        </w:tc>
        <w:tc>
          <w:tcPr>
            <w:tcW w:w="567" w:type="dxa"/>
            <w:tcBorders>
              <w:top w:val="nil"/>
              <w:left w:val="nil"/>
              <w:bottom w:val="single" w:sz="4" w:space="0" w:color="auto"/>
              <w:right w:val="nil"/>
            </w:tcBorders>
            <w:shd w:val="clear" w:color="auto" w:fill="auto"/>
            <w:noWrap/>
            <w:vAlign w:val="center"/>
            <w:hideMark/>
          </w:tcPr>
          <w:p w14:paraId="610C4006"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4" w:space="0" w:color="auto"/>
              <w:right w:val="nil"/>
            </w:tcBorders>
            <w:shd w:val="clear" w:color="auto" w:fill="auto"/>
            <w:vAlign w:val="center"/>
            <w:hideMark/>
          </w:tcPr>
          <w:p w14:paraId="610C4007"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Fracture</w:t>
            </w:r>
          </w:p>
        </w:tc>
        <w:tc>
          <w:tcPr>
            <w:tcW w:w="663" w:type="dxa"/>
            <w:tcBorders>
              <w:top w:val="nil"/>
              <w:left w:val="nil"/>
              <w:bottom w:val="single" w:sz="4" w:space="0" w:color="auto"/>
              <w:right w:val="nil"/>
            </w:tcBorders>
            <w:shd w:val="clear" w:color="auto" w:fill="auto"/>
            <w:noWrap/>
            <w:vAlign w:val="center"/>
            <w:hideMark/>
          </w:tcPr>
          <w:p w14:paraId="610C4008"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4" w:space="0" w:color="auto"/>
              <w:right w:val="nil"/>
            </w:tcBorders>
            <w:shd w:val="clear" w:color="auto" w:fill="auto"/>
            <w:noWrap/>
            <w:vAlign w:val="center"/>
            <w:hideMark/>
          </w:tcPr>
          <w:p w14:paraId="610C4009"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0A"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610C4015" w14:textId="77777777" w:rsidTr="00EE4387">
        <w:trPr>
          <w:trHeight w:val="290"/>
        </w:trPr>
        <w:tc>
          <w:tcPr>
            <w:tcW w:w="2405" w:type="dxa"/>
            <w:vMerge/>
            <w:tcBorders>
              <w:left w:val="single" w:sz="8" w:space="0" w:color="auto"/>
              <w:right w:val="nil"/>
            </w:tcBorders>
            <w:vAlign w:val="center"/>
            <w:hideMark/>
          </w:tcPr>
          <w:p w14:paraId="610C400C" w14:textId="737647C7"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0D" w14:textId="79EF5809"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400E" w14:textId="2F894AAE"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nil"/>
              <w:left w:val="nil"/>
              <w:bottom w:val="single" w:sz="4" w:space="0" w:color="000000"/>
              <w:right w:val="nil"/>
            </w:tcBorders>
            <w:shd w:val="clear" w:color="auto" w:fill="auto"/>
            <w:noWrap/>
            <w:vAlign w:val="center"/>
            <w:hideMark/>
          </w:tcPr>
          <w:p w14:paraId="610C400F"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Toxicity to various agents </w:t>
            </w:r>
          </w:p>
        </w:tc>
        <w:tc>
          <w:tcPr>
            <w:tcW w:w="567" w:type="dxa"/>
            <w:vMerge w:val="restart"/>
            <w:tcBorders>
              <w:top w:val="nil"/>
              <w:left w:val="nil"/>
              <w:right w:val="nil"/>
            </w:tcBorders>
            <w:shd w:val="clear" w:color="auto" w:fill="auto"/>
            <w:noWrap/>
            <w:vAlign w:val="center"/>
            <w:hideMark/>
          </w:tcPr>
          <w:p w14:paraId="610C4010"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w:t>
            </w:r>
          </w:p>
        </w:tc>
        <w:tc>
          <w:tcPr>
            <w:tcW w:w="2514" w:type="dxa"/>
            <w:tcBorders>
              <w:top w:val="single" w:sz="4" w:space="0" w:color="auto"/>
              <w:left w:val="nil"/>
              <w:bottom w:val="single" w:sz="4" w:space="0" w:color="auto"/>
              <w:right w:val="nil"/>
            </w:tcBorders>
            <w:shd w:val="clear" w:color="auto" w:fill="auto"/>
            <w:vAlign w:val="center"/>
            <w:hideMark/>
          </w:tcPr>
          <w:p w14:paraId="610C4011"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Digitalis intoxication</w:t>
            </w:r>
          </w:p>
        </w:tc>
        <w:tc>
          <w:tcPr>
            <w:tcW w:w="663" w:type="dxa"/>
            <w:tcBorders>
              <w:top w:val="single" w:sz="4" w:space="0" w:color="auto"/>
              <w:left w:val="nil"/>
              <w:bottom w:val="single" w:sz="4" w:space="0" w:color="auto"/>
              <w:right w:val="nil"/>
            </w:tcBorders>
            <w:shd w:val="clear" w:color="auto" w:fill="auto"/>
            <w:noWrap/>
            <w:vAlign w:val="center"/>
            <w:hideMark/>
          </w:tcPr>
          <w:p w14:paraId="610C4012"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6</w:t>
            </w:r>
          </w:p>
        </w:tc>
        <w:tc>
          <w:tcPr>
            <w:tcW w:w="2390" w:type="dxa"/>
            <w:tcBorders>
              <w:top w:val="single" w:sz="4" w:space="0" w:color="auto"/>
              <w:left w:val="nil"/>
              <w:bottom w:val="single" w:sz="4" w:space="0" w:color="auto"/>
              <w:right w:val="nil"/>
            </w:tcBorders>
            <w:shd w:val="clear" w:color="auto" w:fill="auto"/>
            <w:noWrap/>
            <w:vAlign w:val="center"/>
            <w:hideMark/>
          </w:tcPr>
          <w:p w14:paraId="610C4013"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4014"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610C401F" w14:textId="77777777" w:rsidTr="00EE4387">
        <w:trPr>
          <w:trHeight w:val="290"/>
        </w:trPr>
        <w:tc>
          <w:tcPr>
            <w:tcW w:w="2405" w:type="dxa"/>
            <w:vMerge/>
            <w:tcBorders>
              <w:left w:val="single" w:sz="8" w:space="0" w:color="auto"/>
              <w:right w:val="nil"/>
            </w:tcBorders>
            <w:vAlign w:val="center"/>
            <w:hideMark/>
          </w:tcPr>
          <w:p w14:paraId="610C4016" w14:textId="2E853EA9"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17" w14:textId="0A0500FF"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4018" w14:textId="077BE637"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4019" w14:textId="77777777" w:rsidR="00AE5E73" w:rsidRPr="001F242F" w:rsidRDefault="00AE5E73" w:rsidP="005B3E6B">
            <w:pPr>
              <w:spacing w:after="0" w:line="240" w:lineRule="auto"/>
              <w:rPr>
                <w:rFonts w:ascii="Calibri" w:eastAsia="Times New Roman" w:hAnsi="Calibri" w:cs="Calibri"/>
                <w:color w:val="000000"/>
                <w:lang w:eastAsia="en-GB"/>
              </w:rPr>
            </w:pPr>
          </w:p>
        </w:tc>
        <w:tc>
          <w:tcPr>
            <w:tcW w:w="567" w:type="dxa"/>
            <w:vMerge/>
            <w:tcBorders>
              <w:left w:val="nil"/>
              <w:right w:val="nil"/>
            </w:tcBorders>
            <w:shd w:val="clear" w:color="auto" w:fill="auto"/>
            <w:noWrap/>
            <w:vAlign w:val="center"/>
            <w:hideMark/>
          </w:tcPr>
          <w:p w14:paraId="610C401A" w14:textId="77777777" w:rsidR="00AE5E73" w:rsidRPr="00EE59A4" w:rsidRDefault="00AE5E73" w:rsidP="005B3E6B">
            <w:pPr>
              <w:spacing w:after="0" w:line="240" w:lineRule="auto"/>
              <w:rPr>
                <w:rFonts w:ascii="Times New Roman" w:eastAsia="Times New Roman" w:hAnsi="Times New Roman" w:cs="Times New Roman"/>
                <w:i/>
                <w:sz w:val="20"/>
                <w:szCs w:val="2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401B"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Lithium toxicity</w:t>
            </w:r>
          </w:p>
        </w:tc>
        <w:tc>
          <w:tcPr>
            <w:tcW w:w="663" w:type="dxa"/>
            <w:tcBorders>
              <w:top w:val="single" w:sz="4" w:space="0" w:color="auto"/>
              <w:left w:val="nil"/>
              <w:bottom w:val="single" w:sz="4" w:space="0" w:color="auto"/>
              <w:right w:val="nil"/>
            </w:tcBorders>
            <w:shd w:val="clear" w:color="auto" w:fill="auto"/>
            <w:noWrap/>
            <w:vAlign w:val="center"/>
            <w:hideMark/>
          </w:tcPr>
          <w:p w14:paraId="610C401C"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401D"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401E"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610C4029" w14:textId="77777777" w:rsidTr="00EE4387">
        <w:trPr>
          <w:trHeight w:val="290"/>
        </w:trPr>
        <w:tc>
          <w:tcPr>
            <w:tcW w:w="2405" w:type="dxa"/>
            <w:vMerge/>
            <w:tcBorders>
              <w:left w:val="single" w:sz="8" w:space="0" w:color="auto"/>
              <w:right w:val="nil"/>
            </w:tcBorders>
            <w:vAlign w:val="center"/>
            <w:hideMark/>
          </w:tcPr>
          <w:p w14:paraId="610C4020" w14:textId="0014BD51"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21" w14:textId="157195A3"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4022" w14:textId="00784234"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nil"/>
              <w:left w:val="nil"/>
              <w:bottom w:val="single" w:sz="4" w:space="0" w:color="000000"/>
              <w:right w:val="nil"/>
            </w:tcBorders>
            <w:vAlign w:val="center"/>
            <w:hideMark/>
          </w:tcPr>
          <w:p w14:paraId="610C4023" w14:textId="77777777" w:rsidR="00AE5E73" w:rsidRPr="001F242F" w:rsidRDefault="00AE5E73"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4024" w14:textId="77777777" w:rsidR="00AE5E73" w:rsidRPr="00EE59A4" w:rsidRDefault="00AE5E73"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noWrap/>
            <w:vAlign w:val="center"/>
            <w:hideMark/>
          </w:tcPr>
          <w:p w14:paraId="610C4025"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Opioid toxicity</w:t>
            </w:r>
          </w:p>
        </w:tc>
        <w:tc>
          <w:tcPr>
            <w:tcW w:w="663" w:type="dxa"/>
            <w:tcBorders>
              <w:top w:val="single" w:sz="4" w:space="0" w:color="auto"/>
              <w:left w:val="nil"/>
              <w:bottom w:val="single" w:sz="4" w:space="0" w:color="auto"/>
              <w:right w:val="nil"/>
            </w:tcBorders>
            <w:shd w:val="clear" w:color="auto" w:fill="auto"/>
            <w:noWrap/>
            <w:vAlign w:val="center"/>
            <w:hideMark/>
          </w:tcPr>
          <w:p w14:paraId="610C4026"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4027"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4028"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610C4033" w14:textId="77777777" w:rsidTr="008937F3">
        <w:trPr>
          <w:trHeight w:val="300"/>
        </w:trPr>
        <w:tc>
          <w:tcPr>
            <w:tcW w:w="2405" w:type="dxa"/>
            <w:vMerge/>
            <w:tcBorders>
              <w:left w:val="single" w:sz="8" w:space="0" w:color="auto"/>
              <w:right w:val="nil"/>
            </w:tcBorders>
            <w:vAlign w:val="center"/>
            <w:hideMark/>
          </w:tcPr>
          <w:p w14:paraId="610C402A" w14:textId="66101628"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2B" w14:textId="2FD908A1"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tcBorders>
            <w:shd w:val="clear" w:color="auto" w:fill="auto"/>
            <w:noWrap/>
            <w:vAlign w:val="center"/>
            <w:hideMark/>
          </w:tcPr>
          <w:p w14:paraId="610C402C" w14:textId="06B7DE14"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2D"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Procedural related injuries and complications NEC - Cardiac and vascular procedural complications</w:t>
            </w:r>
          </w:p>
        </w:tc>
        <w:tc>
          <w:tcPr>
            <w:tcW w:w="567" w:type="dxa"/>
            <w:tcBorders>
              <w:top w:val="nil"/>
              <w:left w:val="nil"/>
              <w:bottom w:val="single" w:sz="4" w:space="0" w:color="auto"/>
              <w:right w:val="nil"/>
            </w:tcBorders>
            <w:shd w:val="clear" w:color="auto" w:fill="auto"/>
            <w:noWrap/>
            <w:vAlign w:val="center"/>
            <w:hideMark/>
          </w:tcPr>
          <w:p w14:paraId="610C402E"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nil"/>
              <w:left w:val="nil"/>
              <w:bottom w:val="single" w:sz="8" w:space="0" w:color="auto"/>
              <w:right w:val="nil"/>
            </w:tcBorders>
            <w:shd w:val="clear" w:color="auto" w:fill="auto"/>
            <w:vAlign w:val="center"/>
            <w:hideMark/>
          </w:tcPr>
          <w:p w14:paraId="610C402F" w14:textId="77777777" w:rsidR="00AE5E73" w:rsidRPr="001F242F" w:rsidRDefault="00AE5E73"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Phlebitis</w:t>
            </w:r>
          </w:p>
        </w:tc>
        <w:tc>
          <w:tcPr>
            <w:tcW w:w="663" w:type="dxa"/>
            <w:tcBorders>
              <w:top w:val="nil"/>
              <w:left w:val="nil"/>
              <w:bottom w:val="single" w:sz="8" w:space="0" w:color="auto"/>
              <w:right w:val="nil"/>
            </w:tcBorders>
            <w:shd w:val="clear" w:color="auto" w:fill="auto"/>
            <w:noWrap/>
            <w:vAlign w:val="center"/>
            <w:hideMark/>
          </w:tcPr>
          <w:p w14:paraId="610C4030" w14:textId="77777777" w:rsidR="00AE5E73" w:rsidRPr="00EE59A4" w:rsidRDefault="00AE5E73"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nil"/>
              <w:left w:val="nil"/>
              <w:bottom w:val="single" w:sz="8" w:space="0" w:color="auto"/>
              <w:right w:val="nil"/>
            </w:tcBorders>
            <w:shd w:val="clear" w:color="auto" w:fill="auto"/>
            <w:noWrap/>
            <w:vAlign w:val="center"/>
            <w:hideMark/>
          </w:tcPr>
          <w:p w14:paraId="610C4031" w14:textId="77777777"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noWrap/>
            <w:vAlign w:val="center"/>
            <w:hideMark/>
          </w:tcPr>
          <w:p w14:paraId="610C4032" w14:textId="7777777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AE5E73" w:rsidRPr="001F242F" w14:paraId="2C940080" w14:textId="77777777" w:rsidTr="008937F3">
        <w:trPr>
          <w:trHeight w:val="300"/>
        </w:trPr>
        <w:tc>
          <w:tcPr>
            <w:tcW w:w="2405" w:type="dxa"/>
            <w:vMerge/>
            <w:tcBorders>
              <w:left w:val="single" w:sz="8" w:space="0" w:color="auto"/>
              <w:bottom w:val="nil"/>
              <w:right w:val="nil"/>
            </w:tcBorders>
            <w:vAlign w:val="center"/>
          </w:tcPr>
          <w:p w14:paraId="2C674C6A" w14:textId="6D319841" w:rsidR="00AE5E73" w:rsidRPr="00090FBA" w:rsidRDefault="00AE5E73"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tcPr>
          <w:p w14:paraId="11EB392E" w14:textId="344E309F" w:rsidR="00AE5E73" w:rsidRPr="001F242F" w:rsidRDefault="00AE5E73"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tcPr>
          <w:p w14:paraId="07FD55CF" w14:textId="58FA7BE0" w:rsidR="00AE5E73" w:rsidRPr="00BB2C26" w:rsidRDefault="00AE5E73" w:rsidP="005B3E6B">
            <w:pPr>
              <w:spacing w:after="0" w:line="240" w:lineRule="auto"/>
              <w:rPr>
                <w:rFonts w:ascii="Times New Roman" w:eastAsia="Times New Roman" w:hAnsi="Times New Roman" w:cs="Times New Roman"/>
                <w:i/>
                <w:sz w:val="20"/>
                <w:szCs w:val="20"/>
                <w:lang w:eastAsia="en-GB"/>
              </w:rPr>
            </w:pPr>
          </w:p>
        </w:tc>
        <w:tc>
          <w:tcPr>
            <w:tcW w:w="2935" w:type="dxa"/>
            <w:tcBorders>
              <w:top w:val="single" w:sz="4" w:space="0" w:color="auto"/>
              <w:left w:val="nil"/>
              <w:bottom w:val="single" w:sz="8" w:space="0" w:color="auto"/>
              <w:right w:val="nil"/>
            </w:tcBorders>
            <w:shd w:val="clear" w:color="auto" w:fill="auto"/>
            <w:noWrap/>
            <w:vAlign w:val="center"/>
          </w:tcPr>
          <w:p w14:paraId="1CD18D3D" w14:textId="6B25ABFF" w:rsidR="00AE5E73" w:rsidRPr="001F242F" w:rsidRDefault="00F032C9"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Exposures, chemical injuries and poisoning</w:t>
            </w:r>
          </w:p>
        </w:tc>
        <w:tc>
          <w:tcPr>
            <w:tcW w:w="567" w:type="dxa"/>
            <w:tcBorders>
              <w:top w:val="single" w:sz="4" w:space="0" w:color="auto"/>
              <w:left w:val="nil"/>
              <w:bottom w:val="single" w:sz="8" w:space="0" w:color="auto"/>
              <w:right w:val="nil"/>
            </w:tcBorders>
            <w:shd w:val="clear" w:color="auto" w:fill="auto"/>
            <w:noWrap/>
            <w:vAlign w:val="center"/>
          </w:tcPr>
          <w:p w14:paraId="2E2428FD" w14:textId="6CC1AC97"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1</w:t>
            </w:r>
          </w:p>
        </w:tc>
        <w:tc>
          <w:tcPr>
            <w:tcW w:w="2514" w:type="dxa"/>
            <w:tcBorders>
              <w:top w:val="nil"/>
              <w:left w:val="nil"/>
              <w:bottom w:val="single" w:sz="8" w:space="0" w:color="auto"/>
              <w:right w:val="nil"/>
            </w:tcBorders>
            <w:shd w:val="clear" w:color="auto" w:fill="auto"/>
            <w:vAlign w:val="center"/>
          </w:tcPr>
          <w:p w14:paraId="3C4544DB" w14:textId="2E3C400E" w:rsidR="00AE5E73" w:rsidRPr="001F242F"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Poisoning and toxicity</w:t>
            </w:r>
          </w:p>
        </w:tc>
        <w:tc>
          <w:tcPr>
            <w:tcW w:w="663" w:type="dxa"/>
            <w:tcBorders>
              <w:top w:val="nil"/>
              <w:left w:val="nil"/>
              <w:bottom w:val="single" w:sz="8" w:space="0" w:color="auto"/>
              <w:right w:val="nil"/>
            </w:tcBorders>
            <w:shd w:val="clear" w:color="auto" w:fill="auto"/>
            <w:noWrap/>
            <w:vAlign w:val="center"/>
          </w:tcPr>
          <w:p w14:paraId="486F6252" w14:textId="4CA76EF0" w:rsidR="00AE5E73" w:rsidRPr="00EE59A4"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1</w:t>
            </w:r>
          </w:p>
        </w:tc>
        <w:tc>
          <w:tcPr>
            <w:tcW w:w="2390" w:type="dxa"/>
            <w:tcBorders>
              <w:top w:val="nil"/>
              <w:left w:val="nil"/>
              <w:bottom w:val="single" w:sz="8" w:space="0" w:color="auto"/>
              <w:right w:val="nil"/>
            </w:tcBorders>
            <w:shd w:val="clear" w:color="auto" w:fill="auto"/>
            <w:noWrap/>
            <w:vAlign w:val="center"/>
          </w:tcPr>
          <w:p w14:paraId="741BB8AE" w14:textId="6FF8DD33" w:rsidR="00AE5E73" w:rsidRDefault="00AE5E73"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Toxic epidermal necrolysis</w:t>
            </w:r>
          </w:p>
        </w:tc>
        <w:tc>
          <w:tcPr>
            <w:tcW w:w="551" w:type="dxa"/>
            <w:tcBorders>
              <w:top w:val="nil"/>
              <w:left w:val="nil"/>
              <w:bottom w:val="single" w:sz="8" w:space="0" w:color="auto"/>
              <w:right w:val="single" w:sz="8" w:space="0" w:color="auto"/>
            </w:tcBorders>
            <w:shd w:val="clear" w:color="auto" w:fill="auto"/>
            <w:noWrap/>
            <w:vAlign w:val="center"/>
          </w:tcPr>
          <w:p w14:paraId="6688E3B2" w14:textId="428491BD" w:rsidR="00AE5E73" w:rsidRDefault="00AE5E73"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1</w:t>
            </w:r>
          </w:p>
        </w:tc>
      </w:tr>
      <w:tr w:rsidR="007D57FB" w:rsidRPr="001F242F" w14:paraId="610C403D" w14:textId="77777777" w:rsidTr="008937F3">
        <w:trPr>
          <w:trHeight w:val="580"/>
        </w:trPr>
        <w:tc>
          <w:tcPr>
            <w:tcW w:w="2405" w:type="dxa"/>
            <w:vMerge w:val="restart"/>
            <w:tcBorders>
              <w:top w:val="single" w:sz="8" w:space="0" w:color="auto"/>
              <w:left w:val="single" w:sz="8" w:space="0" w:color="auto"/>
              <w:bottom w:val="nil"/>
              <w:right w:val="nil"/>
            </w:tcBorders>
            <w:shd w:val="clear" w:color="auto" w:fill="auto"/>
            <w:vAlign w:val="center"/>
            <w:hideMark/>
          </w:tcPr>
          <w:p w14:paraId="610C4034"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Respiratory, thoracic and mediastinal disorders</w:t>
            </w:r>
          </w:p>
        </w:tc>
        <w:tc>
          <w:tcPr>
            <w:tcW w:w="875" w:type="dxa"/>
            <w:vMerge w:val="restart"/>
            <w:tcBorders>
              <w:top w:val="single" w:sz="8" w:space="0" w:color="auto"/>
              <w:left w:val="nil"/>
              <w:right w:val="nil"/>
            </w:tcBorders>
            <w:shd w:val="clear" w:color="auto" w:fill="auto"/>
            <w:noWrap/>
            <w:vAlign w:val="center"/>
            <w:hideMark/>
          </w:tcPr>
          <w:p w14:paraId="610C403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0.84%</w:t>
            </w:r>
          </w:p>
        </w:tc>
        <w:tc>
          <w:tcPr>
            <w:tcW w:w="663" w:type="dxa"/>
            <w:vMerge w:val="restart"/>
            <w:tcBorders>
              <w:top w:val="single" w:sz="8" w:space="0" w:color="auto"/>
              <w:left w:val="nil"/>
              <w:bottom w:val="single" w:sz="8" w:space="0" w:color="auto"/>
            </w:tcBorders>
            <w:shd w:val="clear" w:color="auto" w:fill="auto"/>
            <w:noWrap/>
            <w:vAlign w:val="center"/>
            <w:hideMark/>
          </w:tcPr>
          <w:p w14:paraId="610C4036"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23</w:t>
            </w:r>
          </w:p>
        </w:tc>
        <w:tc>
          <w:tcPr>
            <w:tcW w:w="2935" w:type="dxa"/>
            <w:vMerge w:val="restart"/>
            <w:tcBorders>
              <w:top w:val="single" w:sz="8" w:space="0" w:color="auto"/>
              <w:left w:val="nil"/>
              <w:bottom w:val="single" w:sz="4" w:space="0" w:color="000000"/>
              <w:right w:val="nil"/>
            </w:tcBorders>
            <w:shd w:val="clear" w:color="auto" w:fill="auto"/>
            <w:noWrap/>
            <w:vAlign w:val="center"/>
            <w:hideMark/>
          </w:tcPr>
          <w:p w14:paraId="610C403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Respiratory disorders NEC </w:t>
            </w:r>
          </w:p>
        </w:tc>
        <w:tc>
          <w:tcPr>
            <w:tcW w:w="567" w:type="dxa"/>
            <w:vMerge w:val="restart"/>
            <w:tcBorders>
              <w:top w:val="single" w:sz="8" w:space="0" w:color="auto"/>
              <w:left w:val="nil"/>
              <w:right w:val="nil"/>
            </w:tcBorders>
            <w:shd w:val="clear" w:color="auto" w:fill="auto"/>
            <w:noWrap/>
            <w:vAlign w:val="center"/>
            <w:hideMark/>
          </w:tcPr>
          <w:p w14:paraId="610C403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20 </w:t>
            </w:r>
          </w:p>
        </w:tc>
        <w:tc>
          <w:tcPr>
            <w:tcW w:w="2514" w:type="dxa"/>
            <w:tcBorders>
              <w:top w:val="single" w:sz="8" w:space="0" w:color="auto"/>
              <w:left w:val="nil"/>
              <w:bottom w:val="single" w:sz="4" w:space="0" w:color="auto"/>
              <w:right w:val="nil"/>
            </w:tcBorders>
            <w:shd w:val="clear" w:color="auto" w:fill="auto"/>
            <w:vAlign w:val="center"/>
            <w:hideMark/>
          </w:tcPr>
          <w:p w14:paraId="610C403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Respirat</w:t>
            </w:r>
            <w:r>
              <w:rPr>
                <w:rFonts w:ascii="Calibri" w:eastAsia="Times New Roman" w:hAnsi="Calibri" w:cs="Calibri"/>
                <w:color w:val="000000"/>
                <w:lang w:eastAsia="en-GB"/>
              </w:rPr>
              <w:t xml:space="preserve">ory failures (excl. </w:t>
            </w:r>
            <w:r w:rsidRPr="001F242F">
              <w:rPr>
                <w:rFonts w:ascii="Calibri" w:eastAsia="Times New Roman" w:hAnsi="Calibri" w:cs="Calibri"/>
                <w:color w:val="000000"/>
                <w:lang w:eastAsia="en-GB"/>
              </w:rPr>
              <w:t xml:space="preserve">neonatal) </w:t>
            </w:r>
          </w:p>
        </w:tc>
        <w:tc>
          <w:tcPr>
            <w:tcW w:w="663" w:type="dxa"/>
            <w:tcBorders>
              <w:top w:val="single" w:sz="8" w:space="0" w:color="auto"/>
              <w:left w:val="nil"/>
              <w:bottom w:val="single" w:sz="4" w:space="0" w:color="auto"/>
              <w:right w:val="nil"/>
            </w:tcBorders>
            <w:shd w:val="clear" w:color="auto" w:fill="auto"/>
            <w:noWrap/>
            <w:vAlign w:val="center"/>
            <w:hideMark/>
          </w:tcPr>
          <w:p w14:paraId="610C403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16</w:t>
            </w:r>
          </w:p>
        </w:tc>
        <w:tc>
          <w:tcPr>
            <w:tcW w:w="2390" w:type="dxa"/>
            <w:tcBorders>
              <w:top w:val="single" w:sz="8" w:space="0" w:color="auto"/>
              <w:left w:val="nil"/>
              <w:bottom w:val="single" w:sz="4" w:space="0" w:color="auto"/>
              <w:right w:val="nil"/>
            </w:tcBorders>
            <w:shd w:val="clear" w:color="auto" w:fill="auto"/>
            <w:noWrap/>
            <w:vAlign w:val="center"/>
            <w:hideMark/>
          </w:tcPr>
          <w:p w14:paraId="610C403B"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403C"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47"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403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3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4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tcBorders>
              <w:top w:val="single" w:sz="8" w:space="0" w:color="auto"/>
              <w:left w:val="nil"/>
              <w:bottom w:val="single" w:sz="4" w:space="0" w:color="000000"/>
              <w:right w:val="nil"/>
            </w:tcBorders>
            <w:vAlign w:val="center"/>
            <w:hideMark/>
          </w:tcPr>
          <w:p w14:paraId="610C404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4" w:space="0" w:color="auto"/>
              <w:right w:val="nil"/>
            </w:tcBorders>
            <w:shd w:val="clear" w:color="auto" w:fill="auto"/>
            <w:noWrap/>
            <w:vAlign w:val="center"/>
            <w:hideMark/>
          </w:tcPr>
          <w:p w14:paraId="610C4042"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4" w:space="0" w:color="auto"/>
              <w:right w:val="nil"/>
            </w:tcBorders>
            <w:shd w:val="clear" w:color="auto" w:fill="auto"/>
            <w:vAlign w:val="center"/>
            <w:hideMark/>
          </w:tcPr>
          <w:p w14:paraId="610C404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Cough</w:t>
            </w:r>
          </w:p>
        </w:tc>
        <w:tc>
          <w:tcPr>
            <w:tcW w:w="663" w:type="dxa"/>
            <w:tcBorders>
              <w:top w:val="single" w:sz="4" w:space="0" w:color="auto"/>
              <w:left w:val="nil"/>
              <w:bottom w:val="single" w:sz="4" w:space="0" w:color="auto"/>
              <w:right w:val="nil"/>
            </w:tcBorders>
            <w:shd w:val="clear" w:color="auto" w:fill="auto"/>
            <w:noWrap/>
            <w:vAlign w:val="center"/>
            <w:hideMark/>
          </w:tcPr>
          <w:p w14:paraId="610C404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w:t>
            </w:r>
          </w:p>
        </w:tc>
        <w:tc>
          <w:tcPr>
            <w:tcW w:w="2390" w:type="dxa"/>
            <w:tcBorders>
              <w:top w:val="single" w:sz="4" w:space="0" w:color="auto"/>
              <w:left w:val="nil"/>
              <w:bottom w:val="single" w:sz="4" w:space="0" w:color="auto"/>
              <w:right w:val="nil"/>
            </w:tcBorders>
            <w:shd w:val="clear" w:color="auto" w:fill="auto"/>
            <w:noWrap/>
            <w:vAlign w:val="center"/>
            <w:hideMark/>
          </w:tcPr>
          <w:p w14:paraId="610C404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4046"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51"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4048"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404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4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404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Unspecified / unclassifiable respiratory system </w:t>
            </w:r>
          </w:p>
        </w:tc>
        <w:tc>
          <w:tcPr>
            <w:tcW w:w="567" w:type="dxa"/>
            <w:tcBorders>
              <w:top w:val="nil"/>
              <w:left w:val="nil"/>
              <w:bottom w:val="nil"/>
              <w:right w:val="nil"/>
            </w:tcBorders>
            <w:shd w:val="clear" w:color="auto" w:fill="auto"/>
            <w:noWrap/>
            <w:vAlign w:val="center"/>
            <w:hideMark/>
          </w:tcPr>
          <w:p w14:paraId="610C404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nil"/>
              <w:left w:val="nil"/>
              <w:bottom w:val="nil"/>
              <w:right w:val="nil"/>
            </w:tcBorders>
            <w:shd w:val="clear" w:color="auto" w:fill="auto"/>
            <w:noWrap/>
            <w:vAlign w:val="center"/>
            <w:hideMark/>
          </w:tcPr>
          <w:p w14:paraId="610C404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Respiratory system</w:t>
            </w:r>
          </w:p>
        </w:tc>
        <w:tc>
          <w:tcPr>
            <w:tcW w:w="663" w:type="dxa"/>
            <w:tcBorders>
              <w:top w:val="nil"/>
              <w:left w:val="nil"/>
              <w:bottom w:val="nil"/>
              <w:right w:val="nil"/>
            </w:tcBorders>
            <w:shd w:val="clear" w:color="auto" w:fill="auto"/>
            <w:noWrap/>
            <w:vAlign w:val="center"/>
            <w:hideMark/>
          </w:tcPr>
          <w:p w14:paraId="610C404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nil"/>
              <w:left w:val="nil"/>
              <w:bottom w:val="nil"/>
              <w:right w:val="nil"/>
            </w:tcBorders>
            <w:shd w:val="clear" w:color="auto" w:fill="auto"/>
            <w:noWrap/>
            <w:vAlign w:val="center"/>
            <w:hideMark/>
          </w:tcPr>
          <w:p w14:paraId="610C404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nil"/>
              <w:right w:val="single" w:sz="8" w:space="0" w:color="auto"/>
            </w:tcBorders>
            <w:shd w:val="clear" w:color="auto" w:fill="auto"/>
            <w:noWrap/>
            <w:vAlign w:val="center"/>
            <w:hideMark/>
          </w:tcPr>
          <w:p w14:paraId="610C4050"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5B" w14:textId="77777777" w:rsidTr="00D0006B">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2" w14:textId="77777777" w:rsidR="007D57FB" w:rsidRPr="00090FBA" w:rsidRDefault="007D57FB" w:rsidP="005B3E6B">
            <w:pPr>
              <w:rPr>
                <w:rFonts w:ascii="Calibri" w:eastAsia="Times New Roman" w:hAnsi="Calibri" w:cs="Calibri"/>
                <w:b/>
                <w:bCs/>
                <w:color w:val="000000"/>
                <w:lang w:eastAsia="en-GB"/>
              </w:rPr>
            </w:pPr>
            <w:r w:rsidRPr="00C566A8">
              <w:rPr>
                <w:rFonts w:ascii="Calibri" w:eastAsia="Times New Roman" w:hAnsi="Calibri" w:cs="Calibri"/>
                <w:b/>
                <w:bCs/>
                <w:i/>
                <w:color w:val="000000"/>
                <w:lang w:eastAsia="en-GB"/>
              </w:rPr>
              <w:t>Contd.</w:t>
            </w:r>
            <w:r>
              <w:rPr>
                <w:rFonts w:ascii="Calibri" w:eastAsia="Times New Roman" w:hAnsi="Calibri" w:cs="Calibri"/>
                <w:b/>
                <w:bCs/>
                <w:color w:val="000000"/>
                <w:lang w:eastAsia="en-GB"/>
              </w:rPr>
              <w:t xml:space="preserve"> </w:t>
            </w:r>
            <w:r w:rsidRPr="00090FBA">
              <w:rPr>
                <w:rFonts w:ascii="Calibri" w:eastAsia="Times New Roman" w:hAnsi="Calibri" w:cs="Calibri"/>
                <w:b/>
                <w:bCs/>
                <w:color w:val="000000"/>
                <w:lang w:eastAsia="en-GB"/>
              </w:rPr>
              <w:t>MedDRA® SOC Classification</w:t>
            </w:r>
          </w:p>
        </w:tc>
        <w:tc>
          <w:tcPr>
            <w:tcW w:w="8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3" w14:textId="1E7710AF"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w:t>
            </w:r>
            <w:r w:rsidRPr="001F242F">
              <w:rPr>
                <w:rFonts w:ascii="Calibri" w:eastAsia="Times New Roman" w:hAnsi="Calibri" w:cs="Calibri"/>
                <w:b/>
                <w:bCs/>
                <w:color w:val="000000"/>
                <w:lang w:eastAsia="en-GB"/>
              </w:rPr>
              <w:t>272</w:t>
            </w:r>
            <w:r w:rsidR="003A48A9">
              <w:rPr>
                <w:rFonts w:ascii="Calibri" w:eastAsia="Times New Roman" w:hAnsi="Calibri" w:cs="Calibri"/>
                <w:b/>
                <w:bCs/>
                <w:color w:val="000000"/>
                <w:lang w:eastAsia="en-GB"/>
              </w:rPr>
              <w:t>8</w:t>
            </w:r>
            <w:r>
              <w:rPr>
                <w:rFonts w:ascii="Calibri" w:eastAsia="Times New Roman" w:hAnsi="Calibri" w:cs="Calibri"/>
                <w:b/>
                <w:bCs/>
                <w:color w:val="000000"/>
                <w:lang w:eastAsia="en-GB"/>
              </w:rPr>
              <w:t>)</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4" w14:textId="77777777" w:rsidR="007D57FB" w:rsidRPr="00BB2C26" w:rsidRDefault="007D57FB" w:rsidP="005B3E6B">
            <w:pPr>
              <w:spacing w:after="0" w:line="240" w:lineRule="auto"/>
              <w:rPr>
                <w:rFonts w:ascii="Calibri" w:eastAsia="Times New Roman" w:hAnsi="Calibri" w:cs="Calibri"/>
                <w:b/>
                <w:bCs/>
                <w:i/>
                <w:color w:val="000000"/>
                <w:lang w:eastAsia="en-GB"/>
              </w:rPr>
            </w:pPr>
            <w:r w:rsidRPr="00BB2C26">
              <w:rPr>
                <w:rFonts w:ascii="Calibri" w:eastAsia="Times New Roman" w:hAnsi="Calibri" w:cs="Calibri"/>
                <w:b/>
                <w:bCs/>
                <w:i/>
                <w:color w:val="000000"/>
                <w:lang w:eastAsia="en-GB"/>
              </w:rPr>
              <w:t>n</w:t>
            </w:r>
          </w:p>
        </w:tc>
        <w:tc>
          <w:tcPr>
            <w:tcW w:w="293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5"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Description (</w:t>
            </w:r>
            <w:r w:rsidRPr="00160864">
              <w:rPr>
                <w:rFonts w:ascii="Calibri" w:eastAsia="Times New Roman" w:hAnsi="Calibri" w:cs="Calibri"/>
                <w:b/>
                <w:bCs/>
                <w:color w:val="000000"/>
                <w:lang w:eastAsia="en-GB"/>
              </w:rPr>
              <w:t>High-Level Group Term</w:t>
            </w:r>
            <w:r>
              <w:rPr>
                <w:rFonts w:ascii="Calibri" w:eastAsia="Times New Roman" w:hAnsi="Calibri" w:cs="Calibri"/>
                <w:b/>
                <w:bCs/>
                <w:color w:val="000000"/>
                <w:lang w:eastAsia="en-GB"/>
              </w:rPr>
              <w:t>)</w:t>
            </w:r>
          </w:p>
        </w:tc>
        <w:tc>
          <w:tcPr>
            <w:tcW w:w="56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6"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5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057" w14:textId="77777777" w:rsidR="007D57FB" w:rsidRPr="00B34E9C" w:rsidRDefault="007D57FB" w:rsidP="005B3E6B">
            <w:pPr>
              <w:spacing w:after="0" w:line="240" w:lineRule="auto"/>
              <w:rPr>
                <w:rFonts w:ascii="Calibri" w:eastAsia="Times New Roman" w:hAnsi="Calibri" w:cs="Calibri"/>
                <w:b/>
                <w:bCs/>
                <w:color w:val="000000"/>
                <w:lang w:eastAsia="en-GB"/>
              </w:rPr>
            </w:pPr>
            <w:r w:rsidRPr="00B34E9C">
              <w:rPr>
                <w:rFonts w:ascii="Calibri" w:eastAsia="Times New Roman" w:hAnsi="Calibri" w:cs="Calibri"/>
                <w:b/>
                <w:bCs/>
                <w:color w:val="000000"/>
                <w:lang w:eastAsia="en-GB"/>
              </w:rPr>
              <w:t>Further ADR Description</w:t>
            </w:r>
          </w:p>
        </w:tc>
        <w:tc>
          <w:tcPr>
            <w:tcW w:w="66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8"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c>
          <w:tcPr>
            <w:tcW w:w="239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10C4059" w14:textId="77777777" w:rsidR="007D57FB" w:rsidRPr="001F242F"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Lowest Level ADR Detail (when available)</w:t>
            </w:r>
          </w:p>
        </w:tc>
        <w:tc>
          <w:tcPr>
            <w:tcW w:w="5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05A" w14:textId="77777777" w:rsidR="007D57FB" w:rsidRPr="00EE59A4" w:rsidRDefault="007D57FB" w:rsidP="005B3E6B">
            <w:pPr>
              <w:spacing w:after="0" w:line="240" w:lineRule="auto"/>
              <w:rPr>
                <w:rFonts w:ascii="Calibri" w:eastAsia="Times New Roman" w:hAnsi="Calibri" w:cs="Calibri"/>
                <w:b/>
                <w:bCs/>
                <w:i/>
                <w:color w:val="000000"/>
                <w:lang w:eastAsia="en-GB"/>
              </w:rPr>
            </w:pPr>
            <w:r w:rsidRPr="00EE59A4">
              <w:rPr>
                <w:rFonts w:ascii="Calibri" w:eastAsia="Times New Roman" w:hAnsi="Calibri" w:cs="Calibri"/>
                <w:b/>
                <w:bCs/>
                <w:i/>
                <w:color w:val="000000"/>
                <w:lang w:eastAsia="en-GB"/>
              </w:rPr>
              <w:t>n</w:t>
            </w:r>
          </w:p>
        </w:tc>
      </w:tr>
      <w:tr w:rsidR="007D57FB" w:rsidRPr="001F242F" w14:paraId="610C4065" w14:textId="77777777" w:rsidTr="00D0006B">
        <w:trPr>
          <w:trHeight w:val="583"/>
        </w:trPr>
        <w:tc>
          <w:tcPr>
            <w:tcW w:w="2405" w:type="dxa"/>
            <w:vMerge w:val="restart"/>
            <w:tcBorders>
              <w:top w:val="single" w:sz="8" w:space="0" w:color="auto"/>
              <w:left w:val="single" w:sz="8" w:space="0" w:color="auto"/>
              <w:bottom w:val="nil"/>
              <w:right w:val="nil"/>
            </w:tcBorders>
            <w:shd w:val="clear" w:color="auto" w:fill="auto"/>
            <w:vAlign w:val="center"/>
            <w:hideMark/>
          </w:tcPr>
          <w:p w14:paraId="610C405C"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Musculoskeletal and connective tissue disorders</w:t>
            </w:r>
          </w:p>
        </w:tc>
        <w:tc>
          <w:tcPr>
            <w:tcW w:w="875" w:type="dxa"/>
            <w:vMerge w:val="restart"/>
            <w:tcBorders>
              <w:top w:val="single" w:sz="8" w:space="0" w:color="auto"/>
              <w:left w:val="nil"/>
              <w:right w:val="nil"/>
            </w:tcBorders>
            <w:shd w:val="clear" w:color="auto" w:fill="auto"/>
            <w:noWrap/>
            <w:vAlign w:val="center"/>
            <w:hideMark/>
          </w:tcPr>
          <w:p w14:paraId="610C405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0.44%</w:t>
            </w:r>
          </w:p>
        </w:tc>
        <w:tc>
          <w:tcPr>
            <w:tcW w:w="663" w:type="dxa"/>
            <w:vMerge w:val="restart"/>
            <w:tcBorders>
              <w:top w:val="single" w:sz="8" w:space="0" w:color="auto"/>
              <w:left w:val="nil"/>
              <w:bottom w:val="single" w:sz="8" w:space="0" w:color="auto"/>
            </w:tcBorders>
            <w:shd w:val="clear" w:color="auto" w:fill="auto"/>
            <w:noWrap/>
            <w:vAlign w:val="center"/>
            <w:hideMark/>
          </w:tcPr>
          <w:p w14:paraId="610C405E"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12</w:t>
            </w:r>
          </w:p>
        </w:tc>
        <w:tc>
          <w:tcPr>
            <w:tcW w:w="2935" w:type="dxa"/>
            <w:tcBorders>
              <w:top w:val="single" w:sz="8" w:space="0" w:color="auto"/>
              <w:left w:val="nil"/>
              <w:bottom w:val="single" w:sz="4" w:space="0" w:color="auto"/>
              <w:right w:val="nil"/>
            </w:tcBorders>
            <w:shd w:val="clear" w:color="auto" w:fill="auto"/>
            <w:noWrap/>
            <w:vAlign w:val="center"/>
            <w:hideMark/>
          </w:tcPr>
          <w:p w14:paraId="610C405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Joint disorders - Crystal arthropathic disorders </w:t>
            </w:r>
          </w:p>
        </w:tc>
        <w:tc>
          <w:tcPr>
            <w:tcW w:w="567" w:type="dxa"/>
            <w:tcBorders>
              <w:top w:val="single" w:sz="8" w:space="0" w:color="auto"/>
              <w:left w:val="nil"/>
              <w:bottom w:val="single" w:sz="4" w:space="0" w:color="auto"/>
              <w:right w:val="nil"/>
            </w:tcBorders>
            <w:shd w:val="clear" w:color="auto" w:fill="auto"/>
            <w:noWrap/>
            <w:vAlign w:val="center"/>
            <w:hideMark/>
          </w:tcPr>
          <w:p w14:paraId="610C406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w:t>
            </w:r>
          </w:p>
        </w:tc>
        <w:tc>
          <w:tcPr>
            <w:tcW w:w="2514" w:type="dxa"/>
            <w:tcBorders>
              <w:top w:val="single" w:sz="8" w:space="0" w:color="auto"/>
              <w:left w:val="nil"/>
              <w:bottom w:val="single" w:sz="4" w:space="0" w:color="auto"/>
              <w:right w:val="nil"/>
            </w:tcBorders>
            <w:shd w:val="clear" w:color="auto" w:fill="auto"/>
            <w:vAlign w:val="center"/>
            <w:hideMark/>
          </w:tcPr>
          <w:p w14:paraId="610C406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Gout</w:t>
            </w:r>
          </w:p>
        </w:tc>
        <w:tc>
          <w:tcPr>
            <w:tcW w:w="663" w:type="dxa"/>
            <w:tcBorders>
              <w:top w:val="single" w:sz="8" w:space="0" w:color="auto"/>
              <w:left w:val="nil"/>
              <w:bottom w:val="single" w:sz="4" w:space="0" w:color="auto"/>
              <w:right w:val="nil"/>
            </w:tcBorders>
            <w:shd w:val="clear" w:color="auto" w:fill="auto"/>
            <w:noWrap/>
            <w:vAlign w:val="center"/>
            <w:hideMark/>
          </w:tcPr>
          <w:p w14:paraId="610C406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w:t>
            </w:r>
          </w:p>
        </w:tc>
        <w:tc>
          <w:tcPr>
            <w:tcW w:w="2390" w:type="dxa"/>
            <w:tcBorders>
              <w:top w:val="single" w:sz="8" w:space="0" w:color="auto"/>
              <w:left w:val="nil"/>
              <w:bottom w:val="single" w:sz="4" w:space="0" w:color="auto"/>
              <w:right w:val="nil"/>
            </w:tcBorders>
            <w:shd w:val="clear" w:color="auto" w:fill="auto"/>
            <w:noWrap/>
            <w:vAlign w:val="center"/>
            <w:hideMark/>
          </w:tcPr>
          <w:p w14:paraId="610C406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4064"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6F" w14:textId="77777777" w:rsidTr="00D0006B">
        <w:trPr>
          <w:trHeight w:val="290"/>
        </w:trPr>
        <w:tc>
          <w:tcPr>
            <w:tcW w:w="2405" w:type="dxa"/>
            <w:vMerge/>
            <w:tcBorders>
              <w:top w:val="single" w:sz="8" w:space="0" w:color="auto"/>
              <w:left w:val="single" w:sz="8" w:space="0" w:color="auto"/>
              <w:bottom w:val="nil"/>
              <w:right w:val="nil"/>
            </w:tcBorders>
            <w:vAlign w:val="center"/>
            <w:hideMark/>
          </w:tcPr>
          <w:p w14:paraId="610C4066"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6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68"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6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Bone disorders (excl</w:t>
            </w:r>
            <w:r>
              <w:rPr>
                <w:rFonts w:ascii="Calibri" w:eastAsia="Times New Roman" w:hAnsi="Calibri" w:cs="Calibri"/>
                <w:color w:val="000000"/>
                <w:lang w:eastAsia="en-GB"/>
              </w:rPr>
              <w:t>.</w:t>
            </w:r>
            <w:r w:rsidRPr="001F242F">
              <w:rPr>
                <w:rFonts w:ascii="Calibri" w:eastAsia="Times New Roman" w:hAnsi="Calibri" w:cs="Calibri"/>
                <w:color w:val="000000"/>
                <w:lang w:eastAsia="en-GB"/>
              </w:rPr>
              <w:t xml:space="preserve"> congenital and fractures) - metabolic bone disorders</w:t>
            </w:r>
          </w:p>
        </w:tc>
        <w:tc>
          <w:tcPr>
            <w:tcW w:w="567" w:type="dxa"/>
            <w:tcBorders>
              <w:top w:val="nil"/>
              <w:left w:val="nil"/>
              <w:bottom w:val="single" w:sz="4" w:space="0" w:color="auto"/>
              <w:right w:val="nil"/>
            </w:tcBorders>
            <w:shd w:val="clear" w:color="auto" w:fill="auto"/>
            <w:noWrap/>
            <w:vAlign w:val="center"/>
            <w:hideMark/>
          </w:tcPr>
          <w:p w14:paraId="610C406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nil"/>
              <w:left w:val="nil"/>
              <w:bottom w:val="single" w:sz="4" w:space="0" w:color="auto"/>
              <w:right w:val="nil"/>
            </w:tcBorders>
            <w:shd w:val="clear" w:color="auto" w:fill="auto"/>
            <w:vAlign w:val="center"/>
            <w:hideMark/>
          </w:tcPr>
          <w:p w14:paraId="610C406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Osteoporosis</w:t>
            </w:r>
          </w:p>
        </w:tc>
        <w:tc>
          <w:tcPr>
            <w:tcW w:w="663" w:type="dxa"/>
            <w:tcBorders>
              <w:top w:val="nil"/>
              <w:left w:val="nil"/>
              <w:bottom w:val="single" w:sz="4" w:space="0" w:color="auto"/>
              <w:right w:val="nil"/>
            </w:tcBorders>
            <w:shd w:val="clear" w:color="auto" w:fill="auto"/>
            <w:noWrap/>
            <w:vAlign w:val="center"/>
            <w:hideMark/>
          </w:tcPr>
          <w:p w14:paraId="610C406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nil"/>
              <w:left w:val="nil"/>
              <w:bottom w:val="single" w:sz="4" w:space="0" w:color="auto"/>
              <w:right w:val="nil"/>
            </w:tcBorders>
            <w:shd w:val="clear" w:color="auto" w:fill="auto"/>
            <w:noWrap/>
            <w:vAlign w:val="center"/>
            <w:hideMark/>
          </w:tcPr>
          <w:p w14:paraId="610C406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6E"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79" w14:textId="77777777" w:rsidTr="00D0006B">
        <w:trPr>
          <w:trHeight w:val="300"/>
        </w:trPr>
        <w:tc>
          <w:tcPr>
            <w:tcW w:w="2405" w:type="dxa"/>
            <w:vMerge/>
            <w:tcBorders>
              <w:top w:val="single" w:sz="8" w:space="0" w:color="auto"/>
              <w:left w:val="single" w:sz="8" w:space="0" w:color="auto"/>
              <w:bottom w:val="nil"/>
              <w:right w:val="nil"/>
            </w:tcBorders>
            <w:vAlign w:val="center"/>
            <w:hideMark/>
          </w:tcPr>
          <w:p w14:paraId="610C407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nil"/>
              <w:right w:val="nil"/>
            </w:tcBorders>
            <w:shd w:val="clear" w:color="auto" w:fill="auto"/>
            <w:noWrap/>
            <w:vAlign w:val="center"/>
            <w:hideMark/>
          </w:tcPr>
          <w:p w14:paraId="610C407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72"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nil"/>
              <w:right w:val="nil"/>
            </w:tcBorders>
            <w:shd w:val="clear" w:color="auto" w:fill="auto"/>
            <w:noWrap/>
            <w:vAlign w:val="center"/>
            <w:hideMark/>
          </w:tcPr>
          <w:p w14:paraId="610C407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Muscle disorders</w:t>
            </w:r>
          </w:p>
        </w:tc>
        <w:tc>
          <w:tcPr>
            <w:tcW w:w="567" w:type="dxa"/>
            <w:tcBorders>
              <w:top w:val="nil"/>
              <w:left w:val="nil"/>
              <w:bottom w:val="nil"/>
              <w:right w:val="nil"/>
            </w:tcBorders>
            <w:shd w:val="clear" w:color="auto" w:fill="auto"/>
            <w:noWrap/>
            <w:vAlign w:val="center"/>
            <w:hideMark/>
          </w:tcPr>
          <w:p w14:paraId="610C407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nil"/>
              <w:right w:val="nil"/>
            </w:tcBorders>
            <w:shd w:val="clear" w:color="auto" w:fill="auto"/>
            <w:vAlign w:val="center"/>
            <w:hideMark/>
          </w:tcPr>
          <w:p w14:paraId="610C407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Muscular necrosis</w:t>
            </w:r>
          </w:p>
        </w:tc>
        <w:tc>
          <w:tcPr>
            <w:tcW w:w="663" w:type="dxa"/>
            <w:tcBorders>
              <w:top w:val="nil"/>
              <w:left w:val="nil"/>
              <w:bottom w:val="nil"/>
              <w:right w:val="nil"/>
            </w:tcBorders>
            <w:shd w:val="clear" w:color="auto" w:fill="auto"/>
            <w:noWrap/>
            <w:vAlign w:val="center"/>
            <w:hideMark/>
          </w:tcPr>
          <w:p w14:paraId="610C407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nil"/>
              <w:right w:val="nil"/>
            </w:tcBorders>
            <w:shd w:val="clear" w:color="auto" w:fill="auto"/>
            <w:noWrap/>
            <w:vAlign w:val="center"/>
            <w:hideMark/>
          </w:tcPr>
          <w:p w14:paraId="610C4077"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nil"/>
              <w:right w:val="single" w:sz="8" w:space="0" w:color="auto"/>
            </w:tcBorders>
            <w:shd w:val="clear" w:color="auto" w:fill="auto"/>
            <w:noWrap/>
            <w:vAlign w:val="center"/>
            <w:hideMark/>
          </w:tcPr>
          <w:p w14:paraId="610C4078"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83" w14:textId="77777777" w:rsidTr="00D0006B">
        <w:trPr>
          <w:trHeight w:val="44"/>
        </w:trPr>
        <w:tc>
          <w:tcPr>
            <w:tcW w:w="2405" w:type="dxa"/>
            <w:vMerge w:val="restart"/>
            <w:tcBorders>
              <w:top w:val="single" w:sz="8" w:space="0" w:color="auto"/>
              <w:left w:val="single" w:sz="8" w:space="0" w:color="auto"/>
              <w:bottom w:val="single" w:sz="8" w:space="0" w:color="000000"/>
              <w:right w:val="nil"/>
            </w:tcBorders>
            <w:shd w:val="clear" w:color="auto" w:fill="auto"/>
            <w:vAlign w:val="center"/>
            <w:hideMark/>
          </w:tcPr>
          <w:p w14:paraId="610C407A"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General disorders and administration site conditions</w:t>
            </w:r>
          </w:p>
        </w:tc>
        <w:tc>
          <w:tcPr>
            <w:tcW w:w="875" w:type="dxa"/>
            <w:vMerge w:val="restart"/>
            <w:tcBorders>
              <w:top w:val="single" w:sz="8" w:space="0" w:color="auto"/>
              <w:left w:val="nil"/>
              <w:right w:val="nil"/>
            </w:tcBorders>
            <w:shd w:val="clear" w:color="auto" w:fill="auto"/>
            <w:noWrap/>
            <w:vAlign w:val="center"/>
            <w:hideMark/>
          </w:tcPr>
          <w:p w14:paraId="610C407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0.33%</w:t>
            </w:r>
          </w:p>
        </w:tc>
        <w:tc>
          <w:tcPr>
            <w:tcW w:w="663" w:type="dxa"/>
            <w:vMerge w:val="restart"/>
            <w:tcBorders>
              <w:top w:val="single" w:sz="8" w:space="0" w:color="auto"/>
              <w:left w:val="nil"/>
              <w:bottom w:val="single" w:sz="8" w:space="0" w:color="auto"/>
            </w:tcBorders>
            <w:shd w:val="clear" w:color="auto" w:fill="auto"/>
            <w:noWrap/>
            <w:vAlign w:val="center"/>
            <w:hideMark/>
          </w:tcPr>
          <w:p w14:paraId="610C407C"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9 </w:t>
            </w:r>
          </w:p>
        </w:tc>
        <w:tc>
          <w:tcPr>
            <w:tcW w:w="2935" w:type="dxa"/>
            <w:tcBorders>
              <w:top w:val="single" w:sz="8" w:space="0" w:color="auto"/>
              <w:left w:val="nil"/>
              <w:bottom w:val="single" w:sz="4" w:space="0" w:color="auto"/>
              <w:right w:val="nil"/>
            </w:tcBorders>
            <w:shd w:val="clear" w:color="auto" w:fill="auto"/>
            <w:noWrap/>
            <w:vAlign w:val="center"/>
            <w:hideMark/>
          </w:tcPr>
          <w:p w14:paraId="610C407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Body temperature conditions </w:t>
            </w:r>
          </w:p>
        </w:tc>
        <w:tc>
          <w:tcPr>
            <w:tcW w:w="567" w:type="dxa"/>
            <w:tcBorders>
              <w:top w:val="single" w:sz="8" w:space="0" w:color="auto"/>
              <w:left w:val="nil"/>
              <w:bottom w:val="single" w:sz="4" w:space="0" w:color="auto"/>
              <w:right w:val="nil"/>
            </w:tcBorders>
            <w:shd w:val="clear" w:color="auto" w:fill="auto"/>
            <w:noWrap/>
            <w:vAlign w:val="center"/>
            <w:hideMark/>
          </w:tcPr>
          <w:p w14:paraId="610C407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514" w:type="dxa"/>
            <w:tcBorders>
              <w:top w:val="single" w:sz="8" w:space="0" w:color="auto"/>
              <w:left w:val="nil"/>
              <w:bottom w:val="single" w:sz="4" w:space="0" w:color="auto"/>
              <w:right w:val="nil"/>
            </w:tcBorders>
            <w:shd w:val="clear" w:color="auto" w:fill="auto"/>
            <w:vAlign w:val="center"/>
            <w:hideMark/>
          </w:tcPr>
          <w:p w14:paraId="610C407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Hyperthermia</w:t>
            </w:r>
          </w:p>
        </w:tc>
        <w:tc>
          <w:tcPr>
            <w:tcW w:w="663" w:type="dxa"/>
            <w:tcBorders>
              <w:top w:val="single" w:sz="8" w:space="0" w:color="auto"/>
              <w:left w:val="nil"/>
              <w:bottom w:val="single" w:sz="4" w:space="0" w:color="auto"/>
              <w:right w:val="nil"/>
            </w:tcBorders>
            <w:shd w:val="clear" w:color="auto" w:fill="auto"/>
            <w:noWrap/>
            <w:vAlign w:val="center"/>
            <w:hideMark/>
          </w:tcPr>
          <w:p w14:paraId="610C408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3</w:t>
            </w:r>
          </w:p>
        </w:tc>
        <w:tc>
          <w:tcPr>
            <w:tcW w:w="2390" w:type="dxa"/>
            <w:tcBorders>
              <w:top w:val="single" w:sz="8" w:space="0" w:color="auto"/>
              <w:left w:val="nil"/>
              <w:bottom w:val="single" w:sz="4" w:space="0" w:color="auto"/>
              <w:right w:val="nil"/>
            </w:tcBorders>
            <w:shd w:val="clear" w:color="auto" w:fill="auto"/>
            <w:noWrap/>
            <w:vAlign w:val="center"/>
            <w:hideMark/>
          </w:tcPr>
          <w:p w14:paraId="610C4081"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4082"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8D"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408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8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86"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8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General system disorders NEC</w:t>
            </w:r>
          </w:p>
        </w:tc>
        <w:tc>
          <w:tcPr>
            <w:tcW w:w="567" w:type="dxa"/>
            <w:tcBorders>
              <w:top w:val="nil"/>
              <w:left w:val="nil"/>
              <w:bottom w:val="single" w:sz="4" w:space="0" w:color="auto"/>
              <w:right w:val="nil"/>
            </w:tcBorders>
            <w:shd w:val="clear" w:color="auto" w:fill="auto"/>
            <w:noWrap/>
            <w:vAlign w:val="center"/>
            <w:hideMark/>
          </w:tcPr>
          <w:p w14:paraId="610C408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4" w:space="0" w:color="auto"/>
              <w:right w:val="nil"/>
            </w:tcBorders>
            <w:shd w:val="clear" w:color="auto" w:fill="auto"/>
            <w:vAlign w:val="center"/>
            <w:hideMark/>
          </w:tcPr>
          <w:p w14:paraId="610C408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Hyperhidrosis</w:t>
            </w:r>
          </w:p>
        </w:tc>
        <w:tc>
          <w:tcPr>
            <w:tcW w:w="663" w:type="dxa"/>
            <w:tcBorders>
              <w:top w:val="nil"/>
              <w:left w:val="nil"/>
              <w:bottom w:val="single" w:sz="4" w:space="0" w:color="auto"/>
              <w:right w:val="nil"/>
            </w:tcBorders>
            <w:shd w:val="clear" w:color="auto" w:fill="auto"/>
            <w:noWrap/>
            <w:vAlign w:val="center"/>
            <w:hideMark/>
          </w:tcPr>
          <w:p w14:paraId="610C408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4" w:space="0" w:color="auto"/>
              <w:right w:val="nil"/>
            </w:tcBorders>
            <w:shd w:val="clear" w:color="auto" w:fill="auto"/>
            <w:noWrap/>
            <w:vAlign w:val="center"/>
            <w:hideMark/>
          </w:tcPr>
          <w:p w14:paraId="610C408B"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8C"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97"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408E"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8F"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90"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9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Asthenic conditions </w:t>
            </w:r>
          </w:p>
        </w:tc>
        <w:tc>
          <w:tcPr>
            <w:tcW w:w="567" w:type="dxa"/>
            <w:tcBorders>
              <w:top w:val="nil"/>
              <w:left w:val="nil"/>
              <w:bottom w:val="single" w:sz="4" w:space="0" w:color="auto"/>
              <w:right w:val="nil"/>
            </w:tcBorders>
            <w:shd w:val="clear" w:color="auto" w:fill="auto"/>
            <w:noWrap/>
            <w:vAlign w:val="center"/>
            <w:hideMark/>
          </w:tcPr>
          <w:p w14:paraId="610C409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4" w:space="0" w:color="auto"/>
              <w:right w:val="nil"/>
            </w:tcBorders>
            <w:shd w:val="clear" w:color="auto" w:fill="auto"/>
            <w:vAlign w:val="center"/>
            <w:hideMark/>
          </w:tcPr>
          <w:p w14:paraId="610C409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Asthenia</w:t>
            </w:r>
          </w:p>
        </w:tc>
        <w:tc>
          <w:tcPr>
            <w:tcW w:w="663" w:type="dxa"/>
            <w:tcBorders>
              <w:top w:val="nil"/>
              <w:left w:val="nil"/>
              <w:bottom w:val="single" w:sz="4" w:space="0" w:color="auto"/>
              <w:right w:val="nil"/>
            </w:tcBorders>
            <w:shd w:val="clear" w:color="auto" w:fill="auto"/>
            <w:noWrap/>
            <w:vAlign w:val="center"/>
            <w:hideMark/>
          </w:tcPr>
          <w:p w14:paraId="610C409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4" w:space="0" w:color="auto"/>
              <w:right w:val="nil"/>
            </w:tcBorders>
            <w:shd w:val="clear" w:color="auto" w:fill="auto"/>
            <w:noWrap/>
            <w:vAlign w:val="center"/>
            <w:hideMark/>
          </w:tcPr>
          <w:p w14:paraId="610C409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96"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A1"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4098"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9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9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9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Gait disturbances </w:t>
            </w:r>
          </w:p>
        </w:tc>
        <w:tc>
          <w:tcPr>
            <w:tcW w:w="567" w:type="dxa"/>
            <w:tcBorders>
              <w:top w:val="nil"/>
              <w:left w:val="nil"/>
              <w:bottom w:val="single" w:sz="4" w:space="0" w:color="auto"/>
              <w:right w:val="nil"/>
            </w:tcBorders>
            <w:shd w:val="clear" w:color="auto" w:fill="auto"/>
            <w:noWrap/>
            <w:vAlign w:val="center"/>
            <w:hideMark/>
          </w:tcPr>
          <w:p w14:paraId="610C409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4" w:space="0" w:color="auto"/>
              <w:right w:val="nil"/>
            </w:tcBorders>
            <w:shd w:val="clear" w:color="auto" w:fill="auto"/>
            <w:vAlign w:val="center"/>
            <w:hideMark/>
          </w:tcPr>
          <w:p w14:paraId="610C409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Ataxia</w:t>
            </w:r>
          </w:p>
        </w:tc>
        <w:tc>
          <w:tcPr>
            <w:tcW w:w="663" w:type="dxa"/>
            <w:tcBorders>
              <w:top w:val="nil"/>
              <w:left w:val="nil"/>
              <w:bottom w:val="single" w:sz="4" w:space="0" w:color="auto"/>
              <w:right w:val="nil"/>
            </w:tcBorders>
            <w:shd w:val="clear" w:color="auto" w:fill="auto"/>
            <w:noWrap/>
            <w:vAlign w:val="center"/>
            <w:hideMark/>
          </w:tcPr>
          <w:p w14:paraId="610C409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4" w:space="0" w:color="auto"/>
              <w:right w:val="nil"/>
            </w:tcBorders>
            <w:shd w:val="clear" w:color="auto" w:fill="auto"/>
            <w:noWrap/>
            <w:vAlign w:val="center"/>
            <w:hideMark/>
          </w:tcPr>
          <w:p w14:paraId="610C409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A0"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AB" w14:textId="77777777" w:rsidTr="00D0006B">
        <w:trPr>
          <w:trHeight w:val="290"/>
        </w:trPr>
        <w:tc>
          <w:tcPr>
            <w:tcW w:w="2405" w:type="dxa"/>
            <w:vMerge/>
            <w:tcBorders>
              <w:top w:val="single" w:sz="8" w:space="0" w:color="auto"/>
              <w:left w:val="single" w:sz="8" w:space="0" w:color="auto"/>
              <w:bottom w:val="single" w:sz="8" w:space="0" w:color="000000"/>
              <w:right w:val="nil"/>
            </w:tcBorders>
            <w:vAlign w:val="center"/>
            <w:hideMark/>
          </w:tcPr>
          <w:p w14:paraId="610C40A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A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A4"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tcBorders>
              <w:top w:val="nil"/>
              <w:left w:val="nil"/>
              <w:bottom w:val="single" w:sz="4" w:space="0" w:color="auto"/>
              <w:right w:val="nil"/>
            </w:tcBorders>
            <w:shd w:val="clear" w:color="auto" w:fill="auto"/>
            <w:noWrap/>
            <w:vAlign w:val="center"/>
            <w:hideMark/>
          </w:tcPr>
          <w:p w14:paraId="610C40A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Inflammations</w:t>
            </w:r>
          </w:p>
        </w:tc>
        <w:tc>
          <w:tcPr>
            <w:tcW w:w="567" w:type="dxa"/>
            <w:tcBorders>
              <w:top w:val="nil"/>
              <w:left w:val="nil"/>
              <w:bottom w:val="single" w:sz="4" w:space="0" w:color="auto"/>
              <w:right w:val="nil"/>
            </w:tcBorders>
            <w:shd w:val="clear" w:color="auto" w:fill="auto"/>
            <w:noWrap/>
            <w:vAlign w:val="center"/>
            <w:hideMark/>
          </w:tcPr>
          <w:p w14:paraId="610C40A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4" w:space="0" w:color="auto"/>
              <w:right w:val="nil"/>
            </w:tcBorders>
            <w:shd w:val="clear" w:color="auto" w:fill="auto"/>
            <w:vAlign w:val="center"/>
            <w:hideMark/>
          </w:tcPr>
          <w:p w14:paraId="610C40A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Local inflammation</w:t>
            </w:r>
          </w:p>
        </w:tc>
        <w:tc>
          <w:tcPr>
            <w:tcW w:w="663" w:type="dxa"/>
            <w:tcBorders>
              <w:top w:val="nil"/>
              <w:left w:val="nil"/>
              <w:bottom w:val="single" w:sz="4" w:space="0" w:color="auto"/>
              <w:right w:val="nil"/>
            </w:tcBorders>
            <w:shd w:val="clear" w:color="auto" w:fill="auto"/>
            <w:noWrap/>
            <w:vAlign w:val="center"/>
            <w:hideMark/>
          </w:tcPr>
          <w:p w14:paraId="610C40A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4" w:space="0" w:color="auto"/>
              <w:right w:val="nil"/>
            </w:tcBorders>
            <w:shd w:val="clear" w:color="auto" w:fill="auto"/>
            <w:noWrap/>
            <w:vAlign w:val="center"/>
            <w:hideMark/>
          </w:tcPr>
          <w:p w14:paraId="610C40A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vAlign w:val="center"/>
            <w:hideMark/>
          </w:tcPr>
          <w:p w14:paraId="610C40AA"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B5" w14:textId="77777777" w:rsidTr="00D0006B">
        <w:trPr>
          <w:trHeight w:val="300"/>
        </w:trPr>
        <w:tc>
          <w:tcPr>
            <w:tcW w:w="2405" w:type="dxa"/>
            <w:vMerge/>
            <w:tcBorders>
              <w:top w:val="single" w:sz="8" w:space="0" w:color="auto"/>
              <w:left w:val="single" w:sz="8" w:space="0" w:color="auto"/>
              <w:bottom w:val="single" w:sz="8" w:space="0" w:color="000000"/>
              <w:right w:val="nil"/>
            </w:tcBorders>
            <w:vAlign w:val="center"/>
            <w:hideMark/>
          </w:tcPr>
          <w:p w14:paraId="610C40AC"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40AD"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tcBorders>
            <w:shd w:val="clear" w:color="auto" w:fill="auto"/>
            <w:noWrap/>
            <w:vAlign w:val="center"/>
            <w:hideMark/>
          </w:tcPr>
          <w:p w14:paraId="610C40AE"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tcBorders>
              <w:top w:val="nil"/>
              <w:left w:val="nil"/>
              <w:bottom w:val="single" w:sz="8" w:space="0" w:color="auto"/>
              <w:right w:val="nil"/>
            </w:tcBorders>
            <w:shd w:val="clear" w:color="auto" w:fill="auto"/>
            <w:noWrap/>
            <w:vAlign w:val="center"/>
            <w:hideMark/>
          </w:tcPr>
          <w:p w14:paraId="610C40A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Therapeutic and nontherapeutic effects (excl</w:t>
            </w:r>
            <w:r>
              <w:rPr>
                <w:rFonts w:ascii="Calibri" w:eastAsia="Times New Roman" w:hAnsi="Calibri" w:cs="Calibri"/>
                <w:color w:val="000000"/>
                <w:lang w:eastAsia="en-GB"/>
              </w:rPr>
              <w:t>.</w:t>
            </w:r>
            <w:r w:rsidRPr="001F242F">
              <w:rPr>
                <w:rFonts w:ascii="Calibri" w:eastAsia="Times New Roman" w:hAnsi="Calibri" w:cs="Calibri"/>
                <w:color w:val="000000"/>
                <w:lang w:eastAsia="en-GB"/>
              </w:rPr>
              <w:t xml:space="preserve"> toxicity) </w:t>
            </w:r>
          </w:p>
        </w:tc>
        <w:tc>
          <w:tcPr>
            <w:tcW w:w="567" w:type="dxa"/>
            <w:tcBorders>
              <w:top w:val="nil"/>
              <w:left w:val="nil"/>
              <w:bottom w:val="single" w:sz="8" w:space="0" w:color="auto"/>
              <w:right w:val="nil"/>
            </w:tcBorders>
            <w:shd w:val="clear" w:color="auto" w:fill="auto"/>
            <w:noWrap/>
            <w:vAlign w:val="center"/>
            <w:hideMark/>
          </w:tcPr>
          <w:p w14:paraId="610C40B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514" w:type="dxa"/>
            <w:tcBorders>
              <w:top w:val="nil"/>
              <w:left w:val="nil"/>
              <w:bottom w:val="single" w:sz="8" w:space="0" w:color="auto"/>
              <w:right w:val="nil"/>
            </w:tcBorders>
            <w:shd w:val="clear" w:color="auto" w:fill="auto"/>
            <w:noWrap/>
            <w:vAlign w:val="center"/>
            <w:hideMark/>
          </w:tcPr>
          <w:p w14:paraId="610C40B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Signs of withdrawal</w:t>
            </w:r>
          </w:p>
        </w:tc>
        <w:tc>
          <w:tcPr>
            <w:tcW w:w="663" w:type="dxa"/>
            <w:tcBorders>
              <w:top w:val="nil"/>
              <w:left w:val="nil"/>
              <w:bottom w:val="single" w:sz="8" w:space="0" w:color="auto"/>
              <w:right w:val="nil"/>
            </w:tcBorders>
            <w:shd w:val="clear" w:color="auto" w:fill="auto"/>
            <w:noWrap/>
            <w:vAlign w:val="center"/>
            <w:hideMark/>
          </w:tcPr>
          <w:p w14:paraId="610C40B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nil"/>
              <w:left w:val="nil"/>
              <w:bottom w:val="single" w:sz="8" w:space="0" w:color="auto"/>
              <w:right w:val="nil"/>
            </w:tcBorders>
            <w:shd w:val="clear" w:color="auto" w:fill="auto"/>
            <w:noWrap/>
            <w:vAlign w:val="center"/>
            <w:hideMark/>
          </w:tcPr>
          <w:p w14:paraId="610C40B3"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8" w:space="0" w:color="auto"/>
              <w:right w:val="single" w:sz="8" w:space="0" w:color="auto"/>
            </w:tcBorders>
            <w:shd w:val="clear" w:color="auto" w:fill="auto"/>
            <w:vAlign w:val="center"/>
            <w:hideMark/>
          </w:tcPr>
          <w:p w14:paraId="610C40B4"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BF" w14:textId="77777777" w:rsidTr="00D0006B">
        <w:trPr>
          <w:trHeight w:val="290"/>
        </w:trPr>
        <w:tc>
          <w:tcPr>
            <w:tcW w:w="2405" w:type="dxa"/>
            <w:vMerge w:val="restart"/>
            <w:tcBorders>
              <w:top w:val="nil"/>
              <w:left w:val="single" w:sz="8" w:space="0" w:color="auto"/>
              <w:bottom w:val="single" w:sz="8" w:space="0" w:color="000000"/>
              <w:right w:val="nil"/>
            </w:tcBorders>
            <w:shd w:val="clear" w:color="auto" w:fill="auto"/>
            <w:vAlign w:val="center"/>
            <w:hideMark/>
          </w:tcPr>
          <w:p w14:paraId="610C40B6"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Immune system disorders</w:t>
            </w:r>
          </w:p>
        </w:tc>
        <w:tc>
          <w:tcPr>
            <w:tcW w:w="875" w:type="dxa"/>
            <w:vMerge w:val="restart"/>
            <w:tcBorders>
              <w:top w:val="nil"/>
              <w:left w:val="nil"/>
              <w:right w:val="nil"/>
            </w:tcBorders>
            <w:shd w:val="clear" w:color="auto" w:fill="auto"/>
            <w:noWrap/>
            <w:vAlign w:val="center"/>
            <w:hideMark/>
          </w:tcPr>
          <w:p w14:paraId="610C40B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0.29%</w:t>
            </w:r>
          </w:p>
        </w:tc>
        <w:tc>
          <w:tcPr>
            <w:tcW w:w="663" w:type="dxa"/>
            <w:vMerge w:val="restart"/>
            <w:tcBorders>
              <w:top w:val="nil"/>
              <w:left w:val="nil"/>
              <w:right w:val="nil"/>
            </w:tcBorders>
            <w:shd w:val="clear" w:color="auto" w:fill="auto"/>
            <w:noWrap/>
            <w:vAlign w:val="center"/>
            <w:hideMark/>
          </w:tcPr>
          <w:p w14:paraId="610C40B8"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8 </w:t>
            </w:r>
          </w:p>
        </w:tc>
        <w:tc>
          <w:tcPr>
            <w:tcW w:w="2935" w:type="dxa"/>
            <w:vMerge w:val="restart"/>
            <w:tcBorders>
              <w:top w:val="nil"/>
              <w:left w:val="nil"/>
              <w:bottom w:val="single" w:sz="8" w:space="0" w:color="000000"/>
              <w:right w:val="nil"/>
            </w:tcBorders>
            <w:shd w:val="clear" w:color="auto" w:fill="auto"/>
            <w:noWrap/>
            <w:vAlign w:val="center"/>
            <w:hideMark/>
          </w:tcPr>
          <w:p w14:paraId="610C40B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Allergic conditions</w:t>
            </w:r>
          </w:p>
        </w:tc>
        <w:tc>
          <w:tcPr>
            <w:tcW w:w="567" w:type="dxa"/>
            <w:vMerge w:val="restart"/>
            <w:tcBorders>
              <w:top w:val="nil"/>
              <w:left w:val="nil"/>
              <w:right w:val="nil"/>
            </w:tcBorders>
            <w:shd w:val="clear" w:color="auto" w:fill="auto"/>
            <w:noWrap/>
            <w:vAlign w:val="center"/>
            <w:hideMark/>
          </w:tcPr>
          <w:p w14:paraId="610C40B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8</w:t>
            </w:r>
          </w:p>
        </w:tc>
        <w:tc>
          <w:tcPr>
            <w:tcW w:w="2514" w:type="dxa"/>
            <w:tcBorders>
              <w:top w:val="single" w:sz="8" w:space="0" w:color="auto"/>
              <w:left w:val="nil"/>
              <w:bottom w:val="single" w:sz="4" w:space="0" w:color="auto"/>
              <w:right w:val="nil"/>
            </w:tcBorders>
            <w:shd w:val="clear" w:color="auto" w:fill="auto"/>
            <w:vAlign w:val="center"/>
            <w:hideMark/>
          </w:tcPr>
          <w:p w14:paraId="610C40B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Allergy or drug sensitivity</w:t>
            </w:r>
          </w:p>
        </w:tc>
        <w:tc>
          <w:tcPr>
            <w:tcW w:w="663" w:type="dxa"/>
            <w:tcBorders>
              <w:top w:val="single" w:sz="8" w:space="0" w:color="auto"/>
              <w:left w:val="nil"/>
              <w:bottom w:val="single" w:sz="4" w:space="0" w:color="auto"/>
              <w:right w:val="nil"/>
            </w:tcBorders>
            <w:shd w:val="clear" w:color="auto" w:fill="auto"/>
            <w:noWrap/>
            <w:vAlign w:val="center"/>
            <w:hideMark/>
          </w:tcPr>
          <w:p w14:paraId="610C40B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7</w:t>
            </w:r>
          </w:p>
        </w:tc>
        <w:tc>
          <w:tcPr>
            <w:tcW w:w="2390" w:type="dxa"/>
            <w:tcBorders>
              <w:top w:val="single" w:sz="8" w:space="0" w:color="auto"/>
              <w:left w:val="nil"/>
              <w:bottom w:val="single" w:sz="4" w:space="0" w:color="auto"/>
              <w:right w:val="nil"/>
            </w:tcBorders>
            <w:shd w:val="clear" w:color="auto" w:fill="auto"/>
            <w:noWrap/>
            <w:vAlign w:val="center"/>
            <w:hideMark/>
          </w:tcPr>
          <w:p w14:paraId="610C40BD"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8" w:space="0" w:color="auto"/>
              <w:left w:val="nil"/>
              <w:bottom w:val="single" w:sz="4" w:space="0" w:color="auto"/>
              <w:right w:val="single" w:sz="8" w:space="0" w:color="auto"/>
            </w:tcBorders>
            <w:shd w:val="clear" w:color="auto" w:fill="auto"/>
            <w:vAlign w:val="center"/>
            <w:hideMark/>
          </w:tcPr>
          <w:p w14:paraId="610C40BE"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C9" w14:textId="77777777" w:rsidTr="00D0006B">
        <w:trPr>
          <w:trHeight w:val="300"/>
        </w:trPr>
        <w:tc>
          <w:tcPr>
            <w:tcW w:w="2405" w:type="dxa"/>
            <w:vMerge/>
            <w:tcBorders>
              <w:top w:val="nil"/>
              <w:left w:val="single" w:sz="8" w:space="0" w:color="auto"/>
              <w:bottom w:val="single" w:sz="8" w:space="0" w:color="000000"/>
              <w:right w:val="nil"/>
            </w:tcBorders>
            <w:vAlign w:val="center"/>
            <w:hideMark/>
          </w:tcPr>
          <w:p w14:paraId="610C40C0"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40C1"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right w:val="nil"/>
            </w:tcBorders>
            <w:shd w:val="clear" w:color="auto" w:fill="auto"/>
            <w:noWrap/>
            <w:vAlign w:val="center"/>
            <w:hideMark/>
          </w:tcPr>
          <w:p w14:paraId="610C40C2"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vMerge/>
            <w:tcBorders>
              <w:top w:val="nil"/>
              <w:left w:val="nil"/>
              <w:bottom w:val="single" w:sz="8" w:space="0" w:color="000000"/>
              <w:right w:val="nil"/>
            </w:tcBorders>
            <w:vAlign w:val="center"/>
            <w:hideMark/>
          </w:tcPr>
          <w:p w14:paraId="610C40C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8" w:space="0" w:color="auto"/>
              <w:right w:val="nil"/>
            </w:tcBorders>
            <w:shd w:val="clear" w:color="auto" w:fill="auto"/>
            <w:noWrap/>
            <w:vAlign w:val="center"/>
            <w:hideMark/>
          </w:tcPr>
          <w:p w14:paraId="610C40C4"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8" w:space="0" w:color="auto"/>
              <w:right w:val="nil"/>
            </w:tcBorders>
            <w:shd w:val="clear" w:color="auto" w:fill="auto"/>
            <w:vAlign w:val="center"/>
            <w:hideMark/>
          </w:tcPr>
          <w:p w14:paraId="610C40C5"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Bronchospasm</w:t>
            </w:r>
          </w:p>
        </w:tc>
        <w:tc>
          <w:tcPr>
            <w:tcW w:w="663" w:type="dxa"/>
            <w:tcBorders>
              <w:top w:val="single" w:sz="4" w:space="0" w:color="auto"/>
              <w:left w:val="nil"/>
              <w:bottom w:val="single" w:sz="8" w:space="0" w:color="auto"/>
              <w:right w:val="nil"/>
            </w:tcBorders>
            <w:shd w:val="clear" w:color="auto" w:fill="auto"/>
            <w:noWrap/>
            <w:vAlign w:val="center"/>
            <w:hideMark/>
          </w:tcPr>
          <w:p w14:paraId="610C40C6"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8" w:space="0" w:color="auto"/>
              <w:right w:val="nil"/>
            </w:tcBorders>
            <w:shd w:val="clear" w:color="auto" w:fill="auto"/>
            <w:noWrap/>
            <w:vAlign w:val="center"/>
            <w:hideMark/>
          </w:tcPr>
          <w:p w14:paraId="610C40C7"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8" w:space="0" w:color="auto"/>
              <w:right w:val="single" w:sz="8" w:space="0" w:color="auto"/>
            </w:tcBorders>
            <w:shd w:val="clear" w:color="auto" w:fill="auto"/>
            <w:noWrap/>
            <w:vAlign w:val="center"/>
            <w:hideMark/>
          </w:tcPr>
          <w:p w14:paraId="610C40C8"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D3" w14:textId="77777777" w:rsidTr="00D0006B">
        <w:trPr>
          <w:trHeight w:val="290"/>
        </w:trPr>
        <w:tc>
          <w:tcPr>
            <w:tcW w:w="2405" w:type="dxa"/>
            <w:vMerge w:val="restart"/>
            <w:tcBorders>
              <w:top w:val="nil"/>
              <w:left w:val="single" w:sz="8" w:space="0" w:color="auto"/>
              <w:bottom w:val="single" w:sz="8" w:space="0" w:color="000000"/>
              <w:right w:val="nil"/>
            </w:tcBorders>
            <w:shd w:val="clear" w:color="auto" w:fill="auto"/>
            <w:vAlign w:val="center"/>
            <w:hideMark/>
          </w:tcPr>
          <w:p w14:paraId="610C40CA"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Hepatobiliary disorders</w:t>
            </w:r>
          </w:p>
        </w:tc>
        <w:tc>
          <w:tcPr>
            <w:tcW w:w="875" w:type="dxa"/>
            <w:vMerge w:val="restart"/>
            <w:tcBorders>
              <w:top w:val="nil"/>
              <w:left w:val="nil"/>
              <w:right w:val="nil"/>
            </w:tcBorders>
            <w:shd w:val="clear" w:color="auto" w:fill="auto"/>
            <w:noWrap/>
            <w:vAlign w:val="center"/>
            <w:hideMark/>
          </w:tcPr>
          <w:p w14:paraId="610C40C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0.18%</w:t>
            </w:r>
          </w:p>
        </w:tc>
        <w:tc>
          <w:tcPr>
            <w:tcW w:w="663" w:type="dxa"/>
            <w:vMerge w:val="restart"/>
            <w:tcBorders>
              <w:top w:val="nil"/>
              <w:left w:val="nil"/>
              <w:right w:val="nil"/>
            </w:tcBorders>
            <w:shd w:val="clear" w:color="auto" w:fill="auto"/>
            <w:noWrap/>
            <w:vAlign w:val="center"/>
            <w:hideMark/>
          </w:tcPr>
          <w:p w14:paraId="610C40CC"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5 </w:t>
            </w:r>
          </w:p>
        </w:tc>
        <w:tc>
          <w:tcPr>
            <w:tcW w:w="2935" w:type="dxa"/>
            <w:vMerge w:val="restart"/>
            <w:tcBorders>
              <w:top w:val="nil"/>
              <w:left w:val="nil"/>
              <w:bottom w:val="single" w:sz="8" w:space="0" w:color="000000"/>
              <w:right w:val="nil"/>
            </w:tcBorders>
            <w:shd w:val="clear" w:color="auto" w:fill="auto"/>
            <w:vAlign w:val="center"/>
            <w:hideMark/>
          </w:tcPr>
          <w:p w14:paraId="610C40C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Unspecified / unclassifiable Hepatobiliary disorders</w:t>
            </w:r>
          </w:p>
        </w:tc>
        <w:tc>
          <w:tcPr>
            <w:tcW w:w="567" w:type="dxa"/>
            <w:vMerge w:val="restart"/>
            <w:tcBorders>
              <w:top w:val="nil"/>
              <w:left w:val="nil"/>
              <w:right w:val="nil"/>
            </w:tcBorders>
            <w:shd w:val="clear" w:color="auto" w:fill="auto"/>
            <w:noWrap/>
            <w:vAlign w:val="center"/>
            <w:hideMark/>
          </w:tcPr>
          <w:p w14:paraId="610C40C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5 </w:t>
            </w:r>
          </w:p>
        </w:tc>
        <w:tc>
          <w:tcPr>
            <w:tcW w:w="2514" w:type="dxa"/>
            <w:tcBorders>
              <w:top w:val="single" w:sz="8" w:space="0" w:color="auto"/>
              <w:left w:val="nil"/>
              <w:bottom w:val="single" w:sz="4" w:space="0" w:color="auto"/>
              <w:right w:val="nil"/>
            </w:tcBorders>
            <w:shd w:val="clear" w:color="auto" w:fill="auto"/>
            <w:vAlign w:val="center"/>
            <w:hideMark/>
          </w:tcPr>
          <w:p w14:paraId="610C40C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Jaundice</w:t>
            </w:r>
          </w:p>
        </w:tc>
        <w:tc>
          <w:tcPr>
            <w:tcW w:w="663" w:type="dxa"/>
            <w:tcBorders>
              <w:top w:val="single" w:sz="8" w:space="0" w:color="auto"/>
              <w:left w:val="nil"/>
              <w:bottom w:val="single" w:sz="4" w:space="0" w:color="auto"/>
              <w:right w:val="nil"/>
            </w:tcBorders>
            <w:shd w:val="clear" w:color="auto" w:fill="auto"/>
            <w:noWrap/>
            <w:vAlign w:val="center"/>
            <w:hideMark/>
          </w:tcPr>
          <w:p w14:paraId="610C40D0"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8" w:space="0" w:color="auto"/>
              <w:left w:val="nil"/>
              <w:bottom w:val="single" w:sz="4" w:space="0" w:color="auto"/>
              <w:right w:val="nil"/>
            </w:tcBorders>
            <w:shd w:val="clear" w:color="auto" w:fill="auto"/>
            <w:noWrap/>
            <w:vAlign w:val="center"/>
            <w:hideMark/>
          </w:tcPr>
          <w:p w14:paraId="610C40D1"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1F242F">
              <w:rPr>
                <w:rFonts w:ascii="Calibri" w:eastAsia="Times New Roman" w:hAnsi="Calibri" w:cs="Calibri"/>
                <w:color w:val="000000"/>
                <w:lang w:eastAsia="en-GB"/>
              </w:rPr>
              <w:t> </w:t>
            </w:r>
          </w:p>
        </w:tc>
        <w:tc>
          <w:tcPr>
            <w:tcW w:w="551" w:type="dxa"/>
            <w:tcBorders>
              <w:top w:val="single" w:sz="8" w:space="0" w:color="auto"/>
              <w:left w:val="nil"/>
              <w:bottom w:val="single" w:sz="4" w:space="0" w:color="auto"/>
              <w:right w:val="single" w:sz="8" w:space="0" w:color="auto"/>
            </w:tcBorders>
            <w:shd w:val="clear" w:color="auto" w:fill="auto"/>
            <w:noWrap/>
            <w:vAlign w:val="center"/>
            <w:hideMark/>
          </w:tcPr>
          <w:p w14:paraId="610C40D2"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DD" w14:textId="77777777" w:rsidTr="00D0006B">
        <w:trPr>
          <w:trHeight w:val="300"/>
        </w:trPr>
        <w:tc>
          <w:tcPr>
            <w:tcW w:w="2405" w:type="dxa"/>
            <w:vMerge/>
            <w:tcBorders>
              <w:top w:val="nil"/>
              <w:left w:val="single" w:sz="8" w:space="0" w:color="auto"/>
              <w:bottom w:val="single" w:sz="8" w:space="0" w:color="000000"/>
              <w:right w:val="nil"/>
            </w:tcBorders>
            <w:vAlign w:val="center"/>
            <w:hideMark/>
          </w:tcPr>
          <w:p w14:paraId="610C40D4"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40D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left w:val="nil"/>
              <w:bottom w:val="single" w:sz="8" w:space="0" w:color="auto"/>
              <w:right w:val="nil"/>
            </w:tcBorders>
            <w:shd w:val="clear" w:color="auto" w:fill="auto"/>
            <w:noWrap/>
            <w:vAlign w:val="center"/>
            <w:hideMark/>
          </w:tcPr>
          <w:p w14:paraId="610C40D6"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vMerge/>
            <w:tcBorders>
              <w:top w:val="nil"/>
              <w:left w:val="nil"/>
              <w:bottom w:val="single" w:sz="8" w:space="0" w:color="000000"/>
              <w:right w:val="nil"/>
            </w:tcBorders>
            <w:vAlign w:val="center"/>
            <w:hideMark/>
          </w:tcPr>
          <w:p w14:paraId="610C40D7"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8" w:space="0" w:color="auto"/>
              <w:right w:val="nil"/>
            </w:tcBorders>
            <w:shd w:val="clear" w:color="auto" w:fill="auto"/>
            <w:noWrap/>
            <w:vAlign w:val="center"/>
            <w:hideMark/>
          </w:tcPr>
          <w:p w14:paraId="610C40D8"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8" w:space="0" w:color="auto"/>
              <w:right w:val="nil"/>
            </w:tcBorders>
            <w:shd w:val="clear" w:color="auto" w:fill="auto"/>
            <w:noWrap/>
            <w:vAlign w:val="center"/>
            <w:hideMark/>
          </w:tcPr>
          <w:p w14:paraId="610C40D9"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Hepatic </w:t>
            </w:r>
          </w:p>
        </w:tc>
        <w:tc>
          <w:tcPr>
            <w:tcW w:w="663" w:type="dxa"/>
            <w:tcBorders>
              <w:top w:val="single" w:sz="4" w:space="0" w:color="auto"/>
              <w:left w:val="nil"/>
              <w:bottom w:val="single" w:sz="8" w:space="0" w:color="auto"/>
              <w:right w:val="nil"/>
            </w:tcBorders>
            <w:shd w:val="clear" w:color="auto" w:fill="auto"/>
            <w:noWrap/>
            <w:vAlign w:val="center"/>
            <w:hideMark/>
          </w:tcPr>
          <w:p w14:paraId="610C40DA"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4</w:t>
            </w:r>
          </w:p>
        </w:tc>
        <w:tc>
          <w:tcPr>
            <w:tcW w:w="2390" w:type="dxa"/>
            <w:tcBorders>
              <w:top w:val="single" w:sz="4" w:space="0" w:color="auto"/>
              <w:left w:val="nil"/>
              <w:bottom w:val="single" w:sz="8" w:space="0" w:color="auto"/>
              <w:right w:val="nil"/>
            </w:tcBorders>
            <w:shd w:val="clear" w:color="auto" w:fill="auto"/>
            <w:noWrap/>
            <w:vAlign w:val="center"/>
            <w:hideMark/>
          </w:tcPr>
          <w:p w14:paraId="610C40DB"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8" w:space="0" w:color="auto"/>
              <w:right w:val="single" w:sz="8" w:space="0" w:color="auto"/>
            </w:tcBorders>
            <w:shd w:val="clear" w:color="auto" w:fill="auto"/>
            <w:vAlign w:val="center"/>
            <w:hideMark/>
          </w:tcPr>
          <w:p w14:paraId="610C40DC"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E7" w14:textId="77777777" w:rsidTr="00D0006B">
        <w:trPr>
          <w:trHeight w:val="290"/>
        </w:trPr>
        <w:tc>
          <w:tcPr>
            <w:tcW w:w="2405" w:type="dxa"/>
            <w:vMerge w:val="restart"/>
            <w:tcBorders>
              <w:top w:val="nil"/>
              <w:left w:val="single" w:sz="8" w:space="0" w:color="auto"/>
              <w:bottom w:val="single" w:sz="8" w:space="0" w:color="000000"/>
              <w:right w:val="nil"/>
            </w:tcBorders>
            <w:shd w:val="clear" w:color="auto" w:fill="auto"/>
            <w:vAlign w:val="center"/>
            <w:hideMark/>
          </w:tcPr>
          <w:p w14:paraId="610C40DE" w14:textId="77777777" w:rsidR="007D57FB" w:rsidRPr="00090FBA" w:rsidRDefault="007D57FB" w:rsidP="005B3E6B">
            <w:pPr>
              <w:spacing w:after="0" w:line="240" w:lineRule="auto"/>
              <w:rPr>
                <w:rFonts w:ascii="Calibri" w:eastAsia="Times New Roman" w:hAnsi="Calibri" w:cs="Calibri"/>
                <w:b/>
                <w:i/>
                <w:color w:val="000000"/>
                <w:lang w:eastAsia="en-GB"/>
              </w:rPr>
            </w:pPr>
            <w:r w:rsidRPr="00090FBA">
              <w:rPr>
                <w:rFonts w:ascii="Calibri" w:eastAsia="Times New Roman" w:hAnsi="Calibri" w:cs="Calibri"/>
                <w:b/>
                <w:i/>
                <w:color w:val="000000"/>
                <w:lang w:eastAsia="en-GB"/>
              </w:rPr>
              <w:t>Eye disorders</w:t>
            </w:r>
          </w:p>
        </w:tc>
        <w:tc>
          <w:tcPr>
            <w:tcW w:w="875" w:type="dxa"/>
            <w:vMerge w:val="restart"/>
            <w:tcBorders>
              <w:top w:val="nil"/>
              <w:left w:val="nil"/>
              <w:right w:val="nil"/>
            </w:tcBorders>
            <w:shd w:val="clear" w:color="auto" w:fill="auto"/>
            <w:noWrap/>
            <w:vAlign w:val="center"/>
            <w:hideMark/>
          </w:tcPr>
          <w:p w14:paraId="610C40DF"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0.15%</w:t>
            </w:r>
          </w:p>
        </w:tc>
        <w:tc>
          <w:tcPr>
            <w:tcW w:w="663" w:type="dxa"/>
            <w:vMerge w:val="restart"/>
            <w:tcBorders>
              <w:top w:val="single" w:sz="8" w:space="0" w:color="auto"/>
              <w:left w:val="nil"/>
              <w:bottom w:val="single" w:sz="8" w:space="0" w:color="auto"/>
            </w:tcBorders>
            <w:shd w:val="clear" w:color="auto" w:fill="auto"/>
            <w:noWrap/>
            <w:vAlign w:val="center"/>
            <w:hideMark/>
          </w:tcPr>
          <w:p w14:paraId="610C40E0" w14:textId="77777777" w:rsidR="007D57FB" w:rsidRPr="00BB2C26" w:rsidRDefault="007D57FB" w:rsidP="005B3E6B">
            <w:pPr>
              <w:spacing w:after="0" w:line="240" w:lineRule="auto"/>
              <w:rPr>
                <w:rFonts w:ascii="Calibri" w:eastAsia="Times New Roman" w:hAnsi="Calibri" w:cs="Calibri"/>
                <w:i/>
                <w:color w:val="000000"/>
                <w:lang w:eastAsia="en-GB"/>
              </w:rPr>
            </w:pPr>
            <w:r w:rsidRPr="00BB2C26">
              <w:rPr>
                <w:rFonts w:ascii="Calibri" w:eastAsia="Times New Roman" w:hAnsi="Calibri" w:cs="Calibri"/>
                <w:i/>
                <w:color w:val="000000"/>
                <w:lang w:eastAsia="en-GB"/>
              </w:rPr>
              <w:t>4</w:t>
            </w:r>
          </w:p>
        </w:tc>
        <w:tc>
          <w:tcPr>
            <w:tcW w:w="2935" w:type="dxa"/>
            <w:tcBorders>
              <w:top w:val="nil"/>
              <w:left w:val="nil"/>
              <w:bottom w:val="nil"/>
              <w:right w:val="nil"/>
            </w:tcBorders>
            <w:shd w:val="clear" w:color="auto" w:fill="auto"/>
            <w:noWrap/>
            <w:vAlign w:val="center"/>
            <w:hideMark/>
          </w:tcPr>
          <w:p w14:paraId="610C40E1"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 xml:space="preserve">Glaucoma and ocular hypertension </w:t>
            </w:r>
          </w:p>
        </w:tc>
        <w:tc>
          <w:tcPr>
            <w:tcW w:w="567" w:type="dxa"/>
            <w:tcBorders>
              <w:top w:val="nil"/>
              <w:left w:val="nil"/>
              <w:bottom w:val="nil"/>
              <w:right w:val="nil"/>
            </w:tcBorders>
            <w:shd w:val="clear" w:color="auto" w:fill="auto"/>
            <w:noWrap/>
            <w:vAlign w:val="center"/>
            <w:hideMark/>
          </w:tcPr>
          <w:p w14:paraId="610C40E2"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nil"/>
              <w:left w:val="nil"/>
              <w:bottom w:val="single" w:sz="4" w:space="0" w:color="auto"/>
              <w:right w:val="nil"/>
            </w:tcBorders>
            <w:shd w:val="clear" w:color="auto" w:fill="auto"/>
            <w:vAlign w:val="center"/>
            <w:hideMark/>
          </w:tcPr>
          <w:p w14:paraId="610C40E3"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Glaucoma</w:t>
            </w:r>
          </w:p>
        </w:tc>
        <w:tc>
          <w:tcPr>
            <w:tcW w:w="663" w:type="dxa"/>
            <w:tcBorders>
              <w:top w:val="nil"/>
              <w:left w:val="nil"/>
              <w:bottom w:val="single" w:sz="4" w:space="0" w:color="auto"/>
              <w:right w:val="nil"/>
            </w:tcBorders>
            <w:shd w:val="clear" w:color="auto" w:fill="auto"/>
            <w:noWrap/>
            <w:vAlign w:val="center"/>
            <w:hideMark/>
          </w:tcPr>
          <w:p w14:paraId="610C40E4"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390" w:type="dxa"/>
            <w:tcBorders>
              <w:top w:val="nil"/>
              <w:left w:val="nil"/>
              <w:bottom w:val="single" w:sz="4" w:space="0" w:color="auto"/>
              <w:right w:val="nil"/>
            </w:tcBorders>
            <w:shd w:val="clear" w:color="auto" w:fill="auto"/>
            <w:noWrap/>
            <w:vAlign w:val="center"/>
            <w:hideMark/>
          </w:tcPr>
          <w:p w14:paraId="610C40E5"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8" w:space="0" w:color="auto"/>
            </w:tcBorders>
            <w:shd w:val="clear" w:color="auto" w:fill="auto"/>
            <w:noWrap/>
            <w:vAlign w:val="center"/>
            <w:hideMark/>
          </w:tcPr>
          <w:p w14:paraId="610C40E6"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F1" w14:textId="77777777" w:rsidTr="00D0006B">
        <w:trPr>
          <w:trHeight w:val="290"/>
        </w:trPr>
        <w:tc>
          <w:tcPr>
            <w:tcW w:w="2405" w:type="dxa"/>
            <w:vMerge/>
            <w:tcBorders>
              <w:top w:val="nil"/>
              <w:left w:val="single" w:sz="8" w:space="0" w:color="auto"/>
              <w:bottom w:val="single" w:sz="8" w:space="0" w:color="000000"/>
              <w:right w:val="nil"/>
            </w:tcBorders>
            <w:vAlign w:val="center"/>
            <w:hideMark/>
          </w:tcPr>
          <w:p w14:paraId="610C40E8"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right w:val="nil"/>
            </w:tcBorders>
            <w:shd w:val="clear" w:color="auto" w:fill="auto"/>
            <w:noWrap/>
            <w:vAlign w:val="center"/>
            <w:hideMark/>
          </w:tcPr>
          <w:p w14:paraId="610C40E9"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top w:val="single" w:sz="8" w:space="0" w:color="auto"/>
              <w:left w:val="nil"/>
              <w:bottom w:val="single" w:sz="8" w:space="0" w:color="auto"/>
            </w:tcBorders>
            <w:shd w:val="clear" w:color="auto" w:fill="auto"/>
            <w:noWrap/>
            <w:vAlign w:val="center"/>
            <w:hideMark/>
          </w:tcPr>
          <w:p w14:paraId="610C40EA" w14:textId="77777777" w:rsidR="007D57FB" w:rsidRPr="00BB2C26" w:rsidRDefault="007D57FB" w:rsidP="005B3E6B">
            <w:pPr>
              <w:spacing w:after="0" w:line="240" w:lineRule="auto"/>
              <w:rPr>
                <w:rFonts w:ascii="Times New Roman" w:eastAsia="Times New Roman" w:hAnsi="Times New Roman" w:cs="Times New Roman"/>
                <w:i/>
                <w:sz w:val="20"/>
                <w:szCs w:val="20"/>
                <w:lang w:eastAsia="en-GB"/>
              </w:rPr>
            </w:pPr>
          </w:p>
        </w:tc>
        <w:tc>
          <w:tcPr>
            <w:tcW w:w="2935" w:type="dxa"/>
            <w:vMerge w:val="restart"/>
            <w:tcBorders>
              <w:top w:val="single" w:sz="4" w:space="0" w:color="auto"/>
              <w:left w:val="nil"/>
              <w:bottom w:val="single" w:sz="8" w:space="0" w:color="000000"/>
              <w:right w:val="nil"/>
            </w:tcBorders>
            <w:shd w:val="clear" w:color="auto" w:fill="auto"/>
            <w:vAlign w:val="center"/>
            <w:hideMark/>
          </w:tcPr>
          <w:p w14:paraId="610C40EB"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Anterior eye structural change, deposit and degeneration</w:t>
            </w:r>
          </w:p>
        </w:tc>
        <w:tc>
          <w:tcPr>
            <w:tcW w:w="567" w:type="dxa"/>
            <w:vMerge w:val="restart"/>
            <w:tcBorders>
              <w:top w:val="single" w:sz="4" w:space="0" w:color="auto"/>
              <w:left w:val="nil"/>
              <w:right w:val="nil"/>
            </w:tcBorders>
            <w:shd w:val="clear" w:color="auto" w:fill="auto"/>
            <w:noWrap/>
            <w:vAlign w:val="center"/>
            <w:hideMark/>
          </w:tcPr>
          <w:p w14:paraId="610C40EC"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2</w:t>
            </w:r>
          </w:p>
        </w:tc>
        <w:tc>
          <w:tcPr>
            <w:tcW w:w="2514" w:type="dxa"/>
            <w:tcBorders>
              <w:top w:val="single" w:sz="4" w:space="0" w:color="auto"/>
              <w:left w:val="nil"/>
              <w:bottom w:val="single" w:sz="4" w:space="0" w:color="auto"/>
              <w:right w:val="nil"/>
            </w:tcBorders>
            <w:shd w:val="clear" w:color="auto" w:fill="auto"/>
            <w:vAlign w:val="center"/>
            <w:hideMark/>
          </w:tcPr>
          <w:p w14:paraId="610C40ED"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Cataract</w:t>
            </w:r>
          </w:p>
        </w:tc>
        <w:tc>
          <w:tcPr>
            <w:tcW w:w="663" w:type="dxa"/>
            <w:tcBorders>
              <w:top w:val="single" w:sz="4" w:space="0" w:color="auto"/>
              <w:left w:val="nil"/>
              <w:bottom w:val="single" w:sz="4" w:space="0" w:color="auto"/>
              <w:right w:val="nil"/>
            </w:tcBorders>
            <w:shd w:val="clear" w:color="auto" w:fill="auto"/>
            <w:noWrap/>
            <w:vAlign w:val="center"/>
            <w:hideMark/>
          </w:tcPr>
          <w:p w14:paraId="610C40EE"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4" w:space="0" w:color="auto"/>
              <w:right w:val="nil"/>
            </w:tcBorders>
            <w:shd w:val="clear" w:color="auto" w:fill="auto"/>
            <w:noWrap/>
            <w:vAlign w:val="center"/>
            <w:hideMark/>
          </w:tcPr>
          <w:p w14:paraId="610C40EF"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4" w:space="0" w:color="auto"/>
              <w:right w:val="single" w:sz="8" w:space="0" w:color="auto"/>
            </w:tcBorders>
            <w:shd w:val="clear" w:color="auto" w:fill="auto"/>
            <w:vAlign w:val="center"/>
            <w:hideMark/>
          </w:tcPr>
          <w:p w14:paraId="610C40F0"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r w:rsidR="007D57FB" w:rsidRPr="001F242F" w14:paraId="610C40FB" w14:textId="77777777" w:rsidTr="00D0006B">
        <w:trPr>
          <w:trHeight w:val="300"/>
        </w:trPr>
        <w:tc>
          <w:tcPr>
            <w:tcW w:w="2405" w:type="dxa"/>
            <w:vMerge/>
            <w:tcBorders>
              <w:top w:val="nil"/>
              <w:left w:val="single" w:sz="8" w:space="0" w:color="auto"/>
              <w:bottom w:val="single" w:sz="8" w:space="0" w:color="000000"/>
              <w:right w:val="nil"/>
            </w:tcBorders>
            <w:vAlign w:val="center"/>
            <w:hideMark/>
          </w:tcPr>
          <w:p w14:paraId="610C40F2" w14:textId="77777777" w:rsidR="007D57FB" w:rsidRPr="00090FBA" w:rsidRDefault="007D57FB" w:rsidP="005B3E6B">
            <w:pPr>
              <w:spacing w:after="0" w:line="240" w:lineRule="auto"/>
              <w:rPr>
                <w:rFonts w:ascii="Calibri" w:eastAsia="Times New Roman" w:hAnsi="Calibri" w:cs="Calibri"/>
                <w:b/>
                <w:i/>
                <w:color w:val="000000"/>
                <w:lang w:eastAsia="en-GB"/>
              </w:rPr>
            </w:pPr>
          </w:p>
        </w:tc>
        <w:tc>
          <w:tcPr>
            <w:tcW w:w="875" w:type="dxa"/>
            <w:vMerge/>
            <w:tcBorders>
              <w:left w:val="nil"/>
              <w:bottom w:val="single" w:sz="8" w:space="0" w:color="auto"/>
              <w:right w:val="nil"/>
            </w:tcBorders>
            <w:shd w:val="clear" w:color="auto" w:fill="auto"/>
            <w:noWrap/>
            <w:vAlign w:val="center"/>
            <w:hideMark/>
          </w:tcPr>
          <w:p w14:paraId="610C40F3"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663" w:type="dxa"/>
            <w:vMerge/>
            <w:tcBorders>
              <w:top w:val="single" w:sz="8" w:space="0" w:color="auto"/>
              <w:left w:val="nil"/>
              <w:bottom w:val="single" w:sz="8" w:space="0" w:color="auto"/>
            </w:tcBorders>
            <w:shd w:val="clear" w:color="auto" w:fill="auto"/>
            <w:noWrap/>
            <w:vAlign w:val="center"/>
            <w:hideMark/>
          </w:tcPr>
          <w:p w14:paraId="610C40F4" w14:textId="77777777" w:rsidR="007D57FB" w:rsidRPr="00BB2C26" w:rsidRDefault="007D57FB" w:rsidP="005B3E6B">
            <w:pPr>
              <w:spacing w:after="0" w:line="240" w:lineRule="auto"/>
              <w:rPr>
                <w:rFonts w:ascii="Calibri" w:eastAsia="Times New Roman" w:hAnsi="Calibri" w:cs="Calibri"/>
                <w:i/>
                <w:color w:val="000000"/>
                <w:lang w:eastAsia="en-GB"/>
              </w:rPr>
            </w:pPr>
          </w:p>
        </w:tc>
        <w:tc>
          <w:tcPr>
            <w:tcW w:w="2935" w:type="dxa"/>
            <w:vMerge/>
            <w:tcBorders>
              <w:top w:val="single" w:sz="4" w:space="0" w:color="auto"/>
              <w:left w:val="nil"/>
              <w:bottom w:val="single" w:sz="8" w:space="0" w:color="000000"/>
              <w:right w:val="nil"/>
            </w:tcBorders>
            <w:vAlign w:val="center"/>
            <w:hideMark/>
          </w:tcPr>
          <w:p w14:paraId="610C40F5" w14:textId="77777777" w:rsidR="007D57FB" w:rsidRPr="001F242F" w:rsidRDefault="007D57FB" w:rsidP="005B3E6B">
            <w:pPr>
              <w:spacing w:after="0" w:line="240" w:lineRule="auto"/>
              <w:rPr>
                <w:rFonts w:ascii="Calibri" w:eastAsia="Times New Roman" w:hAnsi="Calibri" w:cs="Calibri"/>
                <w:color w:val="000000"/>
                <w:lang w:eastAsia="en-GB"/>
              </w:rPr>
            </w:pPr>
          </w:p>
        </w:tc>
        <w:tc>
          <w:tcPr>
            <w:tcW w:w="567" w:type="dxa"/>
            <w:vMerge/>
            <w:tcBorders>
              <w:left w:val="nil"/>
              <w:bottom w:val="single" w:sz="8" w:space="0" w:color="auto"/>
              <w:right w:val="nil"/>
            </w:tcBorders>
            <w:shd w:val="clear" w:color="auto" w:fill="auto"/>
            <w:noWrap/>
            <w:vAlign w:val="center"/>
            <w:hideMark/>
          </w:tcPr>
          <w:p w14:paraId="610C40F6" w14:textId="77777777" w:rsidR="007D57FB" w:rsidRPr="00EE59A4" w:rsidRDefault="007D57FB" w:rsidP="005B3E6B">
            <w:pPr>
              <w:spacing w:after="0" w:line="240" w:lineRule="auto"/>
              <w:rPr>
                <w:rFonts w:ascii="Calibri" w:eastAsia="Times New Roman" w:hAnsi="Calibri" w:cs="Calibri"/>
                <w:i/>
                <w:color w:val="000000"/>
                <w:lang w:eastAsia="en-GB"/>
              </w:rPr>
            </w:pPr>
          </w:p>
        </w:tc>
        <w:tc>
          <w:tcPr>
            <w:tcW w:w="2514" w:type="dxa"/>
            <w:tcBorders>
              <w:top w:val="single" w:sz="4" w:space="0" w:color="auto"/>
              <w:left w:val="nil"/>
              <w:bottom w:val="single" w:sz="8" w:space="0" w:color="auto"/>
              <w:right w:val="nil"/>
            </w:tcBorders>
            <w:shd w:val="clear" w:color="auto" w:fill="auto"/>
            <w:vAlign w:val="center"/>
            <w:hideMark/>
          </w:tcPr>
          <w:p w14:paraId="610C40F7" w14:textId="77777777" w:rsidR="007D57FB" w:rsidRPr="001F242F" w:rsidRDefault="007D57FB" w:rsidP="005B3E6B">
            <w:pPr>
              <w:spacing w:after="0" w:line="240" w:lineRule="auto"/>
              <w:rPr>
                <w:rFonts w:ascii="Calibri" w:eastAsia="Times New Roman" w:hAnsi="Calibri" w:cs="Calibri"/>
                <w:color w:val="000000"/>
                <w:lang w:eastAsia="en-GB"/>
              </w:rPr>
            </w:pPr>
            <w:r w:rsidRPr="001F242F">
              <w:rPr>
                <w:rFonts w:ascii="Calibri" w:eastAsia="Times New Roman" w:hAnsi="Calibri" w:cs="Calibri"/>
                <w:color w:val="000000"/>
                <w:lang w:eastAsia="en-GB"/>
              </w:rPr>
              <w:t>Corneal deposits</w:t>
            </w:r>
          </w:p>
        </w:tc>
        <w:tc>
          <w:tcPr>
            <w:tcW w:w="663" w:type="dxa"/>
            <w:tcBorders>
              <w:top w:val="single" w:sz="4" w:space="0" w:color="auto"/>
              <w:left w:val="nil"/>
              <w:bottom w:val="single" w:sz="8" w:space="0" w:color="auto"/>
              <w:right w:val="nil"/>
            </w:tcBorders>
            <w:shd w:val="clear" w:color="auto" w:fill="auto"/>
            <w:noWrap/>
            <w:vAlign w:val="center"/>
            <w:hideMark/>
          </w:tcPr>
          <w:p w14:paraId="610C40F8" w14:textId="77777777" w:rsidR="007D57FB" w:rsidRPr="00EE59A4" w:rsidRDefault="007D57FB" w:rsidP="005B3E6B">
            <w:pPr>
              <w:spacing w:after="0" w:line="240" w:lineRule="auto"/>
              <w:rPr>
                <w:rFonts w:ascii="Calibri" w:eastAsia="Times New Roman" w:hAnsi="Calibri" w:cs="Calibri"/>
                <w:i/>
                <w:color w:val="000000"/>
                <w:lang w:eastAsia="en-GB"/>
              </w:rPr>
            </w:pPr>
            <w:r w:rsidRPr="00EE59A4">
              <w:rPr>
                <w:rFonts w:ascii="Calibri" w:eastAsia="Times New Roman" w:hAnsi="Calibri" w:cs="Calibri"/>
                <w:i/>
                <w:color w:val="000000"/>
                <w:lang w:eastAsia="en-GB"/>
              </w:rPr>
              <w:t>1</w:t>
            </w:r>
          </w:p>
        </w:tc>
        <w:tc>
          <w:tcPr>
            <w:tcW w:w="2390" w:type="dxa"/>
            <w:tcBorders>
              <w:top w:val="single" w:sz="4" w:space="0" w:color="auto"/>
              <w:left w:val="nil"/>
              <w:bottom w:val="single" w:sz="8" w:space="0" w:color="auto"/>
              <w:right w:val="nil"/>
            </w:tcBorders>
            <w:shd w:val="clear" w:color="auto" w:fill="auto"/>
            <w:noWrap/>
            <w:vAlign w:val="center"/>
            <w:hideMark/>
          </w:tcPr>
          <w:p w14:paraId="610C40F9" w14:textId="77777777" w:rsidR="007D57FB" w:rsidRPr="001F242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single" w:sz="4" w:space="0" w:color="auto"/>
              <w:left w:val="nil"/>
              <w:bottom w:val="single" w:sz="8" w:space="0" w:color="auto"/>
              <w:right w:val="single" w:sz="8" w:space="0" w:color="auto"/>
            </w:tcBorders>
            <w:shd w:val="clear" w:color="auto" w:fill="auto"/>
            <w:vAlign w:val="center"/>
            <w:hideMark/>
          </w:tcPr>
          <w:p w14:paraId="610C40FA" w14:textId="77777777" w:rsidR="007D57FB" w:rsidRPr="00EE59A4" w:rsidRDefault="007D57FB" w:rsidP="005B3E6B">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w:t>
            </w:r>
          </w:p>
        </w:tc>
      </w:tr>
    </w:tbl>
    <w:p w14:paraId="610C40FC" w14:textId="77777777" w:rsidR="007D57FB" w:rsidRPr="00B34E9C" w:rsidRDefault="007D57FB" w:rsidP="005B3E6B">
      <w:pPr>
        <w:spacing w:line="360" w:lineRule="auto"/>
        <w:jc w:val="both"/>
        <w:rPr>
          <w:i/>
          <w:sz w:val="16"/>
        </w:rPr>
        <w:sectPr w:rsidR="007D57FB" w:rsidRPr="00B34E9C" w:rsidSect="005B3E6B">
          <w:pgSz w:w="16838" w:h="11906" w:orient="landscape"/>
          <w:pgMar w:top="1440" w:right="1440" w:bottom="1440" w:left="1440" w:header="709" w:footer="709" w:gutter="0"/>
          <w:cols w:space="708"/>
          <w:docGrid w:linePitch="360"/>
        </w:sectPr>
      </w:pPr>
      <w:r w:rsidRPr="00B34E9C">
        <w:rPr>
          <w:i/>
          <w:sz w:val="16"/>
        </w:rPr>
        <w:t xml:space="preserve">NEC – Not elsewhere classified, AV – atrioventricular, </w:t>
      </w:r>
      <w:r>
        <w:rPr>
          <w:i/>
          <w:sz w:val="16"/>
        </w:rPr>
        <w:t xml:space="preserve">AKI – Acute Kidney Injury, INR – International Normalised Ratio, +ve – positive, w/o – without, C. Diff – Clostridium Difficile, </w:t>
      </w:r>
      <w:r w:rsidRPr="00B34E9C">
        <w:rPr>
          <w:i/>
          <w:sz w:val="16"/>
        </w:rPr>
        <w:t>Incl. – including, SEs – Side effects,</w:t>
      </w:r>
      <w:r>
        <w:rPr>
          <w:i/>
          <w:sz w:val="16"/>
        </w:rPr>
        <w:t xml:space="preserve"> </w:t>
      </w:r>
      <w:r w:rsidRPr="00B34E9C">
        <w:rPr>
          <w:i/>
          <w:sz w:val="16"/>
        </w:rPr>
        <w:t>excl. – excluding</w:t>
      </w:r>
    </w:p>
    <w:p w14:paraId="610C40FD" w14:textId="77777777" w:rsidR="007D57FB" w:rsidRDefault="007D57FB" w:rsidP="005B3E6B">
      <w:pPr>
        <w:pStyle w:val="Heading1"/>
      </w:pPr>
      <w:bookmarkStart w:id="48" w:name="_Toc52396368"/>
      <w:r>
        <w:t>ADR Drugs</w:t>
      </w:r>
      <w:bookmarkEnd w:id="48"/>
    </w:p>
    <w:p w14:paraId="07D5235A" w14:textId="4337EDDF" w:rsidR="009550E7" w:rsidRPr="007071BD" w:rsidRDefault="00DA5224" w:rsidP="000548AE">
      <w:pPr>
        <w:pStyle w:val="Heading2"/>
      </w:pPr>
      <w:bookmarkStart w:id="49" w:name="_Toc52396369"/>
      <w:r>
        <w:t>Appendix 19</w:t>
      </w:r>
      <w:r w:rsidR="00737863">
        <w:t>.</w:t>
      </w:r>
      <w:r w:rsidR="005E36E5">
        <w:t xml:space="preserve"> </w:t>
      </w:r>
      <w:r w:rsidR="007D57FB">
        <w:t>Causative Drug Agents Ranked by Descending Frequency as per Therapeutic Subgroup (ATC 2</w:t>
      </w:r>
      <w:r w:rsidR="007D57FB" w:rsidRPr="00FA7995">
        <w:rPr>
          <w:vertAlign w:val="superscript"/>
        </w:rPr>
        <w:t>nd</w:t>
      </w:r>
      <w:r w:rsidR="007D57FB">
        <w:t xml:space="preserve"> Level).</w:t>
      </w:r>
      <w:bookmarkEnd w:id="49"/>
    </w:p>
    <w:tbl>
      <w:tblPr>
        <w:tblW w:w="8083" w:type="dxa"/>
        <w:tblLook w:val="04A0" w:firstRow="1" w:lastRow="0" w:firstColumn="1" w:lastColumn="0" w:noHBand="0" w:noVBand="1"/>
      </w:tblPr>
      <w:tblGrid>
        <w:gridCol w:w="822"/>
        <w:gridCol w:w="1180"/>
        <w:gridCol w:w="4521"/>
        <w:gridCol w:w="600"/>
        <w:gridCol w:w="960"/>
      </w:tblGrid>
      <w:tr w:rsidR="007D57FB" w:rsidRPr="00B24B98" w14:paraId="610C4104" w14:textId="5F58C7CE" w:rsidTr="004A0DD7">
        <w:trPr>
          <w:trHeight w:val="580"/>
        </w:trPr>
        <w:tc>
          <w:tcPr>
            <w:tcW w:w="822"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0FF" w14:textId="5F3D2FE7"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Rank</w:t>
            </w:r>
          </w:p>
        </w:tc>
        <w:tc>
          <w:tcPr>
            <w:tcW w:w="1180" w:type="dxa"/>
            <w:tcBorders>
              <w:top w:val="single" w:sz="4" w:space="0" w:color="auto"/>
              <w:left w:val="nil"/>
              <w:bottom w:val="single" w:sz="4" w:space="0" w:color="auto"/>
              <w:right w:val="single" w:sz="4" w:space="0" w:color="auto"/>
            </w:tcBorders>
            <w:shd w:val="clear" w:color="000000" w:fill="E7E6E6"/>
            <w:vAlign w:val="center"/>
            <w:hideMark/>
          </w:tcPr>
          <w:p w14:paraId="610C4100" w14:textId="49639C37"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ATC 2nd</w:t>
            </w:r>
          </w:p>
        </w:tc>
        <w:tc>
          <w:tcPr>
            <w:tcW w:w="4521" w:type="dxa"/>
            <w:tcBorders>
              <w:top w:val="single" w:sz="4" w:space="0" w:color="auto"/>
              <w:left w:val="nil"/>
              <w:bottom w:val="single" w:sz="4" w:space="0" w:color="auto"/>
              <w:right w:val="single" w:sz="4" w:space="0" w:color="auto"/>
            </w:tcBorders>
            <w:shd w:val="clear" w:color="000000" w:fill="E7E6E6"/>
            <w:vAlign w:val="center"/>
            <w:hideMark/>
          </w:tcPr>
          <w:p w14:paraId="610C4101" w14:textId="214219B9" w:rsidR="007D57FB" w:rsidRPr="00B24B98"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B24B98">
              <w:rPr>
                <w:rFonts w:ascii="Calibri" w:eastAsia="Times New Roman" w:hAnsi="Calibri" w:cs="Calibri"/>
                <w:b/>
                <w:bCs/>
                <w:color w:val="000000"/>
                <w:lang w:eastAsia="en-GB"/>
              </w:rPr>
              <w:t>herapeutic subgroup</w:t>
            </w:r>
          </w:p>
        </w:tc>
        <w:tc>
          <w:tcPr>
            <w:tcW w:w="600" w:type="dxa"/>
            <w:tcBorders>
              <w:top w:val="single" w:sz="4" w:space="0" w:color="auto"/>
              <w:left w:val="nil"/>
              <w:bottom w:val="single" w:sz="4" w:space="0" w:color="auto"/>
              <w:right w:val="single" w:sz="4" w:space="0" w:color="auto"/>
            </w:tcBorders>
            <w:shd w:val="clear" w:color="000000" w:fill="E7E6E6"/>
            <w:vAlign w:val="center"/>
            <w:hideMark/>
          </w:tcPr>
          <w:p w14:paraId="610C4102" w14:textId="7FE180A1"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n</w:t>
            </w:r>
          </w:p>
        </w:tc>
        <w:tc>
          <w:tcPr>
            <w:tcW w:w="960" w:type="dxa"/>
            <w:tcBorders>
              <w:top w:val="single" w:sz="4" w:space="0" w:color="auto"/>
              <w:left w:val="nil"/>
              <w:bottom w:val="single" w:sz="4" w:space="0" w:color="auto"/>
              <w:right w:val="single" w:sz="4" w:space="0" w:color="auto"/>
            </w:tcBorders>
            <w:shd w:val="clear" w:color="000000" w:fill="E7E6E6"/>
            <w:vAlign w:val="center"/>
            <w:hideMark/>
          </w:tcPr>
          <w:p w14:paraId="610C4103" w14:textId="0390C8A9"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 of 238</w:t>
            </w:r>
            <w:r w:rsidR="004A0DD7">
              <w:rPr>
                <w:rFonts w:ascii="Calibri" w:eastAsia="Times New Roman" w:hAnsi="Calibri" w:cs="Calibri"/>
                <w:b/>
                <w:bCs/>
                <w:color w:val="000000"/>
                <w:lang w:eastAsia="en-GB"/>
              </w:rPr>
              <w:t>5</w:t>
            </w:r>
          </w:p>
        </w:tc>
      </w:tr>
      <w:tr w:rsidR="004A0DD7" w:rsidRPr="00B24B98" w14:paraId="610C410A" w14:textId="1557BA98"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05" w14:textId="3D378FBC"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1180" w:type="dxa"/>
            <w:tcBorders>
              <w:top w:val="nil"/>
              <w:left w:val="nil"/>
              <w:bottom w:val="single" w:sz="4" w:space="0" w:color="auto"/>
              <w:right w:val="single" w:sz="4" w:space="0" w:color="auto"/>
            </w:tcBorders>
            <w:shd w:val="clear" w:color="auto" w:fill="auto"/>
            <w:noWrap/>
            <w:vAlign w:val="center"/>
            <w:hideMark/>
          </w:tcPr>
          <w:p w14:paraId="610C4106" w14:textId="36B89B2D"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C03</w:t>
            </w:r>
          </w:p>
        </w:tc>
        <w:tc>
          <w:tcPr>
            <w:tcW w:w="4521" w:type="dxa"/>
            <w:tcBorders>
              <w:top w:val="nil"/>
              <w:left w:val="nil"/>
              <w:bottom w:val="single" w:sz="4" w:space="0" w:color="auto"/>
              <w:right w:val="single" w:sz="4" w:space="0" w:color="auto"/>
            </w:tcBorders>
            <w:shd w:val="clear" w:color="auto" w:fill="auto"/>
            <w:noWrap/>
            <w:vAlign w:val="center"/>
            <w:hideMark/>
          </w:tcPr>
          <w:p w14:paraId="610C4107" w14:textId="56F6B8E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Diuretics</w:t>
            </w:r>
          </w:p>
        </w:tc>
        <w:tc>
          <w:tcPr>
            <w:tcW w:w="600" w:type="dxa"/>
            <w:tcBorders>
              <w:top w:val="nil"/>
              <w:left w:val="nil"/>
              <w:bottom w:val="single" w:sz="4" w:space="0" w:color="auto"/>
              <w:right w:val="single" w:sz="4" w:space="0" w:color="auto"/>
            </w:tcBorders>
            <w:shd w:val="clear" w:color="auto" w:fill="auto"/>
            <w:noWrap/>
            <w:vAlign w:val="center"/>
            <w:hideMark/>
          </w:tcPr>
          <w:p w14:paraId="610C4108" w14:textId="1B2D40F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473</w:t>
            </w:r>
          </w:p>
        </w:tc>
        <w:tc>
          <w:tcPr>
            <w:tcW w:w="960" w:type="dxa"/>
            <w:tcBorders>
              <w:top w:val="nil"/>
              <w:left w:val="nil"/>
              <w:bottom w:val="single" w:sz="4" w:space="0" w:color="auto"/>
              <w:right w:val="single" w:sz="4" w:space="0" w:color="auto"/>
            </w:tcBorders>
            <w:shd w:val="clear" w:color="auto" w:fill="auto"/>
            <w:noWrap/>
            <w:vAlign w:val="center"/>
            <w:hideMark/>
          </w:tcPr>
          <w:p w14:paraId="610C4109" w14:textId="646E9C83"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19.83%</w:t>
            </w:r>
          </w:p>
        </w:tc>
      </w:tr>
      <w:tr w:rsidR="004A0DD7" w:rsidRPr="00B24B98" w14:paraId="610C4110" w14:textId="33B7B8FD"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0B" w14:textId="65ED5059"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1180" w:type="dxa"/>
            <w:tcBorders>
              <w:top w:val="nil"/>
              <w:left w:val="nil"/>
              <w:bottom w:val="single" w:sz="4" w:space="0" w:color="auto"/>
              <w:right w:val="single" w:sz="4" w:space="0" w:color="auto"/>
            </w:tcBorders>
            <w:shd w:val="clear" w:color="auto" w:fill="auto"/>
            <w:noWrap/>
            <w:vAlign w:val="center"/>
            <w:hideMark/>
          </w:tcPr>
          <w:p w14:paraId="610C410C" w14:textId="43780DEA"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J01</w:t>
            </w:r>
          </w:p>
        </w:tc>
        <w:tc>
          <w:tcPr>
            <w:tcW w:w="4521" w:type="dxa"/>
            <w:tcBorders>
              <w:top w:val="nil"/>
              <w:left w:val="nil"/>
              <w:bottom w:val="single" w:sz="4" w:space="0" w:color="auto"/>
              <w:right w:val="single" w:sz="4" w:space="0" w:color="auto"/>
            </w:tcBorders>
            <w:shd w:val="clear" w:color="auto" w:fill="auto"/>
            <w:noWrap/>
            <w:vAlign w:val="center"/>
            <w:hideMark/>
          </w:tcPr>
          <w:p w14:paraId="610C410D" w14:textId="19F9B428"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Antibacterials for systemic use</w:t>
            </w:r>
          </w:p>
        </w:tc>
        <w:tc>
          <w:tcPr>
            <w:tcW w:w="600" w:type="dxa"/>
            <w:tcBorders>
              <w:top w:val="nil"/>
              <w:left w:val="nil"/>
              <w:bottom w:val="single" w:sz="4" w:space="0" w:color="auto"/>
              <w:right w:val="single" w:sz="4" w:space="0" w:color="auto"/>
            </w:tcBorders>
            <w:shd w:val="clear" w:color="auto" w:fill="auto"/>
            <w:noWrap/>
            <w:vAlign w:val="center"/>
            <w:hideMark/>
          </w:tcPr>
          <w:p w14:paraId="610C410E" w14:textId="0277325F"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35</w:t>
            </w:r>
            <w:r>
              <w:rPr>
                <w:rFonts w:ascii="Calibri" w:eastAsia="Times New Roman" w:hAnsi="Calibri" w:cs="Calibri"/>
                <w:color w:val="000000"/>
                <w:lang w:eastAsia="en-GB"/>
              </w:rPr>
              <w:t>4</w:t>
            </w:r>
          </w:p>
        </w:tc>
        <w:tc>
          <w:tcPr>
            <w:tcW w:w="960" w:type="dxa"/>
            <w:tcBorders>
              <w:top w:val="nil"/>
              <w:left w:val="nil"/>
              <w:bottom w:val="single" w:sz="4" w:space="0" w:color="auto"/>
              <w:right w:val="single" w:sz="4" w:space="0" w:color="auto"/>
            </w:tcBorders>
            <w:shd w:val="clear" w:color="auto" w:fill="auto"/>
            <w:noWrap/>
            <w:vAlign w:val="center"/>
            <w:hideMark/>
          </w:tcPr>
          <w:p w14:paraId="610C410F" w14:textId="31D425C1"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14.84%</w:t>
            </w:r>
          </w:p>
        </w:tc>
      </w:tr>
      <w:tr w:rsidR="004A0DD7" w:rsidRPr="00B24B98" w14:paraId="610C4116" w14:textId="249DDD40"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11" w14:textId="493D25FA"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w:t>
            </w:r>
          </w:p>
        </w:tc>
        <w:tc>
          <w:tcPr>
            <w:tcW w:w="1180" w:type="dxa"/>
            <w:tcBorders>
              <w:top w:val="nil"/>
              <w:left w:val="nil"/>
              <w:bottom w:val="single" w:sz="4" w:space="0" w:color="auto"/>
              <w:right w:val="single" w:sz="4" w:space="0" w:color="auto"/>
            </w:tcBorders>
            <w:shd w:val="clear" w:color="auto" w:fill="auto"/>
            <w:noWrap/>
            <w:vAlign w:val="center"/>
            <w:hideMark/>
          </w:tcPr>
          <w:p w14:paraId="610C4112" w14:textId="7D464562"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B01</w:t>
            </w:r>
          </w:p>
        </w:tc>
        <w:tc>
          <w:tcPr>
            <w:tcW w:w="4521" w:type="dxa"/>
            <w:tcBorders>
              <w:top w:val="nil"/>
              <w:left w:val="nil"/>
              <w:bottom w:val="single" w:sz="4" w:space="0" w:color="auto"/>
              <w:right w:val="single" w:sz="4" w:space="0" w:color="auto"/>
            </w:tcBorders>
            <w:shd w:val="clear" w:color="auto" w:fill="auto"/>
            <w:noWrap/>
            <w:vAlign w:val="center"/>
            <w:hideMark/>
          </w:tcPr>
          <w:p w14:paraId="610C4113" w14:textId="2150F061"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w:t>
            </w:r>
            <w:r>
              <w:rPr>
                <w:rFonts w:ascii="Calibri" w:eastAsia="Times New Roman" w:hAnsi="Calibri" w:cs="Calibri"/>
                <w:color w:val="000000"/>
                <w:lang w:eastAsia="en-GB"/>
              </w:rPr>
              <w:t>-</w:t>
            </w:r>
            <w:r w:rsidRPr="00B24B98">
              <w:rPr>
                <w:rFonts w:ascii="Calibri" w:eastAsia="Times New Roman" w:hAnsi="Calibri" w:cs="Calibri"/>
                <w:color w:val="000000"/>
                <w:lang w:eastAsia="en-GB"/>
              </w:rPr>
              <w:t>thrombotic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114" w14:textId="32B91C48"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29</w:t>
            </w:r>
            <w:r>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15" w14:textId="027EC55C"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12.24%</w:t>
            </w:r>
          </w:p>
        </w:tc>
      </w:tr>
      <w:tr w:rsidR="004A0DD7" w:rsidRPr="00B24B98" w14:paraId="610C411C" w14:textId="23E5FEAE"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17" w14:textId="277ECA6A"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w:t>
            </w:r>
          </w:p>
        </w:tc>
        <w:tc>
          <w:tcPr>
            <w:tcW w:w="1180" w:type="dxa"/>
            <w:tcBorders>
              <w:top w:val="nil"/>
              <w:left w:val="nil"/>
              <w:bottom w:val="single" w:sz="4" w:space="0" w:color="auto"/>
              <w:right w:val="single" w:sz="4" w:space="0" w:color="auto"/>
            </w:tcBorders>
            <w:shd w:val="clear" w:color="auto" w:fill="auto"/>
            <w:noWrap/>
            <w:vAlign w:val="center"/>
            <w:hideMark/>
          </w:tcPr>
          <w:p w14:paraId="610C4118" w14:textId="1A28EC8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N02</w:t>
            </w:r>
          </w:p>
        </w:tc>
        <w:tc>
          <w:tcPr>
            <w:tcW w:w="4521" w:type="dxa"/>
            <w:tcBorders>
              <w:top w:val="nil"/>
              <w:left w:val="nil"/>
              <w:bottom w:val="single" w:sz="4" w:space="0" w:color="auto"/>
              <w:right w:val="single" w:sz="4" w:space="0" w:color="auto"/>
            </w:tcBorders>
            <w:shd w:val="clear" w:color="auto" w:fill="auto"/>
            <w:noWrap/>
            <w:vAlign w:val="center"/>
            <w:hideMark/>
          </w:tcPr>
          <w:p w14:paraId="610C4119" w14:textId="3F6B7168"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Analgesics</w:t>
            </w:r>
          </w:p>
        </w:tc>
        <w:tc>
          <w:tcPr>
            <w:tcW w:w="600" w:type="dxa"/>
            <w:tcBorders>
              <w:top w:val="nil"/>
              <w:left w:val="nil"/>
              <w:bottom w:val="single" w:sz="4" w:space="0" w:color="auto"/>
              <w:right w:val="single" w:sz="4" w:space="0" w:color="auto"/>
            </w:tcBorders>
            <w:shd w:val="clear" w:color="auto" w:fill="auto"/>
            <w:noWrap/>
            <w:vAlign w:val="center"/>
            <w:hideMark/>
          </w:tcPr>
          <w:p w14:paraId="610C411A" w14:textId="53DD0A6B"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260</w:t>
            </w:r>
          </w:p>
        </w:tc>
        <w:tc>
          <w:tcPr>
            <w:tcW w:w="960" w:type="dxa"/>
            <w:tcBorders>
              <w:top w:val="nil"/>
              <w:left w:val="nil"/>
              <w:bottom w:val="single" w:sz="4" w:space="0" w:color="auto"/>
              <w:right w:val="single" w:sz="4" w:space="0" w:color="auto"/>
            </w:tcBorders>
            <w:shd w:val="clear" w:color="auto" w:fill="auto"/>
            <w:noWrap/>
            <w:vAlign w:val="center"/>
            <w:hideMark/>
          </w:tcPr>
          <w:p w14:paraId="610C411B" w14:textId="54660DAC"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10.90%</w:t>
            </w:r>
          </w:p>
        </w:tc>
      </w:tr>
      <w:tr w:rsidR="004A0DD7" w:rsidRPr="00B24B98" w14:paraId="610C4122" w14:textId="5CFDC89F"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1D" w14:textId="11FD2817"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5</w:t>
            </w:r>
          </w:p>
        </w:tc>
        <w:tc>
          <w:tcPr>
            <w:tcW w:w="1180" w:type="dxa"/>
            <w:tcBorders>
              <w:top w:val="nil"/>
              <w:left w:val="nil"/>
              <w:bottom w:val="single" w:sz="4" w:space="0" w:color="auto"/>
              <w:right w:val="single" w:sz="4" w:space="0" w:color="auto"/>
            </w:tcBorders>
            <w:shd w:val="clear" w:color="auto" w:fill="auto"/>
            <w:noWrap/>
            <w:vAlign w:val="center"/>
            <w:hideMark/>
          </w:tcPr>
          <w:p w14:paraId="610C411E" w14:textId="422C7E3F"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R03</w:t>
            </w:r>
          </w:p>
        </w:tc>
        <w:tc>
          <w:tcPr>
            <w:tcW w:w="4521" w:type="dxa"/>
            <w:tcBorders>
              <w:top w:val="nil"/>
              <w:left w:val="nil"/>
              <w:bottom w:val="single" w:sz="4" w:space="0" w:color="auto"/>
              <w:right w:val="single" w:sz="4" w:space="0" w:color="auto"/>
            </w:tcBorders>
            <w:shd w:val="clear" w:color="auto" w:fill="auto"/>
            <w:noWrap/>
            <w:vAlign w:val="center"/>
            <w:hideMark/>
          </w:tcPr>
          <w:p w14:paraId="610C411F" w14:textId="00BA7329"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Drugs for obstructive airway diseases</w:t>
            </w:r>
          </w:p>
        </w:tc>
        <w:tc>
          <w:tcPr>
            <w:tcW w:w="600" w:type="dxa"/>
            <w:tcBorders>
              <w:top w:val="nil"/>
              <w:left w:val="nil"/>
              <w:bottom w:val="single" w:sz="4" w:space="0" w:color="auto"/>
              <w:right w:val="single" w:sz="4" w:space="0" w:color="auto"/>
            </w:tcBorders>
            <w:shd w:val="clear" w:color="auto" w:fill="auto"/>
            <w:noWrap/>
            <w:vAlign w:val="center"/>
            <w:hideMark/>
          </w:tcPr>
          <w:p w14:paraId="610C4120" w14:textId="37440EF9"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113</w:t>
            </w:r>
          </w:p>
        </w:tc>
        <w:tc>
          <w:tcPr>
            <w:tcW w:w="960" w:type="dxa"/>
            <w:tcBorders>
              <w:top w:val="nil"/>
              <w:left w:val="nil"/>
              <w:bottom w:val="single" w:sz="4" w:space="0" w:color="auto"/>
              <w:right w:val="single" w:sz="4" w:space="0" w:color="auto"/>
            </w:tcBorders>
            <w:shd w:val="clear" w:color="auto" w:fill="auto"/>
            <w:noWrap/>
            <w:vAlign w:val="center"/>
            <w:hideMark/>
          </w:tcPr>
          <w:p w14:paraId="610C4121" w14:textId="6A27629D"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4.74%</w:t>
            </w:r>
          </w:p>
        </w:tc>
      </w:tr>
      <w:tr w:rsidR="004A0DD7" w:rsidRPr="00B24B98" w14:paraId="610C4128" w14:textId="22C2D30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23" w14:textId="4774A71A"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6</w:t>
            </w:r>
          </w:p>
        </w:tc>
        <w:tc>
          <w:tcPr>
            <w:tcW w:w="1180" w:type="dxa"/>
            <w:tcBorders>
              <w:top w:val="nil"/>
              <w:left w:val="nil"/>
              <w:bottom w:val="single" w:sz="4" w:space="0" w:color="auto"/>
              <w:right w:val="single" w:sz="4" w:space="0" w:color="auto"/>
            </w:tcBorders>
            <w:shd w:val="clear" w:color="auto" w:fill="auto"/>
            <w:noWrap/>
            <w:vAlign w:val="center"/>
            <w:hideMark/>
          </w:tcPr>
          <w:p w14:paraId="610C4124" w14:textId="15A05FFE"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C09</w:t>
            </w:r>
          </w:p>
        </w:tc>
        <w:tc>
          <w:tcPr>
            <w:tcW w:w="4521" w:type="dxa"/>
            <w:tcBorders>
              <w:top w:val="nil"/>
              <w:left w:val="nil"/>
              <w:bottom w:val="single" w:sz="4" w:space="0" w:color="auto"/>
              <w:right w:val="single" w:sz="4" w:space="0" w:color="auto"/>
            </w:tcBorders>
            <w:shd w:val="clear" w:color="auto" w:fill="auto"/>
            <w:noWrap/>
            <w:vAlign w:val="center"/>
            <w:hideMark/>
          </w:tcPr>
          <w:p w14:paraId="610C4125" w14:textId="6DF60B5B"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Agents acting on the renin-angiotensin system</w:t>
            </w:r>
          </w:p>
        </w:tc>
        <w:tc>
          <w:tcPr>
            <w:tcW w:w="600" w:type="dxa"/>
            <w:tcBorders>
              <w:top w:val="nil"/>
              <w:left w:val="nil"/>
              <w:bottom w:val="single" w:sz="4" w:space="0" w:color="auto"/>
              <w:right w:val="single" w:sz="4" w:space="0" w:color="auto"/>
            </w:tcBorders>
            <w:shd w:val="clear" w:color="auto" w:fill="auto"/>
            <w:noWrap/>
            <w:vAlign w:val="center"/>
            <w:hideMark/>
          </w:tcPr>
          <w:p w14:paraId="610C4126" w14:textId="3A879AA2"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98</w:t>
            </w:r>
          </w:p>
        </w:tc>
        <w:tc>
          <w:tcPr>
            <w:tcW w:w="960" w:type="dxa"/>
            <w:tcBorders>
              <w:top w:val="nil"/>
              <w:left w:val="nil"/>
              <w:bottom w:val="single" w:sz="4" w:space="0" w:color="auto"/>
              <w:right w:val="single" w:sz="4" w:space="0" w:color="auto"/>
            </w:tcBorders>
            <w:shd w:val="clear" w:color="auto" w:fill="auto"/>
            <w:noWrap/>
            <w:vAlign w:val="center"/>
            <w:hideMark/>
          </w:tcPr>
          <w:p w14:paraId="610C4127" w14:textId="03FF1DCB"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4.11%</w:t>
            </w:r>
          </w:p>
        </w:tc>
      </w:tr>
      <w:tr w:rsidR="004A0DD7" w:rsidRPr="00B24B98" w14:paraId="610C412E" w14:textId="169F8B5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29" w14:textId="59E0C7D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7</w:t>
            </w:r>
          </w:p>
        </w:tc>
        <w:tc>
          <w:tcPr>
            <w:tcW w:w="1180" w:type="dxa"/>
            <w:tcBorders>
              <w:top w:val="nil"/>
              <w:left w:val="nil"/>
              <w:bottom w:val="single" w:sz="4" w:space="0" w:color="auto"/>
              <w:right w:val="single" w:sz="4" w:space="0" w:color="auto"/>
            </w:tcBorders>
            <w:shd w:val="clear" w:color="auto" w:fill="auto"/>
            <w:noWrap/>
            <w:vAlign w:val="center"/>
            <w:hideMark/>
          </w:tcPr>
          <w:p w14:paraId="610C412A" w14:textId="0101A408"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N05</w:t>
            </w:r>
          </w:p>
        </w:tc>
        <w:tc>
          <w:tcPr>
            <w:tcW w:w="4521" w:type="dxa"/>
            <w:tcBorders>
              <w:top w:val="nil"/>
              <w:left w:val="nil"/>
              <w:bottom w:val="single" w:sz="4" w:space="0" w:color="auto"/>
              <w:right w:val="single" w:sz="4" w:space="0" w:color="auto"/>
            </w:tcBorders>
            <w:shd w:val="clear" w:color="auto" w:fill="auto"/>
            <w:noWrap/>
            <w:vAlign w:val="center"/>
            <w:hideMark/>
          </w:tcPr>
          <w:p w14:paraId="610C412B" w14:textId="430FAF9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Psycholeptics</w:t>
            </w:r>
          </w:p>
        </w:tc>
        <w:tc>
          <w:tcPr>
            <w:tcW w:w="600" w:type="dxa"/>
            <w:tcBorders>
              <w:top w:val="nil"/>
              <w:left w:val="nil"/>
              <w:bottom w:val="single" w:sz="4" w:space="0" w:color="auto"/>
              <w:right w:val="single" w:sz="4" w:space="0" w:color="auto"/>
            </w:tcBorders>
            <w:shd w:val="clear" w:color="auto" w:fill="auto"/>
            <w:noWrap/>
            <w:vAlign w:val="center"/>
            <w:hideMark/>
          </w:tcPr>
          <w:p w14:paraId="610C412C" w14:textId="32361434"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92</w:t>
            </w:r>
          </w:p>
        </w:tc>
        <w:tc>
          <w:tcPr>
            <w:tcW w:w="960" w:type="dxa"/>
            <w:tcBorders>
              <w:top w:val="nil"/>
              <w:left w:val="nil"/>
              <w:bottom w:val="single" w:sz="4" w:space="0" w:color="auto"/>
              <w:right w:val="single" w:sz="4" w:space="0" w:color="auto"/>
            </w:tcBorders>
            <w:shd w:val="clear" w:color="auto" w:fill="auto"/>
            <w:noWrap/>
            <w:vAlign w:val="center"/>
            <w:hideMark/>
          </w:tcPr>
          <w:p w14:paraId="610C412D" w14:textId="6D26B8C7"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3.86%</w:t>
            </w:r>
          </w:p>
        </w:tc>
      </w:tr>
      <w:tr w:rsidR="004A0DD7" w:rsidRPr="00B24B98" w14:paraId="610C4134" w14:textId="3F8F5379"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2F" w14:textId="6540C065"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8</w:t>
            </w:r>
          </w:p>
        </w:tc>
        <w:tc>
          <w:tcPr>
            <w:tcW w:w="1180" w:type="dxa"/>
            <w:tcBorders>
              <w:top w:val="nil"/>
              <w:left w:val="nil"/>
              <w:bottom w:val="single" w:sz="4" w:space="0" w:color="auto"/>
              <w:right w:val="single" w:sz="4" w:space="0" w:color="auto"/>
            </w:tcBorders>
            <w:shd w:val="clear" w:color="auto" w:fill="auto"/>
            <w:noWrap/>
            <w:vAlign w:val="center"/>
            <w:hideMark/>
          </w:tcPr>
          <w:p w14:paraId="610C4130" w14:textId="5A961BC7"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H02</w:t>
            </w:r>
          </w:p>
        </w:tc>
        <w:tc>
          <w:tcPr>
            <w:tcW w:w="4521" w:type="dxa"/>
            <w:tcBorders>
              <w:top w:val="nil"/>
              <w:left w:val="nil"/>
              <w:bottom w:val="single" w:sz="4" w:space="0" w:color="auto"/>
              <w:right w:val="single" w:sz="4" w:space="0" w:color="auto"/>
            </w:tcBorders>
            <w:shd w:val="clear" w:color="auto" w:fill="auto"/>
            <w:noWrap/>
            <w:vAlign w:val="center"/>
            <w:hideMark/>
          </w:tcPr>
          <w:p w14:paraId="610C4131" w14:textId="76A1B582"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Corticosteroids for systemic use</w:t>
            </w:r>
          </w:p>
        </w:tc>
        <w:tc>
          <w:tcPr>
            <w:tcW w:w="600" w:type="dxa"/>
            <w:tcBorders>
              <w:top w:val="nil"/>
              <w:left w:val="nil"/>
              <w:bottom w:val="single" w:sz="4" w:space="0" w:color="auto"/>
              <w:right w:val="single" w:sz="4" w:space="0" w:color="auto"/>
            </w:tcBorders>
            <w:shd w:val="clear" w:color="auto" w:fill="auto"/>
            <w:noWrap/>
            <w:vAlign w:val="center"/>
            <w:hideMark/>
          </w:tcPr>
          <w:p w14:paraId="610C4132" w14:textId="05432D52"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77</w:t>
            </w:r>
          </w:p>
        </w:tc>
        <w:tc>
          <w:tcPr>
            <w:tcW w:w="960" w:type="dxa"/>
            <w:tcBorders>
              <w:top w:val="nil"/>
              <w:left w:val="nil"/>
              <w:bottom w:val="single" w:sz="4" w:space="0" w:color="auto"/>
              <w:right w:val="single" w:sz="4" w:space="0" w:color="auto"/>
            </w:tcBorders>
            <w:shd w:val="clear" w:color="auto" w:fill="auto"/>
            <w:noWrap/>
            <w:vAlign w:val="center"/>
            <w:hideMark/>
          </w:tcPr>
          <w:p w14:paraId="610C4133" w14:textId="018BA7CD"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3.23%</w:t>
            </w:r>
          </w:p>
        </w:tc>
      </w:tr>
      <w:tr w:rsidR="004A0DD7" w:rsidRPr="00B24B98" w14:paraId="610C413A" w14:textId="0888E190"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35" w14:textId="2413C7F5"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9</w:t>
            </w:r>
          </w:p>
        </w:tc>
        <w:tc>
          <w:tcPr>
            <w:tcW w:w="1180" w:type="dxa"/>
            <w:tcBorders>
              <w:top w:val="nil"/>
              <w:left w:val="nil"/>
              <w:bottom w:val="single" w:sz="4" w:space="0" w:color="auto"/>
              <w:right w:val="single" w:sz="4" w:space="0" w:color="auto"/>
            </w:tcBorders>
            <w:shd w:val="clear" w:color="auto" w:fill="auto"/>
            <w:noWrap/>
            <w:vAlign w:val="center"/>
            <w:hideMark/>
          </w:tcPr>
          <w:p w14:paraId="610C4136" w14:textId="006E50AC"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C01</w:t>
            </w:r>
          </w:p>
        </w:tc>
        <w:tc>
          <w:tcPr>
            <w:tcW w:w="4521" w:type="dxa"/>
            <w:tcBorders>
              <w:top w:val="nil"/>
              <w:left w:val="nil"/>
              <w:bottom w:val="single" w:sz="4" w:space="0" w:color="auto"/>
              <w:right w:val="single" w:sz="4" w:space="0" w:color="auto"/>
            </w:tcBorders>
            <w:shd w:val="clear" w:color="auto" w:fill="auto"/>
            <w:noWrap/>
            <w:vAlign w:val="center"/>
            <w:hideMark/>
          </w:tcPr>
          <w:p w14:paraId="610C4137" w14:textId="2B2E3C69"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Cardiac therapy</w:t>
            </w:r>
          </w:p>
        </w:tc>
        <w:tc>
          <w:tcPr>
            <w:tcW w:w="600" w:type="dxa"/>
            <w:tcBorders>
              <w:top w:val="nil"/>
              <w:left w:val="nil"/>
              <w:bottom w:val="single" w:sz="4" w:space="0" w:color="auto"/>
              <w:right w:val="single" w:sz="4" w:space="0" w:color="auto"/>
            </w:tcBorders>
            <w:shd w:val="clear" w:color="auto" w:fill="auto"/>
            <w:noWrap/>
            <w:vAlign w:val="center"/>
            <w:hideMark/>
          </w:tcPr>
          <w:p w14:paraId="610C4138" w14:textId="41118BE2"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71</w:t>
            </w:r>
          </w:p>
        </w:tc>
        <w:tc>
          <w:tcPr>
            <w:tcW w:w="960" w:type="dxa"/>
            <w:tcBorders>
              <w:top w:val="nil"/>
              <w:left w:val="nil"/>
              <w:bottom w:val="single" w:sz="4" w:space="0" w:color="auto"/>
              <w:right w:val="single" w:sz="4" w:space="0" w:color="auto"/>
            </w:tcBorders>
            <w:shd w:val="clear" w:color="auto" w:fill="auto"/>
            <w:noWrap/>
            <w:vAlign w:val="center"/>
            <w:hideMark/>
          </w:tcPr>
          <w:p w14:paraId="610C4139" w14:textId="65B1208A"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2.98%</w:t>
            </w:r>
          </w:p>
        </w:tc>
      </w:tr>
      <w:tr w:rsidR="004A0DD7" w:rsidRPr="00B24B98" w14:paraId="610C4140" w14:textId="3F5B5F3D"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3B" w14:textId="0D411F73"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10</w:t>
            </w:r>
          </w:p>
        </w:tc>
        <w:tc>
          <w:tcPr>
            <w:tcW w:w="1180" w:type="dxa"/>
            <w:tcBorders>
              <w:top w:val="nil"/>
              <w:left w:val="nil"/>
              <w:bottom w:val="single" w:sz="4" w:space="0" w:color="auto"/>
              <w:right w:val="single" w:sz="4" w:space="0" w:color="auto"/>
            </w:tcBorders>
            <w:shd w:val="clear" w:color="auto" w:fill="auto"/>
            <w:noWrap/>
            <w:vAlign w:val="center"/>
            <w:hideMark/>
          </w:tcPr>
          <w:p w14:paraId="610C413C" w14:textId="015FA678"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A10</w:t>
            </w:r>
          </w:p>
        </w:tc>
        <w:tc>
          <w:tcPr>
            <w:tcW w:w="4521" w:type="dxa"/>
            <w:tcBorders>
              <w:top w:val="nil"/>
              <w:left w:val="nil"/>
              <w:bottom w:val="single" w:sz="4" w:space="0" w:color="auto"/>
              <w:right w:val="single" w:sz="4" w:space="0" w:color="auto"/>
            </w:tcBorders>
            <w:shd w:val="clear" w:color="auto" w:fill="auto"/>
            <w:noWrap/>
            <w:vAlign w:val="center"/>
            <w:hideMark/>
          </w:tcPr>
          <w:p w14:paraId="610C413D" w14:textId="7CF417E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 xml:space="preserve">Drugs used in diabetes </w:t>
            </w:r>
          </w:p>
        </w:tc>
        <w:tc>
          <w:tcPr>
            <w:tcW w:w="600" w:type="dxa"/>
            <w:tcBorders>
              <w:top w:val="nil"/>
              <w:left w:val="nil"/>
              <w:bottom w:val="single" w:sz="4" w:space="0" w:color="auto"/>
              <w:right w:val="single" w:sz="4" w:space="0" w:color="auto"/>
            </w:tcBorders>
            <w:shd w:val="clear" w:color="auto" w:fill="auto"/>
            <w:noWrap/>
            <w:vAlign w:val="center"/>
            <w:hideMark/>
          </w:tcPr>
          <w:p w14:paraId="610C413E" w14:textId="1D64F89C"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61</w:t>
            </w:r>
          </w:p>
        </w:tc>
        <w:tc>
          <w:tcPr>
            <w:tcW w:w="960" w:type="dxa"/>
            <w:tcBorders>
              <w:top w:val="nil"/>
              <w:left w:val="nil"/>
              <w:bottom w:val="single" w:sz="4" w:space="0" w:color="auto"/>
              <w:right w:val="single" w:sz="4" w:space="0" w:color="auto"/>
            </w:tcBorders>
            <w:shd w:val="clear" w:color="auto" w:fill="auto"/>
            <w:noWrap/>
            <w:vAlign w:val="center"/>
            <w:hideMark/>
          </w:tcPr>
          <w:p w14:paraId="610C413F" w14:textId="573A2965"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2.56%</w:t>
            </w:r>
          </w:p>
        </w:tc>
      </w:tr>
      <w:tr w:rsidR="004A0DD7" w:rsidRPr="00B24B98" w14:paraId="610C4146" w14:textId="7FE8E3B6"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41" w14:textId="7A961D5E"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11</w:t>
            </w:r>
          </w:p>
        </w:tc>
        <w:tc>
          <w:tcPr>
            <w:tcW w:w="1180" w:type="dxa"/>
            <w:tcBorders>
              <w:top w:val="nil"/>
              <w:left w:val="nil"/>
              <w:bottom w:val="single" w:sz="4" w:space="0" w:color="auto"/>
              <w:right w:val="single" w:sz="4" w:space="0" w:color="auto"/>
            </w:tcBorders>
            <w:shd w:val="clear" w:color="auto" w:fill="auto"/>
            <w:noWrap/>
            <w:vAlign w:val="center"/>
            <w:hideMark/>
          </w:tcPr>
          <w:p w14:paraId="610C4142" w14:textId="0750B566"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J04</w:t>
            </w:r>
          </w:p>
        </w:tc>
        <w:tc>
          <w:tcPr>
            <w:tcW w:w="4521" w:type="dxa"/>
            <w:tcBorders>
              <w:top w:val="nil"/>
              <w:left w:val="nil"/>
              <w:bottom w:val="single" w:sz="4" w:space="0" w:color="auto"/>
              <w:right w:val="single" w:sz="4" w:space="0" w:color="auto"/>
            </w:tcBorders>
            <w:shd w:val="clear" w:color="auto" w:fill="auto"/>
            <w:noWrap/>
            <w:vAlign w:val="center"/>
            <w:hideMark/>
          </w:tcPr>
          <w:p w14:paraId="610C4143" w14:textId="29EEE2D5"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w:t>
            </w:r>
            <w:r>
              <w:rPr>
                <w:rFonts w:ascii="Calibri" w:eastAsia="Times New Roman" w:hAnsi="Calibri" w:cs="Calibri"/>
                <w:color w:val="000000"/>
                <w:lang w:eastAsia="en-GB"/>
              </w:rPr>
              <w:t>-</w:t>
            </w:r>
            <w:r w:rsidRPr="00B24B98">
              <w:rPr>
                <w:rFonts w:ascii="Calibri" w:eastAsia="Times New Roman" w:hAnsi="Calibri" w:cs="Calibri"/>
                <w:color w:val="000000"/>
                <w:lang w:eastAsia="en-GB"/>
              </w:rPr>
              <w:t>mycobacterials</w:t>
            </w:r>
          </w:p>
        </w:tc>
        <w:tc>
          <w:tcPr>
            <w:tcW w:w="600" w:type="dxa"/>
            <w:tcBorders>
              <w:top w:val="nil"/>
              <w:left w:val="nil"/>
              <w:bottom w:val="single" w:sz="4" w:space="0" w:color="auto"/>
              <w:right w:val="single" w:sz="4" w:space="0" w:color="auto"/>
            </w:tcBorders>
            <w:shd w:val="clear" w:color="auto" w:fill="auto"/>
            <w:noWrap/>
            <w:vAlign w:val="center"/>
            <w:hideMark/>
          </w:tcPr>
          <w:p w14:paraId="610C4144" w14:textId="24BC9C53" w:rsidR="004A0DD7" w:rsidRPr="00B24B98" w:rsidRDefault="004A0DD7" w:rsidP="004A0DD7">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54</w:t>
            </w:r>
          </w:p>
        </w:tc>
        <w:tc>
          <w:tcPr>
            <w:tcW w:w="960" w:type="dxa"/>
            <w:tcBorders>
              <w:top w:val="nil"/>
              <w:left w:val="nil"/>
              <w:bottom w:val="single" w:sz="4" w:space="0" w:color="auto"/>
              <w:right w:val="single" w:sz="4" w:space="0" w:color="auto"/>
            </w:tcBorders>
            <w:shd w:val="clear" w:color="auto" w:fill="auto"/>
            <w:noWrap/>
            <w:vAlign w:val="center"/>
            <w:hideMark/>
          </w:tcPr>
          <w:p w14:paraId="610C4145" w14:textId="6D52F622" w:rsidR="004A0DD7" w:rsidRPr="00B24B98" w:rsidRDefault="004A0DD7" w:rsidP="004A0DD7">
            <w:pPr>
              <w:spacing w:after="0" w:line="240" w:lineRule="auto"/>
              <w:rPr>
                <w:rFonts w:ascii="Calibri" w:eastAsia="Times New Roman" w:hAnsi="Calibri" w:cs="Calibri"/>
                <w:color w:val="000000"/>
                <w:lang w:eastAsia="en-GB"/>
              </w:rPr>
            </w:pPr>
            <w:r>
              <w:rPr>
                <w:rFonts w:ascii="Calibri" w:hAnsi="Calibri" w:cs="Calibri"/>
                <w:color w:val="000000"/>
              </w:rPr>
              <w:t>2.26%</w:t>
            </w:r>
          </w:p>
        </w:tc>
      </w:tr>
      <w:tr w:rsidR="007D57FB" w:rsidRPr="00B24B98" w14:paraId="610C414C" w14:textId="609F479F"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47" w14:textId="2474C7B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12</w:t>
            </w:r>
          </w:p>
        </w:tc>
        <w:tc>
          <w:tcPr>
            <w:tcW w:w="1180" w:type="dxa"/>
            <w:tcBorders>
              <w:top w:val="nil"/>
              <w:left w:val="nil"/>
              <w:bottom w:val="single" w:sz="4" w:space="0" w:color="auto"/>
              <w:right w:val="single" w:sz="4" w:space="0" w:color="auto"/>
            </w:tcBorders>
            <w:shd w:val="clear" w:color="auto" w:fill="auto"/>
            <w:noWrap/>
            <w:vAlign w:val="center"/>
            <w:hideMark/>
          </w:tcPr>
          <w:p w14:paraId="610C4148" w14:textId="2F1F52A3"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C02</w:t>
            </w:r>
          </w:p>
        </w:tc>
        <w:tc>
          <w:tcPr>
            <w:tcW w:w="4521" w:type="dxa"/>
            <w:tcBorders>
              <w:top w:val="nil"/>
              <w:left w:val="nil"/>
              <w:bottom w:val="single" w:sz="4" w:space="0" w:color="auto"/>
              <w:right w:val="single" w:sz="4" w:space="0" w:color="auto"/>
            </w:tcBorders>
            <w:shd w:val="clear" w:color="auto" w:fill="auto"/>
            <w:noWrap/>
            <w:vAlign w:val="center"/>
            <w:hideMark/>
          </w:tcPr>
          <w:p w14:paraId="610C4149" w14:textId="7EFC6D5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w:t>
            </w:r>
            <w:r>
              <w:rPr>
                <w:rFonts w:ascii="Calibri" w:eastAsia="Times New Roman" w:hAnsi="Calibri" w:cs="Calibri"/>
                <w:color w:val="000000"/>
                <w:lang w:eastAsia="en-GB"/>
              </w:rPr>
              <w:t>-</w:t>
            </w:r>
            <w:r w:rsidRPr="00B24B98">
              <w:rPr>
                <w:rFonts w:ascii="Calibri" w:eastAsia="Times New Roman" w:hAnsi="Calibri" w:cs="Calibri"/>
                <w:color w:val="000000"/>
                <w:lang w:eastAsia="en-GB"/>
              </w:rPr>
              <w:t>hypertensives</w:t>
            </w:r>
          </w:p>
        </w:tc>
        <w:tc>
          <w:tcPr>
            <w:tcW w:w="600" w:type="dxa"/>
            <w:tcBorders>
              <w:top w:val="nil"/>
              <w:left w:val="nil"/>
              <w:bottom w:val="single" w:sz="4" w:space="0" w:color="auto"/>
              <w:right w:val="single" w:sz="4" w:space="0" w:color="auto"/>
            </w:tcBorders>
            <w:shd w:val="clear" w:color="auto" w:fill="auto"/>
            <w:noWrap/>
            <w:vAlign w:val="center"/>
            <w:hideMark/>
          </w:tcPr>
          <w:p w14:paraId="610C414A" w14:textId="34FB74A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52</w:t>
            </w:r>
          </w:p>
        </w:tc>
        <w:tc>
          <w:tcPr>
            <w:tcW w:w="960" w:type="dxa"/>
            <w:tcBorders>
              <w:top w:val="nil"/>
              <w:left w:val="nil"/>
              <w:bottom w:val="single" w:sz="4" w:space="0" w:color="auto"/>
              <w:right w:val="single" w:sz="4" w:space="0" w:color="auto"/>
            </w:tcBorders>
            <w:shd w:val="clear" w:color="auto" w:fill="auto"/>
            <w:noWrap/>
            <w:vAlign w:val="center"/>
            <w:hideMark/>
          </w:tcPr>
          <w:p w14:paraId="610C414B" w14:textId="2DB7009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2.18%</w:t>
            </w:r>
          </w:p>
        </w:tc>
      </w:tr>
      <w:tr w:rsidR="007D57FB" w:rsidRPr="00B24B98" w14:paraId="610C4152" w14:textId="68288A2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4D" w14:textId="598B8EA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13</w:t>
            </w:r>
          </w:p>
        </w:tc>
        <w:tc>
          <w:tcPr>
            <w:tcW w:w="1180" w:type="dxa"/>
            <w:tcBorders>
              <w:top w:val="nil"/>
              <w:left w:val="nil"/>
              <w:bottom w:val="single" w:sz="4" w:space="0" w:color="auto"/>
              <w:right w:val="single" w:sz="4" w:space="0" w:color="auto"/>
            </w:tcBorders>
            <w:shd w:val="clear" w:color="auto" w:fill="auto"/>
            <w:noWrap/>
            <w:vAlign w:val="center"/>
            <w:hideMark/>
          </w:tcPr>
          <w:p w14:paraId="610C414E" w14:textId="59EB979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A12</w:t>
            </w:r>
          </w:p>
        </w:tc>
        <w:tc>
          <w:tcPr>
            <w:tcW w:w="4521" w:type="dxa"/>
            <w:tcBorders>
              <w:top w:val="nil"/>
              <w:left w:val="nil"/>
              <w:bottom w:val="single" w:sz="4" w:space="0" w:color="auto"/>
              <w:right w:val="single" w:sz="4" w:space="0" w:color="auto"/>
            </w:tcBorders>
            <w:shd w:val="clear" w:color="auto" w:fill="auto"/>
            <w:noWrap/>
            <w:vAlign w:val="center"/>
            <w:hideMark/>
          </w:tcPr>
          <w:p w14:paraId="610C414F" w14:textId="3E238BA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Mineral supplements</w:t>
            </w:r>
          </w:p>
        </w:tc>
        <w:tc>
          <w:tcPr>
            <w:tcW w:w="600" w:type="dxa"/>
            <w:tcBorders>
              <w:top w:val="nil"/>
              <w:left w:val="nil"/>
              <w:bottom w:val="single" w:sz="4" w:space="0" w:color="auto"/>
              <w:right w:val="single" w:sz="4" w:space="0" w:color="auto"/>
            </w:tcBorders>
            <w:shd w:val="clear" w:color="auto" w:fill="auto"/>
            <w:noWrap/>
            <w:vAlign w:val="center"/>
            <w:hideMark/>
          </w:tcPr>
          <w:p w14:paraId="610C4150" w14:textId="74B1023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50</w:t>
            </w:r>
          </w:p>
        </w:tc>
        <w:tc>
          <w:tcPr>
            <w:tcW w:w="960" w:type="dxa"/>
            <w:tcBorders>
              <w:top w:val="nil"/>
              <w:left w:val="nil"/>
              <w:bottom w:val="single" w:sz="4" w:space="0" w:color="auto"/>
              <w:right w:val="single" w:sz="4" w:space="0" w:color="auto"/>
            </w:tcBorders>
            <w:shd w:val="clear" w:color="auto" w:fill="auto"/>
            <w:noWrap/>
            <w:vAlign w:val="center"/>
            <w:hideMark/>
          </w:tcPr>
          <w:p w14:paraId="610C4151" w14:textId="45AF10E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2.10%</w:t>
            </w:r>
          </w:p>
        </w:tc>
      </w:tr>
      <w:tr w:rsidR="007D57FB" w:rsidRPr="00B24B98" w14:paraId="610C4158" w14:textId="6EFCC2FB"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53" w14:textId="76487C9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14</w:t>
            </w:r>
          </w:p>
        </w:tc>
        <w:tc>
          <w:tcPr>
            <w:tcW w:w="1180" w:type="dxa"/>
            <w:tcBorders>
              <w:top w:val="nil"/>
              <w:left w:val="nil"/>
              <w:bottom w:val="single" w:sz="4" w:space="0" w:color="auto"/>
              <w:right w:val="single" w:sz="4" w:space="0" w:color="auto"/>
            </w:tcBorders>
            <w:shd w:val="clear" w:color="auto" w:fill="auto"/>
            <w:noWrap/>
            <w:vAlign w:val="center"/>
            <w:hideMark/>
          </w:tcPr>
          <w:p w14:paraId="610C4154" w14:textId="55DF995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C08</w:t>
            </w:r>
          </w:p>
        </w:tc>
        <w:tc>
          <w:tcPr>
            <w:tcW w:w="4521" w:type="dxa"/>
            <w:tcBorders>
              <w:top w:val="nil"/>
              <w:left w:val="nil"/>
              <w:bottom w:val="single" w:sz="4" w:space="0" w:color="auto"/>
              <w:right w:val="single" w:sz="4" w:space="0" w:color="auto"/>
            </w:tcBorders>
            <w:shd w:val="clear" w:color="auto" w:fill="auto"/>
            <w:noWrap/>
            <w:vAlign w:val="center"/>
            <w:hideMark/>
          </w:tcPr>
          <w:p w14:paraId="610C4155" w14:textId="7E09C61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Calcium channel blockers</w:t>
            </w:r>
          </w:p>
        </w:tc>
        <w:tc>
          <w:tcPr>
            <w:tcW w:w="600" w:type="dxa"/>
            <w:tcBorders>
              <w:top w:val="nil"/>
              <w:left w:val="nil"/>
              <w:bottom w:val="single" w:sz="4" w:space="0" w:color="auto"/>
              <w:right w:val="single" w:sz="4" w:space="0" w:color="auto"/>
            </w:tcBorders>
            <w:shd w:val="clear" w:color="auto" w:fill="auto"/>
            <w:noWrap/>
            <w:vAlign w:val="center"/>
            <w:hideMark/>
          </w:tcPr>
          <w:p w14:paraId="610C4156" w14:textId="580232E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41</w:t>
            </w:r>
          </w:p>
        </w:tc>
        <w:tc>
          <w:tcPr>
            <w:tcW w:w="960" w:type="dxa"/>
            <w:tcBorders>
              <w:top w:val="nil"/>
              <w:left w:val="nil"/>
              <w:bottom w:val="single" w:sz="4" w:space="0" w:color="auto"/>
              <w:right w:val="single" w:sz="4" w:space="0" w:color="auto"/>
            </w:tcBorders>
            <w:shd w:val="clear" w:color="auto" w:fill="auto"/>
            <w:noWrap/>
            <w:vAlign w:val="center"/>
            <w:hideMark/>
          </w:tcPr>
          <w:p w14:paraId="610C4157" w14:textId="6766D4C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1.72%</w:t>
            </w:r>
          </w:p>
        </w:tc>
      </w:tr>
      <w:tr w:rsidR="007D57FB" w:rsidRPr="00B24B98" w14:paraId="610C415E" w14:textId="4BBEB938"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59" w14:textId="71D1135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15</w:t>
            </w:r>
          </w:p>
        </w:tc>
        <w:tc>
          <w:tcPr>
            <w:tcW w:w="1180" w:type="dxa"/>
            <w:tcBorders>
              <w:top w:val="nil"/>
              <w:left w:val="nil"/>
              <w:bottom w:val="single" w:sz="4" w:space="0" w:color="auto"/>
              <w:right w:val="single" w:sz="4" w:space="0" w:color="auto"/>
            </w:tcBorders>
            <w:shd w:val="clear" w:color="auto" w:fill="auto"/>
            <w:noWrap/>
            <w:vAlign w:val="center"/>
            <w:hideMark/>
          </w:tcPr>
          <w:p w14:paraId="610C415A" w14:textId="7CDFC9B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M01</w:t>
            </w:r>
          </w:p>
        </w:tc>
        <w:tc>
          <w:tcPr>
            <w:tcW w:w="4521" w:type="dxa"/>
            <w:tcBorders>
              <w:top w:val="nil"/>
              <w:left w:val="nil"/>
              <w:bottom w:val="single" w:sz="4" w:space="0" w:color="auto"/>
              <w:right w:val="single" w:sz="4" w:space="0" w:color="auto"/>
            </w:tcBorders>
            <w:shd w:val="clear" w:color="auto" w:fill="auto"/>
            <w:noWrap/>
            <w:vAlign w:val="center"/>
            <w:hideMark/>
          </w:tcPr>
          <w:p w14:paraId="610C415B" w14:textId="12A0A30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w:t>
            </w:r>
            <w:r>
              <w:rPr>
                <w:rFonts w:ascii="Calibri" w:eastAsia="Times New Roman" w:hAnsi="Calibri" w:cs="Calibri"/>
                <w:color w:val="000000"/>
                <w:lang w:eastAsia="en-GB"/>
              </w:rPr>
              <w:t>-</w:t>
            </w:r>
            <w:r w:rsidRPr="00B24B98">
              <w:rPr>
                <w:rFonts w:ascii="Calibri" w:eastAsia="Times New Roman" w:hAnsi="Calibri" w:cs="Calibri"/>
                <w:color w:val="000000"/>
                <w:lang w:eastAsia="en-GB"/>
              </w:rPr>
              <w:t>inflammatory and anti</w:t>
            </w:r>
            <w:r>
              <w:rPr>
                <w:rFonts w:ascii="Calibri" w:eastAsia="Times New Roman" w:hAnsi="Calibri" w:cs="Calibri"/>
                <w:color w:val="000000"/>
                <w:lang w:eastAsia="en-GB"/>
              </w:rPr>
              <w:t>-</w:t>
            </w:r>
            <w:r w:rsidRPr="00B24B98">
              <w:rPr>
                <w:rFonts w:ascii="Calibri" w:eastAsia="Times New Roman" w:hAnsi="Calibri" w:cs="Calibri"/>
                <w:color w:val="000000"/>
                <w:lang w:eastAsia="en-GB"/>
              </w:rPr>
              <w:t>rheumatic products</w:t>
            </w:r>
          </w:p>
        </w:tc>
        <w:tc>
          <w:tcPr>
            <w:tcW w:w="600" w:type="dxa"/>
            <w:tcBorders>
              <w:top w:val="nil"/>
              <w:left w:val="nil"/>
              <w:bottom w:val="single" w:sz="4" w:space="0" w:color="auto"/>
              <w:right w:val="single" w:sz="4" w:space="0" w:color="auto"/>
            </w:tcBorders>
            <w:shd w:val="clear" w:color="auto" w:fill="auto"/>
            <w:noWrap/>
            <w:vAlign w:val="center"/>
            <w:hideMark/>
          </w:tcPr>
          <w:p w14:paraId="610C415C" w14:textId="379C061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40</w:t>
            </w:r>
          </w:p>
        </w:tc>
        <w:tc>
          <w:tcPr>
            <w:tcW w:w="960" w:type="dxa"/>
            <w:tcBorders>
              <w:top w:val="nil"/>
              <w:left w:val="nil"/>
              <w:bottom w:val="single" w:sz="4" w:space="0" w:color="auto"/>
              <w:right w:val="single" w:sz="4" w:space="0" w:color="auto"/>
            </w:tcBorders>
            <w:shd w:val="clear" w:color="auto" w:fill="auto"/>
            <w:noWrap/>
            <w:vAlign w:val="center"/>
            <w:hideMark/>
          </w:tcPr>
          <w:p w14:paraId="610C415D" w14:textId="77A3389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1.68%</w:t>
            </w:r>
          </w:p>
        </w:tc>
      </w:tr>
      <w:tr w:rsidR="007D57FB" w:rsidRPr="00B24B98" w14:paraId="610C4164" w14:textId="4295AA2B"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5F" w14:textId="6ED4746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16</w:t>
            </w:r>
          </w:p>
        </w:tc>
        <w:tc>
          <w:tcPr>
            <w:tcW w:w="1180" w:type="dxa"/>
            <w:tcBorders>
              <w:top w:val="nil"/>
              <w:left w:val="nil"/>
              <w:bottom w:val="single" w:sz="4" w:space="0" w:color="auto"/>
              <w:right w:val="single" w:sz="4" w:space="0" w:color="auto"/>
            </w:tcBorders>
            <w:shd w:val="clear" w:color="auto" w:fill="auto"/>
            <w:noWrap/>
            <w:vAlign w:val="center"/>
            <w:hideMark/>
          </w:tcPr>
          <w:p w14:paraId="610C4160" w14:textId="6781A1A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N03</w:t>
            </w:r>
          </w:p>
        </w:tc>
        <w:tc>
          <w:tcPr>
            <w:tcW w:w="4521" w:type="dxa"/>
            <w:tcBorders>
              <w:top w:val="nil"/>
              <w:left w:val="nil"/>
              <w:bottom w:val="single" w:sz="4" w:space="0" w:color="auto"/>
              <w:right w:val="single" w:sz="4" w:space="0" w:color="auto"/>
            </w:tcBorders>
            <w:shd w:val="clear" w:color="auto" w:fill="auto"/>
            <w:noWrap/>
            <w:vAlign w:val="center"/>
            <w:hideMark/>
          </w:tcPr>
          <w:p w14:paraId="610C4161" w14:textId="73244E2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Antiepileptics</w:t>
            </w:r>
          </w:p>
        </w:tc>
        <w:tc>
          <w:tcPr>
            <w:tcW w:w="600" w:type="dxa"/>
            <w:tcBorders>
              <w:top w:val="nil"/>
              <w:left w:val="nil"/>
              <w:bottom w:val="single" w:sz="4" w:space="0" w:color="auto"/>
              <w:right w:val="single" w:sz="4" w:space="0" w:color="auto"/>
            </w:tcBorders>
            <w:shd w:val="clear" w:color="auto" w:fill="auto"/>
            <w:noWrap/>
            <w:vAlign w:val="center"/>
            <w:hideMark/>
          </w:tcPr>
          <w:p w14:paraId="610C4162" w14:textId="52D7F68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30</w:t>
            </w:r>
          </w:p>
        </w:tc>
        <w:tc>
          <w:tcPr>
            <w:tcW w:w="960" w:type="dxa"/>
            <w:tcBorders>
              <w:top w:val="nil"/>
              <w:left w:val="nil"/>
              <w:bottom w:val="single" w:sz="4" w:space="0" w:color="auto"/>
              <w:right w:val="single" w:sz="4" w:space="0" w:color="auto"/>
            </w:tcBorders>
            <w:shd w:val="clear" w:color="auto" w:fill="auto"/>
            <w:noWrap/>
            <w:vAlign w:val="center"/>
            <w:hideMark/>
          </w:tcPr>
          <w:p w14:paraId="610C4163" w14:textId="42188AE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1.26%</w:t>
            </w:r>
          </w:p>
        </w:tc>
      </w:tr>
      <w:tr w:rsidR="007D57FB" w:rsidRPr="00B24B98" w14:paraId="610C416A" w14:textId="1895C4BB"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65" w14:textId="02ADFCD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17</w:t>
            </w:r>
          </w:p>
        </w:tc>
        <w:tc>
          <w:tcPr>
            <w:tcW w:w="1180" w:type="dxa"/>
            <w:tcBorders>
              <w:top w:val="nil"/>
              <w:left w:val="nil"/>
              <w:bottom w:val="single" w:sz="4" w:space="0" w:color="auto"/>
              <w:right w:val="single" w:sz="4" w:space="0" w:color="auto"/>
            </w:tcBorders>
            <w:shd w:val="clear" w:color="auto" w:fill="auto"/>
            <w:noWrap/>
            <w:vAlign w:val="center"/>
            <w:hideMark/>
          </w:tcPr>
          <w:p w14:paraId="610C4166" w14:textId="67C9163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A02</w:t>
            </w:r>
          </w:p>
        </w:tc>
        <w:tc>
          <w:tcPr>
            <w:tcW w:w="4521" w:type="dxa"/>
            <w:tcBorders>
              <w:top w:val="nil"/>
              <w:left w:val="nil"/>
              <w:bottom w:val="single" w:sz="4" w:space="0" w:color="auto"/>
              <w:right w:val="single" w:sz="4" w:space="0" w:color="auto"/>
            </w:tcBorders>
            <w:shd w:val="clear" w:color="auto" w:fill="auto"/>
            <w:noWrap/>
            <w:vAlign w:val="center"/>
            <w:hideMark/>
          </w:tcPr>
          <w:p w14:paraId="610C4167" w14:textId="222C38E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Drugs for acid related disorders</w:t>
            </w:r>
          </w:p>
        </w:tc>
        <w:tc>
          <w:tcPr>
            <w:tcW w:w="600" w:type="dxa"/>
            <w:tcBorders>
              <w:top w:val="nil"/>
              <w:left w:val="nil"/>
              <w:bottom w:val="single" w:sz="4" w:space="0" w:color="auto"/>
              <w:right w:val="single" w:sz="4" w:space="0" w:color="auto"/>
            </w:tcBorders>
            <w:shd w:val="clear" w:color="auto" w:fill="auto"/>
            <w:noWrap/>
            <w:vAlign w:val="center"/>
            <w:hideMark/>
          </w:tcPr>
          <w:p w14:paraId="610C4168" w14:textId="158F7A6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26</w:t>
            </w:r>
          </w:p>
        </w:tc>
        <w:tc>
          <w:tcPr>
            <w:tcW w:w="960" w:type="dxa"/>
            <w:tcBorders>
              <w:top w:val="nil"/>
              <w:left w:val="nil"/>
              <w:bottom w:val="single" w:sz="4" w:space="0" w:color="auto"/>
              <w:right w:val="single" w:sz="4" w:space="0" w:color="auto"/>
            </w:tcBorders>
            <w:shd w:val="clear" w:color="auto" w:fill="auto"/>
            <w:noWrap/>
            <w:vAlign w:val="center"/>
            <w:hideMark/>
          </w:tcPr>
          <w:p w14:paraId="610C4169" w14:textId="3C580A73"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1.09%</w:t>
            </w:r>
          </w:p>
        </w:tc>
      </w:tr>
      <w:tr w:rsidR="007D57FB" w:rsidRPr="00B24B98" w14:paraId="610C4170" w14:textId="27E7B1B5"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6B" w14:textId="44A9037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18</w:t>
            </w:r>
          </w:p>
        </w:tc>
        <w:tc>
          <w:tcPr>
            <w:tcW w:w="1180" w:type="dxa"/>
            <w:tcBorders>
              <w:top w:val="nil"/>
              <w:left w:val="nil"/>
              <w:bottom w:val="single" w:sz="4" w:space="0" w:color="auto"/>
              <w:right w:val="single" w:sz="4" w:space="0" w:color="auto"/>
            </w:tcBorders>
            <w:shd w:val="clear" w:color="auto" w:fill="auto"/>
            <w:noWrap/>
            <w:vAlign w:val="center"/>
            <w:hideMark/>
          </w:tcPr>
          <w:p w14:paraId="610C416C" w14:textId="22F5C0C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A06</w:t>
            </w:r>
          </w:p>
        </w:tc>
        <w:tc>
          <w:tcPr>
            <w:tcW w:w="4521" w:type="dxa"/>
            <w:tcBorders>
              <w:top w:val="nil"/>
              <w:left w:val="nil"/>
              <w:bottom w:val="single" w:sz="4" w:space="0" w:color="auto"/>
              <w:right w:val="single" w:sz="4" w:space="0" w:color="auto"/>
            </w:tcBorders>
            <w:shd w:val="clear" w:color="auto" w:fill="auto"/>
            <w:noWrap/>
            <w:vAlign w:val="center"/>
            <w:hideMark/>
          </w:tcPr>
          <w:p w14:paraId="610C416D" w14:textId="48F2152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Drugs for constipation</w:t>
            </w:r>
          </w:p>
        </w:tc>
        <w:tc>
          <w:tcPr>
            <w:tcW w:w="600" w:type="dxa"/>
            <w:tcBorders>
              <w:top w:val="nil"/>
              <w:left w:val="nil"/>
              <w:bottom w:val="single" w:sz="4" w:space="0" w:color="auto"/>
              <w:right w:val="single" w:sz="4" w:space="0" w:color="auto"/>
            </w:tcBorders>
            <w:shd w:val="clear" w:color="auto" w:fill="auto"/>
            <w:noWrap/>
            <w:vAlign w:val="center"/>
            <w:hideMark/>
          </w:tcPr>
          <w:p w14:paraId="610C416E" w14:textId="0A23024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24</w:t>
            </w:r>
          </w:p>
        </w:tc>
        <w:tc>
          <w:tcPr>
            <w:tcW w:w="960" w:type="dxa"/>
            <w:tcBorders>
              <w:top w:val="nil"/>
              <w:left w:val="nil"/>
              <w:bottom w:val="single" w:sz="4" w:space="0" w:color="auto"/>
              <w:right w:val="single" w:sz="4" w:space="0" w:color="auto"/>
            </w:tcBorders>
            <w:shd w:val="clear" w:color="auto" w:fill="auto"/>
            <w:noWrap/>
            <w:vAlign w:val="center"/>
            <w:hideMark/>
          </w:tcPr>
          <w:p w14:paraId="610C416F" w14:textId="7C1AB6E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1.01%</w:t>
            </w:r>
          </w:p>
        </w:tc>
      </w:tr>
      <w:tr w:rsidR="007D57FB" w:rsidRPr="00B24B98" w14:paraId="610C4176" w14:textId="7CBCE235"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71" w14:textId="7E9934E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19</w:t>
            </w:r>
          </w:p>
        </w:tc>
        <w:tc>
          <w:tcPr>
            <w:tcW w:w="1180" w:type="dxa"/>
            <w:tcBorders>
              <w:top w:val="nil"/>
              <w:left w:val="nil"/>
              <w:bottom w:val="single" w:sz="4" w:space="0" w:color="auto"/>
              <w:right w:val="single" w:sz="4" w:space="0" w:color="auto"/>
            </w:tcBorders>
            <w:shd w:val="clear" w:color="auto" w:fill="auto"/>
            <w:noWrap/>
            <w:vAlign w:val="center"/>
            <w:hideMark/>
          </w:tcPr>
          <w:p w14:paraId="610C4172" w14:textId="568FA56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B03</w:t>
            </w:r>
          </w:p>
        </w:tc>
        <w:tc>
          <w:tcPr>
            <w:tcW w:w="4521" w:type="dxa"/>
            <w:tcBorders>
              <w:top w:val="nil"/>
              <w:left w:val="nil"/>
              <w:bottom w:val="single" w:sz="4" w:space="0" w:color="auto"/>
              <w:right w:val="single" w:sz="4" w:space="0" w:color="auto"/>
            </w:tcBorders>
            <w:shd w:val="clear" w:color="auto" w:fill="auto"/>
            <w:noWrap/>
            <w:vAlign w:val="center"/>
            <w:hideMark/>
          </w:tcPr>
          <w:p w14:paraId="610C4173" w14:textId="5FC9942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Antianemic preparations</w:t>
            </w:r>
          </w:p>
        </w:tc>
        <w:tc>
          <w:tcPr>
            <w:tcW w:w="600" w:type="dxa"/>
            <w:tcBorders>
              <w:top w:val="nil"/>
              <w:left w:val="nil"/>
              <w:bottom w:val="single" w:sz="4" w:space="0" w:color="auto"/>
              <w:right w:val="single" w:sz="4" w:space="0" w:color="auto"/>
            </w:tcBorders>
            <w:shd w:val="clear" w:color="auto" w:fill="auto"/>
            <w:noWrap/>
            <w:vAlign w:val="center"/>
            <w:hideMark/>
          </w:tcPr>
          <w:p w14:paraId="610C4174" w14:textId="53462C7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22</w:t>
            </w:r>
          </w:p>
        </w:tc>
        <w:tc>
          <w:tcPr>
            <w:tcW w:w="960" w:type="dxa"/>
            <w:tcBorders>
              <w:top w:val="nil"/>
              <w:left w:val="nil"/>
              <w:bottom w:val="single" w:sz="4" w:space="0" w:color="auto"/>
              <w:right w:val="single" w:sz="4" w:space="0" w:color="auto"/>
            </w:tcBorders>
            <w:shd w:val="clear" w:color="auto" w:fill="auto"/>
            <w:noWrap/>
            <w:vAlign w:val="center"/>
            <w:hideMark/>
          </w:tcPr>
          <w:p w14:paraId="610C4175" w14:textId="4624617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0.92%</w:t>
            </w:r>
          </w:p>
        </w:tc>
      </w:tr>
      <w:tr w:rsidR="007D57FB" w:rsidRPr="00B24B98" w14:paraId="610C417C" w14:textId="728898F7"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77" w14:textId="753EF75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20</w:t>
            </w:r>
          </w:p>
        </w:tc>
        <w:tc>
          <w:tcPr>
            <w:tcW w:w="1180" w:type="dxa"/>
            <w:tcBorders>
              <w:top w:val="nil"/>
              <w:left w:val="nil"/>
              <w:bottom w:val="single" w:sz="4" w:space="0" w:color="auto"/>
              <w:right w:val="single" w:sz="4" w:space="0" w:color="auto"/>
            </w:tcBorders>
            <w:shd w:val="clear" w:color="auto" w:fill="auto"/>
            <w:noWrap/>
            <w:vAlign w:val="center"/>
            <w:hideMark/>
          </w:tcPr>
          <w:p w14:paraId="610C4178" w14:textId="0BA4FBE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N06</w:t>
            </w:r>
          </w:p>
        </w:tc>
        <w:tc>
          <w:tcPr>
            <w:tcW w:w="4521" w:type="dxa"/>
            <w:tcBorders>
              <w:top w:val="nil"/>
              <w:left w:val="nil"/>
              <w:bottom w:val="single" w:sz="4" w:space="0" w:color="auto"/>
              <w:right w:val="single" w:sz="4" w:space="0" w:color="auto"/>
            </w:tcBorders>
            <w:shd w:val="clear" w:color="auto" w:fill="auto"/>
            <w:noWrap/>
            <w:vAlign w:val="center"/>
            <w:hideMark/>
          </w:tcPr>
          <w:p w14:paraId="610C4179" w14:textId="5360F1F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Psychoanaleptics</w:t>
            </w:r>
          </w:p>
        </w:tc>
        <w:tc>
          <w:tcPr>
            <w:tcW w:w="600" w:type="dxa"/>
            <w:tcBorders>
              <w:top w:val="nil"/>
              <w:left w:val="nil"/>
              <w:bottom w:val="single" w:sz="4" w:space="0" w:color="auto"/>
              <w:right w:val="single" w:sz="4" w:space="0" w:color="auto"/>
            </w:tcBorders>
            <w:shd w:val="clear" w:color="auto" w:fill="auto"/>
            <w:noWrap/>
            <w:vAlign w:val="center"/>
            <w:hideMark/>
          </w:tcPr>
          <w:p w14:paraId="610C417A" w14:textId="4930304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20</w:t>
            </w:r>
          </w:p>
        </w:tc>
        <w:tc>
          <w:tcPr>
            <w:tcW w:w="960" w:type="dxa"/>
            <w:tcBorders>
              <w:top w:val="nil"/>
              <w:left w:val="nil"/>
              <w:bottom w:val="single" w:sz="4" w:space="0" w:color="auto"/>
              <w:right w:val="single" w:sz="4" w:space="0" w:color="auto"/>
            </w:tcBorders>
            <w:shd w:val="clear" w:color="auto" w:fill="auto"/>
            <w:noWrap/>
            <w:vAlign w:val="center"/>
            <w:hideMark/>
          </w:tcPr>
          <w:p w14:paraId="610C417B" w14:textId="58B9FF6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0.84%</w:t>
            </w:r>
          </w:p>
        </w:tc>
      </w:tr>
      <w:tr w:rsidR="007D57FB" w:rsidRPr="00B24B98" w14:paraId="610C4182" w14:textId="611C0649"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7D" w14:textId="7D61278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21</w:t>
            </w:r>
          </w:p>
        </w:tc>
        <w:tc>
          <w:tcPr>
            <w:tcW w:w="1180" w:type="dxa"/>
            <w:tcBorders>
              <w:top w:val="nil"/>
              <w:left w:val="nil"/>
              <w:bottom w:val="single" w:sz="4" w:space="0" w:color="auto"/>
              <w:right w:val="single" w:sz="4" w:space="0" w:color="auto"/>
            </w:tcBorders>
            <w:shd w:val="clear" w:color="auto" w:fill="auto"/>
            <w:noWrap/>
            <w:vAlign w:val="center"/>
            <w:hideMark/>
          </w:tcPr>
          <w:p w14:paraId="610C417E" w14:textId="133734C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C07</w:t>
            </w:r>
          </w:p>
        </w:tc>
        <w:tc>
          <w:tcPr>
            <w:tcW w:w="4521" w:type="dxa"/>
            <w:tcBorders>
              <w:top w:val="nil"/>
              <w:left w:val="nil"/>
              <w:bottom w:val="single" w:sz="4" w:space="0" w:color="auto"/>
              <w:right w:val="single" w:sz="4" w:space="0" w:color="auto"/>
            </w:tcBorders>
            <w:shd w:val="clear" w:color="auto" w:fill="auto"/>
            <w:noWrap/>
            <w:vAlign w:val="center"/>
            <w:hideMark/>
          </w:tcPr>
          <w:p w14:paraId="610C417F" w14:textId="47EF6C3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Beta blocking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180" w14:textId="471731E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19</w:t>
            </w:r>
          </w:p>
        </w:tc>
        <w:tc>
          <w:tcPr>
            <w:tcW w:w="960" w:type="dxa"/>
            <w:tcBorders>
              <w:top w:val="nil"/>
              <w:left w:val="nil"/>
              <w:bottom w:val="single" w:sz="4" w:space="0" w:color="auto"/>
              <w:right w:val="single" w:sz="4" w:space="0" w:color="auto"/>
            </w:tcBorders>
            <w:shd w:val="clear" w:color="auto" w:fill="auto"/>
            <w:noWrap/>
            <w:vAlign w:val="center"/>
            <w:hideMark/>
          </w:tcPr>
          <w:p w14:paraId="610C4181" w14:textId="5FE14B8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0.80%</w:t>
            </w:r>
          </w:p>
        </w:tc>
      </w:tr>
      <w:tr w:rsidR="007D57FB" w:rsidRPr="00B24B98" w14:paraId="610C4188" w14:textId="480F091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83" w14:textId="0B2A02D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22</w:t>
            </w:r>
          </w:p>
        </w:tc>
        <w:tc>
          <w:tcPr>
            <w:tcW w:w="1180" w:type="dxa"/>
            <w:tcBorders>
              <w:top w:val="nil"/>
              <w:left w:val="nil"/>
              <w:bottom w:val="single" w:sz="4" w:space="0" w:color="auto"/>
              <w:right w:val="single" w:sz="4" w:space="0" w:color="auto"/>
            </w:tcBorders>
            <w:shd w:val="clear" w:color="auto" w:fill="auto"/>
            <w:noWrap/>
            <w:vAlign w:val="center"/>
            <w:hideMark/>
          </w:tcPr>
          <w:p w14:paraId="610C4184" w14:textId="65BC20F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B05</w:t>
            </w:r>
          </w:p>
        </w:tc>
        <w:tc>
          <w:tcPr>
            <w:tcW w:w="4521" w:type="dxa"/>
            <w:tcBorders>
              <w:top w:val="nil"/>
              <w:left w:val="nil"/>
              <w:bottom w:val="single" w:sz="4" w:space="0" w:color="auto"/>
              <w:right w:val="single" w:sz="4" w:space="0" w:color="auto"/>
            </w:tcBorders>
            <w:shd w:val="clear" w:color="auto" w:fill="auto"/>
            <w:noWrap/>
            <w:vAlign w:val="center"/>
            <w:hideMark/>
          </w:tcPr>
          <w:p w14:paraId="610C4185" w14:textId="7D4A61C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Blood substitutes and perfusion solutions</w:t>
            </w:r>
          </w:p>
        </w:tc>
        <w:tc>
          <w:tcPr>
            <w:tcW w:w="600" w:type="dxa"/>
            <w:tcBorders>
              <w:top w:val="nil"/>
              <w:left w:val="nil"/>
              <w:bottom w:val="single" w:sz="4" w:space="0" w:color="auto"/>
              <w:right w:val="single" w:sz="4" w:space="0" w:color="auto"/>
            </w:tcBorders>
            <w:shd w:val="clear" w:color="auto" w:fill="auto"/>
            <w:noWrap/>
            <w:vAlign w:val="center"/>
            <w:hideMark/>
          </w:tcPr>
          <w:p w14:paraId="610C4186" w14:textId="2996D1C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15</w:t>
            </w:r>
          </w:p>
        </w:tc>
        <w:tc>
          <w:tcPr>
            <w:tcW w:w="960" w:type="dxa"/>
            <w:tcBorders>
              <w:top w:val="nil"/>
              <w:left w:val="nil"/>
              <w:bottom w:val="single" w:sz="4" w:space="0" w:color="auto"/>
              <w:right w:val="single" w:sz="4" w:space="0" w:color="auto"/>
            </w:tcBorders>
            <w:shd w:val="clear" w:color="auto" w:fill="auto"/>
            <w:noWrap/>
            <w:vAlign w:val="center"/>
            <w:hideMark/>
          </w:tcPr>
          <w:p w14:paraId="610C4187" w14:textId="19FADD7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0.63%</w:t>
            </w:r>
          </w:p>
        </w:tc>
      </w:tr>
      <w:tr w:rsidR="007D57FB" w:rsidRPr="00B24B98" w14:paraId="610C418E" w14:textId="5B9E6A6D"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89" w14:textId="03DC1ED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23</w:t>
            </w:r>
          </w:p>
        </w:tc>
        <w:tc>
          <w:tcPr>
            <w:tcW w:w="1180" w:type="dxa"/>
            <w:tcBorders>
              <w:top w:val="nil"/>
              <w:left w:val="nil"/>
              <w:bottom w:val="single" w:sz="4" w:space="0" w:color="auto"/>
              <w:right w:val="single" w:sz="4" w:space="0" w:color="auto"/>
            </w:tcBorders>
            <w:shd w:val="clear" w:color="auto" w:fill="auto"/>
            <w:noWrap/>
            <w:vAlign w:val="center"/>
            <w:hideMark/>
          </w:tcPr>
          <w:p w14:paraId="610C418A" w14:textId="2E98823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R01</w:t>
            </w:r>
          </w:p>
        </w:tc>
        <w:tc>
          <w:tcPr>
            <w:tcW w:w="4521" w:type="dxa"/>
            <w:tcBorders>
              <w:top w:val="nil"/>
              <w:left w:val="nil"/>
              <w:bottom w:val="single" w:sz="4" w:space="0" w:color="auto"/>
              <w:right w:val="single" w:sz="4" w:space="0" w:color="auto"/>
            </w:tcBorders>
            <w:shd w:val="clear" w:color="auto" w:fill="auto"/>
            <w:noWrap/>
            <w:vAlign w:val="center"/>
            <w:hideMark/>
          </w:tcPr>
          <w:p w14:paraId="610C418B" w14:textId="163B0C2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Nasal preparations</w:t>
            </w:r>
          </w:p>
        </w:tc>
        <w:tc>
          <w:tcPr>
            <w:tcW w:w="600" w:type="dxa"/>
            <w:tcBorders>
              <w:top w:val="nil"/>
              <w:left w:val="nil"/>
              <w:bottom w:val="single" w:sz="4" w:space="0" w:color="auto"/>
              <w:right w:val="single" w:sz="4" w:space="0" w:color="auto"/>
            </w:tcBorders>
            <w:shd w:val="clear" w:color="auto" w:fill="auto"/>
            <w:noWrap/>
            <w:vAlign w:val="center"/>
            <w:hideMark/>
          </w:tcPr>
          <w:p w14:paraId="610C418C" w14:textId="724E296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15</w:t>
            </w:r>
          </w:p>
        </w:tc>
        <w:tc>
          <w:tcPr>
            <w:tcW w:w="960" w:type="dxa"/>
            <w:tcBorders>
              <w:top w:val="nil"/>
              <w:left w:val="nil"/>
              <w:bottom w:val="single" w:sz="4" w:space="0" w:color="auto"/>
              <w:right w:val="single" w:sz="4" w:space="0" w:color="auto"/>
            </w:tcBorders>
            <w:shd w:val="clear" w:color="auto" w:fill="auto"/>
            <w:noWrap/>
            <w:vAlign w:val="center"/>
            <w:hideMark/>
          </w:tcPr>
          <w:p w14:paraId="610C418D" w14:textId="3B98451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0.63%</w:t>
            </w:r>
          </w:p>
        </w:tc>
      </w:tr>
      <w:tr w:rsidR="007D57FB" w:rsidRPr="00B24B98" w14:paraId="610C4194" w14:textId="1E75CDB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8F" w14:textId="6765BBD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24</w:t>
            </w:r>
          </w:p>
        </w:tc>
        <w:tc>
          <w:tcPr>
            <w:tcW w:w="1180" w:type="dxa"/>
            <w:tcBorders>
              <w:top w:val="nil"/>
              <w:left w:val="nil"/>
              <w:bottom w:val="single" w:sz="4" w:space="0" w:color="auto"/>
              <w:right w:val="single" w:sz="4" w:space="0" w:color="auto"/>
            </w:tcBorders>
            <w:shd w:val="clear" w:color="auto" w:fill="auto"/>
            <w:noWrap/>
            <w:vAlign w:val="center"/>
            <w:hideMark/>
          </w:tcPr>
          <w:p w14:paraId="610C4190" w14:textId="44E4756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S02</w:t>
            </w:r>
          </w:p>
        </w:tc>
        <w:tc>
          <w:tcPr>
            <w:tcW w:w="4521" w:type="dxa"/>
            <w:tcBorders>
              <w:top w:val="nil"/>
              <w:left w:val="nil"/>
              <w:bottom w:val="single" w:sz="4" w:space="0" w:color="auto"/>
              <w:right w:val="single" w:sz="4" w:space="0" w:color="auto"/>
            </w:tcBorders>
            <w:shd w:val="clear" w:color="auto" w:fill="auto"/>
            <w:noWrap/>
            <w:vAlign w:val="center"/>
            <w:hideMark/>
          </w:tcPr>
          <w:p w14:paraId="610C4191" w14:textId="0B780C9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Otologicals</w:t>
            </w:r>
          </w:p>
        </w:tc>
        <w:tc>
          <w:tcPr>
            <w:tcW w:w="600" w:type="dxa"/>
            <w:tcBorders>
              <w:top w:val="nil"/>
              <w:left w:val="nil"/>
              <w:bottom w:val="single" w:sz="4" w:space="0" w:color="auto"/>
              <w:right w:val="single" w:sz="4" w:space="0" w:color="auto"/>
            </w:tcBorders>
            <w:shd w:val="clear" w:color="auto" w:fill="auto"/>
            <w:noWrap/>
            <w:vAlign w:val="center"/>
            <w:hideMark/>
          </w:tcPr>
          <w:p w14:paraId="610C4192" w14:textId="1788BEF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11</w:t>
            </w:r>
          </w:p>
        </w:tc>
        <w:tc>
          <w:tcPr>
            <w:tcW w:w="960" w:type="dxa"/>
            <w:tcBorders>
              <w:top w:val="nil"/>
              <w:left w:val="nil"/>
              <w:bottom w:val="single" w:sz="4" w:space="0" w:color="auto"/>
              <w:right w:val="single" w:sz="4" w:space="0" w:color="auto"/>
            </w:tcBorders>
            <w:shd w:val="clear" w:color="auto" w:fill="auto"/>
            <w:noWrap/>
            <w:vAlign w:val="center"/>
            <w:hideMark/>
          </w:tcPr>
          <w:p w14:paraId="610C4193" w14:textId="74132B6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0.46%</w:t>
            </w:r>
          </w:p>
        </w:tc>
      </w:tr>
      <w:tr w:rsidR="007D57FB" w:rsidRPr="00B24B98" w14:paraId="610C419A" w14:textId="56D5F28B"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95" w14:textId="2860B1B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25</w:t>
            </w:r>
          </w:p>
        </w:tc>
        <w:tc>
          <w:tcPr>
            <w:tcW w:w="1180" w:type="dxa"/>
            <w:tcBorders>
              <w:top w:val="nil"/>
              <w:left w:val="nil"/>
              <w:bottom w:val="single" w:sz="4" w:space="0" w:color="auto"/>
              <w:right w:val="single" w:sz="4" w:space="0" w:color="auto"/>
            </w:tcBorders>
            <w:shd w:val="clear" w:color="auto" w:fill="auto"/>
            <w:noWrap/>
            <w:vAlign w:val="center"/>
            <w:hideMark/>
          </w:tcPr>
          <w:p w14:paraId="610C4196" w14:textId="208F0FC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M04</w:t>
            </w:r>
          </w:p>
        </w:tc>
        <w:tc>
          <w:tcPr>
            <w:tcW w:w="4521" w:type="dxa"/>
            <w:tcBorders>
              <w:top w:val="nil"/>
              <w:left w:val="nil"/>
              <w:bottom w:val="single" w:sz="4" w:space="0" w:color="auto"/>
              <w:right w:val="single" w:sz="4" w:space="0" w:color="auto"/>
            </w:tcBorders>
            <w:shd w:val="clear" w:color="auto" w:fill="auto"/>
            <w:noWrap/>
            <w:vAlign w:val="center"/>
            <w:hideMark/>
          </w:tcPr>
          <w:p w14:paraId="610C4197" w14:textId="2B5D0BA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Antigout preparations</w:t>
            </w:r>
          </w:p>
        </w:tc>
        <w:tc>
          <w:tcPr>
            <w:tcW w:w="600" w:type="dxa"/>
            <w:tcBorders>
              <w:top w:val="nil"/>
              <w:left w:val="nil"/>
              <w:bottom w:val="single" w:sz="4" w:space="0" w:color="auto"/>
              <w:right w:val="single" w:sz="4" w:space="0" w:color="auto"/>
            </w:tcBorders>
            <w:shd w:val="clear" w:color="auto" w:fill="auto"/>
            <w:noWrap/>
            <w:vAlign w:val="center"/>
            <w:hideMark/>
          </w:tcPr>
          <w:p w14:paraId="610C4198" w14:textId="2B94CEA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10</w:t>
            </w:r>
          </w:p>
        </w:tc>
        <w:tc>
          <w:tcPr>
            <w:tcW w:w="960" w:type="dxa"/>
            <w:tcBorders>
              <w:top w:val="nil"/>
              <w:left w:val="nil"/>
              <w:bottom w:val="single" w:sz="4" w:space="0" w:color="auto"/>
              <w:right w:val="single" w:sz="4" w:space="0" w:color="auto"/>
            </w:tcBorders>
            <w:shd w:val="clear" w:color="auto" w:fill="auto"/>
            <w:noWrap/>
            <w:vAlign w:val="center"/>
            <w:hideMark/>
          </w:tcPr>
          <w:p w14:paraId="610C4199" w14:textId="06C88D0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0.42%</w:t>
            </w:r>
          </w:p>
        </w:tc>
      </w:tr>
      <w:tr w:rsidR="007D57FB" w:rsidRPr="00B24B98" w14:paraId="610C41A0" w14:textId="7BCD0CBE"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9B" w14:textId="68C6AB8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26</w:t>
            </w:r>
          </w:p>
        </w:tc>
        <w:tc>
          <w:tcPr>
            <w:tcW w:w="1180" w:type="dxa"/>
            <w:tcBorders>
              <w:top w:val="nil"/>
              <w:left w:val="nil"/>
              <w:bottom w:val="single" w:sz="4" w:space="0" w:color="auto"/>
              <w:right w:val="single" w:sz="4" w:space="0" w:color="auto"/>
            </w:tcBorders>
            <w:shd w:val="clear" w:color="auto" w:fill="auto"/>
            <w:noWrap/>
            <w:vAlign w:val="center"/>
            <w:hideMark/>
          </w:tcPr>
          <w:p w14:paraId="610C419C" w14:textId="28AECBC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w:t>
            </w:r>
          </w:p>
        </w:tc>
        <w:tc>
          <w:tcPr>
            <w:tcW w:w="4521" w:type="dxa"/>
            <w:tcBorders>
              <w:top w:val="nil"/>
              <w:left w:val="nil"/>
              <w:bottom w:val="single" w:sz="4" w:space="0" w:color="auto"/>
              <w:right w:val="single" w:sz="4" w:space="0" w:color="auto"/>
            </w:tcBorders>
            <w:shd w:val="clear" w:color="auto" w:fill="auto"/>
            <w:noWrap/>
            <w:vAlign w:val="center"/>
            <w:hideMark/>
          </w:tcPr>
          <w:p w14:paraId="610C419D" w14:textId="54CD8A6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 xml:space="preserve">Not specified by paper </w:t>
            </w:r>
          </w:p>
        </w:tc>
        <w:tc>
          <w:tcPr>
            <w:tcW w:w="600" w:type="dxa"/>
            <w:tcBorders>
              <w:top w:val="nil"/>
              <w:left w:val="nil"/>
              <w:bottom w:val="single" w:sz="4" w:space="0" w:color="auto"/>
              <w:right w:val="single" w:sz="4" w:space="0" w:color="auto"/>
            </w:tcBorders>
            <w:shd w:val="clear" w:color="auto" w:fill="auto"/>
            <w:noWrap/>
            <w:vAlign w:val="center"/>
            <w:hideMark/>
          </w:tcPr>
          <w:p w14:paraId="610C419E" w14:textId="6C43993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8</w:t>
            </w:r>
          </w:p>
        </w:tc>
        <w:tc>
          <w:tcPr>
            <w:tcW w:w="960" w:type="dxa"/>
            <w:tcBorders>
              <w:top w:val="nil"/>
              <w:left w:val="nil"/>
              <w:bottom w:val="single" w:sz="4" w:space="0" w:color="auto"/>
              <w:right w:val="single" w:sz="4" w:space="0" w:color="auto"/>
            </w:tcBorders>
            <w:shd w:val="clear" w:color="auto" w:fill="auto"/>
            <w:noWrap/>
            <w:vAlign w:val="center"/>
            <w:hideMark/>
          </w:tcPr>
          <w:p w14:paraId="610C419F" w14:textId="7858A55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0.34%</w:t>
            </w:r>
          </w:p>
        </w:tc>
      </w:tr>
      <w:tr w:rsidR="007D57FB" w:rsidRPr="00B24B98" w14:paraId="610C41A6" w14:textId="4F71056E"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A1" w14:textId="046ED02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27</w:t>
            </w:r>
          </w:p>
        </w:tc>
        <w:tc>
          <w:tcPr>
            <w:tcW w:w="1180" w:type="dxa"/>
            <w:tcBorders>
              <w:top w:val="nil"/>
              <w:left w:val="nil"/>
              <w:bottom w:val="single" w:sz="4" w:space="0" w:color="auto"/>
              <w:right w:val="single" w:sz="4" w:space="0" w:color="auto"/>
            </w:tcBorders>
            <w:shd w:val="clear" w:color="auto" w:fill="auto"/>
            <w:noWrap/>
            <w:vAlign w:val="center"/>
            <w:hideMark/>
          </w:tcPr>
          <w:p w14:paraId="610C41A2" w14:textId="2A336C9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C10</w:t>
            </w:r>
          </w:p>
        </w:tc>
        <w:tc>
          <w:tcPr>
            <w:tcW w:w="4521" w:type="dxa"/>
            <w:tcBorders>
              <w:top w:val="nil"/>
              <w:left w:val="nil"/>
              <w:bottom w:val="single" w:sz="4" w:space="0" w:color="auto"/>
              <w:right w:val="single" w:sz="4" w:space="0" w:color="auto"/>
            </w:tcBorders>
            <w:shd w:val="clear" w:color="auto" w:fill="auto"/>
            <w:noWrap/>
            <w:vAlign w:val="center"/>
            <w:hideMark/>
          </w:tcPr>
          <w:p w14:paraId="610C41A3" w14:textId="11DA88B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Lipid modifying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1A4" w14:textId="07BBD1D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7</w:t>
            </w:r>
          </w:p>
        </w:tc>
        <w:tc>
          <w:tcPr>
            <w:tcW w:w="960" w:type="dxa"/>
            <w:tcBorders>
              <w:top w:val="nil"/>
              <w:left w:val="nil"/>
              <w:bottom w:val="single" w:sz="4" w:space="0" w:color="auto"/>
              <w:right w:val="single" w:sz="4" w:space="0" w:color="auto"/>
            </w:tcBorders>
            <w:shd w:val="clear" w:color="auto" w:fill="auto"/>
            <w:noWrap/>
            <w:vAlign w:val="center"/>
            <w:hideMark/>
          </w:tcPr>
          <w:p w14:paraId="610C41A5" w14:textId="4B6DD42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0.29%</w:t>
            </w:r>
          </w:p>
        </w:tc>
      </w:tr>
      <w:tr w:rsidR="007D57FB" w:rsidRPr="00B24B98" w14:paraId="610C41AC" w14:textId="4AAC122A"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A7" w14:textId="3DEA335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28</w:t>
            </w:r>
          </w:p>
        </w:tc>
        <w:tc>
          <w:tcPr>
            <w:tcW w:w="1180" w:type="dxa"/>
            <w:tcBorders>
              <w:top w:val="nil"/>
              <w:left w:val="nil"/>
              <w:bottom w:val="single" w:sz="4" w:space="0" w:color="auto"/>
              <w:right w:val="single" w:sz="4" w:space="0" w:color="auto"/>
            </w:tcBorders>
            <w:shd w:val="clear" w:color="auto" w:fill="auto"/>
            <w:noWrap/>
            <w:vAlign w:val="center"/>
            <w:hideMark/>
          </w:tcPr>
          <w:p w14:paraId="610C41A8" w14:textId="5CBF628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M05</w:t>
            </w:r>
          </w:p>
        </w:tc>
        <w:tc>
          <w:tcPr>
            <w:tcW w:w="4521" w:type="dxa"/>
            <w:tcBorders>
              <w:top w:val="nil"/>
              <w:left w:val="nil"/>
              <w:bottom w:val="single" w:sz="4" w:space="0" w:color="auto"/>
              <w:right w:val="single" w:sz="4" w:space="0" w:color="auto"/>
            </w:tcBorders>
            <w:shd w:val="clear" w:color="auto" w:fill="auto"/>
            <w:noWrap/>
            <w:vAlign w:val="center"/>
            <w:hideMark/>
          </w:tcPr>
          <w:p w14:paraId="610C41A9" w14:textId="35347093"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Drugs for treatment of bone diseases</w:t>
            </w:r>
          </w:p>
        </w:tc>
        <w:tc>
          <w:tcPr>
            <w:tcW w:w="600" w:type="dxa"/>
            <w:tcBorders>
              <w:top w:val="nil"/>
              <w:left w:val="nil"/>
              <w:bottom w:val="single" w:sz="4" w:space="0" w:color="auto"/>
              <w:right w:val="single" w:sz="4" w:space="0" w:color="auto"/>
            </w:tcBorders>
            <w:shd w:val="clear" w:color="auto" w:fill="auto"/>
            <w:noWrap/>
            <w:vAlign w:val="center"/>
            <w:hideMark/>
          </w:tcPr>
          <w:p w14:paraId="610C41AA" w14:textId="37CF777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6</w:t>
            </w:r>
          </w:p>
        </w:tc>
        <w:tc>
          <w:tcPr>
            <w:tcW w:w="960" w:type="dxa"/>
            <w:tcBorders>
              <w:top w:val="nil"/>
              <w:left w:val="nil"/>
              <w:bottom w:val="single" w:sz="4" w:space="0" w:color="auto"/>
              <w:right w:val="single" w:sz="4" w:space="0" w:color="auto"/>
            </w:tcBorders>
            <w:shd w:val="clear" w:color="auto" w:fill="auto"/>
            <w:noWrap/>
            <w:vAlign w:val="center"/>
            <w:hideMark/>
          </w:tcPr>
          <w:p w14:paraId="610C41AB" w14:textId="2D26F5A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0.25%</w:t>
            </w:r>
          </w:p>
        </w:tc>
      </w:tr>
      <w:tr w:rsidR="007D57FB" w:rsidRPr="00B24B98" w14:paraId="610C41B2" w14:textId="77844C68"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AD" w14:textId="4641BC0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29</w:t>
            </w:r>
          </w:p>
        </w:tc>
        <w:tc>
          <w:tcPr>
            <w:tcW w:w="1180" w:type="dxa"/>
            <w:tcBorders>
              <w:top w:val="nil"/>
              <w:left w:val="nil"/>
              <w:bottom w:val="single" w:sz="4" w:space="0" w:color="auto"/>
              <w:right w:val="single" w:sz="4" w:space="0" w:color="auto"/>
            </w:tcBorders>
            <w:shd w:val="clear" w:color="auto" w:fill="auto"/>
            <w:noWrap/>
            <w:vAlign w:val="center"/>
            <w:hideMark/>
          </w:tcPr>
          <w:p w14:paraId="610C41AE" w14:textId="62D86D6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N07</w:t>
            </w:r>
          </w:p>
        </w:tc>
        <w:tc>
          <w:tcPr>
            <w:tcW w:w="4521" w:type="dxa"/>
            <w:tcBorders>
              <w:top w:val="nil"/>
              <w:left w:val="nil"/>
              <w:bottom w:val="single" w:sz="4" w:space="0" w:color="auto"/>
              <w:right w:val="single" w:sz="4" w:space="0" w:color="auto"/>
            </w:tcBorders>
            <w:shd w:val="clear" w:color="auto" w:fill="auto"/>
            <w:noWrap/>
            <w:vAlign w:val="center"/>
            <w:hideMark/>
          </w:tcPr>
          <w:p w14:paraId="610C41AF" w14:textId="3E6E622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Other nervous system drugs</w:t>
            </w:r>
          </w:p>
        </w:tc>
        <w:tc>
          <w:tcPr>
            <w:tcW w:w="600" w:type="dxa"/>
            <w:tcBorders>
              <w:top w:val="nil"/>
              <w:left w:val="nil"/>
              <w:bottom w:val="single" w:sz="4" w:space="0" w:color="auto"/>
              <w:right w:val="single" w:sz="4" w:space="0" w:color="auto"/>
            </w:tcBorders>
            <w:shd w:val="clear" w:color="auto" w:fill="auto"/>
            <w:noWrap/>
            <w:vAlign w:val="center"/>
            <w:hideMark/>
          </w:tcPr>
          <w:p w14:paraId="610C41B0" w14:textId="2BB8DBF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6</w:t>
            </w:r>
          </w:p>
        </w:tc>
        <w:tc>
          <w:tcPr>
            <w:tcW w:w="960" w:type="dxa"/>
            <w:tcBorders>
              <w:top w:val="nil"/>
              <w:left w:val="nil"/>
              <w:bottom w:val="single" w:sz="4" w:space="0" w:color="auto"/>
              <w:right w:val="single" w:sz="4" w:space="0" w:color="auto"/>
            </w:tcBorders>
            <w:shd w:val="clear" w:color="auto" w:fill="auto"/>
            <w:noWrap/>
            <w:vAlign w:val="center"/>
            <w:hideMark/>
          </w:tcPr>
          <w:p w14:paraId="610C41B1" w14:textId="6DDAA1F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0.25%</w:t>
            </w:r>
          </w:p>
        </w:tc>
      </w:tr>
      <w:tr w:rsidR="007D57FB" w:rsidRPr="00B24B98" w14:paraId="610C41B8" w14:textId="004EE05E"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B3" w14:textId="29741D4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30</w:t>
            </w:r>
          </w:p>
        </w:tc>
        <w:tc>
          <w:tcPr>
            <w:tcW w:w="1180" w:type="dxa"/>
            <w:tcBorders>
              <w:top w:val="nil"/>
              <w:left w:val="nil"/>
              <w:bottom w:val="single" w:sz="4" w:space="0" w:color="auto"/>
              <w:right w:val="single" w:sz="4" w:space="0" w:color="auto"/>
            </w:tcBorders>
            <w:shd w:val="clear" w:color="auto" w:fill="auto"/>
            <w:noWrap/>
            <w:vAlign w:val="center"/>
            <w:hideMark/>
          </w:tcPr>
          <w:p w14:paraId="610C41B4" w14:textId="669505F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L01</w:t>
            </w:r>
          </w:p>
        </w:tc>
        <w:tc>
          <w:tcPr>
            <w:tcW w:w="4521" w:type="dxa"/>
            <w:tcBorders>
              <w:top w:val="nil"/>
              <w:left w:val="nil"/>
              <w:bottom w:val="single" w:sz="4" w:space="0" w:color="auto"/>
              <w:right w:val="single" w:sz="4" w:space="0" w:color="auto"/>
            </w:tcBorders>
            <w:shd w:val="clear" w:color="auto" w:fill="auto"/>
            <w:noWrap/>
            <w:vAlign w:val="center"/>
            <w:hideMark/>
          </w:tcPr>
          <w:p w14:paraId="610C41B5" w14:textId="7E138DC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Antineoplastic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1B6" w14:textId="4F330773"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5</w:t>
            </w:r>
          </w:p>
        </w:tc>
        <w:tc>
          <w:tcPr>
            <w:tcW w:w="960" w:type="dxa"/>
            <w:tcBorders>
              <w:top w:val="nil"/>
              <w:left w:val="nil"/>
              <w:bottom w:val="single" w:sz="4" w:space="0" w:color="auto"/>
              <w:right w:val="single" w:sz="4" w:space="0" w:color="auto"/>
            </w:tcBorders>
            <w:shd w:val="clear" w:color="auto" w:fill="auto"/>
            <w:noWrap/>
            <w:vAlign w:val="center"/>
            <w:hideMark/>
          </w:tcPr>
          <w:p w14:paraId="610C41B7" w14:textId="73B19FD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0.21%</w:t>
            </w:r>
          </w:p>
        </w:tc>
      </w:tr>
      <w:tr w:rsidR="007D57FB" w:rsidRPr="00B24B98" w14:paraId="610C41BE" w14:textId="4FB2821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B9" w14:textId="6D022C0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31</w:t>
            </w:r>
          </w:p>
        </w:tc>
        <w:tc>
          <w:tcPr>
            <w:tcW w:w="1180" w:type="dxa"/>
            <w:tcBorders>
              <w:top w:val="nil"/>
              <w:left w:val="nil"/>
              <w:bottom w:val="single" w:sz="4" w:space="0" w:color="auto"/>
              <w:right w:val="single" w:sz="4" w:space="0" w:color="auto"/>
            </w:tcBorders>
            <w:shd w:val="clear" w:color="auto" w:fill="auto"/>
            <w:noWrap/>
            <w:vAlign w:val="center"/>
            <w:hideMark/>
          </w:tcPr>
          <w:p w14:paraId="610C41BA" w14:textId="075FACA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A03</w:t>
            </w:r>
          </w:p>
        </w:tc>
        <w:tc>
          <w:tcPr>
            <w:tcW w:w="4521" w:type="dxa"/>
            <w:tcBorders>
              <w:top w:val="nil"/>
              <w:left w:val="nil"/>
              <w:bottom w:val="single" w:sz="4" w:space="0" w:color="auto"/>
              <w:right w:val="single" w:sz="4" w:space="0" w:color="auto"/>
            </w:tcBorders>
            <w:shd w:val="clear" w:color="auto" w:fill="auto"/>
            <w:noWrap/>
            <w:vAlign w:val="center"/>
            <w:hideMark/>
          </w:tcPr>
          <w:p w14:paraId="610C41BB" w14:textId="7C6FA66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Drugs for functional gastrointestinal disorders</w:t>
            </w:r>
          </w:p>
        </w:tc>
        <w:tc>
          <w:tcPr>
            <w:tcW w:w="600" w:type="dxa"/>
            <w:tcBorders>
              <w:top w:val="nil"/>
              <w:left w:val="nil"/>
              <w:bottom w:val="single" w:sz="4" w:space="0" w:color="auto"/>
              <w:right w:val="single" w:sz="4" w:space="0" w:color="auto"/>
            </w:tcBorders>
            <w:shd w:val="clear" w:color="auto" w:fill="auto"/>
            <w:noWrap/>
            <w:vAlign w:val="center"/>
            <w:hideMark/>
          </w:tcPr>
          <w:p w14:paraId="610C41BC" w14:textId="624EF96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w:t>
            </w:r>
          </w:p>
        </w:tc>
        <w:tc>
          <w:tcPr>
            <w:tcW w:w="960" w:type="dxa"/>
            <w:tcBorders>
              <w:top w:val="nil"/>
              <w:left w:val="nil"/>
              <w:bottom w:val="single" w:sz="4" w:space="0" w:color="auto"/>
              <w:right w:val="single" w:sz="4" w:space="0" w:color="auto"/>
            </w:tcBorders>
            <w:shd w:val="clear" w:color="auto" w:fill="auto"/>
            <w:noWrap/>
            <w:vAlign w:val="center"/>
            <w:hideMark/>
          </w:tcPr>
          <w:p w14:paraId="610C41BD" w14:textId="0AC2012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0.17%</w:t>
            </w:r>
          </w:p>
        </w:tc>
      </w:tr>
      <w:tr w:rsidR="007D57FB" w:rsidRPr="00B24B98" w14:paraId="610C41C4" w14:textId="791353E8"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BF" w14:textId="0E34A4A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32</w:t>
            </w:r>
          </w:p>
        </w:tc>
        <w:tc>
          <w:tcPr>
            <w:tcW w:w="1180" w:type="dxa"/>
            <w:tcBorders>
              <w:top w:val="nil"/>
              <w:left w:val="nil"/>
              <w:bottom w:val="single" w:sz="4" w:space="0" w:color="auto"/>
              <w:right w:val="single" w:sz="4" w:space="0" w:color="auto"/>
            </w:tcBorders>
            <w:shd w:val="clear" w:color="auto" w:fill="auto"/>
            <w:noWrap/>
            <w:vAlign w:val="center"/>
            <w:hideMark/>
          </w:tcPr>
          <w:p w14:paraId="610C41C0" w14:textId="149DC31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G04</w:t>
            </w:r>
          </w:p>
        </w:tc>
        <w:tc>
          <w:tcPr>
            <w:tcW w:w="4521" w:type="dxa"/>
            <w:tcBorders>
              <w:top w:val="nil"/>
              <w:left w:val="nil"/>
              <w:bottom w:val="single" w:sz="4" w:space="0" w:color="auto"/>
              <w:right w:val="single" w:sz="4" w:space="0" w:color="auto"/>
            </w:tcBorders>
            <w:shd w:val="clear" w:color="auto" w:fill="auto"/>
            <w:noWrap/>
            <w:vAlign w:val="center"/>
            <w:hideMark/>
          </w:tcPr>
          <w:p w14:paraId="610C41C1" w14:textId="0352C93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Urologicals</w:t>
            </w:r>
          </w:p>
        </w:tc>
        <w:tc>
          <w:tcPr>
            <w:tcW w:w="600" w:type="dxa"/>
            <w:tcBorders>
              <w:top w:val="nil"/>
              <w:left w:val="nil"/>
              <w:bottom w:val="single" w:sz="4" w:space="0" w:color="auto"/>
              <w:right w:val="single" w:sz="4" w:space="0" w:color="auto"/>
            </w:tcBorders>
            <w:shd w:val="clear" w:color="auto" w:fill="auto"/>
            <w:noWrap/>
            <w:vAlign w:val="center"/>
            <w:hideMark/>
          </w:tcPr>
          <w:p w14:paraId="610C41C2" w14:textId="19FEE84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w:t>
            </w:r>
          </w:p>
        </w:tc>
        <w:tc>
          <w:tcPr>
            <w:tcW w:w="960" w:type="dxa"/>
            <w:tcBorders>
              <w:top w:val="nil"/>
              <w:left w:val="nil"/>
              <w:bottom w:val="single" w:sz="4" w:space="0" w:color="auto"/>
              <w:right w:val="single" w:sz="4" w:space="0" w:color="auto"/>
            </w:tcBorders>
            <w:shd w:val="clear" w:color="auto" w:fill="auto"/>
            <w:noWrap/>
            <w:vAlign w:val="center"/>
            <w:hideMark/>
          </w:tcPr>
          <w:p w14:paraId="610C41C3" w14:textId="6320B6D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0.13%</w:t>
            </w:r>
          </w:p>
        </w:tc>
      </w:tr>
      <w:tr w:rsidR="007D57FB" w:rsidRPr="00B24B98" w14:paraId="610C41CA" w14:textId="2DD79FF6"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C5" w14:textId="7586EA8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33</w:t>
            </w:r>
          </w:p>
        </w:tc>
        <w:tc>
          <w:tcPr>
            <w:tcW w:w="1180" w:type="dxa"/>
            <w:tcBorders>
              <w:top w:val="nil"/>
              <w:left w:val="nil"/>
              <w:bottom w:val="single" w:sz="4" w:space="0" w:color="auto"/>
              <w:right w:val="single" w:sz="4" w:space="0" w:color="auto"/>
            </w:tcBorders>
            <w:shd w:val="clear" w:color="auto" w:fill="auto"/>
            <w:noWrap/>
            <w:vAlign w:val="center"/>
            <w:hideMark/>
          </w:tcPr>
          <w:p w14:paraId="610C41C6" w14:textId="53DF678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N04</w:t>
            </w:r>
          </w:p>
        </w:tc>
        <w:tc>
          <w:tcPr>
            <w:tcW w:w="4521" w:type="dxa"/>
            <w:tcBorders>
              <w:top w:val="nil"/>
              <w:left w:val="nil"/>
              <w:bottom w:val="single" w:sz="4" w:space="0" w:color="auto"/>
              <w:right w:val="single" w:sz="4" w:space="0" w:color="auto"/>
            </w:tcBorders>
            <w:shd w:val="clear" w:color="auto" w:fill="auto"/>
            <w:noWrap/>
            <w:vAlign w:val="center"/>
            <w:hideMark/>
          </w:tcPr>
          <w:p w14:paraId="610C41C7" w14:textId="3C945C7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Anti-parkinson drugs</w:t>
            </w:r>
          </w:p>
        </w:tc>
        <w:tc>
          <w:tcPr>
            <w:tcW w:w="600" w:type="dxa"/>
            <w:tcBorders>
              <w:top w:val="nil"/>
              <w:left w:val="nil"/>
              <w:bottom w:val="single" w:sz="4" w:space="0" w:color="auto"/>
              <w:right w:val="single" w:sz="4" w:space="0" w:color="auto"/>
            </w:tcBorders>
            <w:shd w:val="clear" w:color="auto" w:fill="auto"/>
            <w:noWrap/>
            <w:vAlign w:val="center"/>
            <w:hideMark/>
          </w:tcPr>
          <w:p w14:paraId="610C41C8" w14:textId="22AC560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w:t>
            </w:r>
          </w:p>
        </w:tc>
        <w:tc>
          <w:tcPr>
            <w:tcW w:w="960" w:type="dxa"/>
            <w:tcBorders>
              <w:top w:val="nil"/>
              <w:left w:val="nil"/>
              <w:bottom w:val="single" w:sz="4" w:space="0" w:color="auto"/>
              <w:right w:val="single" w:sz="4" w:space="0" w:color="auto"/>
            </w:tcBorders>
            <w:shd w:val="clear" w:color="auto" w:fill="auto"/>
            <w:noWrap/>
            <w:vAlign w:val="center"/>
            <w:hideMark/>
          </w:tcPr>
          <w:p w14:paraId="610C41C9" w14:textId="486D8D6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0.13%</w:t>
            </w:r>
          </w:p>
        </w:tc>
      </w:tr>
      <w:tr w:rsidR="007D57FB" w:rsidRPr="00B24B98" w14:paraId="610C41D0" w14:textId="0235D6C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CB" w14:textId="4420628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34</w:t>
            </w:r>
          </w:p>
        </w:tc>
        <w:tc>
          <w:tcPr>
            <w:tcW w:w="1180" w:type="dxa"/>
            <w:tcBorders>
              <w:top w:val="nil"/>
              <w:left w:val="nil"/>
              <w:bottom w:val="single" w:sz="4" w:space="0" w:color="auto"/>
              <w:right w:val="single" w:sz="4" w:space="0" w:color="auto"/>
            </w:tcBorders>
            <w:shd w:val="clear" w:color="auto" w:fill="auto"/>
            <w:noWrap/>
            <w:vAlign w:val="center"/>
            <w:hideMark/>
          </w:tcPr>
          <w:p w14:paraId="610C41CC" w14:textId="2970BDC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A07</w:t>
            </w:r>
          </w:p>
        </w:tc>
        <w:tc>
          <w:tcPr>
            <w:tcW w:w="4521" w:type="dxa"/>
            <w:tcBorders>
              <w:top w:val="nil"/>
              <w:left w:val="nil"/>
              <w:bottom w:val="single" w:sz="4" w:space="0" w:color="auto"/>
              <w:right w:val="single" w:sz="4" w:space="0" w:color="auto"/>
            </w:tcBorders>
            <w:shd w:val="clear" w:color="auto" w:fill="auto"/>
            <w:noWrap/>
            <w:vAlign w:val="center"/>
            <w:hideMark/>
          </w:tcPr>
          <w:p w14:paraId="610C41CD" w14:textId="652DEC0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Antidiarrheals, intestinal antiinflammatory/antiinfective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1CE" w14:textId="2DC5069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CF" w14:textId="6FF76DA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D6" w14:textId="5744A79D"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D1" w14:textId="667CDAD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35</w:t>
            </w:r>
          </w:p>
        </w:tc>
        <w:tc>
          <w:tcPr>
            <w:tcW w:w="1180" w:type="dxa"/>
            <w:tcBorders>
              <w:top w:val="nil"/>
              <w:left w:val="nil"/>
              <w:bottom w:val="single" w:sz="4" w:space="0" w:color="auto"/>
              <w:right w:val="single" w:sz="4" w:space="0" w:color="auto"/>
            </w:tcBorders>
            <w:shd w:val="clear" w:color="auto" w:fill="auto"/>
            <w:noWrap/>
            <w:vAlign w:val="center"/>
            <w:hideMark/>
          </w:tcPr>
          <w:p w14:paraId="610C41D2" w14:textId="5EE5634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J02</w:t>
            </w:r>
          </w:p>
        </w:tc>
        <w:tc>
          <w:tcPr>
            <w:tcW w:w="4521" w:type="dxa"/>
            <w:tcBorders>
              <w:top w:val="nil"/>
              <w:left w:val="nil"/>
              <w:bottom w:val="single" w:sz="4" w:space="0" w:color="auto"/>
              <w:right w:val="single" w:sz="4" w:space="0" w:color="auto"/>
            </w:tcBorders>
            <w:shd w:val="clear" w:color="auto" w:fill="auto"/>
            <w:noWrap/>
            <w:vAlign w:val="center"/>
            <w:hideMark/>
          </w:tcPr>
          <w:p w14:paraId="610C41D3" w14:textId="211F33A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Antimycotics for systemic use</w:t>
            </w:r>
          </w:p>
        </w:tc>
        <w:tc>
          <w:tcPr>
            <w:tcW w:w="600" w:type="dxa"/>
            <w:tcBorders>
              <w:top w:val="nil"/>
              <w:left w:val="nil"/>
              <w:bottom w:val="single" w:sz="4" w:space="0" w:color="auto"/>
              <w:right w:val="single" w:sz="4" w:space="0" w:color="auto"/>
            </w:tcBorders>
            <w:shd w:val="clear" w:color="auto" w:fill="auto"/>
            <w:noWrap/>
            <w:vAlign w:val="center"/>
            <w:hideMark/>
          </w:tcPr>
          <w:p w14:paraId="610C41D4" w14:textId="450C52D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D5" w14:textId="04D4156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DC" w14:textId="0C8ABFCE"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D7" w14:textId="7FDF248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36</w:t>
            </w:r>
          </w:p>
        </w:tc>
        <w:tc>
          <w:tcPr>
            <w:tcW w:w="1180" w:type="dxa"/>
            <w:tcBorders>
              <w:top w:val="nil"/>
              <w:left w:val="nil"/>
              <w:bottom w:val="single" w:sz="4" w:space="0" w:color="auto"/>
              <w:right w:val="single" w:sz="4" w:space="0" w:color="auto"/>
            </w:tcBorders>
            <w:shd w:val="clear" w:color="auto" w:fill="auto"/>
            <w:noWrap/>
            <w:vAlign w:val="center"/>
            <w:hideMark/>
          </w:tcPr>
          <w:p w14:paraId="610C41D8" w14:textId="2E89178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M03</w:t>
            </w:r>
          </w:p>
        </w:tc>
        <w:tc>
          <w:tcPr>
            <w:tcW w:w="4521" w:type="dxa"/>
            <w:tcBorders>
              <w:top w:val="nil"/>
              <w:left w:val="nil"/>
              <w:bottom w:val="single" w:sz="4" w:space="0" w:color="auto"/>
              <w:right w:val="single" w:sz="4" w:space="0" w:color="auto"/>
            </w:tcBorders>
            <w:shd w:val="clear" w:color="auto" w:fill="auto"/>
            <w:noWrap/>
            <w:vAlign w:val="center"/>
            <w:hideMark/>
          </w:tcPr>
          <w:p w14:paraId="610C41D9" w14:textId="5C5755D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Muscle relaxants</w:t>
            </w:r>
          </w:p>
        </w:tc>
        <w:tc>
          <w:tcPr>
            <w:tcW w:w="600" w:type="dxa"/>
            <w:tcBorders>
              <w:top w:val="nil"/>
              <w:left w:val="nil"/>
              <w:bottom w:val="single" w:sz="4" w:space="0" w:color="auto"/>
              <w:right w:val="single" w:sz="4" w:space="0" w:color="auto"/>
            </w:tcBorders>
            <w:shd w:val="clear" w:color="auto" w:fill="auto"/>
            <w:noWrap/>
            <w:vAlign w:val="center"/>
            <w:hideMark/>
          </w:tcPr>
          <w:p w14:paraId="610C41DA" w14:textId="1D85698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DB" w14:textId="222F52D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E2" w14:textId="4EFA06D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DD" w14:textId="41ECFB4E"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10C41DE" w14:textId="3B71C56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w:t>
            </w:r>
          </w:p>
        </w:tc>
        <w:tc>
          <w:tcPr>
            <w:tcW w:w="4521" w:type="dxa"/>
            <w:tcBorders>
              <w:top w:val="nil"/>
              <w:left w:val="nil"/>
              <w:bottom w:val="single" w:sz="4" w:space="0" w:color="auto"/>
              <w:right w:val="single" w:sz="4" w:space="0" w:color="auto"/>
            </w:tcBorders>
            <w:shd w:val="clear" w:color="auto" w:fill="auto"/>
            <w:noWrap/>
            <w:vAlign w:val="center"/>
            <w:hideMark/>
          </w:tcPr>
          <w:p w14:paraId="610C41DF" w14:textId="2DBF128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"Psychotropics" unspec</w:t>
            </w:r>
            <w:r>
              <w:rPr>
                <w:rFonts w:ascii="Calibri" w:eastAsia="Times New Roman" w:hAnsi="Calibri" w:cs="Calibri"/>
                <w:color w:val="000000"/>
                <w:lang w:eastAsia="en-GB"/>
              </w:rPr>
              <w:t>ifi</w:t>
            </w:r>
            <w:r w:rsidRPr="00B24B98">
              <w:rPr>
                <w:rFonts w:ascii="Calibri" w:eastAsia="Times New Roman" w:hAnsi="Calibri" w:cs="Calibri"/>
                <w:color w:val="000000"/>
                <w:lang w:eastAsia="en-GB"/>
              </w:rPr>
              <w:t>ed</w:t>
            </w:r>
          </w:p>
        </w:tc>
        <w:tc>
          <w:tcPr>
            <w:tcW w:w="600" w:type="dxa"/>
            <w:tcBorders>
              <w:top w:val="nil"/>
              <w:left w:val="nil"/>
              <w:bottom w:val="single" w:sz="4" w:space="0" w:color="auto"/>
              <w:right w:val="single" w:sz="4" w:space="0" w:color="auto"/>
            </w:tcBorders>
            <w:shd w:val="clear" w:color="auto" w:fill="auto"/>
            <w:noWrap/>
            <w:vAlign w:val="center"/>
            <w:hideMark/>
          </w:tcPr>
          <w:p w14:paraId="610C41E0" w14:textId="1636B89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E1" w14:textId="4C54096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E8" w14:textId="3BD73CA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E3" w14:textId="68E45B9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38</w:t>
            </w:r>
          </w:p>
        </w:tc>
        <w:tc>
          <w:tcPr>
            <w:tcW w:w="1180" w:type="dxa"/>
            <w:tcBorders>
              <w:top w:val="nil"/>
              <w:left w:val="nil"/>
              <w:bottom w:val="single" w:sz="4" w:space="0" w:color="auto"/>
              <w:right w:val="single" w:sz="4" w:space="0" w:color="auto"/>
            </w:tcBorders>
            <w:shd w:val="clear" w:color="auto" w:fill="auto"/>
            <w:noWrap/>
            <w:vAlign w:val="center"/>
            <w:hideMark/>
          </w:tcPr>
          <w:p w14:paraId="610C41E4" w14:textId="1B9982C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N01</w:t>
            </w:r>
          </w:p>
        </w:tc>
        <w:tc>
          <w:tcPr>
            <w:tcW w:w="4521" w:type="dxa"/>
            <w:tcBorders>
              <w:top w:val="nil"/>
              <w:left w:val="nil"/>
              <w:bottom w:val="single" w:sz="4" w:space="0" w:color="auto"/>
              <w:right w:val="single" w:sz="4" w:space="0" w:color="auto"/>
            </w:tcBorders>
            <w:shd w:val="clear" w:color="auto" w:fill="auto"/>
            <w:noWrap/>
            <w:vAlign w:val="center"/>
            <w:hideMark/>
          </w:tcPr>
          <w:p w14:paraId="610C41E5" w14:textId="3C73A49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w:t>
            </w:r>
            <w:r>
              <w:rPr>
                <w:rFonts w:ascii="Calibri" w:eastAsia="Times New Roman" w:hAnsi="Calibri" w:cs="Calibri"/>
                <w:color w:val="000000"/>
                <w:lang w:eastAsia="en-GB"/>
              </w:rPr>
              <w:t>a</w:t>
            </w:r>
            <w:r w:rsidRPr="00B24B98">
              <w:rPr>
                <w:rFonts w:ascii="Calibri" w:eastAsia="Times New Roman" w:hAnsi="Calibri" w:cs="Calibri"/>
                <w:color w:val="000000"/>
                <w:lang w:eastAsia="en-GB"/>
              </w:rPr>
              <w:t>esthetics</w:t>
            </w:r>
          </w:p>
        </w:tc>
        <w:tc>
          <w:tcPr>
            <w:tcW w:w="600" w:type="dxa"/>
            <w:tcBorders>
              <w:top w:val="nil"/>
              <w:left w:val="nil"/>
              <w:bottom w:val="single" w:sz="4" w:space="0" w:color="auto"/>
              <w:right w:val="single" w:sz="4" w:space="0" w:color="auto"/>
            </w:tcBorders>
            <w:shd w:val="clear" w:color="auto" w:fill="auto"/>
            <w:noWrap/>
            <w:vAlign w:val="center"/>
            <w:hideMark/>
          </w:tcPr>
          <w:p w14:paraId="610C41E6" w14:textId="3B7D453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E7" w14:textId="4FD5101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EE" w14:textId="76D06C0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E9" w14:textId="4B3E23D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39</w:t>
            </w:r>
          </w:p>
        </w:tc>
        <w:tc>
          <w:tcPr>
            <w:tcW w:w="1180" w:type="dxa"/>
            <w:tcBorders>
              <w:top w:val="nil"/>
              <w:left w:val="nil"/>
              <w:bottom w:val="single" w:sz="4" w:space="0" w:color="auto"/>
              <w:right w:val="single" w:sz="4" w:space="0" w:color="auto"/>
            </w:tcBorders>
            <w:shd w:val="clear" w:color="auto" w:fill="auto"/>
            <w:noWrap/>
            <w:vAlign w:val="center"/>
            <w:hideMark/>
          </w:tcPr>
          <w:p w14:paraId="610C41EA" w14:textId="29F1B4C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R05</w:t>
            </w:r>
          </w:p>
        </w:tc>
        <w:tc>
          <w:tcPr>
            <w:tcW w:w="4521" w:type="dxa"/>
            <w:tcBorders>
              <w:top w:val="nil"/>
              <w:left w:val="nil"/>
              <w:bottom w:val="single" w:sz="4" w:space="0" w:color="auto"/>
              <w:right w:val="single" w:sz="4" w:space="0" w:color="auto"/>
            </w:tcBorders>
            <w:shd w:val="clear" w:color="auto" w:fill="auto"/>
            <w:noWrap/>
            <w:vAlign w:val="center"/>
            <w:hideMark/>
          </w:tcPr>
          <w:p w14:paraId="610C41EB" w14:textId="38B1806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Cough and cold preparations</w:t>
            </w:r>
          </w:p>
        </w:tc>
        <w:tc>
          <w:tcPr>
            <w:tcW w:w="600" w:type="dxa"/>
            <w:tcBorders>
              <w:top w:val="nil"/>
              <w:left w:val="nil"/>
              <w:bottom w:val="single" w:sz="4" w:space="0" w:color="auto"/>
              <w:right w:val="single" w:sz="4" w:space="0" w:color="auto"/>
            </w:tcBorders>
            <w:shd w:val="clear" w:color="auto" w:fill="auto"/>
            <w:noWrap/>
            <w:vAlign w:val="center"/>
            <w:hideMark/>
          </w:tcPr>
          <w:p w14:paraId="610C41EC" w14:textId="0C96B84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ED" w14:textId="0D28F1C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1F4" w14:textId="6B7FA3AF" w:rsidTr="004A0DD7">
        <w:trPr>
          <w:trHeight w:val="580"/>
        </w:trPr>
        <w:tc>
          <w:tcPr>
            <w:tcW w:w="822"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1EF" w14:textId="20A05E68" w:rsidR="007D57FB" w:rsidRPr="00B24B98"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B24B98">
              <w:rPr>
                <w:rFonts w:ascii="Calibri" w:eastAsia="Times New Roman" w:hAnsi="Calibri" w:cs="Calibri"/>
                <w:b/>
                <w:bCs/>
                <w:color w:val="000000"/>
                <w:lang w:eastAsia="en-GB"/>
              </w:rPr>
              <w:t>Rank</w:t>
            </w:r>
          </w:p>
        </w:tc>
        <w:tc>
          <w:tcPr>
            <w:tcW w:w="1180" w:type="dxa"/>
            <w:tcBorders>
              <w:top w:val="single" w:sz="4" w:space="0" w:color="auto"/>
              <w:left w:val="nil"/>
              <w:bottom w:val="single" w:sz="4" w:space="0" w:color="auto"/>
              <w:right w:val="single" w:sz="4" w:space="0" w:color="auto"/>
            </w:tcBorders>
            <w:shd w:val="clear" w:color="000000" w:fill="E7E6E6"/>
            <w:vAlign w:val="center"/>
            <w:hideMark/>
          </w:tcPr>
          <w:p w14:paraId="610C41F0" w14:textId="435282D0"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ATC 2nd</w:t>
            </w:r>
          </w:p>
        </w:tc>
        <w:tc>
          <w:tcPr>
            <w:tcW w:w="4521" w:type="dxa"/>
            <w:tcBorders>
              <w:top w:val="single" w:sz="4" w:space="0" w:color="auto"/>
              <w:left w:val="nil"/>
              <w:bottom w:val="single" w:sz="4" w:space="0" w:color="auto"/>
              <w:right w:val="single" w:sz="4" w:space="0" w:color="auto"/>
            </w:tcBorders>
            <w:shd w:val="clear" w:color="000000" w:fill="E7E6E6"/>
            <w:vAlign w:val="center"/>
            <w:hideMark/>
          </w:tcPr>
          <w:p w14:paraId="610C41F1" w14:textId="47B99728" w:rsidR="007D57FB" w:rsidRPr="00B24B98"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B24B98">
              <w:rPr>
                <w:rFonts w:ascii="Calibri" w:eastAsia="Times New Roman" w:hAnsi="Calibri" w:cs="Calibri"/>
                <w:b/>
                <w:bCs/>
                <w:color w:val="000000"/>
                <w:lang w:eastAsia="en-GB"/>
              </w:rPr>
              <w:t>herapeutic subgroup</w:t>
            </w:r>
          </w:p>
        </w:tc>
        <w:tc>
          <w:tcPr>
            <w:tcW w:w="600" w:type="dxa"/>
            <w:tcBorders>
              <w:top w:val="single" w:sz="4" w:space="0" w:color="auto"/>
              <w:left w:val="nil"/>
              <w:bottom w:val="single" w:sz="4" w:space="0" w:color="auto"/>
              <w:right w:val="single" w:sz="4" w:space="0" w:color="auto"/>
            </w:tcBorders>
            <w:shd w:val="clear" w:color="000000" w:fill="E7E6E6"/>
            <w:vAlign w:val="center"/>
            <w:hideMark/>
          </w:tcPr>
          <w:p w14:paraId="610C41F2" w14:textId="35E8BCD0"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n</w:t>
            </w:r>
          </w:p>
        </w:tc>
        <w:tc>
          <w:tcPr>
            <w:tcW w:w="960" w:type="dxa"/>
            <w:tcBorders>
              <w:top w:val="single" w:sz="4" w:space="0" w:color="auto"/>
              <w:left w:val="nil"/>
              <w:bottom w:val="single" w:sz="4" w:space="0" w:color="auto"/>
              <w:right w:val="single" w:sz="4" w:space="0" w:color="auto"/>
            </w:tcBorders>
            <w:shd w:val="clear" w:color="000000" w:fill="E7E6E6"/>
            <w:vAlign w:val="center"/>
            <w:hideMark/>
          </w:tcPr>
          <w:p w14:paraId="610C41F3" w14:textId="22B96C84" w:rsidR="007D57FB" w:rsidRPr="00B24B98" w:rsidRDefault="007D57FB" w:rsidP="005B3E6B">
            <w:pPr>
              <w:spacing w:after="0" w:line="240" w:lineRule="auto"/>
              <w:rPr>
                <w:rFonts w:ascii="Calibri" w:eastAsia="Times New Roman" w:hAnsi="Calibri" w:cs="Calibri"/>
                <w:b/>
                <w:bCs/>
                <w:color w:val="000000"/>
                <w:lang w:eastAsia="en-GB"/>
              </w:rPr>
            </w:pPr>
            <w:r w:rsidRPr="00B24B98">
              <w:rPr>
                <w:rFonts w:ascii="Calibri" w:eastAsia="Times New Roman" w:hAnsi="Calibri" w:cs="Calibri"/>
                <w:b/>
                <w:bCs/>
                <w:color w:val="000000"/>
                <w:lang w:eastAsia="en-GB"/>
              </w:rPr>
              <w:t>% of 238</w:t>
            </w:r>
            <w:r w:rsidR="004A0DD7">
              <w:rPr>
                <w:rFonts w:ascii="Calibri" w:eastAsia="Times New Roman" w:hAnsi="Calibri" w:cs="Calibri"/>
                <w:b/>
                <w:bCs/>
                <w:color w:val="000000"/>
                <w:lang w:eastAsia="en-GB"/>
              </w:rPr>
              <w:t>5</w:t>
            </w:r>
          </w:p>
        </w:tc>
      </w:tr>
      <w:tr w:rsidR="007D57FB" w:rsidRPr="00B24B98" w14:paraId="610C41FA" w14:textId="458E7BDA"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F5" w14:textId="0A03F8E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10C41F6" w14:textId="557075E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R06</w:t>
            </w:r>
          </w:p>
        </w:tc>
        <w:tc>
          <w:tcPr>
            <w:tcW w:w="4521" w:type="dxa"/>
            <w:tcBorders>
              <w:top w:val="nil"/>
              <w:left w:val="nil"/>
              <w:bottom w:val="single" w:sz="4" w:space="0" w:color="auto"/>
              <w:right w:val="single" w:sz="4" w:space="0" w:color="auto"/>
            </w:tcBorders>
            <w:shd w:val="clear" w:color="auto" w:fill="auto"/>
            <w:noWrap/>
            <w:vAlign w:val="center"/>
            <w:hideMark/>
          </w:tcPr>
          <w:p w14:paraId="610C41F7" w14:textId="566823C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Antihistamines for systemic use</w:t>
            </w:r>
          </w:p>
        </w:tc>
        <w:tc>
          <w:tcPr>
            <w:tcW w:w="600" w:type="dxa"/>
            <w:tcBorders>
              <w:top w:val="nil"/>
              <w:left w:val="nil"/>
              <w:bottom w:val="single" w:sz="4" w:space="0" w:color="auto"/>
              <w:right w:val="single" w:sz="4" w:space="0" w:color="auto"/>
            </w:tcBorders>
            <w:shd w:val="clear" w:color="auto" w:fill="auto"/>
            <w:noWrap/>
            <w:vAlign w:val="center"/>
            <w:hideMark/>
          </w:tcPr>
          <w:p w14:paraId="610C41F8" w14:textId="7430F1E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2</w:t>
            </w:r>
          </w:p>
        </w:tc>
        <w:tc>
          <w:tcPr>
            <w:tcW w:w="960" w:type="dxa"/>
            <w:tcBorders>
              <w:top w:val="nil"/>
              <w:left w:val="nil"/>
              <w:bottom w:val="single" w:sz="4" w:space="0" w:color="auto"/>
              <w:right w:val="single" w:sz="4" w:space="0" w:color="auto"/>
            </w:tcBorders>
            <w:shd w:val="clear" w:color="auto" w:fill="auto"/>
            <w:noWrap/>
            <w:vAlign w:val="center"/>
            <w:hideMark/>
          </w:tcPr>
          <w:p w14:paraId="610C41F9" w14:textId="14BD8470"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0.08%</w:t>
            </w:r>
          </w:p>
        </w:tc>
      </w:tr>
      <w:tr w:rsidR="007D57FB" w:rsidRPr="00B24B98" w14:paraId="610C4200" w14:textId="70553471"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1FB" w14:textId="063238C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41</w:t>
            </w:r>
          </w:p>
        </w:tc>
        <w:tc>
          <w:tcPr>
            <w:tcW w:w="1180" w:type="dxa"/>
            <w:tcBorders>
              <w:top w:val="nil"/>
              <w:left w:val="nil"/>
              <w:bottom w:val="single" w:sz="4" w:space="0" w:color="auto"/>
              <w:right w:val="single" w:sz="4" w:space="0" w:color="auto"/>
            </w:tcBorders>
            <w:shd w:val="clear" w:color="auto" w:fill="auto"/>
            <w:noWrap/>
            <w:vAlign w:val="center"/>
            <w:hideMark/>
          </w:tcPr>
          <w:p w14:paraId="610C41FC" w14:textId="4FB826C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A04</w:t>
            </w:r>
          </w:p>
        </w:tc>
        <w:tc>
          <w:tcPr>
            <w:tcW w:w="4521" w:type="dxa"/>
            <w:tcBorders>
              <w:top w:val="nil"/>
              <w:left w:val="nil"/>
              <w:bottom w:val="single" w:sz="4" w:space="0" w:color="auto"/>
              <w:right w:val="single" w:sz="4" w:space="0" w:color="auto"/>
            </w:tcBorders>
            <w:shd w:val="clear" w:color="auto" w:fill="auto"/>
            <w:noWrap/>
            <w:vAlign w:val="center"/>
            <w:hideMark/>
          </w:tcPr>
          <w:p w14:paraId="610C41FD" w14:textId="66B51C0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Antiemetics and antinauseants</w:t>
            </w:r>
          </w:p>
        </w:tc>
        <w:tc>
          <w:tcPr>
            <w:tcW w:w="600" w:type="dxa"/>
            <w:tcBorders>
              <w:top w:val="nil"/>
              <w:left w:val="nil"/>
              <w:bottom w:val="single" w:sz="4" w:space="0" w:color="auto"/>
              <w:right w:val="single" w:sz="4" w:space="0" w:color="auto"/>
            </w:tcBorders>
            <w:shd w:val="clear" w:color="auto" w:fill="auto"/>
            <w:noWrap/>
            <w:vAlign w:val="center"/>
            <w:hideMark/>
          </w:tcPr>
          <w:p w14:paraId="610C41FE" w14:textId="4D02048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1FF" w14:textId="6175694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06" w14:textId="1A2136A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01" w14:textId="0FC9B6D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42</w:t>
            </w:r>
          </w:p>
        </w:tc>
        <w:tc>
          <w:tcPr>
            <w:tcW w:w="1180" w:type="dxa"/>
            <w:tcBorders>
              <w:top w:val="nil"/>
              <w:left w:val="nil"/>
              <w:bottom w:val="single" w:sz="4" w:space="0" w:color="auto"/>
              <w:right w:val="single" w:sz="4" w:space="0" w:color="auto"/>
            </w:tcBorders>
            <w:shd w:val="clear" w:color="auto" w:fill="auto"/>
            <w:noWrap/>
            <w:vAlign w:val="center"/>
            <w:hideMark/>
          </w:tcPr>
          <w:p w14:paraId="610C4202" w14:textId="4878C74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A11</w:t>
            </w:r>
          </w:p>
        </w:tc>
        <w:tc>
          <w:tcPr>
            <w:tcW w:w="4521" w:type="dxa"/>
            <w:tcBorders>
              <w:top w:val="nil"/>
              <w:left w:val="nil"/>
              <w:bottom w:val="single" w:sz="4" w:space="0" w:color="auto"/>
              <w:right w:val="single" w:sz="4" w:space="0" w:color="auto"/>
            </w:tcBorders>
            <w:shd w:val="clear" w:color="auto" w:fill="auto"/>
            <w:noWrap/>
            <w:vAlign w:val="center"/>
            <w:hideMark/>
          </w:tcPr>
          <w:p w14:paraId="610C4203" w14:textId="5C82A35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Vitamins</w:t>
            </w:r>
          </w:p>
        </w:tc>
        <w:tc>
          <w:tcPr>
            <w:tcW w:w="600" w:type="dxa"/>
            <w:tcBorders>
              <w:top w:val="nil"/>
              <w:left w:val="nil"/>
              <w:bottom w:val="single" w:sz="4" w:space="0" w:color="auto"/>
              <w:right w:val="single" w:sz="4" w:space="0" w:color="auto"/>
            </w:tcBorders>
            <w:shd w:val="clear" w:color="auto" w:fill="auto"/>
            <w:noWrap/>
            <w:vAlign w:val="center"/>
            <w:hideMark/>
          </w:tcPr>
          <w:p w14:paraId="610C4204" w14:textId="1AC1670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05" w14:textId="089A14E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0C" w14:textId="724BFB7F"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07" w14:textId="0739FF0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43</w:t>
            </w:r>
          </w:p>
        </w:tc>
        <w:tc>
          <w:tcPr>
            <w:tcW w:w="1180" w:type="dxa"/>
            <w:tcBorders>
              <w:top w:val="nil"/>
              <w:left w:val="nil"/>
              <w:bottom w:val="single" w:sz="4" w:space="0" w:color="auto"/>
              <w:right w:val="single" w:sz="4" w:space="0" w:color="auto"/>
            </w:tcBorders>
            <w:shd w:val="clear" w:color="auto" w:fill="auto"/>
            <w:noWrap/>
            <w:vAlign w:val="center"/>
            <w:hideMark/>
          </w:tcPr>
          <w:p w14:paraId="610C4208" w14:textId="56FA8EE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D01</w:t>
            </w:r>
          </w:p>
        </w:tc>
        <w:tc>
          <w:tcPr>
            <w:tcW w:w="4521" w:type="dxa"/>
            <w:tcBorders>
              <w:top w:val="nil"/>
              <w:left w:val="nil"/>
              <w:bottom w:val="single" w:sz="4" w:space="0" w:color="auto"/>
              <w:right w:val="single" w:sz="4" w:space="0" w:color="auto"/>
            </w:tcBorders>
            <w:shd w:val="clear" w:color="auto" w:fill="auto"/>
            <w:noWrap/>
            <w:vAlign w:val="center"/>
            <w:hideMark/>
          </w:tcPr>
          <w:p w14:paraId="610C4209" w14:textId="654842E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Antifungals for dermatological use</w:t>
            </w:r>
          </w:p>
        </w:tc>
        <w:tc>
          <w:tcPr>
            <w:tcW w:w="600" w:type="dxa"/>
            <w:tcBorders>
              <w:top w:val="nil"/>
              <w:left w:val="nil"/>
              <w:bottom w:val="single" w:sz="4" w:space="0" w:color="auto"/>
              <w:right w:val="single" w:sz="4" w:space="0" w:color="auto"/>
            </w:tcBorders>
            <w:shd w:val="clear" w:color="auto" w:fill="auto"/>
            <w:noWrap/>
            <w:vAlign w:val="center"/>
            <w:hideMark/>
          </w:tcPr>
          <w:p w14:paraId="610C420A" w14:textId="203C5B3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0B" w14:textId="4684DE2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12" w14:textId="70981177"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0D" w14:textId="67FC3C3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44</w:t>
            </w:r>
          </w:p>
        </w:tc>
        <w:tc>
          <w:tcPr>
            <w:tcW w:w="1180" w:type="dxa"/>
            <w:tcBorders>
              <w:top w:val="nil"/>
              <w:left w:val="nil"/>
              <w:bottom w:val="single" w:sz="4" w:space="0" w:color="auto"/>
              <w:right w:val="single" w:sz="4" w:space="0" w:color="auto"/>
            </w:tcBorders>
            <w:shd w:val="clear" w:color="auto" w:fill="auto"/>
            <w:noWrap/>
            <w:vAlign w:val="center"/>
            <w:hideMark/>
          </w:tcPr>
          <w:p w14:paraId="610C420E" w14:textId="529EADD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D06</w:t>
            </w:r>
          </w:p>
        </w:tc>
        <w:tc>
          <w:tcPr>
            <w:tcW w:w="4521" w:type="dxa"/>
            <w:tcBorders>
              <w:top w:val="nil"/>
              <w:left w:val="nil"/>
              <w:bottom w:val="single" w:sz="4" w:space="0" w:color="auto"/>
              <w:right w:val="single" w:sz="4" w:space="0" w:color="auto"/>
            </w:tcBorders>
            <w:shd w:val="clear" w:color="auto" w:fill="auto"/>
            <w:noWrap/>
            <w:vAlign w:val="center"/>
            <w:hideMark/>
          </w:tcPr>
          <w:p w14:paraId="610C420F" w14:textId="2C811E1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Antibiotics and chemotherapeutics for dermatological use</w:t>
            </w:r>
          </w:p>
        </w:tc>
        <w:tc>
          <w:tcPr>
            <w:tcW w:w="600" w:type="dxa"/>
            <w:tcBorders>
              <w:top w:val="nil"/>
              <w:left w:val="nil"/>
              <w:bottom w:val="single" w:sz="4" w:space="0" w:color="auto"/>
              <w:right w:val="single" w:sz="4" w:space="0" w:color="auto"/>
            </w:tcBorders>
            <w:shd w:val="clear" w:color="auto" w:fill="auto"/>
            <w:noWrap/>
            <w:vAlign w:val="center"/>
            <w:hideMark/>
          </w:tcPr>
          <w:p w14:paraId="610C4210" w14:textId="706BA57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11" w14:textId="6CB82CB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18" w14:textId="75739C54"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13" w14:textId="14E2E9DC"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45</w:t>
            </w:r>
          </w:p>
        </w:tc>
        <w:tc>
          <w:tcPr>
            <w:tcW w:w="1180" w:type="dxa"/>
            <w:tcBorders>
              <w:top w:val="nil"/>
              <w:left w:val="nil"/>
              <w:bottom w:val="single" w:sz="4" w:space="0" w:color="auto"/>
              <w:right w:val="single" w:sz="4" w:space="0" w:color="auto"/>
            </w:tcBorders>
            <w:shd w:val="clear" w:color="auto" w:fill="auto"/>
            <w:noWrap/>
            <w:vAlign w:val="center"/>
            <w:hideMark/>
          </w:tcPr>
          <w:p w14:paraId="610C4214" w14:textId="6032587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H01</w:t>
            </w:r>
          </w:p>
        </w:tc>
        <w:tc>
          <w:tcPr>
            <w:tcW w:w="4521" w:type="dxa"/>
            <w:tcBorders>
              <w:top w:val="nil"/>
              <w:left w:val="nil"/>
              <w:bottom w:val="single" w:sz="4" w:space="0" w:color="auto"/>
              <w:right w:val="single" w:sz="4" w:space="0" w:color="auto"/>
            </w:tcBorders>
            <w:shd w:val="clear" w:color="auto" w:fill="auto"/>
            <w:noWrap/>
            <w:vAlign w:val="center"/>
            <w:hideMark/>
          </w:tcPr>
          <w:p w14:paraId="610C4215" w14:textId="027FA72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Pituitary and hypothalamic hormones and analogues</w:t>
            </w:r>
          </w:p>
        </w:tc>
        <w:tc>
          <w:tcPr>
            <w:tcW w:w="600" w:type="dxa"/>
            <w:tcBorders>
              <w:top w:val="nil"/>
              <w:left w:val="nil"/>
              <w:bottom w:val="single" w:sz="4" w:space="0" w:color="auto"/>
              <w:right w:val="single" w:sz="4" w:space="0" w:color="auto"/>
            </w:tcBorders>
            <w:shd w:val="clear" w:color="auto" w:fill="auto"/>
            <w:noWrap/>
            <w:vAlign w:val="center"/>
            <w:hideMark/>
          </w:tcPr>
          <w:p w14:paraId="610C4216" w14:textId="763C537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17" w14:textId="035BD7D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1E" w14:textId="5C3305B7"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19" w14:textId="6F414B2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46</w:t>
            </w:r>
          </w:p>
        </w:tc>
        <w:tc>
          <w:tcPr>
            <w:tcW w:w="1180" w:type="dxa"/>
            <w:tcBorders>
              <w:top w:val="nil"/>
              <w:left w:val="nil"/>
              <w:bottom w:val="single" w:sz="4" w:space="0" w:color="auto"/>
              <w:right w:val="single" w:sz="4" w:space="0" w:color="auto"/>
            </w:tcBorders>
            <w:shd w:val="clear" w:color="auto" w:fill="auto"/>
            <w:noWrap/>
            <w:vAlign w:val="center"/>
            <w:hideMark/>
          </w:tcPr>
          <w:p w14:paraId="610C421A" w14:textId="36EE2FE7"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L04</w:t>
            </w:r>
          </w:p>
        </w:tc>
        <w:tc>
          <w:tcPr>
            <w:tcW w:w="4521" w:type="dxa"/>
            <w:tcBorders>
              <w:top w:val="nil"/>
              <w:left w:val="nil"/>
              <w:bottom w:val="single" w:sz="4" w:space="0" w:color="auto"/>
              <w:right w:val="single" w:sz="4" w:space="0" w:color="auto"/>
            </w:tcBorders>
            <w:shd w:val="clear" w:color="auto" w:fill="auto"/>
            <w:noWrap/>
            <w:vAlign w:val="center"/>
            <w:hideMark/>
          </w:tcPr>
          <w:p w14:paraId="610C421B" w14:textId="04B94982"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Immunosuppressant</w:t>
            </w:r>
            <w:r>
              <w:rPr>
                <w:rFonts w:ascii="Calibri" w:eastAsia="Times New Roman" w:hAnsi="Calibri" w:cs="Calibri"/>
                <w:color w:val="000000"/>
                <w:lang w:eastAsia="en-GB"/>
              </w:rPr>
              <w:t>s</w:t>
            </w:r>
          </w:p>
        </w:tc>
        <w:tc>
          <w:tcPr>
            <w:tcW w:w="600" w:type="dxa"/>
            <w:tcBorders>
              <w:top w:val="nil"/>
              <w:left w:val="nil"/>
              <w:bottom w:val="single" w:sz="4" w:space="0" w:color="auto"/>
              <w:right w:val="single" w:sz="4" w:space="0" w:color="auto"/>
            </w:tcBorders>
            <w:shd w:val="clear" w:color="auto" w:fill="auto"/>
            <w:noWrap/>
            <w:vAlign w:val="center"/>
            <w:hideMark/>
          </w:tcPr>
          <w:p w14:paraId="610C421C" w14:textId="5345B1F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1D" w14:textId="33C9B50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24" w14:textId="31C1C305"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1F" w14:textId="2C6F2974"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47</w:t>
            </w:r>
          </w:p>
        </w:tc>
        <w:tc>
          <w:tcPr>
            <w:tcW w:w="1180" w:type="dxa"/>
            <w:tcBorders>
              <w:top w:val="nil"/>
              <w:left w:val="nil"/>
              <w:bottom w:val="single" w:sz="4" w:space="0" w:color="auto"/>
              <w:right w:val="single" w:sz="4" w:space="0" w:color="auto"/>
            </w:tcBorders>
            <w:shd w:val="clear" w:color="auto" w:fill="auto"/>
            <w:noWrap/>
            <w:vAlign w:val="center"/>
            <w:hideMark/>
          </w:tcPr>
          <w:p w14:paraId="610C4220" w14:textId="3F96172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P01</w:t>
            </w:r>
          </w:p>
        </w:tc>
        <w:tc>
          <w:tcPr>
            <w:tcW w:w="4521" w:type="dxa"/>
            <w:tcBorders>
              <w:top w:val="nil"/>
              <w:left w:val="nil"/>
              <w:bottom w:val="single" w:sz="4" w:space="0" w:color="auto"/>
              <w:right w:val="single" w:sz="4" w:space="0" w:color="auto"/>
            </w:tcBorders>
            <w:shd w:val="clear" w:color="auto" w:fill="auto"/>
            <w:noWrap/>
            <w:vAlign w:val="center"/>
            <w:hideMark/>
          </w:tcPr>
          <w:p w14:paraId="610C4221" w14:textId="7C037FCB"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Antiprotozoals</w:t>
            </w:r>
          </w:p>
        </w:tc>
        <w:tc>
          <w:tcPr>
            <w:tcW w:w="600" w:type="dxa"/>
            <w:tcBorders>
              <w:top w:val="nil"/>
              <w:left w:val="nil"/>
              <w:bottom w:val="single" w:sz="4" w:space="0" w:color="auto"/>
              <w:right w:val="single" w:sz="4" w:space="0" w:color="auto"/>
            </w:tcBorders>
            <w:shd w:val="clear" w:color="auto" w:fill="auto"/>
            <w:noWrap/>
            <w:vAlign w:val="center"/>
            <w:hideMark/>
          </w:tcPr>
          <w:p w14:paraId="610C4222" w14:textId="2D4A9146"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23" w14:textId="20B3EE1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2A" w14:textId="7B65E0D3"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25" w14:textId="71636869"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48</w:t>
            </w:r>
          </w:p>
        </w:tc>
        <w:tc>
          <w:tcPr>
            <w:tcW w:w="1180" w:type="dxa"/>
            <w:tcBorders>
              <w:top w:val="nil"/>
              <w:left w:val="nil"/>
              <w:bottom w:val="single" w:sz="4" w:space="0" w:color="auto"/>
              <w:right w:val="single" w:sz="4" w:space="0" w:color="auto"/>
            </w:tcBorders>
            <w:shd w:val="clear" w:color="auto" w:fill="auto"/>
            <w:noWrap/>
            <w:vAlign w:val="center"/>
            <w:hideMark/>
          </w:tcPr>
          <w:p w14:paraId="610C4226" w14:textId="0DA97CE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P02</w:t>
            </w:r>
          </w:p>
        </w:tc>
        <w:tc>
          <w:tcPr>
            <w:tcW w:w="4521" w:type="dxa"/>
            <w:tcBorders>
              <w:top w:val="nil"/>
              <w:left w:val="nil"/>
              <w:bottom w:val="single" w:sz="4" w:space="0" w:color="auto"/>
              <w:right w:val="single" w:sz="4" w:space="0" w:color="auto"/>
            </w:tcBorders>
            <w:shd w:val="clear" w:color="auto" w:fill="auto"/>
            <w:noWrap/>
            <w:vAlign w:val="center"/>
            <w:hideMark/>
          </w:tcPr>
          <w:p w14:paraId="610C4227" w14:textId="3A2A88CF"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Anthelmintics</w:t>
            </w:r>
          </w:p>
        </w:tc>
        <w:tc>
          <w:tcPr>
            <w:tcW w:w="600" w:type="dxa"/>
            <w:tcBorders>
              <w:top w:val="nil"/>
              <w:left w:val="nil"/>
              <w:bottom w:val="single" w:sz="4" w:space="0" w:color="auto"/>
              <w:right w:val="single" w:sz="4" w:space="0" w:color="auto"/>
            </w:tcBorders>
            <w:shd w:val="clear" w:color="auto" w:fill="auto"/>
            <w:noWrap/>
            <w:vAlign w:val="center"/>
            <w:hideMark/>
          </w:tcPr>
          <w:p w14:paraId="610C4228" w14:textId="0CCF389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29" w14:textId="04BA554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r w:rsidR="007D57FB" w:rsidRPr="00B24B98" w14:paraId="610C4230" w14:textId="71687A19" w:rsidTr="004A0DD7">
        <w:trPr>
          <w:trHeight w:val="29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610C422B" w14:textId="0E6EF7AA"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49</w:t>
            </w:r>
          </w:p>
        </w:tc>
        <w:tc>
          <w:tcPr>
            <w:tcW w:w="1180" w:type="dxa"/>
            <w:tcBorders>
              <w:top w:val="nil"/>
              <w:left w:val="nil"/>
              <w:bottom w:val="single" w:sz="4" w:space="0" w:color="auto"/>
              <w:right w:val="single" w:sz="4" w:space="0" w:color="auto"/>
            </w:tcBorders>
            <w:shd w:val="clear" w:color="auto" w:fill="auto"/>
            <w:noWrap/>
            <w:vAlign w:val="center"/>
            <w:hideMark/>
          </w:tcPr>
          <w:p w14:paraId="610C422C" w14:textId="521FF5B8"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V04</w:t>
            </w:r>
          </w:p>
        </w:tc>
        <w:tc>
          <w:tcPr>
            <w:tcW w:w="4521" w:type="dxa"/>
            <w:tcBorders>
              <w:top w:val="nil"/>
              <w:left w:val="nil"/>
              <w:bottom w:val="single" w:sz="4" w:space="0" w:color="auto"/>
              <w:right w:val="single" w:sz="4" w:space="0" w:color="auto"/>
            </w:tcBorders>
            <w:shd w:val="clear" w:color="auto" w:fill="auto"/>
            <w:noWrap/>
            <w:vAlign w:val="center"/>
            <w:hideMark/>
          </w:tcPr>
          <w:p w14:paraId="610C422D" w14:textId="2F228031"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Diagnostic agents</w:t>
            </w:r>
          </w:p>
        </w:tc>
        <w:tc>
          <w:tcPr>
            <w:tcW w:w="600" w:type="dxa"/>
            <w:tcBorders>
              <w:top w:val="nil"/>
              <w:left w:val="nil"/>
              <w:bottom w:val="single" w:sz="4" w:space="0" w:color="auto"/>
              <w:right w:val="single" w:sz="4" w:space="0" w:color="auto"/>
            </w:tcBorders>
            <w:shd w:val="clear" w:color="auto" w:fill="auto"/>
            <w:noWrap/>
            <w:vAlign w:val="center"/>
            <w:hideMark/>
          </w:tcPr>
          <w:p w14:paraId="610C422E" w14:textId="599CA44D"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1</w:t>
            </w:r>
          </w:p>
        </w:tc>
        <w:tc>
          <w:tcPr>
            <w:tcW w:w="960" w:type="dxa"/>
            <w:tcBorders>
              <w:top w:val="nil"/>
              <w:left w:val="nil"/>
              <w:bottom w:val="single" w:sz="4" w:space="0" w:color="auto"/>
              <w:right w:val="single" w:sz="4" w:space="0" w:color="auto"/>
            </w:tcBorders>
            <w:shd w:val="clear" w:color="auto" w:fill="auto"/>
            <w:noWrap/>
            <w:vAlign w:val="center"/>
            <w:hideMark/>
          </w:tcPr>
          <w:p w14:paraId="610C422F" w14:textId="69580945" w:rsidR="007D57FB" w:rsidRPr="00B24B98" w:rsidRDefault="007D57FB" w:rsidP="005B3E6B">
            <w:pPr>
              <w:spacing w:after="0" w:line="240" w:lineRule="auto"/>
              <w:rPr>
                <w:rFonts w:ascii="Calibri" w:eastAsia="Times New Roman" w:hAnsi="Calibri" w:cs="Calibri"/>
                <w:color w:val="000000"/>
                <w:lang w:eastAsia="en-GB"/>
              </w:rPr>
            </w:pPr>
            <w:r w:rsidRPr="00B24B98">
              <w:rPr>
                <w:rFonts w:ascii="Calibri" w:eastAsia="Times New Roman" w:hAnsi="Calibri" w:cs="Calibri"/>
                <w:color w:val="000000"/>
                <w:lang w:eastAsia="en-GB"/>
              </w:rPr>
              <w:t>0.04%</w:t>
            </w:r>
          </w:p>
        </w:tc>
      </w:tr>
    </w:tbl>
    <w:p w14:paraId="610C4231" w14:textId="77777777" w:rsidR="007D57FB" w:rsidRDefault="007D57FB" w:rsidP="005B3E6B">
      <w:pPr>
        <w:spacing w:line="360" w:lineRule="auto"/>
        <w:jc w:val="both"/>
      </w:pPr>
    </w:p>
    <w:p w14:paraId="610C4232" w14:textId="77777777" w:rsidR="007D57FB" w:rsidRDefault="007D57FB" w:rsidP="005B3E6B">
      <w:pPr>
        <w:pStyle w:val="Heading2"/>
      </w:pPr>
    </w:p>
    <w:p w14:paraId="610C4233" w14:textId="3656E171" w:rsidR="007D57FB" w:rsidRPr="00D2112B" w:rsidRDefault="00DA5224" w:rsidP="005B3E6B">
      <w:pPr>
        <w:pStyle w:val="Heading2"/>
      </w:pPr>
      <w:bookmarkStart w:id="50" w:name="_Toc52396370"/>
      <w:r>
        <w:t>Appendix 20</w:t>
      </w:r>
      <w:r w:rsidR="00737863">
        <w:t>.</w:t>
      </w:r>
      <w:r w:rsidR="007D57FB">
        <w:t xml:space="preserve"> Reported Causative D</w:t>
      </w:r>
      <w:r w:rsidR="007D57FB" w:rsidRPr="00D2112B">
        <w:t xml:space="preserve">rugs </w:t>
      </w:r>
      <w:r w:rsidR="007D57FB">
        <w:t xml:space="preserve">Grouped </w:t>
      </w:r>
      <w:r w:rsidR="007D57FB" w:rsidRPr="00D2112B">
        <w:t xml:space="preserve">by </w:t>
      </w:r>
      <w:r w:rsidR="007D57FB">
        <w:t>Anatomical G</w:t>
      </w:r>
      <w:r w:rsidR="007D57FB" w:rsidRPr="00D2112B">
        <w:t>roup</w:t>
      </w:r>
      <w:r w:rsidR="007D57FB">
        <w:t xml:space="preserve"> (ATC 1</w:t>
      </w:r>
      <w:r w:rsidR="007D57FB" w:rsidRPr="00821C96">
        <w:rPr>
          <w:vertAlign w:val="superscript"/>
        </w:rPr>
        <w:t>st</w:t>
      </w:r>
      <w:r w:rsidR="007D57FB">
        <w:t xml:space="preserve"> Level) in D</w:t>
      </w:r>
      <w:r w:rsidR="007D57FB" w:rsidRPr="00D2112B">
        <w:t xml:space="preserve">escending </w:t>
      </w:r>
      <w:r w:rsidR="007D57FB">
        <w:t>Order.</w:t>
      </w:r>
      <w:bookmarkEnd w:id="50"/>
    </w:p>
    <w:tbl>
      <w:tblPr>
        <w:tblW w:w="7995" w:type="dxa"/>
        <w:tblLook w:val="04A0" w:firstRow="1" w:lastRow="0" w:firstColumn="1" w:lastColumn="0" w:noHBand="0" w:noVBand="1"/>
      </w:tblPr>
      <w:tblGrid>
        <w:gridCol w:w="5580"/>
        <w:gridCol w:w="881"/>
        <w:gridCol w:w="1534"/>
      </w:tblGrid>
      <w:tr w:rsidR="007D57FB" w:rsidRPr="00FB4174" w14:paraId="610C4237" w14:textId="4DD838EA" w:rsidTr="005B5146">
        <w:trPr>
          <w:trHeight w:val="870"/>
        </w:trPr>
        <w:tc>
          <w:tcPr>
            <w:tcW w:w="558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234" w14:textId="21464408" w:rsidR="007D57FB" w:rsidRPr="00FB4174" w:rsidRDefault="007D57FB" w:rsidP="005B3E6B">
            <w:pPr>
              <w:spacing w:after="0" w:line="240" w:lineRule="auto"/>
              <w:rPr>
                <w:rFonts w:ascii="Calibri" w:eastAsia="Times New Roman" w:hAnsi="Calibri" w:cs="Calibri"/>
                <w:b/>
                <w:bCs/>
                <w:color w:val="000000"/>
                <w:lang w:eastAsia="en-GB"/>
              </w:rPr>
            </w:pPr>
            <w:bookmarkStart w:id="51" w:name="RANGE!A1:C16"/>
            <w:r w:rsidRPr="00FB4174">
              <w:rPr>
                <w:rFonts w:ascii="Calibri" w:eastAsia="Times New Roman" w:hAnsi="Calibri" w:cs="Calibri"/>
                <w:b/>
                <w:bCs/>
                <w:color w:val="000000"/>
                <w:lang w:eastAsia="en-GB"/>
              </w:rPr>
              <w:t xml:space="preserve">Overarching ATC </w:t>
            </w:r>
            <w:r>
              <w:rPr>
                <w:rFonts w:ascii="Calibri" w:eastAsia="Times New Roman" w:hAnsi="Calibri" w:cs="Calibri"/>
                <w:b/>
                <w:bCs/>
                <w:color w:val="000000"/>
                <w:lang w:eastAsia="en-GB"/>
              </w:rPr>
              <w:t xml:space="preserve">Anatomical </w:t>
            </w:r>
            <w:r w:rsidRPr="00FB4174">
              <w:rPr>
                <w:rFonts w:ascii="Calibri" w:eastAsia="Times New Roman" w:hAnsi="Calibri" w:cs="Calibri"/>
                <w:b/>
                <w:bCs/>
                <w:color w:val="000000"/>
                <w:lang w:eastAsia="en-GB"/>
              </w:rPr>
              <w:t>System (1st level, anatomical main group)</w:t>
            </w:r>
            <w:bookmarkEnd w:id="51"/>
          </w:p>
        </w:tc>
        <w:tc>
          <w:tcPr>
            <w:tcW w:w="881" w:type="dxa"/>
            <w:tcBorders>
              <w:top w:val="single" w:sz="4" w:space="0" w:color="auto"/>
              <w:left w:val="nil"/>
              <w:bottom w:val="single" w:sz="4" w:space="0" w:color="auto"/>
              <w:right w:val="single" w:sz="4" w:space="0" w:color="auto"/>
            </w:tcBorders>
            <w:shd w:val="clear" w:color="000000" w:fill="E7E6E6"/>
            <w:vAlign w:val="center"/>
            <w:hideMark/>
          </w:tcPr>
          <w:p w14:paraId="610C4235" w14:textId="1FACB582" w:rsidR="007D57FB" w:rsidRPr="00FB4174" w:rsidRDefault="007D57FB" w:rsidP="005B3E6B">
            <w:pPr>
              <w:spacing w:after="0" w:line="240" w:lineRule="auto"/>
              <w:rPr>
                <w:rFonts w:ascii="Calibri" w:eastAsia="Times New Roman" w:hAnsi="Calibri" w:cs="Calibri"/>
                <w:b/>
                <w:bCs/>
                <w:color w:val="000000"/>
                <w:lang w:eastAsia="en-GB"/>
              </w:rPr>
            </w:pPr>
            <w:r w:rsidRPr="00FB4174">
              <w:rPr>
                <w:rFonts w:ascii="Calibri" w:eastAsia="Times New Roman" w:hAnsi="Calibri" w:cs="Calibri"/>
                <w:b/>
                <w:bCs/>
                <w:color w:val="000000"/>
                <w:lang w:eastAsia="en-GB"/>
              </w:rPr>
              <w:t>overall n (organ)</w:t>
            </w:r>
          </w:p>
        </w:tc>
        <w:tc>
          <w:tcPr>
            <w:tcW w:w="1534" w:type="dxa"/>
            <w:tcBorders>
              <w:top w:val="single" w:sz="4" w:space="0" w:color="auto"/>
              <w:left w:val="nil"/>
              <w:bottom w:val="single" w:sz="4" w:space="0" w:color="auto"/>
              <w:right w:val="single" w:sz="4" w:space="0" w:color="auto"/>
            </w:tcBorders>
            <w:shd w:val="clear" w:color="000000" w:fill="E7E6E6"/>
            <w:vAlign w:val="center"/>
            <w:hideMark/>
          </w:tcPr>
          <w:p w14:paraId="610C4236" w14:textId="1EC9E8A1" w:rsidR="007D57FB" w:rsidRPr="00FB4174"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overall % (238</w:t>
            </w:r>
            <w:r w:rsidR="005B5146">
              <w:rPr>
                <w:rFonts w:ascii="Calibri" w:eastAsia="Times New Roman" w:hAnsi="Calibri" w:cs="Calibri"/>
                <w:b/>
                <w:bCs/>
                <w:color w:val="000000"/>
                <w:lang w:eastAsia="en-GB"/>
              </w:rPr>
              <w:t>5</w:t>
            </w:r>
            <w:r w:rsidRPr="00FB4174">
              <w:rPr>
                <w:rFonts w:ascii="Calibri" w:eastAsia="Times New Roman" w:hAnsi="Calibri" w:cs="Calibri"/>
                <w:b/>
                <w:bCs/>
                <w:color w:val="000000"/>
                <w:lang w:eastAsia="en-GB"/>
              </w:rPr>
              <w:t>)</w:t>
            </w:r>
          </w:p>
        </w:tc>
      </w:tr>
      <w:tr w:rsidR="005B5146" w:rsidRPr="00FB4174" w14:paraId="610C423B" w14:textId="3DE79B9C"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38" w14:textId="7FA2E5C3" w:rsidR="005B5146" w:rsidRPr="00FB4174" w:rsidRDefault="005B5146" w:rsidP="005B5146">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C – Cardiovascular System </w:t>
            </w:r>
          </w:p>
        </w:tc>
        <w:tc>
          <w:tcPr>
            <w:tcW w:w="881" w:type="dxa"/>
            <w:tcBorders>
              <w:top w:val="nil"/>
              <w:left w:val="nil"/>
              <w:bottom w:val="single" w:sz="4" w:space="0" w:color="auto"/>
              <w:right w:val="single" w:sz="4" w:space="0" w:color="auto"/>
            </w:tcBorders>
            <w:shd w:val="clear" w:color="auto" w:fill="auto"/>
            <w:noWrap/>
            <w:vAlign w:val="center"/>
            <w:hideMark/>
          </w:tcPr>
          <w:p w14:paraId="610C4239" w14:textId="22BD75DD" w:rsidR="005B5146" w:rsidRPr="00FB4174" w:rsidRDefault="005B5146" w:rsidP="005B5146">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769</w:t>
            </w:r>
          </w:p>
        </w:tc>
        <w:tc>
          <w:tcPr>
            <w:tcW w:w="1534" w:type="dxa"/>
            <w:tcBorders>
              <w:top w:val="nil"/>
              <w:left w:val="nil"/>
              <w:bottom w:val="single" w:sz="4" w:space="0" w:color="auto"/>
              <w:right w:val="single" w:sz="4" w:space="0" w:color="auto"/>
            </w:tcBorders>
            <w:shd w:val="clear" w:color="auto" w:fill="auto"/>
            <w:noWrap/>
            <w:vAlign w:val="center"/>
            <w:hideMark/>
          </w:tcPr>
          <w:p w14:paraId="610C423A" w14:textId="42EE1C6A" w:rsidR="005B5146" w:rsidRPr="00FB4174" w:rsidRDefault="005B5146" w:rsidP="005B5146">
            <w:pPr>
              <w:spacing w:after="0" w:line="240" w:lineRule="auto"/>
              <w:jc w:val="right"/>
              <w:rPr>
                <w:rFonts w:ascii="Calibri" w:eastAsia="Times New Roman" w:hAnsi="Calibri" w:cs="Calibri"/>
                <w:color w:val="000000"/>
                <w:lang w:eastAsia="en-GB"/>
              </w:rPr>
            </w:pPr>
            <w:r>
              <w:rPr>
                <w:rFonts w:ascii="Calibri" w:hAnsi="Calibri" w:cs="Calibri"/>
                <w:color w:val="000000"/>
              </w:rPr>
              <w:t>32.24%</w:t>
            </w:r>
          </w:p>
        </w:tc>
      </w:tr>
      <w:tr w:rsidR="005B5146" w:rsidRPr="00FB4174" w14:paraId="610C423F" w14:textId="4EAFC65E"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3C" w14:textId="0313D4DD" w:rsidR="005B5146" w:rsidRPr="00FB4174" w:rsidRDefault="005B5146" w:rsidP="005B5146">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N – Central nervous system </w:t>
            </w:r>
          </w:p>
        </w:tc>
        <w:tc>
          <w:tcPr>
            <w:tcW w:w="881" w:type="dxa"/>
            <w:tcBorders>
              <w:top w:val="nil"/>
              <w:left w:val="nil"/>
              <w:bottom w:val="single" w:sz="4" w:space="0" w:color="auto"/>
              <w:right w:val="single" w:sz="4" w:space="0" w:color="auto"/>
            </w:tcBorders>
            <w:shd w:val="clear" w:color="auto" w:fill="auto"/>
            <w:noWrap/>
            <w:vAlign w:val="center"/>
            <w:hideMark/>
          </w:tcPr>
          <w:p w14:paraId="610C423D" w14:textId="13950AA1" w:rsidR="005B5146" w:rsidRPr="00FB4174" w:rsidRDefault="005B5146" w:rsidP="005B5146">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415</w:t>
            </w:r>
          </w:p>
        </w:tc>
        <w:tc>
          <w:tcPr>
            <w:tcW w:w="1534" w:type="dxa"/>
            <w:tcBorders>
              <w:top w:val="nil"/>
              <w:left w:val="nil"/>
              <w:bottom w:val="single" w:sz="4" w:space="0" w:color="auto"/>
              <w:right w:val="single" w:sz="4" w:space="0" w:color="auto"/>
            </w:tcBorders>
            <w:shd w:val="clear" w:color="auto" w:fill="auto"/>
            <w:noWrap/>
            <w:vAlign w:val="center"/>
            <w:hideMark/>
          </w:tcPr>
          <w:p w14:paraId="610C423E" w14:textId="43C4E3A0" w:rsidR="005B5146" w:rsidRPr="00FB4174" w:rsidRDefault="005B5146" w:rsidP="005B5146">
            <w:pPr>
              <w:spacing w:after="0" w:line="240" w:lineRule="auto"/>
              <w:jc w:val="right"/>
              <w:rPr>
                <w:rFonts w:ascii="Calibri" w:eastAsia="Times New Roman" w:hAnsi="Calibri" w:cs="Calibri"/>
                <w:color w:val="000000"/>
                <w:lang w:eastAsia="en-GB"/>
              </w:rPr>
            </w:pPr>
            <w:r>
              <w:rPr>
                <w:rFonts w:ascii="Calibri" w:hAnsi="Calibri" w:cs="Calibri"/>
                <w:color w:val="000000"/>
              </w:rPr>
              <w:t>17.40%</w:t>
            </w:r>
          </w:p>
        </w:tc>
      </w:tr>
      <w:tr w:rsidR="005B5146" w:rsidRPr="00FB4174" w14:paraId="610C4243" w14:textId="75A0ABB1"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40" w14:textId="5A32CFF0" w:rsidR="005B5146" w:rsidRPr="00FB4174" w:rsidRDefault="005B5146" w:rsidP="005B5146">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J – General anti</w:t>
            </w:r>
            <w:r>
              <w:rPr>
                <w:rFonts w:ascii="Calibri" w:eastAsia="Times New Roman" w:hAnsi="Calibri" w:cs="Calibri"/>
                <w:color w:val="000000"/>
                <w:lang w:eastAsia="en-GB"/>
              </w:rPr>
              <w:t>-</w:t>
            </w:r>
            <w:r w:rsidRPr="00FB4174">
              <w:rPr>
                <w:rFonts w:ascii="Calibri" w:eastAsia="Times New Roman" w:hAnsi="Calibri" w:cs="Calibri"/>
                <w:color w:val="000000"/>
                <w:lang w:eastAsia="en-GB"/>
              </w:rPr>
              <w:t xml:space="preserve">infectives, systemic </w:t>
            </w:r>
          </w:p>
        </w:tc>
        <w:tc>
          <w:tcPr>
            <w:tcW w:w="881" w:type="dxa"/>
            <w:tcBorders>
              <w:top w:val="nil"/>
              <w:left w:val="nil"/>
              <w:bottom w:val="single" w:sz="4" w:space="0" w:color="auto"/>
              <w:right w:val="single" w:sz="4" w:space="0" w:color="auto"/>
            </w:tcBorders>
            <w:shd w:val="clear" w:color="auto" w:fill="auto"/>
            <w:noWrap/>
            <w:vAlign w:val="center"/>
            <w:hideMark/>
          </w:tcPr>
          <w:p w14:paraId="610C4241" w14:textId="735D5826" w:rsidR="005B5146" w:rsidRPr="00FB4174" w:rsidRDefault="005B5146" w:rsidP="005B5146">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4</w:t>
            </w:r>
            <w:r>
              <w:rPr>
                <w:rFonts w:ascii="Calibri" w:eastAsia="Times New Roman" w:hAnsi="Calibri" w:cs="Calibri"/>
                <w:color w:val="000000"/>
                <w:lang w:eastAsia="en-GB"/>
              </w:rPr>
              <w:t>10</w:t>
            </w:r>
          </w:p>
        </w:tc>
        <w:tc>
          <w:tcPr>
            <w:tcW w:w="1534" w:type="dxa"/>
            <w:tcBorders>
              <w:top w:val="nil"/>
              <w:left w:val="nil"/>
              <w:bottom w:val="single" w:sz="4" w:space="0" w:color="auto"/>
              <w:right w:val="single" w:sz="4" w:space="0" w:color="auto"/>
            </w:tcBorders>
            <w:shd w:val="clear" w:color="auto" w:fill="auto"/>
            <w:noWrap/>
            <w:vAlign w:val="center"/>
            <w:hideMark/>
          </w:tcPr>
          <w:p w14:paraId="610C4242" w14:textId="5F0BA0A4" w:rsidR="005B5146" w:rsidRPr="00FB4174" w:rsidRDefault="005B5146" w:rsidP="005B5146">
            <w:pPr>
              <w:spacing w:after="0" w:line="240" w:lineRule="auto"/>
              <w:jc w:val="right"/>
              <w:rPr>
                <w:rFonts w:ascii="Calibri" w:eastAsia="Times New Roman" w:hAnsi="Calibri" w:cs="Calibri"/>
                <w:color w:val="000000"/>
                <w:lang w:eastAsia="en-GB"/>
              </w:rPr>
            </w:pPr>
            <w:r>
              <w:rPr>
                <w:rFonts w:ascii="Calibri" w:hAnsi="Calibri" w:cs="Calibri"/>
                <w:color w:val="000000"/>
              </w:rPr>
              <w:t>17.19%</w:t>
            </w:r>
          </w:p>
        </w:tc>
      </w:tr>
      <w:tr w:rsidR="007D57FB" w:rsidRPr="00FB4174" w14:paraId="610C4247" w14:textId="54E23758"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44" w14:textId="2FE7A13C"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B – Blood and blood forming organs </w:t>
            </w:r>
          </w:p>
        </w:tc>
        <w:tc>
          <w:tcPr>
            <w:tcW w:w="881" w:type="dxa"/>
            <w:tcBorders>
              <w:top w:val="nil"/>
              <w:left w:val="nil"/>
              <w:bottom w:val="single" w:sz="4" w:space="0" w:color="auto"/>
              <w:right w:val="single" w:sz="4" w:space="0" w:color="auto"/>
            </w:tcBorders>
            <w:shd w:val="clear" w:color="auto" w:fill="auto"/>
            <w:noWrap/>
            <w:vAlign w:val="center"/>
            <w:hideMark/>
          </w:tcPr>
          <w:p w14:paraId="610C4245" w14:textId="5C1E90B6"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32</w:t>
            </w:r>
            <w:r w:rsidR="005B5146">
              <w:rPr>
                <w:rFonts w:ascii="Calibri" w:eastAsia="Times New Roman" w:hAnsi="Calibri" w:cs="Calibri"/>
                <w:color w:val="000000"/>
                <w:lang w:eastAsia="en-GB"/>
              </w:rPr>
              <w:t>9</w:t>
            </w:r>
          </w:p>
        </w:tc>
        <w:tc>
          <w:tcPr>
            <w:tcW w:w="1534" w:type="dxa"/>
            <w:tcBorders>
              <w:top w:val="nil"/>
              <w:left w:val="nil"/>
              <w:bottom w:val="single" w:sz="4" w:space="0" w:color="auto"/>
              <w:right w:val="single" w:sz="4" w:space="0" w:color="auto"/>
            </w:tcBorders>
            <w:shd w:val="clear" w:color="auto" w:fill="auto"/>
            <w:noWrap/>
            <w:vAlign w:val="center"/>
            <w:hideMark/>
          </w:tcPr>
          <w:p w14:paraId="610C4246" w14:textId="1BA28DDB" w:rsidR="007D57FB" w:rsidRPr="008937F3" w:rsidRDefault="005B5146" w:rsidP="008937F3">
            <w:pPr>
              <w:jc w:val="right"/>
              <w:rPr>
                <w:rFonts w:ascii="Calibri" w:hAnsi="Calibri" w:cs="Calibri"/>
                <w:color w:val="000000"/>
              </w:rPr>
            </w:pPr>
            <w:r>
              <w:rPr>
                <w:rFonts w:ascii="Calibri" w:hAnsi="Calibri" w:cs="Calibri"/>
                <w:color w:val="000000"/>
              </w:rPr>
              <w:t>13.79%</w:t>
            </w:r>
          </w:p>
        </w:tc>
      </w:tr>
      <w:tr w:rsidR="007D57FB" w:rsidRPr="00FB4174" w14:paraId="610C424B" w14:textId="54A7ED6C"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48" w14:textId="0185B281" w:rsidR="007D57FB" w:rsidRPr="00FB4174"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 - Alimentary tract</w:t>
            </w:r>
            <w:r w:rsidRPr="00FB4174">
              <w:rPr>
                <w:rFonts w:ascii="Calibri" w:eastAsia="Times New Roman" w:hAnsi="Calibri" w:cs="Calibri"/>
                <w:color w:val="000000"/>
                <w:lang w:eastAsia="en-GB"/>
              </w:rPr>
              <w:t xml:space="preserve"> and metabolism</w:t>
            </w:r>
          </w:p>
        </w:tc>
        <w:tc>
          <w:tcPr>
            <w:tcW w:w="881" w:type="dxa"/>
            <w:tcBorders>
              <w:top w:val="nil"/>
              <w:left w:val="nil"/>
              <w:bottom w:val="single" w:sz="4" w:space="0" w:color="auto"/>
              <w:right w:val="single" w:sz="4" w:space="0" w:color="auto"/>
            </w:tcBorders>
            <w:shd w:val="clear" w:color="auto" w:fill="auto"/>
            <w:noWrap/>
            <w:vAlign w:val="center"/>
            <w:hideMark/>
          </w:tcPr>
          <w:p w14:paraId="610C4249" w14:textId="011DBEDB"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169</w:t>
            </w:r>
          </w:p>
        </w:tc>
        <w:tc>
          <w:tcPr>
            <w:tcW w:w="1534" w:type="dxa"/>
            <w:tcBorders>
              <w:top w:val="nil"/>
              <w:left w:val="nil"/>
              <w:bottom w:val="single" w:sz="4" w:space="0" w:color="auto"/>
              <w:right w:val="single" w:sz="4" w:space="0" w:color="auto"/>
            </w:tcBorders>
            <w:shd w:val="clear" w:color="auto" w:fill="auto"/>
            <w:noWrap/>
            <w:vAlign w:val="center"/>
            <w:hideMark/>
          </w:tcPr>
          <w:p w14:paraId="610C424A" w14:textId="6D2F8FAE"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7.09%</w:t>
            </w:r>
          </w:p>
        </w:tc>
      </w:tr>
      <w:tr w:rsidR="007D57FB" w:rsidRPr="00FB4174" w14:paraId="610C424F" w14:textId="783BE9BB"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4C" w14:textId="494C266B"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R – Respiratory system </w:t>
            </w:r>
          </w:p>
        </w:tc>
        <w:tc>
          <w:tcPr>
            <w:tcW w:w="881" w:type="dxa"/>
            <w:tcBorders>
              <w:top w:val="nil"/>
              <w:left w:val="nil"/>
              <w:bottom w:val="single" w:sz="4" w:space="0" w:color="auto"/>
              <w:right w:val="single" w:sz="4" w:space="0" w:color="auto"/>
            </w:tcBorders>
            <w:shd w:val="clear" w:color="auto" w:fill="auto"/>
            <w:noWrap/>
            <w:vAlign w:val="center"/>
            <w:hideMark/>
          </w:tcPr>
          <w:p w14:paraId="610C424D" w14:textId="096ABD14"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132</w:t>
            </w:r>
          </w:p>
        </w:tc>
        <w:tc>
          <w:tcPr>
            <w:tcW w:w="1534" w:type="dxa"/>
            <w:tcBorders>
              <w:top w:val="nil"/>
              <w:left w:val="nil"/>
              <w:bottom w:val="single" w:sz="4" w:space="0" w:color="auto"/>
              <w:right w:val="single" w:sz="4" w:space="0" w:color="auto"/>
            </w:tcBorders>
            <w:shd w:val="clear" w:color="auto" w:fill="auto"/>
            <w:noWrap/>
            <w:vAlign w:val="center"/>
            <w:hideMark/>
          </w:tcPr>
          <w:p w14:paraId="610C424E" w14:textId="5EE45273"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5.54%</w:t>
            </w:r>
          </w:p>
        </w:tc>
      </w:tr>
      <w:tr w:rsidR="007D57FB" w:rsidRPr="00FB4174" w14:paraId="610C4253" w14:textId="60066D65"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50" w14:textId="2D82909D"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H – Systemic hormonal preparations, excl. sex hormones </w:t>
            </w:r>
          </w:p>
        </w:tc>
        <w:tc>
          <w:tcPr>
            <w:tcW w:w="881" w:type="dxa"/>
            <w:tcBorders>
              <w:top w:val="nil"/>
              <w:left w:val="nil"/>
              <w:bottom w:val="single" w:sz="4" w:space="0" w:color="auto"/>
              <w:right w:val="single" w:sz="4" w:space="0" w:color="auto"/>
            </w:tcBorders>
            <w:shd w:val="clear" w:color="auto" w:fill="auto"/>
            <w:noWrap/>
            <w:vAlign w:val="center"/>
            <w:hideMark/>
          </w:tcPr>
          <w:p w14:paraId="610C4251" w14:textId="04F29D3F"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78</w:t>
            </w:r>
          </w:p>
        </w:tc>
        <w:tc>
          <w:tcPr>
            <w:tcW w:w="1534" w:type="dxa"/>
            <w:tcBorders>
              <w:top w:val="nil"/>
              <w:left w:val="nil"/>
              <w:bottom w:val="single" w:sz="4" w:space="0" w:color="auto"/>
              <w:right w:val="single" w:sz="4" w:space="0" w:color="auto"/>
            </w:tcBorders>
            <w:shd w:val="clear" w:color="auto" w:fill="auto"/>
            <w:noWrap/>
            <w:vAlign w:val="center"/>
            <w:hideMark/>
          </w:tcPr>
          <w:p w14:paraId="610C4252" w14:textId="6A8734EE"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3.27%</w:t>
            </w:r>
          </w:p>
        </w:tc>
      </w:tr>
      <w:tr w:rsidR="007D57FB" w:rsidRPr="00FB4174" w14:paraId="610C4257" w14:textId="44628586"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54" w14:textId="719F9AD9"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M – Musculo-skeletal system</w:t>
            </w:r>
          </w:p>
        </w:tc>
        <w:tc>
          <w:tcPr>
            <w:tcW w:w="881" w:type="dxa"/>
            <w:tcBorders>
              <w:top w:val="nil"/>
              <w:left w:val="nil"/>
              <w:bottom w:val="single" w:sz="4" w:space="0" w:color="auto"/>
              <w:right w:val="single" w:sz="4" w:space="0" w:color="auto"/>
            </w:tcBorders>
            <w:shd w:val="clear" w:color="auto" w:fill="auto"/>
            <w:noWrap/>
            <w:vAlign w:val="center"/>
            <w:hideMark/>
          </w:tcPr>
          <w:p w14:paraId="610C4255" w14:textId="13046AE6"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58</w:t>
            </w:r>
          </w:p>
        </w:tc>
        <w:tc>
          <w:tcPr>
            <w:tcW w:w="1534" w:type="dxa"/>
            <w:tcBorders>
              <w:top w:val="nil"/>
              <w:left w:val="nil"/>
              <w:bottom w:val="single" w:sz="4" w:space="0" w:color="auto"/>
              <w:right w:val="single" w:sz="4" w:space="0" w:color="auto"/>
            </w:tcBorders>
            <w:shd w:val="clear" w:color="auto" w:fill="auto"/>
            <w:noWrap/>
            <w:vAlign w:val="center"/>
            <w:hideMark/>
          </w:tcPr>
          <w:p w14:paraId="610C4256" w14:textId="2B85BAF8"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2.43%</w:t>
            </w:r>
          </w:p>
        </w:tc>
      </w:tr>
      <w:tr w:rsidR="007D57FB" w:rsidRPr="00FB4174" w14:paraId="610C425B" w14:textId="28D34949"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58" w14:textId="10EBA204"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S - </w:t>
            </w:r>
            <w:r>
              <w:rPr>
                <w:rFonts w:ascii="Calibri" w:eastAsia="Times New Roman" w:hAnsi="Calibri" w:cs="Calibri"/>
                <w:color w:val="000000"/>
                <w:lang w:eastAsia="en-GB"/>
              </w:rPr>
              <w:t>S</w:t>
            </w:r>
            <w:r w:rsidRPr="00FB4174">
              <w:rPr>
                <w:rFonts w:ascii="Calibri" w:eastAsia="Times New Roman" w:hAnsi="Calibri" w:cs="Calibri"/>
                <w:color w:val="000000"/>
                <w:lang w:eastAsia="en-GB"/>
              </w:rPr>
              <w:t>ensory organs</w:t>
            </w:r>
          </w:p>
        </w:tc>
        <w:tc>
          <w:tcPr>
            <w:tcW w:w="881" w:type="dxa"/>
            <w:tcBorders>
              <w:top w:val="nil"/>
              <w:left w:val="nil"/>
              <w:bottom w:val="single" w:sz="4" w:space="0" w:color="auto"/>
              <w:right w:val="single" w:sz="4" w:space="0" w:color="auto"/>
            </w:tcBorders>
            <w:shd w:val="clear" w:color="auto" w:fill="auto"/>
            <w:noWrap/>
            <w:vAlign w:val="center"/>
            <w:hideMark/>
          </w:tcPr>
          <w:p w14:paraId="610C4259" w14:textId="3AB321C2"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11</w:t>
            </w:r>
          </w:p>
        </w:tc>
        <w:tc>
          <w:tcPr>
            <w:tcW w:w="1534" w:type="dxa"/>
            <w:tcBorders>
              <w:top w:val="nil"/>
              <w:left w:val="nil"/>
              <w:bottom w:val="single" w:sz="4" w:space="0" w:color="auto"/>
              <w:right w:val="single" w:sz="4" w:space="0" w:color="auto"/>
            </w:tcBorders>
            <w:shd w:val="clear" w:color="auto" w:fill="auto"/>
            <w:noWrap/>
            <w:vAlign w:val="center"/>
            <w:hideMark/>
          </w:tcPr>
          <w:p w14:paraId="610C425A" w14:textId="0522F30F"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0.46%</w:t>
            </w:r>
          </w:p>
        </w:tc>
      </w:tr>
      <w:tr w:rsidR="007D57FB" w:rsidRPr="00FB4174" w14:paraId="610C425F" w14:textId="398989F2"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5C" w14:textId="2601BECC"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L - </w:t>
            </w:r>
            <w:r>
              <w:rPr>
                <w:rFonts w:ascii="Calibri" w:eastAsia="Times New Roman" w:hAnsi="Calibri" w:cs="Calibri"/>
                <w:color w:val="000000"/>
                <w:lang w:eastAsia="en-GB"/>
              </w:rPr>
              <w:t>A</w:t>
            </w:r>
            <w:r w:rsidRPr="00FB4174">
              <w:rPr>
                <w:rFonts w:ascii="Calibri" w:eastAsia="Times New Roman" w:hAnsi="Calibri" w:cs="Calibri"/>
                <w:color w:val="000000"/>
                <w:lang w:eastAsia="en-GB"/>
              </w:rPr>
              <w:t>ntineoplastic and immunomodulating agents</w:t>
            </w:r>
          </w:p>
        </w:tc>
        <w:tc>
          <w:tcPr>
            <w:tcW w:w="881" w:type="dxa"/>
            <w:tcBorders>
              <w:top w:val="nil"/>
              <w:left w:val="nil"/>
              <w:bottom w:val="single" w:sz="4" w:space="0" w:color="auto"/>
              <w:right w:val="single" w:sz="4" w:space="0" w:color="auto"/>
            </w:tcBorders>
            <w:shd w:val="clear" w:color="auto" w:fill="auto"/>
            <w:noWrap/>
            <w:vAlign w:val="center"/>
            <w:hideMark/>
          </w:tcPr>
          <w:p w14:paraId="610C425D" w14:textId="2C016AE8"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6</w:t>
            </w:r>
          </w:p>
        </w:tc>
        <w:tc>
          <w:tcPr>
            <w:tcW w:w="1534" w:type="dxa"/>
            <w:tcBorders>
              <w:top w:val="nil"/>
              <w:left w:val="nil"/>
              <w:bottom w:val="single" w:sz="4" w:space="0" w:color="auto"/>
              <w:right w:val="single" w:sz="4" w:space="0" w:color="auto"/>
            </w:tcBorders>
            <w:shd w:val="clear" w:color="auto" w:fill="auto"/>
            <w:noWrap/>
            <w:vAlign w:val="center"/>
            <w:hideMark/>
          </w:tcPr>
          <w:p w14:paraId="610C425E" w14:textId="4D6F151B"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0.25%</w:t>
            </w:r>
          </w:p>
        </w:tc>
      </w:tr>
      <w:tr w:rsidR="007D57FB" w:rsidRPr="00FB4174" w14:paraId="610C4263" w14:textId="4A2FEA54"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60" w14:textId="6C7DDA49"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G – Gentino-urinary system and sex hormones </w:t>
            </w:r>
          </w:p>
        </w:tc>
        <w:tc>
          <w:tcPr>
            <w:tcW w:w="881" w:type="dxa"/>
            <w:tcBorders>
              <w:top w:val="nil"/>
              <w:left w:val="nil"/>
              <w:bottom w:val="single" w:sz="4" w:space="0" w:color="auto"/>
              <w:right w:val="single" w:sz="4" w:space="0" w:color="auto"/>
            </w:tcBorders>
            <w:shd w:val="clear" w:color="auto" w:fill="auto"/>
            <w:noWrap/>
            <w:vAlign w:val="center"/>
            <w:hideMark/>
          </w:tcPr>
          <w:p w14:paraId="610C4261" w14:textId="332C0666"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3</w:t>
            </w:r>
          </w:p>
        </w:tc>
        <w:tc>
          <w:tcPr>
            <w:tcW w:w="1534" w:type="dxa"/>
            <w:tcBorders>
              <w:top w:val="nil"/>
              <w:left w:val="nil"/>
              <w:bottom w:val="single" w:sz="4" w:space="0" w:color="auto"/>
              <w:right w:val="single" w:sz="4" w:space="0" w:color="auto"/>
            </w:tcBorders>
            <w:shd w:val="clear" w:color="auto" w:fill="auto"/>
            <w:noWrap/>
            <w:vAlign w:val="center"/>
            <w:hideMark/>
          </w:tcPr>
          <w:p w14:paraId="610C4262" w14:textId="3AFE55D7"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0.13%</w:t>
            </w:r>
          </w:p>
        </w:tc>
      </w:tr>
      <w:tr w:rsidR="007D57FB" w:rsidRPr="00FB4174" w14:paraId="610C4267" w14:textId="13947A02"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64" w14:textId="59180302"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D </w:t>
            </w:r>
            <w:r>
              <w:rPr>
                <w:rFonts w:ascii="Calibri" w:eastAsia="Times New Roman" w:hAnsi="Calibri" w:cs="Calibri"/>
                <w:color w:val="000000"/>
                <w:lang w:eastAsia="en-GB"/>
              </w:rPr>
              <w:t>–</w:t>
            </w:r>
            <w:r w:rsidRPr="00FB4174">
              <w:rPr>
                <w:rFonts w:ascii="Calibri" w:eastAsia="Times New Roman" w:hAnsi="Calibri" w:cs="Calibri"/>
                <w:color w:val="000000"/>
                <w:lang w:eastAsia="en-GB"/>
              </w:rPr>
              <w:t xml:space="preserve"> Dermatologics</w:t>
            </w:r>
          </w:p>
        </w:tc>
        <w:tc>
          <w:tcPr>
            <w:tcW w:w="881" w:type="dxa"/>
            <w:tcBorders>
              <w:top w:val="nil"/>
              <w:left w:val="nil"/>
              <w:bottom w:val="single" w:sz="4" w:space="0" w:color="auto"/>
              <w:right w:val="single" w:sz="4" w:space="0" w:color="auto"/>
            </w:tcBorders>
            <w:shd w:val="clear" w:color="auto" w:fill="auto"/>
            <w:noWrap/>
            <w:vAlign w:val="center"/>
            <w:hideMark/>
          </w:tcPr>
          <w:p w14:paraId="610C4265" w14:textId="093844EA"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2</w:t>
            </w:r>
          </w:p>
        </w:tc>
        <w:tc>
          <w:tcPr>
            <w:tcW w:w="1534" w:type="dxa"/>
            <w:tcBorders>
              <w:top w:val="nil"/>
              <w:left w:val="nil"/>
              <w:bottom w:val="single" w:sz="4" w:space="0" w:color="auto"/>
              <w:right w:val="single" w:sz="4" w:space="0" w:color="auto"/>
            </w:tcBorders>
            <w:shd w:val="clear" w:color="auto" w:fill="auto"/>
            <w:noWrap/>
            <w:vAlign w:val="center"/>
            <w:hideMark/>
          </w:tcPr>
          <w:p w14:paraId="610C4266" w14:textId="4EB868AC"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0.08%</w:t>
            </w:r>
          </w:p>
        </w:tc>
      </w:tr>
      <w:tr w:rsidR="007D57FB" w:rsidRPr="00FB4174" w14:paraId="610C426B" w14:textId="7854CCCD"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68" w14:textId="14570D14"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P - </w:t>
            </w:r>
            <w:r>
              <w:rPr>
                <w:rFonts w:ascii="Calibri" w:eastAsia="Times New Roman" w:hAnsi="Calibri" w:cs="Calibri"/>
                <w:color w:val="000000"/>
                <w:lang w:eastAsia="en-GB"/>
              </w:rPr>
              <w:t>A</w:t>
            </w:r>
            <w:r w:rsidRPr="00FB4174">
              <w:rPr>
                <w:rFonts w:ascii="Calibri" w:eastAsia="Times New Roman" w:hAnsi="Calibri" w:cs="Calibri"/>
                <w:color w:val="000000"/>
                <w:lang w:eastAsia="en-GB"/>
              </w:rPr>
              <w:t>ntiparasitic products, insecticides and repellents</w:t>
            </w:r>
          </w:p>
        </w:tc>
        <w:tc>
          <w:tcPr>
            <w:tcW w:w="881" w:type="dxa"/>
            <w:tcBorders>
              <w:top w:val="nil"/>
              <w:left w:val="nil"/>
              <w:bottom w:val="single" w:sz="4" w:space="0" w:color="auto"/>
              <w:right w:val="single" w:sz="4" w:space="0" w:color="auto"/>
            </w:tcBorders>
            <w:shd w:val="clear" w:color="auto" w:fill="auto"/>
            <w:noWrap/>
            <w:vAlign w:val="center"/>
            <w:hideMark/>
          </w:tcPr>
          <w:p w14:paraId="610C4269" w14:textId="6A9D6A8A"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2</w:t>
            </w:r>
          </w:p>
        </w:tc>
        <w:tc>
          <w:tcPr>
            <w:tcW w:w="1534" w:type="dxa"/>
            <w:tcBorders>
              <w:top w:val="nil"/>
              <w:left w:val="nil"/>
              <w:bottom w:val="single" w:sz="4" w:space="0" w:color="auto"/>
              <w:right w:val="single" w:sz="4" w:space="0" w:color="auto"/>
            </w:tcBorders>
            <w:shd w:val="clear" w:color="auto" w:fill="auto"/>
            <w:noWrap/>
            <w:vAlign w:val="center"/>
            <w:hideMark/>
          </w:tcPr>
          <w:p w14:paraId="610C426A" w14:textId="340D2BC4"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0.08%</w:t>
            </w:r>
          </w:p>
        </w:tc>
      </w:tr>
      <w:tr w:rsidR="007D57FB" w:rsidRPr="00FB4174" w14:paraId="610C426F" w14:textId="2D26EB55"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6C" w14:textId="6841C311"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xml:space="preserve">V – Various </w:t>
            </w:r>
          </w:p>
        </w:tc>
        <w:tc>
          <w:tcPr>
            <w:tcW w:w="881" w:type="dxa"/>
            <w:tcBorders>
              <w:top w:val="nil"/>
              <w:left w:val="nil"/>
              <w:bottom w:val="single" w:sz="4" w:space="0" w:color="auto"/>
              <w:right w:val="single" w:sz="4" w:space="0" w:color="auto"/>
            </w:tcBorders>
            <w:shd w:val="clear" w:color="auto" w:fill="auto"/>
            <w:noWrap/>
            <w:vAlign w:val="center"/>
            <w:hideMark/>
          </w:tcPr>
          <w:p w14:paraId="610C426D" w14:textId="3DE540E9"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1</w:t>
            </w:r>
          </w:p>
        </w:tc>
        <w:tc>
          <w:tcPr>
            <w:tcW w:w="1534" w:type="dxa"/>
            <w:tcBorders>
              <w:top w:val="nil"/>
              <w:left w:val="nil"/>
              <w:bottom w:val="single" w:sz="4" w:space="0" w:color="auto"/>
              <w:right w:val="single" w:sz="4" w:space="0" w:color="auto"/>
            </w:tcBorders>
            <w:shd w:val="clear" w:color="auto" w:fill="auto"/>
            <w:noWrap/>
            <w:vAlign w:val="center"/>
            <w:hideMark/>
          </w:tcPr>
          <w:p w14:paraId="610C426E" w14:textId="1EF80D67"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0.04%</w:t>
            </w:r>
          </w:p>
        </w:tc>
      </w:tr>
      <w:tr w:rsidR="007D57FB" w:rsidRPr="00FB4174" w14:paraId="610C4273" w14:textId="5C1445AB" w:rsidTr="005B5146">
        <w:trPr>
          <w:trHeight w:val="290"/>
        </w:trPr>
        <w:tc>
          <w:tcPr>
            <w:tcW w:w="5580" w:type="dxa"/>
            <w:tcBorders>
              <w:top w:val="nil"/>
              <w:left w:val="single" w:sz="4" w:space="0" w:color="auto"/>
              <w:bottom w:val="single" w:sz="4" w:space="0" w:color="auto"/>
              <w:right w:val="single" w:sz="4" w:space="0" w:color="auto"/>
            </w:tcBorders>
            <w:shd w:val="clear" w:color="auto" w:fill="auto"/>
            <w:noWrap/>
            <w:vAlign w:val="center"/>
            <w:hideMark/>
          </w:tcPr>
          <w:p w14:paraId="610C4270" w14:textId="491ED739" w:rsidR="007D57FB" w:rsidRPr="00FB4174" w:rsidRDefault="007D57FB" w:rsidP="005B3E6B">
            <w:pPr>
              <w:spacing w:after="0" w:line="240" w:lineRule="auto"/>
              <w:rPr>
                <w:rFonts w:ascii="Calibri" w:eastAsia="Times New Roman" w:hAnsi="Calibri" w:cs="Calibri"/>
                <w:color w:val="000000"/>
                <w:lang w:eastAsia="en-GB"/>
              </w:rPr>
            </w:pPr>
            <w:r w:rsidRPr="00FB4174">
              <w:rPr>
                <w:rFonts w:ascii="Calibri" w:eastAsia="Times New Roman" w:hAnsi="Calibri" w:cs="Calibri"/>
                <w:color w:val="000000"/>
                <w:lang w:eastAsia="en-GB"/>
              </w:rPr>
              <w:t> </w:t>
            </w:r>
          </w:p>
        </w:tc>
        <w:tc>
          <w:tcPr>
            <w:tcW w:w="881" w:type="dxa"/>
            <w:tcBorders>
              <w:top w:val="nil"/>
              <w:left w:val="nil"/>
              <w:bottom w:val="single" w:sz="4" w:space="0" w:color="auto"/>
              <w:right w:val="single" w:sz="4" w:space="0" w:color="auto"/>
            </w:tcBorders>
            <w:shd w:val="clear" w:color="auto" w:fill="auto"/>
            <w:noWrap/>
            <w:vAlign w:val="center"/>
            <w:hideMark/>
          </w:tcPr>
          <w:p w14:paraId="610C4271" w14:textId="4628C813"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238</w:t>
            </w:r>
            <w:r w:rsidR="005B5146">
              <w:rPr>
                <w:rFonts w:ascii="Calibri" w:eastAsia="Times New Roman" w:hAnsi="Calibri" w:cs="Calibri"/>
                <w:color w:val="000000"/>
                <w:lang w:eastAsia="en-GB"/>
              </w:rPr>
              <w:t>5</w:t>
            </w:r>
          </w:p>
        </w:tc>
        <w:tc>
          <w:tcPr>
            <w:tcW w:w="1534" w:type="dxa"/>
            <w:tcBorders>
              <w:top w:val="nil"/>
              <w:left w:val="nil"/>
              <w:bottom w:val="single" w:sz="4" w:space="0" w:color="auto"/>
              <w:right w:val="single" w:sz="4" w:space="0" w:color="auto"/>
            </w:tcBorders>
            <w:shd w:val="clear" w:color="auto" w:fill="auto"/>
            <w:noWrap/>
            <w:vAlign w:val="center"/>
            <w:hideMark/>
          </w:tcPr>
          <w:p w14:paraId="610C4272" w14:textId="6201E3A7" w:rsidR="007D57FB" w:rsidRPr="00FB4174" w:rsidRDefault="007D57FB" w:rsidP="005B3E6B">
            <w:pPr>
              <w:spacing w:after="0" w:line="240" w:lineRule="auto"/>
              <w:jc w:val="right"/>
              <w:rPr>
                <w:rFonts w:ascii="Calibri" w:eastAsia="Times New Roman" w:hAnsi="Calibri" w:cs="Calibri"/>
                <w:color w:val="000000"/>
                <w:lang w:eastAsia="en-GB"/>
              </w:rPr>
            </w:pPr>
            <w:r w:rsidRPr="00FB4174">
              <w:rPr>
                <w:rFonts w:ascii="Calibri" w:eastAsia="Times New Roman" w:hAnsi="Calibri" w:cs="Calibri"/>
                <w:color w:val="000000"/>
                <w:lang w:eastAsia="en-GB"/>
              </w:rPr>
              <w:t>100.00%</w:t>
            </w:r>
          </w:p>
        </w:tc>
      </w:tr>
    </w:tbl>
    <w:p w14:paraId="610C4274" w14:textId="66967D7B" w:rsidR="007D57FB" w:rsidRDefault="007D57FB">
      <w:pPr>
        <w:rPr>
          <w:i/>
        </w:rPr>
      </w:pPr>
      <w:r>
        <w:t xml:space="preserve"> </w:t>
      </w:r>
      <w:r w:rsidRPr="00EB3F34">
        <w:rPr>
          <w:i/>
        </w:rPr>
        <w:t>Excl. - excluding</w:t>
      </w:r>
    </w:p>
    <w:p w14:paraId="0AC97736" w14:textId="77777777" w:rsidR="006E7C16" w:rsidRPr="008937F3" w:rsidRDefault="006E7C16"/>
    <w:p w14:paraId="7979A0F6" w14:textId="1F63D8DA" w:rsidR="006E7C16" w:rsidRPr="00EB3F34" w:rsidRDefault="006E7C16">
      <w:pPr>
        <w:rPr>
          <w:i/>
        </w:rPr>
        <w:sectPr w:rsidR="006E7C16" w:rsidRPr="00EB3F34" w:rsidSect="005B3E6B">
          <w:pgSz w:w="11906" w:h="16838"/>
          <w:pgMar w:top="1440" w:right="1440" w:bottom="1440" w:left="1440" w:header="708" w:footer="708" w:gutter="0"/>
          <w:cols w:space="708"/>
          <w:docGrid w:linePitch="360"/>
        </w:sectPr>
      </w:pPr>
    </w:p>
    <w:p w14:paraId="610C4275" w14:textId="6424C335" w:rsidR="007D57FB" w:rsidRDefault="00DA5224" w:rsidP="005B3E6B">
      <w:pPr>
        <w:pStyle w:val="Heading2"/>
      </w:pPr>
      <w:bookmarkStart w:id="52" w:name="_Toc52396371"/>
      <w:r>
        <w:t>Appendix 21</w:t>
      </w:r>
      <w:r w:rsidR="00737863">
        <w:t>.</w:t>
      </w:r>
      <w:r w:rsidR="007D57FB">
        <w:t xml:space="preserve"> </w:t>
      </w:r>
      <w:r w:rsidR="007D57FB" w:rsidRPr="00D2112B">
        <w:t xml:space="preserve">Breakdown </w:t>
      </w:r>
      <w:r w:rsidR="007D57FB">
        <w:t xml:space="preserve">of Causative Drugs </w:t>
      </w:r>
      <w:r w:rsidR="007D57FB" w:rsidRPr="00D2112B">
        <w:t>by ATC Classificatio</w:t>
      </w:r>
      <w:r w:rsidR="007D57FB">
        <w:t>n in D</w:t>
      </w:r>
      <w:r w:rsidR="007D57FB" w:rsidRPr="00D2112B">
        <w:t xml:space="preserve">escending </w:t>
      </w:r>
      <w:r w:rsidR="007D57FB">
        <w:t>Frequency – Grouped by Anatomical (ATC 1</w:t>
      </w:r>
      <w:r w:rsidR="007D57FB" w:rsidRPr="00C41261">
        <w:rPr>
          <w:vertAlign w:val="superscript"/>
        </w:rPr>
        <w:t>st</w:t>
      </w:r>
      <w:r w:rsidR="007D57FB">
        <w:t>) Level to Chemical Substance/Drug (ATC 5</w:t>
      </w:r>
      <w:r w:rsidR="007D57FB" w:rsidRPr="005C3A7C">
        <w:rPr>
          <w:vertAlign w:val="superscript"/>
        </w:rPr>
        <w:t>th</w:t>
      </w:r>
      <w:r w:rsidR="007D57FB">
        <w:t>)</w:t>
      </w:r>
      <w:r w:rsidR="00903645">
        <w:t>; n = 2385</w:t>
      </w:r>
      <w:r w:rsidR="00546F3C">
        <w:t>.</w:t>
      </w:r>
      <w:bookmarkEnd w:id="52"/>
    </w:p>
    <w:p w14:paraId="610C4276" w14:textId="77777777" w:rsidR="007D57FB" w:rsidRPr="00DA42B5" w:rsidRDefault="007D57FB" w:rsidP="005B3E6B">
      <w:pPr>
        <w:pStyle w:val="Heading3"/>
      </w:pPr>
      <w:bookmarkStart w:id="53" w:name="_Toc52396372"/>
      <w:r>
        <w:t>Cardiovascular system</w:t>
      </w:r>
      <w:bookmarkEnd w:id="53"/>
    </w:p>
    <w:tbl>
      <w:tblPr>
        <w:tblW w:w="13449" w:type="dxa"/>
        <w:tblLook w:val="04A0" w:firstRow="1" w:lastRow="0" w:firstColumn="1" w:lastColumn="0" w:noHBand="0" w:noVBand="1"/>
      </w:tblPr>
      <w:tblGrid>
        <w:gridCol w:w="1129"/>
        <w:gridCol w:w="2835"/>
        <w:gridCol w:w="551"/>
        <w:gridCol w:w="692"/>
        <w:gridCol w:w="2020"/>
        <w:gridCol w:w="551"/>
        <w:gridCol w:w="823"/>
        <w:gridCol w:w="1884"/>
        <w:gridCol w:w="551"/>
        <w:gridCol w:w="1860"/>
        <w:gridCol w:w="553"/>
      </w:tblGrid>
      <w:tr w:rsidR="007D57FB" w:rsidRPr="00547F82" w14:paraId="610C4278" w14:textId="77777777" w:rsidTr="005B3E6B">
        <w:trPr>
          <w:trHeight w:val="50"/>
        </w:trPr>
        <w:tc>
          <w:tcPr>
            <w:tcW w:w="13449"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277" w14:textId="180E3E98" w:rsidR="007D57FB" w:rsidRPr="00547F82" w:rsidRDefault="007D57FB">
            <w:pPr>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Cardiovascular 769 (32.2</w:t>
            </w:r>
            <w:r w:rsidR="00AB78B1">
              <w:rPr>
                <w:rFonts w:ascii="Calibri" w:eastAsia="Times New Roman" w:hAnsi="Calibri" w:cs="Calibri"/>
                <w:b/>
                <w:bCs/>
                <w:color w:val="000000"/>
                <w:lang w:eastAsia="en-GB"/>
              </w:rPr>
              <w:t>4</w:t>
            </w:r>
            <w:r w:rsidRPr="00547F82">
              <w:rPr>
                <w:rFonts w:ascii="Calibri" w:eastAsia="Times New Roman" w:hAnsi="Calibri" w:cs="Calibri"/>
                <w:b/>
                <w:bCs/>
                <w:color w:val="000000"/>
                <w:lang w:eastAsia="en-GB"/>
              </w:rPr>
              <w:t>%)</w:t>
            </w:r>
          </w:p>
        </w:tc>
      </w:tr>
      <w:tr w:rsidR="007D57FB" w:rsidRPr="00547F82" w14:paraId="610C4284" w14:textId="77777777" w:rsidTr="005B3E6B">
        <w:trPr>
          <w:trHeight w:val="50"/>
        </w:trPr>
        <w:tc>
          <w:tcPr>
            <w:tcW w:w="1129" w:type="dxa"/>
            <w:tcBorders>
              <w:top w:val="nil"/>
              <w:left w:val="single" w:sz="4" w:space="0" w:color="auto"/>
              <w:bottom w:val="nil"/>
              <w:right w:val="single" w:sz="4" w:space="0" w:color="auto"/>
            </w:tcBorders>
            <w:shd w:val="clear" w:color="000000" w:fill="E7E6E6"/>
            <w:vAlign w:val="center"/>
            <w:hideMark/>
          </w:tcPr>
          <w:p w14:paraId="610C4279"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Pr>
                <w:rFonts w:ascii="Calibri" w:eastAsia="Times New Roman" w:hAnsi="Calibri" w:cs="Calibri"/>
                <w:b/>
                <w:bCs/>
                <w:color w:val="000000"/>
                <w:vertAlign w:val="superscript"/>
                <w:lang w:eastAsia="en-GB"/>
              </w:rPr>
              <w:t>nd</w:t>
            </w:r>
          </w:p>
        </w:tc>
        <w:tc>
          <w:tcPr>
            <w:tcW w:w="2835" w:type="dxa"/>
            <w:tcBorders>
              <w:top w:val="nil"/>
              <w:left w:val="nil"/>
              <w:bottom w:val="nil"/>
              <w:right w:val="single" w:sz="4" w:space="0" w:color="auto"/>
            </w:tcBorders>
            <w:shd w:val="clear" w:color="000000" w:fill="E7E6E6"/>
            <w:vAlign w:val="center"/>
            <w:hideMark/>
          </w:tcPr>
          <w:p w14:paraId="610C427A"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547F82">
              <w:rPr>
                <w:rFonts w:ascii="Calibri" w:eastAsia="Times New Roman" w:hAnsi="Calibri" w:cs="Calibri"/>
                <w:b/>
                <w:bCs/>
                <w:color w:val="000000"/>
                <w:lang w:eastAsia="en-GB"/>
              </w:rPr>
              <w:t>herapeut</w:t>
            </w:r>
            <w:r>
              <w:rPr>
                <w:rFonts w:ascii="Calibri" w:eastAsia="Times New Roman" w:hAnsi="Calibri" w:cs="Calibri"/>
                <w:b/>
                <w:bCs/>
                <w:color w:val="000000"/>
                <w:lang w:eastAsia="en-GB"/>
              </w:rPr>
              <w:t>ic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27B"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692" w:type="dxa"/>
            <w:tcBorders>
              <w:top w:val="nil"/>
              <w:left w:val="nil"/>
              <w:bottom w:val="nil"/>
              <w:right w:val="single" w:sz="4" w:space="0" w:color="auto"/>
            </w:tcBorders>
            <w:shd w:val="clear" w:color="000000" w:fill="E7E6E6"/>
            <w:vAlign w:val="center"/>
            <w:hideMark/>
          </w:tcPr>
          <w:p w14:paraId="610C427C"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3</w:t>
            </w:r>
            <w:r w:rsidRPr="00C41261">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020" w:type="dxa"/>
            <w:tcBorders>
              <w:top w:val="nil"/>
              <w:left w:val="nil"/>
              <w:bottom w:val="nil"/>
              <w:right w:val="single" w:sz="4" w:space="0" w:color="auto"/>
            </w:tcBorders>
            <w:shd w:val="clear" w:color="000000" w:fill="E7E6E6"/>
            <w:vAlign w:val="center"/>
            <w:hideMark/>
          </w:tcPr>
          <w:p w14:paraId="610C427D"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27E"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823" w:type="dxa"/>
            <w:tcBorders>
              <w:top w:val="nil"/>
              <w:left w:val="nil"/>
              <w:bottom w:val="nil"/>
              <w:right w:val="single" w:sz="4" w:space="0" w:color="auto"/>
            </w:tcBorders>
            <w:shd w:val="clear" w:color="000000" w:fill="E7E6E6"/>
            <w:vAlign w:val="center"/>
            <w:hideMark/>
          </w:tcPr>
          <w:p w14:paraId="610C427F"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4</w:t>
            </w:r>
            <w:r w:rsidRPr="00C41261">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4" w:type="dxa"/>
            <w:tcBorders>
              <w:top w:val="nil"/>
              <w:left w:val="nil"/>
              <w:bottom w:val="nil"/>
              <w:right w:val="single" w:sz="4" w:space="0" w:color="auto"/>
            </w:tcBorders>
            <w:shd w:val="clear" w:color="000000" w:fill="E7E6E6"/>
            <w:vAlign w:val="center"/>
            <w:hideMark/>
          </w:tcPr>
          <w:p w14:paraId="610C4280"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281"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1860" w:type="dxa"/>
            <w:tcBorders>
              <w:top w:val="nil"/>
              <w:left w:val="nil"/>
              <w:bottom w:val="nil"/>
              <w:right w:val="single" w:sz="4" w:space="0" w:color="auto"/>
            </w:tcBorders>
            <w:shd w:val="clear" w:color="000000" w:fill="E7E6E6"/>
            <w:vAlign w:val="center"/>
            <w:hideMark/>
          </w:tcPr>
          <w:p w14:paraId="610C4282"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547F82">
              <w:rPr>
                <w:rFonts w:ascii="Calibri" w:eastAsia="Times New Roman" w:hAnsi="Calibri" w:cs="Calibri"/>
                <w:b/>
                <w:bCs/>
                <w:color w:val="000000"/>
                <w:lang w:eastAsia="en-GB"/>
              </w:rPr>
              <w:t xml:space="preserve"> drug (when n ≥ 10)</w:t>
            </w:r>
          </w:p>
        </w:tc>
        <w:tc>
          <w:tcPr>
            <w:tcW w:w="553" w:type="dxa"/>
            <w:tcBorders>
              <w:top w:val="nil"/>
              <w:left w:val="nil"/>
              <w:bottom w:val="nil"/>
              <w:right w:val="single" w:sz="4" w:space="0" w:color="auto"/>
            </w:tcBorders>
            <w:shd w:val="clear" w:color="000000" w:fill="E7E6E6"/>
            <w:vAlign w:val="center"/>
            <w:hideMark/>
          </w:tcPr>
          <w:p w14:paraId="610C4283"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r>
      <w:tr w:rsidR="007D57FB" w:rsidRPr="00547F82" w14:paraId="610C4290" w14:textId="77777777" w:rsidTr="005B3E6B">
        <w:trPr>
          <w:trHeight w:val="2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6"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Diuretics</w:t>
            </w:r>
          </w:p>
        </w:tc>
        <w:tc>
          <w:tcPr>
            <w:tcW w:w="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7"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473</w:t>
            </w:r>
          </w:p>
        </w:tc>
        <w:tc>
          <w:tcPr>
            <w:tcW w:w="6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C03C</w:t>
            </w:r>
          </w:p>
        </w:tc>
        <w:tc>
          <w:tcPr>
            <w:tcW w:w="2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High-ceiling diuretics</w:t>
            </w:r>
          </w:p>
        </w:tc>
        <w:tc>
          <w:tcPr>
            <w:tcW w:w="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234</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B"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C03CA</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Sulfonamides, plain</w:t>
            </w:r>
          </w:p>
        </w:tc>
        <w:tc>
          <w:tcPr>
            <w:tcW w:w="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28D"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232</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610C428E"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Furosemide</w:t>
            </w:r>
          </w:p>
        </w:tc>
        <w:tc>
          <w:tcPr>
            <w:tcW w:w="553" w:type="dxa"/>
            <w:tcBorders>
              <w:top w:val="single" w:sz="4" w:space="0" w:color="auto"/>
              <w:left w:val="nil"/>
              <w:bottom w:val="single" w:sz="4" w:space="0" w:color="auto"/>
              <w:right w:val="single" w:sz="4" w:space="0" w:color="auto"/>
            </w:tcBorders>
            <w:shd w:val="clear" w:color="auto" w:fill="auto"/>
            <w:noWrap/>
            <w:vAlign w:val="center"/>
            <w:hideMark/>
          </w:tcPr>
          <w:p w14:paraId="610C428F"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194</w:t>
            </w:r>
          </w:p>
        </w:tc>
      </w:tr>
      <w:tr w:rsidR="007D57FB" w:rsidRPr="00547F82" w14:paraId="610C429C"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91"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92"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93"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vMerge/>
            <w:tcBorders>
              <w:top w:val="single" w:sz="4" w:space="0" w:color="auto"/>
              <w:left w:val="single" w:sz="4" w:space="0" w:color="auto"/>
              <w:bottom w:val="single" w:sz="4" w:space="0" w:color="auto"/>
              <w:right w:val="single" w:sz="4" w:space="0" w:color="auto"/>
            </w:tcBorders>
            <w:vAlign w:val="center"/>
            <w:hideMark/>
          </w:tcPr>
          <w:p w14:paraId="610C4294"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14:paraId="610C429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9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610C429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1884" w:type="dxa"/>
            <w:vMerge/>
            <w:tcBorders>
              <w:top w:val="single" w:sz="4" w:space="0" w:color="auto"/>
              <w:left w:val="single" w:sz="4" w:space="0" w:color="auto"/>
              <w:bottom w:val="single" w:sz="4" w:space="0" w:color="auto"/>
              <w:right w:val="single" w:sz="4" w:space="0" w:color="auto"/>
            </w:tcBorders>
            <w:vAlign w:val="center"/>
            <w:hideMark/>
          </w:tcPr>
          <w:p w14:paraId="610C4298"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99"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1860" w:type="dxa"/>
            <w:tcBorders>
              <w:top w:val="nil"/>
              <w:left w:val="nil"/>
              <w:bottom w:val="single" w:sz="4" w:space="0" w:color="auto"/>
              <w:right w:val="single" w:sz="4" w:space="0" w:color="auto"/>
            </w:tcBorders>
            <w:shd w:val="clear" w:color="auto" w:fill="auto"/>
            <w:noWrap/>
            <w:vAlign w:val="center"/>
            <w:hideMark/>
          </w:tcPr>
          <w:p w14:paraId="610C429A"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Bumetanide</w:t>
            </w:r>
          </w:p>
        </w:tc>
        <w:tc>
          <w:tcPr>
            <w:tcW w:w="553" w:type="dxa"/>
            <w:tcBorders>
              <w:top w:val="nil"/>
              <w:left w:val="nil"/>
              <w:bottom w:val="single" w:sz="4" w:space="0" w:color="auto"/>
              <w:right w:val="single" w:sz="4" w:space="0" w:color="auto"/>
            </w:tcBorders>
            <w:shd w:val="clear" w:color="auto" w:fill="auto"/>
            <w:noWrap/>
            <w:vAlign w:val="center"/>
            <w:hideMark/>
          </w:tcPr>
          <w:p w14:paraId="610C429B"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32</w:t>
            </w:r>
          </w:p>
        </w:tc>
      </w:tr>
      <w:tr w:rsidR="007D57FB" w:rsidRPr="00547F82" w14:paraId="610C42A8"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9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9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9F"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A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C03D</w:t>
            </w:r>
          </w:p>
        </w:tc>
        <w:tc>
          <w:tcPr>
            <w:tcW w:w="2020" w:type="dxa"/>
            <w:tcBorders>
              <w:top w:val="nil"/>
              <w:left w:val="nil"/>
              <w:bottom w:val="single" w:sz="4" w:space="0" w:color="auto"/>
              <w:right w:val="single" w:sz="4" w:space="0" w:color="auto"/>
            </w:tcBorders>
            <w:shd w:val="clear" w:color="auto" w:fill="auto"/>
            <w:noWrap/>
            <w:vAlign w:val="center"/>
            <w:hideMark/>
          </w:tcPr>
          <w:p w14:paraId="610C42A1"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Potassium-sparing agents</w:t>
            </w:r>
          </w:p>
        </w:tc>
        <w:tc>
          <w:tcPr>
            <w:tcW w:w="551" w:type="dxa"/>
            <w:tcBorders>
              <w:top w:val="nil"/>
              <w:left w:val="nil"/>
              <w:bottom w:val="single" w:sz="4" w:space="0" w:color="auto"/>
              <w:right w:val="single" w:sz="4" w:space="0" w:color="auto"/>
            </w:tcBorders>
            <w:shd w:val="clear" w:color="auto" w:fill="auto"/>
            <w:noWrap/>
            <w:vAlign w:val="center"/>
            <w:hideMark/>
          </w:tcPr>
          <w:p w14:paraId="610C42A2"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47</w:t>
            </w:r>
          </w:p>
        </w:tc>
        <w:tc>
          <w:tcPr>
            <w:tcW w:w="823" w:type="dxa"/>
            <w:tcBorders>
              <w:top w:val="nil"/>
              <w:left w:val="nil"/>
              <w:bottom w:val="single" w:sz="4" w:space="0" w:color="auto"/>
              <w:right w:val="single" w:sz="4" w:space="0" w:color="auto"/>
            </w:tcBorders>
            <w:shd w:val="clear" w:color="auto" w:fill="auto"/>
            <w:noWrap/>
            <w:vAlign w:val="center"/>
            <w:hideMark/>
          </w:tcPr>
          <w:p w14:paraId="610C42A3"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 </w:t>
            </w: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A4"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A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A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A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B4"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A9"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AA"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AB"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A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C03A</w:t>
            </w:r>
          </w:p>
        </w:tc>
        <w:tc>
          <w:tcPr>
            <w:tcW w:w="2020" w:type="dxa"/>
            <w:tcBorders>
              <w:top w:val="nil"/>
              <w:left w:val="nil"/>
              <w:bottom w:val="single" w:sz="4" w:space="0" w:color="auto"/>
              <w:right w:val="single" w:sz="4" w:space="0" w:color="auto"/>
            </w:tcBorders>
            <w:shd w:val="clear" w:color="auto" w:fill="auto"/>
            <w:noWrap/>
            <w:vAlign w:val="center"/>
            <w:hideMark/>
          </w:tcPr>
          <w:p w14:paraId="610C42A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Low-ceiling diuretics, thiazides</w:t>
            </w:r>
          </w:p>
        </w:tc>
        <w:tc>
          <w:tcPr>
            <w:tcW w:w="551" w:type="dxa"/>
            <w:tcBorders>
              <w:top w:val="nil"/>
              <w:left w:val="nil"/>
              <w:bottom w:val="single" w:sz="4" w:space="0" w:color="auto"/>
              <w:right w:val="single" w:sz="4" w:space="0" w:color="auto"/>
            </w:tcBorders>
            <w:shd w:val="clear" w:color="auto" w:fill="auto"/>
            <w:noWrap/>
            <w:vAlign w:val="center"/>
            <w:hideMark/>
          </w:tcPr>
          <w:p w14:paraId="610C42AE"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24</w:t>
            </w:r>
          </w:p>
        </w:tc>
        <w:tc>
          <w:tcPr>
            <w:tcW w:w="823" w:type="dxa"/>
            <w:tcBorders>
              <w:top w:val="nil"/>
              <w:left w:val="nil"/>
              <w:bottom w:val="single" w:sz="4" w:space="0" w:color="auto"/>
              <w:right w:val="single" w:sz="4" w:space="0" w:color="auto"/>
            </w:tcBorders>
            <w:shd w:val="clear" w:color="auto" w:fill="auto"/>
            <w:noWrap/>
            <w:vAlign w:val="center"/>
            <w:hideMark/>
          </w:tcPr>
          <w:p w14:paraId="610C42A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B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B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B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B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C0"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B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B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B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B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C03B</w:t>
            </w:r>
          </w:p>
        </w:tc>
        <w:tc>
          <w:tcPr>
            <w:tcW w:w="2020" w:type="dxa"/>
            <w:tcBorders>
              <w:top w:val="nil"/>
              <w:left w:val="nil"/>
              <w:bottom w:val="single" w:sz="4" w:space="0" w:color="auto"/>
              <w:right w:val="single" w:sz="4" w:space="0" w:color="auto"/>
            </w:tcBorders>
            <w:shd w:val="clear" w:color="auto" w:fill="auto"/>
            <w:noWrap/>
            <w:vAlign w:val="center"/>
            <w:hideMark/>
          </w:tcPr>
          <w:p w14:paraId="610C42B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Low-ceiling diuretics, excl. Thiazides</w:t>
            </w:r>
          </w:p>
        </w:tc>
        <w:tc>
          <w:tcPr>
            <w:tcW w:w="551" w:type="dxa"/>
            <w:tcBorders>
              <w:top w:val="nil"/>
              <w:left w:val="nil"/>
              <w:bottom w:val="single" w:sz="4" w:space="0" w:color="auto"/>
              <w:right w:val="single" w:sz="4" w:space="0" w:color="auto"/>
            </w:tcBorders>
            <w:shd w:val="clear" w:color="auto" w:fill="auto"/>
            <w:noWrap/>
            <w:vAlign w:val="center"/>
            <w:hideMark/>
          </w:tcPr>
          <w:p w14:paraId="610C42B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13</w:t>
            </w:r>
          </w:p>
        </w:tc>
        <w:tc>
          <w:tcPr>
            <w:tcW w:w="823" w:type="dxa"/>
            <w:tcBorders>
              <w:top w:val="nil"/>
              <w:left w:val="nil"/>
              <w:bottom w:val="single" w:sz="4" w:space="0" w:color="auto"/>
              <w:right w:val="single" w:sz="4" w:space="0" w:color="auto"/>
            </w:tcBorders>
            <w:shd w:val="clear" w:color="auto" w:fill="auto"/>
            <w:noWrap/>
            <w:vAlign w:val="center"/>
            <w:hideMark/>
          </w:tcPr>
          <w:p w14:paraId="610C42B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BC"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BD"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BE"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B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CC"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C1"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C2"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C3"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C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C03E</w:t>
            </w:r>
          </w:p>
        </w:tc>
        <w:tc>
          <w:tcPr>
            <w:tcW w:w="2020" w:type="dxa"/>
            <w:tcBorders>
              <w:top w:val="nil"/>
              <w:left w:val="nil"/>
              <w:bottom w:val="single" w:sz="4" w:space="0" w:color="auto"/>
              <w:right w:val="single" w:sz="4" w:space="0" w:color="auto"/>
            </w:tcBorders>
            <w:shd w:val="clear" w:color="auto" w:fill="auto"/>
            <w:noWrap/>
            <w:vAlign w:val="center"/>
            <w:hideMark/>
          </w:tcPr>
          <w:p w14:paraId="610C42C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Diuretics and potassium-sparing agents in combination</w:t>
            </w:r>
          </w:p>
        </w:tc>
        <w:tc>
          <w:tcPr>
            <w:tcW w:w="551" w:type="dxa"/>
            <w:tcBorders>
              <w:top w:val="nil"/>
              <w:left w:val="nil"/>
              <w:bottom w:val="single" w:sz="4" w:space="0" w:color="auto"/>
              <w:right w:val="single" w:sz="4" w:space="0" w:color="auto"/>
            </w:tcBorders>
            <w:shd w:val="clear" w:color="auto" w:fill="auto"/>
            <w:noWrap/>
            <w:vAlign w:val="center"/>
            <w:hideMark/>
          </w:tcPr>
          <w:p w14:paraId="610C42C6"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5</w:t>
            </w:r>
          </w:p>
        </w:tc>
        <w:tc>
          <w:tcPr>
            <w:tcW w:w="823" w:type="dxa"/>
            <w:tcBorders>
              <w:top w:val="nil"/>
              <w:left w:val="nil"/>
              <w:bottom w:val="single" w:sz="4" w:space="0" w:color="auto"/>
              <w:right w:val="single" w:sz="4" w:space="0" w:color="auto"/>
            </w:tcBorders>
            <w:shd w:val="clear" w:color="auto" w:fill="auto"/>
            <w:noWrap/>
            <w:vAlign w:val="center"/>
            <w:hideMark/>
          </w:tcPr>
          <w:p w14:paraId="610C42C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C8"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C9"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CA"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C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D8" w14:textId="77777777" w:rsidTr="005B3E6B">
        <w:trPr>
          <w:trHeight w:val="29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10C42C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2C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610C42CF"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D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C03*</w:t>
            </w:r>
          </w:p>
        </w:tc>
        <w:tc>
          <w:tcPr>
            <w:tcW w:w="2020" w:type="dxa"/>
            <w:tcBorders>
              <w:top w:val="nil"/>
              <w:left w:val="nil"/>
              <w:bottom w:val="single" w:sz="4" w:space="0" w:color="auto"/>
              <w:right w:val="single" w:sz="4" w:space="0" w:color="auto"/>
            </w:tcBorders>
            <w:shd w:val="clear" w:color="auto" w:fill="auto"/>
            <w:noWrap/>
            <w:vAlign w:val="center"/>
            <w:hideMark/>
          </w:tcPr>
          <w:p w14:paraId="610C42D1"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2D2"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39</w:t>
            </w:r>
          </w:p>
        </w:tc>
        <w:tc>
          <w:tcPr>
            <w:tcW w:w="823" w:type="dxa"/>
            <w:tcBorders>
              <w:top w:val="nil"/>
              <w:left w:val="nil"/>
              <w:bottom w:val="single" w:sz="4" w:space="0" w:color="auto"/>
              <w:right w:val="single" w:sz="4" w:space="0" w:color="auto"/>
            </w:tcBorders>
            <w:shd w:val="clear" w:color="auto" w:fill="auto"/>
            <w:noWrap/>
            <w:vAlign w:val="center"/>
            <w:hideMark/>
          </w:tcPr>
          <w:p w14:paraId="610C42D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D4"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D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D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D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E4" w14:textId="77777777" w:rsidTr="005B3E6B">
        <w:trPr>
          <w:trHeight w:val="290"/>
        </w:trPr>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2D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2DA"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Agents Acting On The Renin-Angiotensin System</w:t>
            </w:r>
          </w:p>
        </w:tc>
        <w:tc>
          <w:tcPr>
            <w:tcW w:w="5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2DB"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98</w:t>
            </w:r>
          </w:p>
        </w:tc>
        <w:tc>
          <w:tcPr>
            <w:tcW w:w="692" w:type="dxa"/>
            <w:tcBorders>
              <w:top w:val="nil"/>
              <w:left w:val="nil"/>
              <w:bottom w:val="single" w:sz="4" w:space="0" w:color="auto"/>
              <w:right w:val="single" w:sz="4" w:space="0" w:color="auto"/>
            </w:tcBorders>
            <w:shd w:val="clear" w:color="auto" w:fill="auto"/>
            <w:noWrap/>
            <w:vAlign w:val="center"/>
            <w:hideMark/>
          </w:tcPr>
          <w:p w14:paraId="610C42D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C09A</w:t>
            </w:r>
          </w:p>
        </w:tc>
        <w:tc>
          <w:tcPr>
            <w:tcW w:w="2020" w:type="dxa"/>
            <w:tcBorders>
              <w:top w:val="nil"/>
              <w:left w:val="nil"/>
              <w:bottom w:val="single" w:sz="4" w:space="0" w:color="auto"/>
              <w:right w:val="single" w:sz="4" w:space="0" w:color="auto"/>
            </w:tcBorders>
            <w:shd w:val="clear" w:color="auto" w:fill="auto"/>
            <w:noWrap/>
            <w:vAlign w:val="center"/>
            <w:hideMark/>
          </w:tcPr>
          <w:p w14:paraId="610C42DD"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ACE </w:t>
            </w:r>
            <w:r w:rsidRPr="00547F82">
              <w:rPr>
                <w:rFonts w:ascii="Calibri" w:eastAsia="Times New Roman" w:hAnsi="Calibri" w:cs="Calibri"/>
                <w:color w:val="000000"/>
                <w:lang w:eastAsia="en-GB"/>
              </w:rPr>
              <w:t>inhibitors, plain</w:t>
            </w:r>
          </w:p>
        </w:tc>
        <w:tc>
          <w:tcPr>
            <w:tcW w:w="551" w:type="dxa"/>
            <w:tcBorders>
              <w:top w:val="nil"/>
              <w:left w:val="nil"/>
              <w:bottom w:val="single" w:sz="4" w:space="0" w:color="auto"/>
              <w:right w:val="single" w:sz="4" w:space="0" w:color="auto"/>
            </w:tcBorders>
            <w:shd w:val="clear" w:color="auto" w:fill="auto"/>
            <w:noWrap/>
            <w:vAlign w:val="center"/>
            <w:hideMark/>
          </w:tcPr>
          <w:p w14:paraId="610C42DE"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39</w:t>
            </w:r>
          </w:p>
        </w:tc>
        <w:tc>
          <w:tcPr>
            <w:tcW w:w="823" w:type="dxa"/>
            <w:tcBorders>
              <w:top w:val="nil"/>
              <w:left w:val="nil"/>
              <w:bottom w:val="single" w:sz="4" w:space="0" w:color="auto"/>
              <w:right w:val="single" w:sz="4" w:space="0" w:color="auto"/>
            </w:tcBorders>
            <w:shd w:val="clear" w:color="auto" w:fill="auto"/>
            <w:noWrap/>
            <w:vAlign w:val="center"/>
            <w:hideMark/>
          </w:tcPr>
          <w:p w14:paraId="610C42DF"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C09AA</w:t>
            </w:r>
          </w:p>
        </w:tc>
        <w:tc>
          <w:tcPr>
            <w:tcW w:w="1884" w:type="dxa"/>
            <w:tcBorders>
              <w:top w:val="nil"/>
              <w:left w:val="nil"/>
              <w:bottom w:val="single" w:sz="4" w:space="0" w:color="auto"/>
              <w:right w:val="single" w:sz="4" w:space="0" w:color="auto"/>
            </w:tcBorders>
            <w:shd w:val="clear" w:color="auto" w:fill="auto"/>
            <w:noWrap/>
            <w:vAlign w:val="center"/>
            <w:hideMark/>
          </w:tcPr>
          <w:p w14:paraId="610C42E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ACE</w:t>
            </w:r>
            <w:r w:rsidRPr="00547F82">
              <w:rPr>
                <w:rFonts w:ascii="Calibri" w:eastAsia="Times New Roman" w:hAnsi="Calibri" w:cs="Calibri"/>
                <w:color w:val="000000"/>
                <w:lang w:eastAsia="en-GB"/>
              </w:rPr>
              <w:t xml:space="preserve"> inhibitors, plain (ramipril )</w:t>
            </w:r>
          </w:p>
        </w:tc>
        <w:tc>
          <w:tcPr>
            <w:tcW w:w="551" w:type="dxa"/>
            <w:tcBorders>
              <w:top w:val="nil"/>
              <w:left w:val="nil"/>
              <w:bottom w:val="single" w:sz="4" w:space="0" w:color="auto"/>
              <w:right w:val="single" w:sz="4" w:space="0" w:color="auto"/>
            </w:tcBorders>
            <w:shd w:val="clear" w:color="auto" w:fill="auto"/>
            <w:noWrap/>
            <w:vAlign w:val="center"/>
            <w:hideMark/>
          </w:tcPr>
          <w:p w14:paraId="610C42E1"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14</w:t>
            </w:r>
          </w:p>
        </w:tc>
        <w:tc>
          <w:tcPr>
            <w:tcW w:w="1860" w:type="dxa"/>
            <w:tcBorders>
              <w:top w:val="nil"/>
              <w:left w:val="nil"/>
              <w:bottom w:val="single" w:sz="4" w:space="0" w:color="auto"/>
              <w:right w:val="single" w:sz="4" w:space="0" w:color="auto"/>
            </w:tcBorders>
            <w:shd w:val="clear" w:color="auto" w:fill="auto"/>
            <w:noWrap/>
            <w:vAlign w:val="center"/>
            <w:hideMark/>
          </w:tcPr>
          <w:p w14:paraId="610C42E2"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 xml:space="preserve">Ramipril </w:t>
            </w:r>
          </w:p>
        </w:tc>
        <w:tc>
          <w:tcPr>
            <w:tcW w:w="553" w:type="dxa"/>
            <w:tcBorders>
              <w:top w:val="nil"/>
              <w:left w:val="nil"/>
              <w:bottom w:val="single" w:sz="4" w:space="0" w:color="auto"/>
              <w:right w:val="single" w:sz="4" w:space="0" w:color="auto"/>
            </w:tcBorders>
            <w:shd w:val="clear" w:color="auto" w:fill="auto"/>
            <w:noWrap/>
            <w:vAlign w:val="center"/>
            <w:hideMark/>
          </w:tcPr>
          <w:p w14:paraId="610C42E3"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14</w:t>
            </w:r>
          </w:p>
        </w:tc>
      </w:tr>
      <w:tr w:rsidR="007D57FB" w:rsidRPr="00547F82" w14:paraId="610C42F0"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2E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2E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2E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E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w:t>
            </w:r>
          </w:p>
        </w:tc>
        <w:tc>
          <w:tcPr>
            <w:tcW w:w="2020" w:type="dxa"/>
            <w:tcBorders>
              <w:top w:val="nil"/>
              <w:left w:val="nil"/>
              <w:bottom w:val="single" w:sz="4" w:space="0" w:color="auto"/>
              <w:right w:val="single" w:sz="4" w:space="0" w:color="auto"/>
            </w:tcBorders>
            <w:shd w:val="clear" w:color="auto" w:fill="auto"/>
            <w:noWrap/>
            <w:vAlign w:val="center"/>
            <w:hideMark/>
          </w:tcPr>
          <w:p w14:paraId="610C42E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2E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34</w:t>
            </w:r>
          </w:p>
        </w:tc>
        <w:tc>
          <w:tcPr>
            <w:tcW w:w="823" w:type="dxa"/>
            <w:tcBorders>
              <w:top w:val="nil"/>
              <w:left w:val="nil"/>
              <w:bottom w:val="single" w:sz="4" w:space="0" w:color="auto"/>
              <w:right w:val="single" w:sz="4" w:space="0" w:color="auto"/>
            </w:tcBorders>
            <w:shd w:val="clear" w:color="auto" w:fill="auto"/>
            <w:noWrap/>
            <w:vAlign w:val="center"/>
            <w:hideMark/>
          </w:tcPr>
          <w:p w14:paraId="610C42E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EC"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ED"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EE"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E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2FC"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2F1"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2F2"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2F3"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2F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C09C</w:t>
            </w:r>
          </w:p>
        </w:tc>
        <w:tc>
          <w:tcPr>
            <w:tcW w:w="2020" w:type="dxa"/>
            <w:tcBorders>
              <w:top w:val="nil"/>
              <w:left w:val="nil"/>
              <w:bottom w:val="single" w:sz="4" w:space="0" w:color="auto"/>
              <w:right w:val="single" w:sz="4" w:space="0" w:color="auto"/>
            </w:tcBorders>
            <w:shd w:val="clear" w:color="auto" w:fill="auto"/>
            <w:noWrap/>
            <w:vAlign w:val="center"/>
            <w:hideMark/>
          </w:tcPr>
          <w:p w14:paraId="610C42F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Angiotensin II receptor blockers (ARBs</w:t>
            </w:r>
            <w:r w:rsidRPr="00547F82">
              <w:rPr>
                <w:rFonts w:ascii="Calibri" w:eastAsia="Times New Roman" w:hAnsi="Calibri" w:cs="Calibri"/>
                <w:color w:val="000000"/>
                <w:lang w:eastAsia="en-GB"/>
              </w:rPr>
              <w:t>), plain</w:t>
            </w:r>
          </w:p>
        </w:tc>
        <w:tc>
          <w:tcPr>
            <w:tcW w:w="551" w:type="dxa"/>
            <w:tcBorders>
              <w:top w:val="nil"/>
              <w:left w:val="nil"/>
              <w:bottom w:val="single" w:sz="4" w:space="0" w:color="auto"/>
              <w:right w:val="single" w:sz="4" w:space="0" w:color="auto"/>
            </w:tcBorders>
            <w:shd w:val="clear" w:color="auto" w:fill="auto"/>
            <w:noWrap/>
            <w:vAlign w:val="center"/>
            <w:hideMark/>
          </w:tcPr>
          <w:p w14:paraId="610C42F6"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12</w:t>
            </w:r>
          </w:p>
        </w:tc>
        <w:tc>
          <w:tcPr>
            <w:tcW w:w="823" w:type="dxa"/>
            <w:tcBorders>
              <w:top w:val="nil"/>
              <w:left w:val="nil"/>
              <w:bottom w:val="single" w:sz="4" w:space="0" w:color="auto"/>
              <w:right w:val="single" w:sz="4" w:space="0" w:color="auto"/>
            </w:tcBorders>
            <w:shd w:val="clear" w:color="auto" w:fill="auto"/>
            <w:noWrap/>
            <w:vAlign w:val="center"/>
            <w:hideMark/>
          </w:tcPr>
          <w:p w14:paraId="610C42F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2F8"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2F9"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2FA"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2F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08"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2F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2F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2FF"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0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C09D</w:t>
            </w:r>
          </w:p>
        </w:tc>
        <w:tc>
          <w:tcPr>
            <w:tcW w:w="2020" w:type="dxa"/>
            <w:tcBorders>
              <w:top w:val="nil"/>
              <w:left w:val="nil"/>
              <w:bottom w:val="single" w:sz="4" w:space="0" w:color="auto"/>
              <w:right w:val="single" w:sz="4" w:space="0" w:color="auto"/>
            </w:tcBorders>
            <w:shd w:val="clear" w:color="auto" w:fill="auto"/>
            <w:noWrap/>
            <w:vAlign w:val="center"/>
            <w:hideMark/>
          </w:tcPr>
          <w:p w14:paraId="610C430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ARB II, </w:t>
            </w:r>
            <w:r w:rsidRPr="00547F82">
              <w:rPr>
                <w:rFonts w:ascii="Calibri" w:eastAsia="Times New Roman" w:hAnsi="Calibri" w:cs="Calibri"/>
                <w:color w:val="000000"/>
                <w:lang w:eastAsia="en-GB"/>
              </w:rPr>
              <w:t xml:space="preserve"> combinations</w:t>
            </w:r>
          </w:p>
        </w:tc>
        <w:tc>
          <w:tcPr>
            <w:tcW w:w="551" w:type="dxa"/>
            <w:tcBorders>
              <w:top w:val="nil"/>
              <w:left w:val="nil"/>
              <w:bottom w:val="single" w:sz="4" w:space="0" w:color="auto"/>
              <w:right w:val="single" w:sz="4" w:space="0" w:color="auto"/>
            </w:tcBorders>
            <w:shd w:val="clear" w:color="auto" w:fill="auto"/>
            <w:noWrap/>
            <w:vAlign w:val="center"/>
            <w:hideMark/>
          </w:tcPr>
          <w:p w14:paraId="610C4302"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w:t>
            </w:r>
          </w:p>
        </w:tc>
        <w:tc>
          <w:tcPr>
            <w:tcW w:w="823" w:type="dxa"/>
            <w:tcBorders>
              <w:top w:val="nil"/>
              <w:left w:val="nil"/>
              <w:bottom w:val="single" w:sz="4" w:space="0" w:color="auto"/>
              <w:right w:val="single" w:sz="4" w:space="0" w:color="auto"/>
            </w:tcBorders>
            <w:shd w:val="clear" w:color="auto" w:fill="auto"/>
            <w:noWrap/>
            <w:vAlign w:val="center"/>
            <w:hideMark/>
          </w:tcPr>
          <w:p w14:paraId="610C430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04"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0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0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0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14" w14:textId="77777777" w:rsidTr="005B3E6B">
        <w:trPr>
          <w:trHeight w:val="50"/>
        </w:trPr>
        <w:tc>
          <w:tcPr>
            <w:tcW w:w="1129" w:type="dxa"/>
            <w:tcBorders>
              <w:top w:val="nil"/>
              <w:left w:val="single" w:sz="4" w:space="0" w:color="auto"/>
              <w:bottom w:val="nil"/>
              <w:right w:val="single" w:sz="4" w:space="0" w:color="auto"/>
            </w:tcBorders>
            <w:shd w:val="clear" w:color="000000" w:fill="E7E6E6"/>
            <w:vAlign w:val="center"/>
            <w:hideMark/>
          </w:tcPr>
          <w:p w14:paraId="610C4309"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Contd. ATC 2</w:t>
            </w:r>
            <w:r>
              <w:rPr>
                <w:rFonts w:ascii="Calibri" w:eastAsia="Times New Roman" w:hAnsi="Calibri" w:cs="Calibri"/>
                <w:b/>
                <w:bCs/>
                <w:color w:val="000000"/>
                <w:vertAlign w:val="superscript"/>
                <w:lang w:eastAsia="en-GB"/>
              </w:rPr>
              <w:t>nd</w:t>
            </w:r>
          </w:p>
        </w:tc>
        <w:tc>
          <w:tcPr>
            <w:tcW w:w="2835" w:type="dxa"/>
            <w:tcBorders>
              <w:top w:val="nil"/>
              <w:left w:val="nil"/>
              <w:bottom w:val="nil"/>
              <w:right w:val="single" w:sz="4" w:space="0" w:color="auto"/>
            </w:tcBorders>
            <w:shd w:val="clear" w:color="000000" w:fill="E7E6E6"/>
            <w:vAlign w:val="center"/>
            <w:hideMark/>
          </w:tcPr>
          <w:p w14:paraId="610C430A"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547F82">
              <w:rPr>
                <w:rFonts w:ascii="Calibri" w:eastAsia="Times New Roman" w:hAnsi="Calibri" w:cs="Calibri"/>
                <w:b/>
                <w:bCs/>
                <w:color w:val="000000"/>
                <w:lang w:eastAsia="en-GB"/>
              </w:rPr>
              <w:t>herapeut</w:t>
            </w:r>
            <w:r>
              <w:rPr>
                <w:rFonts w:ascii="Calibri" w:eastAsia="Times New Roman" w:hAnsi="Calibri" w:cs="Calibri"/>
                <w:b/>
                <w:bCs/>
                <w:color w:val="000000"/>
                <w:lang w:eastAsia="en-GB"/>
              </w:rPr>
              <w:t>ic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0B"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692" w:type="dxa"/>
            <w:tcBorders>
              <w:top w:val="nil"/>
              <w:left w:val="nil"/>
              <w:bottom w:val="nil"/>
              <w:right w:val="single" w:sz="4" w:space="0" w:color="auto"/>
            </w:tcBorders>
            <w:shd w:val="clear" w:color="000000" w:fill="E7E6E6"/>
            <w:vAlign w:val="center"/>
            <w:hideMark/>
          </w:tcPr>
          <w:p w14:paraId="610C430C"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3</w:t>
            </w:r>
            <w:r w:rsidRPr="00C41261">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020" w:type="dxa"/>
            <w:tcBorders>
              <w:top w:val="nil"/>
              <w:left w:val="nil"/>
              <w:bottom w:val="nil"/>
              <w:right w:val="single" w:sz="4" w:space="0" w:color="auto"/>
            </w:tcBorders>
            <w:shd w:val="clear" w:color="000000" w:fill="E7E6E6"/>
            <w:vAlign w:val="center"/>
            <w:hideMark/>
          </w:tcPr>
          <w:p w14:paraId="610C430D"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0E"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823" w:type="dxa"/>
            <w:tcBorders>
              <w:top w:val="nil"/>
              <w:left w:val="nil"/>
              <w:bottom w:val="nil"/>
              <w:right w:val="single" w:sz="4" w:space="0" w:color="auto"/>
            </w:tcBorders>
            <w:shd w:val="clear" w:color="000000" w:fill="E7E6E6"/>
            <w:vAlign w:val="center"/>
            <w:hideMark/>
          </w:tcPr>
          <w:p w14:paraId="610C430F"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4</w:t>
            </w:r>
            <w:r w:rsidRPr="00C41261">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4" w:type="dxa"/>
            <w:tcBorders>
              <w:top w:val="nil"/>
              <w:left w:val="nil"/>
              <w:bottom w:val="nil"/>
              <w:right w:val="single" w:sz="4" w:space="0" w:color="auto"/>
            </w:tcBorders>
            <w:shd w:val="clear" w:color="000000" w:fill="E7E6E6"/>
            <w:vAlign w:val="center"/>
            <w:hideMark/>
          </w:tcPr>
          <w:p w14:paraId="610C4310"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11"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1860" w:type="dxa"/>
            <w:tcBorders>
              <w:top w:val="nil"/>
              <w:left w:val="nil"/>
              <w:bottom w:val="nil"/>
              <w:right w:val="single" w:sz="4" w:space="0" w:color="auto"/>
            </w:tcBorders>
            <w:shd w:val="clear" w:color="000000" w:fill="E7E6E6"/>
            <w:vAlign w:val="center"/>
            <w:hideMark/>
          </w:tcPr>
          <w:p w14:paraId="610C4312"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547F82">
              <w:rPr>
                <w:rFonts w:ascii="Calibri" w:eastAsia="Times New Roman" w:hAnsi="Calibri" w:cs="Calibri"/>
                <w:b/>
                <w:bCs/>
                <w:color w:val="000000"/>
                <w:lang w:eastAsia="en-GB"/>
              </w:rPr>
              <w:t xml:space="preserve"> drug (when n ≥ 10)</w:t>
            </w:r>
          </w:p>
        </w:tc>
        <w:tc>
          <w:tcPr>
            <w:tcW w:w="553" w:type="dxa"/>
            <w:tcBorders>
              <w:top w:val="nil"/>
              <w:left w:val="nil"/>
              <w:bottom w:val="nil"/>
              <w:right w:val="single" w:sz="4" w:space="0" w:color="auto"/>
            </w:tcBorders>
            <w:shd w:val="clear" w:color="000000" w:fill="E7E6E6"/>
            <w:vAlign w:val="center"/>
            <w:hideMark/>
          </w:tcPr>
          <w:p w14:paraId="610C4313"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r>
      <w:tr w:rsidR="007D57FB" w:rsidRPr="00547F82" w14:paraId="610C4320" w14:textId="77777777" w:rsidTr="005B3E6B">
        <w:trPr>
          <w:trHeight w:val="290"/>
        </w:trPr>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1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16"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Cardiac Therapy</w:t>
            </w:r>
          </w:p>
        </w:tc>
        <w:tc>
          <w:tcPr>
            <w:tcW w:w="5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17"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71</w:t>
            </w:r>
          </w:p>
        </w:tc>
        <w:tc>
          <w:tcPr>
            <w:tcW w:w="692" w:type="dxa"/>
            <w:tcBorders>
              <w:top w:val="nil"/>
              <w:left w:val="nil"/>
              <w:bottom w:val="single" w:sz="4" w:space="0" w:color="auto"/>
              <w:right w:val="single" w:sz="4" w:space="0" w:color="auto"/>
            </w:tcBorders>
            <w:shd w:val="clear" w:color="auto" w:fill="auto"/>
            <w:noWrap/>
            <w:vAlign w:val="center"/>
            <w:hideMark/>
          </w:tcPr>
          <w:p w14:paraId="610C431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C01A</w:t>
            </w:r>
          </w:p>
        </w:tc>
        <w:tc>
          <w:tcPr>
            <w:tcW w:w="2020" w:type="dxa"/>
            <w:tcBorders>
              <w:top w:val="nil"/>
              <w:left w:val="nil"/>
              <w:bottom w:val="single" w:sz="4" w:space="0" w:color="auto"/>
              <w:right w:val="single" w:sz="4" w:space="0" w:color="auto"/>
            </w:tcBorders>
            <w:shd w:val="clear" w:color="auto" w:fill="auto"/>
            <w:noWrap/>
            <w:vAlign w:val="center"/>
            <w:hideMark/>
          </w:tcPr>
          <w:p w14:paraId="610C431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Cardiac glycosides</w:t>
            </w:r>
          </w:p>
        </w:tc>
        <w:tc>
          <w:tcPr>
            <w:tcW w:w="551" w:type="dxa"/>
            <w:tcBorders>
              <w:top w:val="nil"/>
              <w:left w:val="nil"/>
              <w:bottom w:val="single" w:sz="4" w:space="0" w:color="auto"/>
              <w:right w:val="single" w:sz="4" w:space="0" w:color="auto"/>
            </w:tcBorders>
            <w:shd w:val="clear" w:color="auto" w:fill="auto"/>
            <w:noWrap/>
            <w:vAlign w:val="center"/>
            <w:hideMark/>
          </w:tcPr>
          <w:p w14:paraId="610C431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44</w:t>
            </w:r>
          </w:p>
        </w:tc>
        <w:tc>
          <w:tcPr>
            <w:tcW w:w="823" w:type="dxa"/>
            <w:tcBorders>
              <w:top w:val="nil"/>
              <w:left w:val="nil"/>
              <w:bottom w:val="single" w:sz="4" w:space="0" w:color="auto"/>
              <w:right w:val="single" w:sz="4" w:space="0" w:color="auto"/>
            </w:tcBorders>
            <w:shd w:val="clear" w:color="auto" w:fill="auto"/>
            <w:noWrap/>
            <w:vAlign w:val="center"/>
            <w:hideMark/>
          </w:tcPr>
          <w:p w14:paraId="610C431B"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C01AA</w:t>
            </w:r>
          </w:p>
        </w:tc>
        <w:tc>
          <w:tcPr>
            <w:tcW w:w="1884" w:type="dxa"/>
            <w:tcBorders>
              <w:top w:val="nil"/>
              <w:left w:val="nil"/>
              <w:bottom w:val="single" w:sz="4" w:space="0" w:color="auto"/>
              <w:right w:val="single" w:sz="4" w:space="0" w:color="auto"/>
            </w:tcBorders>
            <w:shd w:val="clear" w:color="auto" w:fill="auto"/>
            <w:noWrap/>
            <w:vAlign w:val="center"/>
            <w:hideMark/>
          </w:tcPr>
          <w:p w14:paraId="610C431C"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Digitalis glycosides </w:t>
            </w:r>
          </w:p>
        </w:tc>
        <w:tc>
          <w:tcPr>
            <w:tcW w:w="551" w:type="dxa"/>
            <w:tcBorders>
              <w:top w:val="nil"/>
              <w:left w:val="nil"/>
              <w:bottom w:val="single" w:sz="4" w:space="0" w:color="auto"/>
              <w:right w:val="single" w:sz="4" w:space="0" w:color="auto"/>
            </w:tcBorders>
            <w:shd w:val="clear" w:color="auto" w:fill="auto"/>
            <w:noWrap/>
            <w:vAlign w:val="center"/>
            <w:hideMark/>
          </w:tcPr>
          <w:p w14:paraId="610C431D"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39</w:t>
            </w:r>
          </w:p>
        </w:tc>
        <w:tc>
          <w:tcPr>
            <w:tcW w:w="1860" w:type="dxa"/>
            <w:tcBorders>
              <w:top w:val="nil"/>
              <w:left w:val="nil"/>
              <w:bottom w:val="single" w:sz="4" w:space="0" w:color="auto"/>
              <w:right w:val="single" w:sz="4" w:space="0" w:color="auto"/>
            </w:tcBorders>
            <w:shd w:val="clear" w:color="auto" w:fill="auto"/>
            <w:noWrap/>
            <w:vAlign w:val="center"/>
            <w:hideMark/>
          </w:tcPr>
          <w:p w14:paraId="610C431E"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Digoxin</w:t>
            </w:r>
          </w:p>
        </w:tc>
        <w:tc>
          <w:tcPr>
            <w:tcW w:w="553" w:type="dxa"/>
            <w:tcBorders>
              <w:top w:val="nil"/>
              <w:left w:val="nil"/>
              <w:bottom w:val="single" w:sz="4" w:space="0" w:color="auto"/>
              <w:right w:val="single" w:sz="4" w:space="0" w:color="auto"/>
            </w:tcBorders>
            <w:shd w:val="clear" w:color="auto" w:fill="auto"/>
            <w:noWrap/>
            <w:vAlign w:val="center"/>
            <w:hideMark/>
          </w:tcPr>
          <w:p w14:paraId="610C431F"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39</w:t>
            </w:r>
          </w:p>
        </w:tc>
      </w:tr>
      <w:tr w:rsidR="007D57FB" w:rsidRPr="00547F82" w14:paraId="610C432C"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21"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22"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23"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2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C01D</w:t>
            </w:r>
          </w:p>
        </w:tc>
        <w:tc>
          <w:tcPr>
            <w:tcW w:w="2020" w:type="dxa"/>
            <w:tcBorders>
              <w:top w:val="nil"/>
              <w:left w:val="nil"/>
              <w:bottom w:val="single" w:sz="4" w:space="0" w:color="auto"/>
              <w:right w:val="single" w:sz="4" w:space="0" w:color="auto"/>
            </w:tcBorders>
            <w:shd w:val="clear" w:color="auto" w:fill="auto"/>
            <w:noWrap/>
            <w:vAlign w:val="center"/>
            <w:hideMark/>
          </w:tcPr>
          <w:p w14:paraId="610C432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Vasodilators used in cardiac diseases</w:t>
            </w:r>
          </w:p>
        </w:tc>
        <w:tc>
          <w:tcPr>
            <w:tcW w:w="551" w:type="dxa"/>
            <w:tcBorders>
              <w:top w:val="nil"/>
              <w:left w:val="nil"/>
              <w:bottom w:val="single" w:sz="4" w:space="0" w:color="auto"/>
              <w:right w:val="single" w:sz="4" w:space="0" w:color="auto"/>
            </w:tcBorders>
            <w:shd w:val="clear" w:color="auto" w:fill="auto"/>
            <w:noWrap/>
            <w:vAlign w:val="center"/>
            <w:hideMark/>
          </w:tcPr>
          <w:p w14:paraId="610C4326"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12</w:t>
            </w:r>
          </w:p>
        </w:tc>
        <w:tc>
          <w:tcPr>
            <w:tcW w:w="823" w:type="dxa"/>
            <w:tcBorders>
              <w:top w:val="nil"/>
              <w:left w:val="nil"/>
              <w:bottom w:val="single" w:sz="4" w:space="0" w:color="auto"/>
              <w:right w:val="single" w:sz="4" w:space="0" w:color="auto"/>
            </w:tcBorders>
            <w:shd w:val="clear" w:color="auto" w:fill="auto"/>
            <w:noWrap/>
            <w:vAlign w:val="center"/>
            <w:hideMark/>
          </w:tcPr>
          <w:p w14:paraId="610C432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28"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29"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2A"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2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38"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2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2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2F"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3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C01B</w:t>
            </w:r>
          </w:p>
        </w:tc>
        <w:tc>
          <w:tcPr>
            <w:tcW w:w="2020" w:type="dxa"/>
            <w:tcBorders>
              <w:top w:val="nil"/>
              <w:left w:val="nil"/>
              <w:bottom w:val="single" w:sz="4" w:space="0" w:color="auto"/>
              <w:right w:val="single" w:sz="4" w:space="0" w:color="auto"/>
            </w:tcBorders>
            <w:shd w:val="clear" w:color="auto" w:fill="auto"/>
            <w:noWrap/>
            <w:vAlign w:val="center"/>
            <w:hideMark/>
          </w:tcPr>
          <w:p w14:paraId="610C4331" w14:textId="77777777" w:rsidR="007D57FB" w:rsidRPr="00547F82" w:rsidRDefault="009D7A6E" w:rsidP="005B3E6B">
            <w:pPr>
              <w:spacing w:after="0" w:line="240" w:lineRule="auto"/>
              <w:rPr>
                <w:rFonts w:ascii="Calibri" w:eastAsia="Times New Roman" w:hAnsi="Calibri" w:cs="Calibri"/>
                <w:color w:val="0563C1"/>
                <w:u w:val="single"/>
                <w:lang w:eastAsia="en-GB"/>
              </w:rPr>
            </w:pPr>
            <w:hyperlink r:id="rId25" w:history="1">
              <w:r w:rsidR="007D57FB" w:rsidRPr="00A03D62">
                <w:rPr>
                  <w:rFonts w:ascii="Calibri" w:eastAsia="Times New Roman" w:hAnsi="Calibri" w:cs="Calibri"/>
                  <w:color w:val="000000"/>
                  <w:lang w:eastAsia="en-GB"/>
                </w:rPr>
                <w:t xml:space="preserve">Antiarrhythmics, </w:t>
              </w:r>
              <w:r w:rsidR="007D57FB">
                <w:rPr>
                  <w:rFonts w:ascii="Calibri" w:eastAsia="Times New Roman" w:hAnsi="Calibri" w:cs="Calibri"/>
                  <w:color w:val="000000"/>
                  <w:lang w:eastAsia="en-GB"/>
                </w:rPr>
                <w:t>class I</w:t>
              </w:r>
              <w:r w:rsidR="007D57FB" w:rsidRPr="00A03D62">
                <w:rPr>
                  <w:rFonts w:ascii="Calibri" w:eastAsia="Times New Roman" w:hAnsi="Calibri" w:cs="Calibri"/>
                  <w:color w:val="000000"/>
                  <w:lang w:eastAsia="en-GB"/>
                </w:rPr>
                <w:t xml:space="preserve"> and </w:t>
              </w:r>
              <w:r w:rsidR="007D57FB">
                <w:rPr>
                  <w:rFonts w:ascii="Calibri" w:eastAsia="Times New Roman" w:hAnsi="Calibri" w:cs="Calibri"/>
                  <w:color w:val="000000"/>
                  <w:lang w:eastAsia="en-GB"/>
                </w:rPr>
                <w:t>III</w:t>
              </w:r>
            </w:hyperlink>
          </w:p>
        </w:tc>
        <w:tc>
          <w:tcPr>
            <w:tcW w:w="551" w:type="dxa"/>
            <w:tcBorders>
              <w:top w:val="nil"/>
              <w:left w:val="nil"/>
              <w:bottom w:val="single" w:sz="4" w:space="0" w:color="auto"/>
              <w:right w:val="single" w:sz="4" w:space="0" w:color="auto"/>
            </w:tcBorders>
            <w:shd w:val="clear" w:color="auto" w:fill="auto"/>
            <w:noWrap/>
            <w:vAlign w:val="center"/>
            <w:hideMark/>
          </w:tcPr>
          <w:p w14:paraId="610C4332"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10</w:t>
            </w:r>
          </w:p>
        </w:tc>
        <w:tc>
          <w:tcPr>
            <w:tcW w:w="823" w:type="dxa"/>
            <w:tcBorders>
              <w:top w:val="nil"/>
              <w:left w:val="nil"/>
              <w:bottom w:val="single" w:sz="4" w:space="0" w:color="auto"/>
              <w:right w:val="single" w:sz="4" w:space="0" w:color="auto"/>
            </w:tcBorders>
            <w:shd w:val="clear" w:color="auto" w:fill="auto"/>
            <w:noWrap/>
            <w:vAlign w:val="center"/>
            <w:hideMark/>
          </w:tcPr>
          <w:p w14:paraId="610C4333"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C01BD</w:t>
            </w:r>
          </w:p>
        </w:tc>
        <w:tc>
          <w:tcPr>
            <w:tcW w:w="1884" w:type="dxa"/>
            <w:tcBorders>
              <w:top w:val="nil"/>
              <w:left w:val="nil"/>
              <w:bottom w:val="single" w:sz="4" w:space="0" w:color="auto"/>
              <w:right w:val="single" w:sz="4" w:space="0" w:color="auto"/>
            </w:tcBorders>
            <w:shd w:val="clear" w:color="auto" w:fill="auto"/>
            <w:noWrap/>
            <w:vAlign w:val="center"/>
            <w:hideMark/>
          </w:tcPr>
          <w:p w14:paraId="610C433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Antia</w:t>
            </w:r>
            <w:r>
              <w:rPr>
                <w:rFonts w:ascii="Calibri" w:eastAsia="Times New Roman" w:hAnsi="Calibri" w:cs="Calibri"/>
                <w:color w:val="000000"/>
                <w:lang w:eastAsia="en-GB"/>
              </w:rPr>
              <w:t>rrhythmics, class III</w:t>
            </w:r>
          </w:p>
        </w:tc>
        <w:tc>
          <w:tcPr>
            <w:tcW w:w="551" w:type="dxa"/>
            <w:tcBorders>
              <w:top w:val="nil"/>
              <w:left w:val="nil"/>
              <w:bottom w:val="single" w:sz="4" w:space="0" w:color="auto"/>
              <w:right w:val="single" w:sz="4" w:space="0" w:color="auto"/>
            </w:tcBorders>
            <w:shd w:val="clear" w:color="auto" w:fill="auto"/>
            <w:noWrap/>
            <w:vAlign w:val="center"/>
            <w:hideMark/>
          </w:tcPr>
          <w:p w14:paraId="610C4335"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10</w:t>
            </w:r>
          </w:p>
        </w:tc>
        <w:tc>
          <w:tcPr>
            <w:tcW w:w="1860" w:type="dxa"/>
            <w:tcBorders>
              <w:top w:val="nil"/>
              <w:left w:val="nil"/>
              <w:bottom w:val="single" w:sz="4" w:space="0" w:color="auto"/>
              <w:right w:val="single" w:sz="4" w:space="0" w:color="auto"/>
            </w:tcBorders>
            <w:shd w:val="clear" w:color="auto" w:fill="auto"/>
            <w:noWrap/>
            <w:vAlign w:val="center"/>
            <w:hideMark/>
          </w:tcPr>
          <w:p w14:paraId="610C4336"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Amiodarone</w:t>
            </w:r>
          </w:p>
        </w:tc>
        <w:tc>
          <w:tcPr>
            <w:tcW w:w="553" w:type="dxa"/>
            <w:tcBorders>
              <w:top w:val="nil"/>
              <w:left w:val="nil"/>
              <w:bottom w:val="single" w:sz="4" w:space="0" w:color="auto"/>
              <w:right w:val="single" w:sz="4" w:space="0" w:color="auto"/>
            </w:tcBorders>
            <w:shd w:val="clear" w:color="auto" w:fill="auto"/>
            <w:noWrap/>
            <w:vAlign w:val="center"/>
            <w:hideMark/>
          </w:tcPr>
          <w:p w14:paraId="610C4337"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10</w:t>
            </w:r>
          </w:p>
        </w:tc>
      </w:tr>
      <w:tr w:rsidR="007D57FB" w:rsidRPr="00547F82" w14:paraId="610C4344"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39"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3A"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3B"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3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w:t>
            </w:r>
          </w:p>
        </w:tc>
        <w:tc>
          <w:tcPr>
            <w:tcW w:w="2020" w:type="dxa"/>
            <w:tcBorders>
              <w:top w:val="nil"/>
              <w:left w:val="nil"/>
              <w:bottom w:val="single" w:sz="4" w:space="0" w:color="auto"/>
              <w:right w:val="single" w:sz="4" w:space="0" w:color="auto"/>
            </w:tcBorders>
            <w:shd w:val="clear" w:color="auto" w:fill="auto"/>
            <w:noWrap/>
            <w:vAlign w:val="center"/>
            <w:hideMark/>
          </w:tcPr>
          <w:p w14:paraId="610C433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33E"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w:t>
            </w:r>
          </w:p>
        </w:tc>
        <w:tc>
          <w:tcPr>
            <w:tcW w:w="823" w:type="dxa"/>
            <w:tcBorders>
              <w:top w:val="nil"/>
              <w:left w:val="nil"/>
              <w:bottom w:val="single" w:sz="4" w:space="0" w:color="auto"/>
              <w:right w:val="single" w:sz="4" w:space="0" w:color="auto"/>
            </w:tcBorders>
            <w:shd w:val="clear" w:color="auto" w:fill="auto"/>
            <w:noWrap/>
            <w:vAlign w:val="center"/>
            <w:hideMark/>
          </w:tcPr>
          <w:p w14:paraId="610C433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4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4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4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4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50"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4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4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4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4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C01E</w:t>
            </w:r>
          </w:p>
        </w:tc>
        <w:tc>
          <w:tcPr>
            <w:tcW w:w="2020" w:type="dxa"/>
            <w:tcBorders>
              <w:top w:val="nil"/>
              <w:left w:val="nil"/>
              <w:bottom w:val="single" w:sz="4" w:space="0" w:color="auto"/>
              <w:right w:val="single" w:sz="4" w:space="0" w:color="auto"/>
            </w:tcBorders>
            <w:shd w:val="clear" w:color="auto" w:fill="auto"/>
            <w:noWrap/>
            <w:vAlign w:val="center"/>
            <w:hideMark/>
          </w:tcPr>
          <w:p w14:paraId="610C434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Other cardiac preparations</w:t>
            </w:r>
          </w:p>
        </w:tc>
        <w:tc>
          <w:tcPr>
            <w:tcW w:w="551" w:type="dxa"/>
            <w:tcBorders>
              <w:top w:val="nil"/>
              <w:left w:val="nil"/>
              <w:bottom w:val="single" w:sz="4" w:space="0" w:color="auto"/>
              <w:right w:val="single" w:sz="4" w:space="0" w:color="auto"/>
            </w:tcBorders>
            <w:shd w:val="clear" w:color="auto" w:fill="auto"/>
            <w:noWrap/>
            <w:vAlign w:val="center"/>
            <w:hideMark/>
          </w:tcPr>
          <w:p w14:paraId="610C434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w:t>
            </w:r>
          </w:p>
        </w:tc>
        <w:tc>
          <w:tcPr>
            <w:tcW w:w="823" w:type="dxa"/>
            <w:tcBorders>
              <w:top w:val="nil"/>
              <w:left w:val="nil"/>
              <w:bottom w:val="single" w:sz="4" w:space="0" w:color="auto"/>
              <w:right w:val="single" w:sz="4" w:space="0" w:color="auto"/>
            </w:tcBorders>
            <w:shd w:val="clear" w:color="auto" w:fill="auto"/>
            <w:noWrap/>
            <w:vAlign w:val="center"/>
            <w:hideMark/>
          </w:tcPr>
          <w:p w14:paraId="610C434B"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C01EB</w:t>
            </w:r>
          </w:p>
        </w:tc>
        <w:tc>
          <w:tcPr>
            <w:tcW w:w="1884" w:type="dxa"/>
            <w:tcBorders>
              <w:top w:val="nil"/>
              <w:left w:val="nil"/>
              <w:bottom w:val="single" w:sz="4" w:space="0" w:color="auto"/>
              <w:right w:val="single" w:sz="4" w:space="0" w:color="auto"/>
            </w:tcBorders>
            <w:shd w:val="clear" w:color="auto" w:fill="auto"/>
            <w:noWrap/>
            <w:vAlign w:val="center"/>
            <w:hideMark/>
          </w:tcPr>
          <w:p w14:paraId="610C434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Other cardiac preparations</w:t>
            </w:r>
          </w:p>
        </w:tc>
        <w:tc>
          <w:tcPr>
            <w:tcW w:w="551" w:type="dxa"/>
            <w:tcBorders>
              <w:top w:val="nil"/>
              <w:left w:val="nil"/>
              <w:bottom w:val="single" w:sz="4" w:space="0" w:color="auto"/>
              <w:right w:val="single" w:sz="4" w:space="0" w:color="auto"/>
            </w:tcBorders>
            <w:shd w:val="clear" w:color="auto" w:fill="auto"/>
            <w:noWrap/>
            <w:vAlign w:val="center"/>
            <w:hideMark/>
          </w:tcPr>
          <w:p w14:paraId="610C434D"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w:t>
            </w:r>
          </w:p>
        </w:tc>
        <w:tc>
          <w:tcPr>
            <w:tcW w:w="1860" w:type="dxa"/>
            <w:tcBorders>
              <w:top w:val="nil"/>
              <w:left w:val="nil"/>
              <w:bottom w:val="single" w:sz="4" w:space="0" w:color="auto"/>
              <w:right w:val="single" w:sz="4" w:space="0" w:color="auto"/>
            </w:tcBorders>
            <w:shd w:val="clear" w:color="auto" w:fill="auto"/>
            <w:noWrap/>
            <w:vAlign w:val="center"/>
            <w:hideMark/>
          </w:tcPr>
          <w:p w14:paraId="610C434E"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4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5C" w14:textId="77777777" w:rsidTr="005B3E6B">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0C4351"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C02</w:t>
            </w:r>
          </w:p>
        </w:tc>
        <w:tc>
          <w:tcPr>
            <w:tcW w:w="2835" w:type="dxa"/>
            <w:tcBorders>
              <w:top w:val="nil"/>
              <w:left w:val="nil"/>
              <w:bottom w:val="single" w:sz="4" w:space="0" w:color="auto"/>
              <w:right w:val="single" w:sz="4" w:space="0" w:color="auto"/>
            </w:tcBorders>
            <w:shd w:val="clear" w:color="auto" w:fill="auto"/>
            <w:noWrap/>
            <w:vAlign w:val="center"/>
            <w:hideMark/>
          </w:tcPr>
          <w:p w14:paraId="610C4352"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Antihypertensives</w:t>
            </w:r>
          </w:p>
        </w:tc>
        <w:tc>
          <w:tcPr>
            <w:tcW w:w="551" w:type="dxa"/>
            <w:tcBorders>
              <w:top w:val="nil"/>
              <w:left w:val="nil"/>
              <w:bottom w:val="single" w:sz="4" w:space="0" w:color="auto"/>
              <w:right w:val="single" w:sz="4" w:space="0" w:color="auto"/>
            </w:tcBorders>
            <w:shd w:val="clear" w:color="auto" w:fill="auto"/>
            <w:noWrap/>
            <w:vAlign w:val="center"/>
            <w:hideMark/>
          </w:tcPr>
          <w:p w14:paraId="610C4353"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52</w:t>
            </w:r>
          </w:p>
        </w:tc>
        <w:tc>
          <w:tcPr>
            <w:tcW w:w="692" w:type="dxa"/>
            <w:tcBorders>
              <w:top w:val="nil"/>
              <w:left w:val="nil"/>
              <w:bottom w:val="single" w:sz="4" w:space="0" w:color="auto"/>
              <w:right w:val="single" w:sz="4" w:space="0" w:color="auto"/>
            </w:tcBorders>
            <w:shd w:val="clear" w:color="auto" w:fill="auto"/>
            <w:noWrap/>
            <w:vAlign w:val="center"/>
            <w:hideMark/>
          </w:tcPr>
          <w:p w14:paraId="610C435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C02*</w:t>
            </w:r>
          </w:p>
        </w:tc>
        <w:tc>
          <w:tcPr>
            <w:tcW w:w="2020" w:type="dxa"/>
            <w:tcBorders>
              <w:top w:val="nil"/>
              <w:left w:val="nil"/>
              <w:bottom w:val="single" w:sz="4" w:space="0" w:color="auto"/>
              <w:right w:val="single" w:sz="4" w:space="0" w:color="auto"/>
            </w:tcBorders>
            <w:shd w:val="clear" w:color="auto" w:fill="auto"/>
            <w:noWrap/>
            <w:vAlign w:val="center"/>
            <w:hideMark/>
          </w:tcPr>
          <w:p w14:paraId="610C435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356"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52</w:t>
            </w:r>
          </w:p>
        </w:tc>
        <w:tc>
          <w:tcPr>
            <w:tcW w:w="823" w:type="dxa"/>
            <w:tcBorders>
              <w:top w:val="nil"/>
              <w:left w:val="nil"/>
              <w:bottom w:val="single" w:sz="4" w:space="0" w:color="auto"/>
              <w:right w:val="single" w:sz="4" w:space="0" w:color="auto"/>
            </w:tcBorders>
            <w:shd w:val="clear" w:color="auto" w:fill="auto"/>
            <w:noWrap/>
            <w:vAlign w:val="center"/>
            <w:hideMark/>
          </w:tcPr>
          <w:p w14:paraId="610C435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58"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59"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5A"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5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68" w14:textId="77777777" w:rsidTr="005B3E6B">
        <w:trPr>
          <w:trHeight w:val="290"/>
        </w:trPr>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5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C08</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5E"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Calcium Channel Blockers</w:t>
            </w:r>
          </w:p>
        </w:tc>
        <w:tc>
          <w:tcPr>
            <w:tcW w:w="5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5F"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41</w:t>
            </w:r>
          </w:p>
        </w:tc>
        <w:tc>
          <w:tcPr>
            <w:tcW w:w="692" w:type="dxa"/>
            <w:tcBorders>
              <w:top w:val="nil"/>
              <w:left w:val="nil"/>
              <w:bottom w:val="single" w:sz="4" w:space="0" w:color="auto"/>
              <w:right w:val="single" w:sz="4" w:space="0" w:color="auto"/>
            </w:tcBorders>
            <w:shd w:val="clear" w:color="auto" w:fill="auto"/>
            <w:noWrap/>
            <w:vAlign w:val="center"/>
            <w:hideMark/>
          </w:tcPr>
          <w:p w14:paraId="610C436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C08*</w:t>
            </w:r>
          </w:p>
        </w:tc>
        <w:tc>
          <w:tcPr>
            <w:tcW w:w="2020" w:type="dxa"/>
            <w:tcBorders>
              <w:top w:val="nil"/>
              <w:left w:val="nil"/>
              <w:bottom w:val="single" w:sz="4" w:space="0" w:color="auto"/>
              <w:right w:val="single" w:sz="4" w:space="0" w:color="auto"/>
            </w:tcBorders>
            <w:shd w:val="clear" w:color="auto" w:fill="auto"/>
            <w:noWrap/>
            <w:vAlign w:val="center"/>
            <w:hideMark/>
          </w:tcPr>
          <w:p w14:paraId="610C4361"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362"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30</w:t>
            </w:r>
          </w:p>
        </w:tc>
        <w:tc>
          <w:tcPr>
            <w:tcW w:w="823" w:type="dxa"/>
            <w:tcBorders>
              <w:top w:val="nil"/>
              <w:left w:val="nil"/>
              <w:bottom w:val="single" w:sz="4" w:space="0" w:color="auto"/>
              <w:right w:val="single" w:sz="4" w:space="0" w:color="auto"/>
            </w:tcBorders>
            <w:shd w:val="clear" w:color="auto" w:fill="auto"/>
            <w:noWrap/>
            <w:vAlign w:val="center"/>
            <w:hideMark/>
          </w:tcPr>
          <w:p w14:paraId="610C436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64"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6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6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6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74"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69"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6A"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6B"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6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C08D</w:t>
            </w:r>
          </w:p>
        </w:tc>
        <w:tc>
          <w:tcPr>
            <w:tcW w:w="2020" w:type="dxa"/>
            <w:tcBorders>
              <w:top w:val="nil"/>
              <w:left w:val="nil"/>
              <w:bottom w:val="single" w:sz="4" w:space="0" w:color="auto"/>
              <w:right w:val="single" w:sz="4" w:space="0" w:color="auto"/>
            </w:tcBorders>
            <w:shd w:val="clear" w:color="auto" w:fill="auto"/>
            <w:noWrap/>
            <w:vAlign w:val="center"/>
            <w:hideMark/>
          </w:tcPr>
          <w:p w14:paraId="610C436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Selective calcium channel blockers with direct cardiac effects</w:t>
            </w:r>
          </w:p>
        </w:tc>
        <w:tc>
          <w:tcPr>
            <w:tcW w:w="551" w:type="dxa"/>
            <w:tcBorders>
              <w:top w:val="nil"/>
              <w:left w:val="nil"/>
              <w:bottom w:val="single" w:sz="4" w:space="0" w:color="auto"/>
              <w:right w:val="single" w:sz="4" w:space="0" w:color="auto"/>
            </w:tcBorders>
            <w:shd w:val="clear" w:color="auto" w:fill="auto"/>
            <w:noWrap/>
            <w:vAlign w:val="center"/>
            <w:hideMark/>
          </w:tcPr>
          <w:p w14:paraId="610C436E"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7</w:t>
            </w:r>
          </w:p>
        </w:tc>
        <w:tc>
          <w:tcPr>
            <w:tcW w:w="823" w:type="dxa"/>
            <w:tcBorders>
              <w:top w:val="nil"/>
              <w:left w:val="nil"/>
              <w:bottom w:val="single" w:sz="4" w:space="0" w:color="auto"/>
              <w:right w:val="single" w:sz="4" w:space="0" w:color="auto"/>
            </w:tcBorders>
            <w:shd w:val="clear" w:color="auto" w:fill="auto"/>
            <w:noWrap/>
            <w:vAlign w:val="center"/>
            <w:hideMark/>
          </w:tcPr>
          <w:p w14:paraId="610C436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7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7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7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7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80"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7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7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7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7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C08C</w:t>
            </w:r>
          </w:p>
        </w:tc>
        <w:tc>
          <w:tcPr>
            <w:tcW w:w="2020" w:type="dxa"/>
            <w:tcBorders>
              <w:top w:val="nil"/>
              <w:left w:val="nil"/>
              <w:bottom w:val="single" w:sz="4" w:space="0" w:color="auto"/>
              <w:right w:val="single" w:sz="4" w:space="0" w:color="auto"/>
            </w:tcBorders>
            <w:shd w:val="clear" w:color="auto" w:fill="auto"/>
            <w:noWrap/>
            <w:vAlign w:val="center"/>
            <w:hideMark/>
          </w:tcPr>
          <w:p w14:paraId="610C437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Selective calcium channel blockers with mainly vascular effects</w:t>
            </w:r>
          </w:p>
        </w:tc>
        <w:tc>
          <w:tcPr>
            <w:tcW w:w="551" w:type="dxa"/>
            <w:tcBorders>
              <w:top w:val="nil"/>
              <w:left w:val="nil"/>
              <w:bottom w:val="single" w:sz="4" w:space="0" w:color="auto"/>
              <w:right w:val="single" w:sz="4" w:space="0" w:color="auto"/>
            </w:tcBorders>
            <w:shd w:val="clear" w:color="auto" w:fill="auto"/>
            <w:noWrap/>
            <w:vAlign w:val="center"/>
            <w:hideMark/>
          </w:tcPr>
          <w:p w14:paraId="610C437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4</w:t>
            </w:r>
          </w:p>
        </w:tc>
        <w:tc>
          <w:tcPr>
            <w:tcW w:w="823" w:type="dxa"/>
            <w:tcBorders>
              <w:top w:val="nil"/>
              <w:left w:val="nil"/>
              <w:bottom w:val="single" w:sz="4" w:space="0" w:color="auto"/>
              <w:right w:val="single" w:sz="4" w:space="0" w:color="auto"/>
            </w:tcBorders>
            <w:shd w:val="clear" w:color="auto" w:fill="auto"/>
            <w:noWrap/>
            <w:vAlign w:val="center"/>
            <w:hideMark/>
          </w:tcPr>
          <w:p w14:paraId="610C437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7C"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7D"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7E"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7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8C" w14:textId="77777777" w:rsidTr="005B3E6B">
        <w:trPr>
          <w:trHeight w:val="290"/>
        </w:trPr>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1"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2"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Beta Blocking Agents</w:t>
            </w:r>
          </w:p>
        </w:tc>
        <w:tc>
          <w:tcPr>
            <w:tcW w:w="5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3"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19</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C07A</w:t>
            </w:r>
          </w:p>
        </w:tc>
        <w:tc>
          <w:tcPr>
            <w:tcW w:w="2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5"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Beta blocking agents</w:t>
            </w:r>
          </w:p>
        </w:tc>
        <w:tc>
          <w:tcPr>
            <w:tcW w:w="5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386"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18</w:t>
            </w:r>
          </w:p>
        </w:tc>
        <w:tc>
          <w:tcPr>
            <w:tcW w:w="823" w:type="dxa"/>
            <w:tcBorders>
              <w:top w:val="nil"/>
              <w:left w:val="nil"/>
              <w:bottom w:val="single" w:sz="4" w:space="0" w:color="auto"/>
              <w:right w:val="single" w:sz="4" w:space="0" w:color="auto"/>
            </w:tcBorders>
            <w:shd w:val="clear" w:color="auto" w:fill="auto"/>
            <w:noWrap/>
            <w:vAlign w:val="center"/>
            <w:hideMark/>
          </w:tcPr>
          <w:p w14:paraId="610C4387"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C07AB</w:t>
            </w:r>
          </w:p>
        </w:tc>
        <w:tc>
          <w:tcPr>
            <w:tcW w:w="1884" w:type="dxa"/>
            <w:tcBorders>
              <w:top w:val="nil"/>
              <w:left w:val="nil"/>
              <w:bottom w:val="single" w:sz="4" w:space="0" w:color="auto"/>
              <w:right w:val="single" w:sz="4" w:space="0" w:color="auto"/>
            </w:tcBorders>
            <w:shd w:val="clear" w:color="auto" w:fill="auto"/>
            <w:noWrap/>
            <w:vAlign w:val="center"/>
            <w:hideMark/>
          </w:tcPr>
          <w:p w14:paraId="610C438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Beta blocking agents, selective</w:t>
            </w:r>
          </w:p>
        </w:tc>
        <w:tc>
          <w:tcPr>
            <w:tcW w:w="551" w:type="dxa"/>
            <w:tcBorders>
              <w:top w:val="nil"/>
              <w:left w:val="nil"/>
              <w:bottom w:val="single" w:sz="4" w:space="0" w:color="auto"/>
              <w:right w:val="single" w:sz="4" w:space="0" w:color="auto"/>
            </w:tcBorders>
            <w:shd w:val="clear" w:color="auto" w:fill="auto"/>
            <w:noWrap/>
            <w:vAlign w:val="center"/>
            <w:hideMark/>
          </w:tcPr>
          <w:p w14:paraId="610C4389"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15</w:t>
            </w:r>
          </w:p>
        </w:tc>
        <w:tc>
          <w:tcPr>
            <w:tcW w:w="1860" w:type="dxa"/>
            <w:tcBorders>
              <w:top w:val="nil"/>
              <w:left w:val="nil"/>
              <w:bottom w:val="single" w:sz="4" w:space="0" w:color="auto"/>
              <w:right w:val="single" w:sz="4" w:space="0" w:color="auto"/>
            </w:tcBorders>
            <w:shd w:val="clear" w:color="auto" w:fill="auto"/>
            <w:noWrap/>
            <w:vAlign w:val="center"/>
            <w:hideMark/>
          </w:tcPr>
          <w:p w14:paraId="610C438A"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8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98"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8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8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8F"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vMerge/>
            <w:tcBorders>
              <w:top w:val="nil"/>
              <w:left w:val="single" w:sz="4" w:space="0" w:color="auto"/>
              <w:bottom w:val="single" w:sz="4" w:space="0" w:color="auto"/>
              <w:right w:val="single" w:sz="4" w:space="0" w:color="auto"/>
            </w:tcBorders>
            <w:vAlign w:val="center"/>
            <w:hideMark/>
          </w:tcPr>
          <w:p w14:paraId="610C4390"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020" w:type="dxa"/>
            <w:vMerge/>
            <w:tcBorders>
              <w:top w:val="nil"/>
              <w:left w:val="single" w:sz="4" w:space="0" w:color="auto"/>
              <w:bottom w:val="single" w:sz="4" w:space="0" w:color="auto"/>
              <w:right w:val="single" w:sz="4" w:space="0" w:color="auto"/>
            </w:tcBorders>
            <w:vAlign w:val="center"/>
            <w:hideMark/>
          </w:tcPr>
          <w:p w14:paraId="610C4391"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92"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823" w:type="dxa"/>
            <w:tcBorders>
              <w:top w:val="nil"/>
              <w:left w:val="nil"/>
              <w:bottom w:val="single" w:sz="4" w:space="0" w:color="auto"/>
              <w:right w:val="single" w:sz="4" w:space="0" w:color="auto"/>
            </w:tcBorders>
            <w:shd w:val="clear" w:color="auto" w:fill="auto"/>
            <w:noWrap/>
            <w:vAlign w:val="center"/>
            <w:hideMark/>
          </w:tcPr>
          <w:p w14:paraId="610C4393"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C07AA</w:t>
            </w:r>
          </w:p>
        </w:tc>
        <w:tc>
          <w:tcPr>
            <w:tcW w:w="1884" w:type="dxa"/>
            <w:tcBorders>
              <w:top w:val="nil"/>
              <w:left w:val="nil"/>
              <w:bottom w:val="single" w:sz="4" w:space="0" w:color="auto"/>
              <w:right w:val="single" w:sz="4" w:space="0" w:color="auto"/>
            </w:tcBorders>
            <w:shd w:val="clear" w:color="auto" w:fill="auto"/>
            <w:noWrap/>
            <w:vAlign w:val="center"/>
            <w:hideMark/>
          </w:tcPr>
          <w:p w14:paraId="610C4394"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Beta blocking agents, non-selective</w:t>
            </w:r>
          </w:p>
        </w:tc>
        <w:tc>
          <w:tcPr>
            <w:tcW w:w="551" w:type="dxa"/>
            <w:tcBorders>
              <w:top w:val="nil"/>
              <w:left w:val="nil"/>
              <w:bottom w:val="single" w:sz="4" w:space="0" w:color="auto"/>
              <w:right w:val="single" w:sz="4" w:space="0" w:color="auto"/>
            </w:tcBorders>
            <w:shd w:val="clear" w:color="auto" w:fill="auto"/>
            <w:noWrap/>
            <w:vAlign w:val="center"/>
            <w:hideMark/>
          </w:tcPr>
          <w:p w14:paraId="610C4395"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2</w:t>
            </w:r>
          </w:p>
        </w:tc>
        <w:tc>
          <w:tcPr>
            <w:tcW w:w="1860" w:type="dxa"/>
            <w:tcBorders>
              <w:top w:val="nil"/>
              <w:left w:val="nil"/>
              <w:bottom w:val="single" w:sz="4" w:space="0" w:color="auto"/>
              <w:right w:val="single" w:sz="4" w:space="0" w:color="auto"/>
            </w:tcBorders>
            <w:shd w:val="clear" w:color="auto" w:fill="auto"/>
            <w:noWrap/>
            <w:vAlign w:val="center"/>
            <w:hideMark/>
          </w:tcPr>
          <w:p w14:paraId="610C439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9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A4"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99"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9A"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9B"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vMerge/>
            <w:tcBorders>
              <w:top w:val="nil"/>
              <w:left w:val="single" w:sz="4" w:space="0" w:color="auto"/>
              <w:bottom w:val="single" w:sz="4" w:space="0" w:color="auto"/>
              <w:right w:val="single" w:sz="4" w:space="0" w:color="auto"/>
            </w:tcBorders>
            <w:vAlign w:val="center"/>
            <w:hideMark/>
          </w:tcPr>
          <w:p w14:paraId="610C439C"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020" w:type="dxa"/>
            <w:vMerge/>
            <w:tcBorders>
              <w:top w:val="nil"/>
              <w:left w:val="single" w:sz="4" w:space="0" w:color="auto"/>
              <w:bottom w:val="single" w:sz="4" w:space="0" w:color="auto"/>
              <w:right w:val="single" w:sz="4" w:space="0" w:color="auto"/>
            </w:tcBorders>
            <w:vAlign w:val="center"/>
            <w:hideMark/>
          </w:tcPr>
          <w:p w14:paraId="610C439D"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9E"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823" w:type="dxa"/>
            <w:tcBorders>
              <w:top w:val="nil"/>
              <w:left w:val="nil"/>
              <w:bottom w:val="single" w:sz="4" w:space="0" w:color="auto"/>
              <w:right w:val="single" w:sz="4" w:space="0" w:color="auto"/>
            </w:tcBorders>
            <w:shd w:val="clear" w:color="auto" w:fill="auto"/>
            <w:noWrap/>
            <w:vAlign w:val="center"/>
            <w:hideMark/>
          </w:tcPr>
          <w:p w14:paraId="610C439F"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C07AG</w:t>
            </w:r>
          </w:p>
        </w:tc>
        <w:tc>
          <w:tcPr>
            <w:tcW w:w="1884" w:type="dxa"/>
            <w:tcBorders>
              <w:top w:val="nil"/>
              <w:left w:val="nil"/>
              <w:bottom w:val="single" w:sz="4" w:space="0" w:color="auto"/>
              <w:right w:val="single" w:sz="4" w:space="0" w:color="auto"/>
            </w:tcBorders>
            <w:shd w:val="clear" w:color="auto" w:fill="auto"/>
            <w:noWrap/>
            <w:vAlign w:val="center"/>
            <w:hideMark/>
          </w:tcPr>
          <w:p w14:paraId="610C43A0"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Alpha and beta blocking agents</w:t>
            </w:r>
          </w:p>
        </w:tc>
        <w:tc>
          <w:tcPr>
            <w:tcW w:w="551" w:type="dxa"/>
            <w:tcBorders>
              <w:top w:val="nil"/>
              <w:left w:val="nil"/>
              <w:bottom w:val="single" w:sz="4" w:space="0" w:color="auto"/>
              <w:right w:val="single" w:sz="4" w:space="0" w:color="auto"/>
            </w:tcBorders>
            <w:shd w:val="clear" w:color="auto" w:fill="auto"/>
            <w:noWrap/>
            <w:vAlign w:val="center"/>
            <w:hideMark/>
          </w:tcPr>
          <w:p w14:paraId="610C43A1"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w:t>
            </w:r>
          </w:p>
        </w:tc>
        <w:tc>
          <w:tcPr>
            <w:tcW w:w="1860" w:type="dxa"/>
            <w:tcBorders>
              <w:top w:val="nil"/>
              <w:left w:val="nil"/>
              <w:bottom w:val="single" w:sz="4" w:space="0" w:color="auto"/>
              <w:right w:val="single" w:sz="4" w:space="0" w:color="auto"/>
            </w:tcBorders>
            <w:shd w:val="clear" w:color="auto" w:fill="auto"/>
            <w:noWrap/>
            <w:vAlign w:val="center"/>
            <w:hideMark/>
          </w:tcPr>
          <w:p w14:paraId="610C43A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A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B0" w14:textId="77777777" w:rsidTr="005B3E6B">
        <w:trPr>
          <w:trHeight w:val="290"/>
        </w:trPr>
        <w:tc>
          <w:tcPr>
            <w:tcW w:w="1129" w:type="dxa"/>
            <w:vMerge/>
            <w:tcBorders>
              <w:top w:val="nil"/>
              <w:left w:val="single" w:sz="4" w:space="0" w:color="auto"/>
              <w:bottom w:val="single" w:sz="4" w:space="0" w:color="auto"/>
              <w:right w:val="single" w:sz="4" w:space="0" w:color="auto"/>
            </w:tcBorders>
            <w:vAlign w:val="center"/>
            <w:hideMark/>
          </w:tcPr>
          <w:p w14:paraId="610C43A5"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3A6"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551" w:type="dxa"/>
            <w:vMerge/>
            <w:tcBorders>
              <w:top w:val="nil"/>
              <w:left w:val="single" w:sz="4" w:space="0" w:color="auto"/>
              <w:bottom w:val="single" w:sz="4" w:space="0" w:color="auto"/>
              <w:right w:val="single" w:sz="4" w:space="0" w:color="auto"/>
            </w:tcBorders>
            <w:vAlign w:val="center"/>
            <w:hideMark/>
          </w:tcPr>
          <w:p w14:paraId="610C43A7" w14:textId="77777777" w:rsidR="007D57FB" w:rsidRPr="00547F82" w:rsidRDefault="007D57FB" w:rsidP="005B3E6B">
            <w:pPr>
              <w:spacing w:after="0" w:line="240" w:lineRule="auto"/>
              <w:rPr>
                <w:rFonts w:ascii="Calibri" w:eastAsia="Times New Roman" w:hAnsi="Calibri" w:cs="Calibri"/>
                <w:color w:val="000000"/>
                <w:lang w:eastAsia="en-GB"/>
              </w:rPr>
            </w:pPr>
          </w:p>
        </w:tc>
        <w:tc>
          <w:tcPr>
            <w:tcW w:w="692" w:type="dxa"/>
            <w:tcBorders>
              <w:top w:val="nil"/>
              <w:left w:val="nil"/>
              <w:bottom w:val="single" w:sz="4" w:space="0" w:color="auto"/>
              <w:right w:val="single" w:sz="4" w:space="0" w:color="auto"/>
            </w:tcBorders>
            <w:shd w:val="clear" w:color="auto" w:fill="auto"/>
            <w:noWrap/>
            <w:vAlign w:val="center"/>
            <w:hideMark/>
          </w:tcPr>
          <w:p w14:paraId="610C43A8"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C07C</w:t>
            </w:r>
          </w:p>
        </w:tc>
        <w:tc>
          <w:tcPr>
            <w:tcW w:w="2020" w:type="dxa"/>
            <w:tcBorders>
              <w:top w:val="nil"/>
              <w:left w:val="nil"/>
              <w:bottom w:val="single" w:sz="4" w:space="0" w:color="auto"/>
              <w:right w:val="single" w:sz="4" w:space="0" w:color="auto"/>
            </w:tcBorders>
            <w:shd w:val="clear" w:color="auto" w:fill="auto"/>
            <w:noWrap/>
            <w:vAlign w:val="center"/>
            <w:hideMark/>
          </w:tcPr>
          <w:p w14:paraId="610C43A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Beta blocking agents and other diuretics</w:t>
            </w:r>
          </w:p>
        </w:tc>
        <w:tc>
          <w:tcPr>
            <w:tcW w:w="551" w:type="dxa"/>
            <w:tcBorders>
              <w:top w:val="nil"/>
              <w:left w:val="nil"/>
              <w:bottom w:val="single" w:sz="4" w:space="0" w:color="auto"/>
              <w:right w:val="single" w:sz="4" w:space="0" w:color="auto"/>
            </w:tcBorders>
            <w:shd w:val="clear" w:color="auto" w:fill="auto"/>
            <w:noWrap/>
            <w:vAlign w:val="center"/>
            <w:hideMark/>
          </w:tcPr>
          <w:p w14:paraId="610C43AA"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1</w:t>
            </w:r>
          </w:p>
        </w:tc>
        <w:tc>
          <w:tcPr>
            <w:tcW w:w="823" w:type="dxa"/>
            <w:tcBorders>
              <w:top w:val="nil"/>
              <w:left w:val="nil"/>
              <w:bottom w:val="single" w:sz="4" w:space="0" w:color="auto"/>
              <w:right w:val="single" w:sz="4" w:space="0" w:color="auto"/>
            </w:tcBorders>
            <w:shd w:val="clear" w:color="auto" w:fill="auto"/>
            <w:noWrap/>
            <w:vAlign w:val="center"/>
            <w:hideMark/>
          </w:tcPr>
          <w:p w14:paraId="610C43AB"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AC"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AD"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AE"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A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BC" w14:textId="77777777" w:rsidTr="005B3E6B">
        <w:trPr>
          <w:trHeight w:val="50"/>
        </w:trPr>
        <w:tc>
          <w:tcPr>
            <w:tcW w:w="1129" w:type="dxa"/>
            <w:tcBorders>
              <w:top w:val="nil"/>
              <w:left w:val="single" w:sz="4" w:space="0" w:color="auto"/>
              <w:bottom w:val="nil"/>
              <w:right w:val="single" w:sz="4" w:space="0" w:color="auto"/>
            </w:tcBorders>
            <w:shd w:val="clear" w:color="000000" w:fill="E7E6E6"/>
            <w:vAlign w:val="center"/>
            <w:hideMark/>
          </w:tcPr>
          <w:p w14:paraId="610C43B1"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Contd. ATC 2</w:t>
            </w:r>
            <w:r>
              <w:rPr>
                <w:rFonts w:ascii="Calibri" w:eastAsia="Times New Roman" w:hAnsi="Calibri" w:cs="Calibri"/>
                <w:b/>
                <w:bCs/>
                <w:color w:val="000000"/>
                <w:vertAlign w:val="superscript"/>
                <w:lang w:eastAsia="en-GB"/>
              </w:rPr>
              <w:t>nd</w:t>
            </w:r>
          </w:p>
        </w:tc>
        <w:tc>
          <w:tcPr>
            <w:tcW w:w="2835" w:type="dxa"/>
            <w:tcBorders>
              <w:top w:val="nil"/>
              <w:left w:val="nil"/>
              <w:bottom w:val="nil"/>
              <w:right w:val="single" w:sz="4" w:space="0" w:color="auto"/>
            </w:tcBorders>
            <w:shd w:val="clear" w:color="000000" w:fill="E7E6E6"/>
            <w:vAlign w:val="center"/>
            <w:hideMark/>
          </w:tcPr>
          <w:p w14:paraId="610C43B2"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547F82">
              <w:rPr>
                <w:rFonts w:ascii="Calibri" w:eastAsia="Times New Roman" w:hAnsi="Calibri" w:cs="Calibri"/>
                <w:b/>
                <w:bCs/>
                <w:color w:val="000000"/>
                <w:lang w:eastAsia="en-GB"/>
              </w:rPr>
              <w:t>herapeut</w:t>
            </w:r>
            <w:r>
              <w:rPr>
                <w:rFonts w:ascii="Calibri" w:eastAsia="Times New Roman" w:hAnsi="Calibri" w:cs="Calibri"/>
                <w:b/>
                <w:bCs/>
                <w:color w:val="000000"/>
                <w:lang w:eastAsia="en-GB"/>
              </w:rPr>
              <w:t>ic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B3"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692" w:type="dxa"/>
            <w:tcBorders>
              <w:top w:val="nil"/>
              <w:left w:val="nil"/>
              <w:bottom w:val="nil"/>
              <w:right w:val="single" w:sz="4" w:space="0" w:color="auto"/>
            </w:tcBorders>
            <w:shd w:val="clear" w:color="000000" w:fill="E7E6E6"/>
            <w:vAlign w:val="center"/>
            <w:hideMark/>
          </w:tcPr>
          <w:p w14:paraId="610C43B4"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3</w:t>
            </w:r>
            <w:r w:rsidRPr="00C41261">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020" w:type="dxa"/>
            <w:tcBorders>
              <w:top w:val="nil"/>
              <w:left w:val="nil"/>
              <w:bottom w:val="nil"/>
              <w:right w:val="single" w:sz="4" w:space="0" w:color="auto"/>
            </w:tcBorders>
            <w:shd w:val="clear" w:color="000000" w:fill="E7E6E6"/>
            <w:vAlign w:val="center"/>
            <w:hideMark/>
          </w:tcPr>
          <w:p w14:paraId="610C43B5"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B6"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823" w:type="dxa"/>
            <w:tcBorders>
              <w:top w:val="nil"/>
              <w:left w:val="nil"/>
              <w:bottom w:val="nil"/>
              <w:right w:val="single" w:sz="4" w:space="0" w:color="auto"/>
            </w:tcBorders>
            <w:shd w:val="clear" w:color="000000" w:fill="E7E6E6"/>
            <w:vAlign w:val="center"/>
            <w:hideMark/>
          </w:tcPr>
          <w:p w14:paraId="610C43B7"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4</w:t>
            </w:r>
            <w:r w:rsidRPr="00C41261">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4" w:type="dxa"/>
            <w:tcBorders>
              <w:top w:val="nil"/>
              <w:left w:val="nil"/>
              <w:bottom w:val="nil"/>
              <w:right w:val="single" w:sz="4" w:space="0" w:color="auto"/>
            </w:tcBorders>
            <w:shd w:val="clear" w:color="000000" w:fill="E7E6E6"/>
            <w:vAlign w:val="center"/>
            <w:hideMark/>
          </w:tcPr>
          <w:p w14:paraId="610C43B8" w14:textId="77777777" w:rsidR="007D57FB" w:rsidRPr="00547F82"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547F82">
              <w:rPr>
                <w:rFonts w:ascii="Calibri" w:eastAsia="Times New Roman" w:hAnsi="Calibri" w:cs="Calibri"/>
                <w:b/>
                <w:bCs/>
                <w:color w:val="000000"/>
                <w:lang w:eastAsia="en-GB"/>
              </w:rPr>
              <w:t>ubgroup</w:t>
            </w:r>
          </w:p>
        </w:tc>
        <w:tc>
          <w:tcPr>
            <w:tcW w:w="551" w:type="dxa"/>
            <w:tcBorders>
              <w:top w:val="nil"/>
              <w:left w:val="nil"/>
              <w:bottom w:val="nil"/>
              <w:right w:val="single" w:sz="4" w:space="0" w:color="auto"/>
            </w:tcBorders>
            <w:shd w:val="clear" w:color="000000" w:fill="E7E6E6"/>
            <w:vAlign w:val="center"/>
            <w:hideMark/>
          </w:tcPr>
          <w:p w14:paraId="610C43B9"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c>
          <w:tcPr>
            <w:tcW w:w="1860" w:type="dxa"/>
            <w:tcBorders>
              <w:top w:val="nil"/>
              <w:left w:val="nil"/>
              <w:bottom w:val="nil"/>
              <w:right w:val="single" w:sz="4" w:space="0" w:color="auto"/>
            </w:tcBorders>
            <w:shd w:val="clear" w:color="000000" w:fill="E7E6E6"/>
            <w:vAlign w:val="center"/>
            <w:hideMark/>
          </w:tcPr>
          <w:p w14:paraId="610C43BA"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547F82">
              <w:rPr>
                <w:rFonts w:ascii="Calibri" w:eastAsia="Times New Roman" w:hAnsi="Calibri" w:cs="Calibri"/>
                <w:b/>
                <w:bCs/>
                <w:color w:val="000000"/>
                <w:lang w:eastAsia="en-GB"/>
              </w:rPr>
              <w:t xml:space="preserve"> drug (when n ≥ 10)</w:t>
            </w:r>
          </w:p>
        </w:tc>
        <w:tc>
          <w:tcPr>
            <w:tcW w:w="553" w:type="dxa"/>
            <w:tcBorders>
              <w:top w:val="nil"/>
              <w:left w:val="nil"/>
              <w:bottom w:val="nil"/>
              <w:right w:val="single" w:sz="4" w:space="0" w:color="auto"/>
            </w:tcBorders>
            <w:shd w:val="clear" w:color="000000" w:fill="E7E6E6"/>
            <w:vAlign w:val="center"/>
            <w:hideMark/>
          </w:tcPr>
          <w:p w14:paraId="610C43BB" w14:textId="77777777" w:rsidR="007D57FB" w:rsidRPr="00547F82" w:rsidRDefault="007D57FB" w:rsidP="005B3E6B">
            <w:pPr>
              <w:spacing w:after="0" w:line="240" w:lineRule="auto"/>
              <w:rPr>
                <w:rFonts w:ascii="Calibri" w:eastAsia="Times New Roman" w:hAnsi="Calibri" w:cs="Calibri"/>
                <w:b/>
                <w:bCs/>
                <w:color w:val="000000"/>
                <w:lang w:eastAsia="en-GB"/>
              </w:rPr>
            </w:pPr>
            <w:r w:rsidRPr="00547F82">
              <w:rPr>
                <w:rFonts w:ascii="Calibri" w:eastAsia="Times New Roman" w:hAnsi="Calibri" w:cs="Calibri"/>
                <w:b/>
                <w:bCs/>
                <w:color w:val="000000"/>
                <w:lang w:eastAsia="en-GB"/>
              </w:rPr>
              <w:t>n</w:t>
            </w:r>
          </w:p>
        </w:tc>
      </w:tr>
      <w:tr w:rsidR="007D57FB" w:rsidRPr="00547F82" w14:paraId="610C43C8" w14:textId="77777777" w:rsidTr="005B3E6B">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0C43B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w:t>
            </w:r>
          </w:p>
        </w:tc>
        <w:tc>
          <w:tcPr>
            <w:tcW w:w="2835" w:type="dxa"/>
            <w:tcBorders>
              <w:top w:val="nil"/>
              <w:left w:val="nil"/>
              <w:bottom w:val="single" w:sz="4" w:space="0" w:color="auto"/>
              <w:right w:val="single" w:sz="4" w:space="0" w:color="auto"/>
            </w:tcBorders>
            <w:shd w:val="clear" w:color="auto" w:fill="auto"/>
            <w:noWrap/>
            <w:vAlign w:val="center"/>
            <w:hideMark/>
          </w:tcPr>
          <w:p w14:paraId="610C43BE"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 xml:space="preserve">Not specified by paper </w:t>
            </w:r>
          </w:p>
        </w:tc>
        <w:tc>
          <w:tcPr>
            <w:tcW w:w="551" w:type="dxa"/>
            <w:tcBorders>
              <w:top w:val="nil"/>
              <w:left w:val="nil"/>
              <w:bottom w:val="single" w:sz="4" w:space="0" w:color="auto"/>
              <w:right w:val="single" w:sz="4" w:space="0" w:color="auto"/>
            </w:tcBorders>
            <w:shd w:val="clear" w:color="auto" w:fill="auto"/>
            <w:noWrap/>
            <w:vAlign w:val="center"/>
            <w:hideMark/>
          </w:tcPr>
          <w:p w14:paraId="610C43BF"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8</w:t>
            </w:r>
          </w:p>
        </w:tc>
        <w:tc>
          <w:tcPr>
            <w:tcW w:w="692" w:type="dxa"/>
            <w:tcBorders>
              <w:top w:val="nil"/>
              <w:left w:val="nil"/>
              <w:bottom w:val="single" w:sz="4" w:space="0" w:color="auto"/>
              <w:right w:val="single" w:sz="4" w:space="0" w:color="auto"/>
            </w:tcBorders>
            <w:shd w:val="clear" w:color="auto" w:fill="auto"/>
            <w:noWrap/>
            <w:vAlign w:val="center"/>
            <w:hideMark/>
          </w:tcPr>
          <w:p w14:paraId="610C43C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2020" w:type="dxa"/>
            <w:tcBorders>
              <w:top w:val="nil"/>
              <w:left w:val="nil"/>
              <w:bottom w:val="single" w:sz="4" w:space="0" w:color="auto"/>
              <w:right w:val="single" w:sz="4" w:space="0" w:color="auto"/>
            </w:tcBorders>
            <w:shd w:val="clear" w:color="auto" w:fill="auto"/>
            <w:noWrap/>
            <w:vAlign w:val="center"/>
            <w:hideMark/>
          </w:tcPr>
          <w:p w14:paraId="610C43C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C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823" w:type="dxa"/>
            <w:tcBorders>
              <w:top w:val="nil"/>
              <w:left w:val="nil"/>
              <w:bottom w:val="single" w:sz="4" w:space="0" w:color="auto"/>
              <w:right w:val="single" w:sz="4" w:space="0" w:color="auto"/>
            </w:tcBorders>
            <w:shd w:val="clear" w:color="auto" w:fill="auto"/>
            <w:noWrap/>
            <w:vAlign w:val="center"/>
            <w:hideMark/>
          </w:tcPr>
          <w:p w14:paraId="610C43C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C4"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C5"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C6"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C7"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547F82" w14:paraId="610C43D4" w14:textId="77777777" w:rsidTr="005B3E6B">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0C43C9"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C10</w:t>
            </w:r>
          </w:p>
        </w:tc>
        <w:tc>
          <w:tcPr>
            <w:tcW w:w="2835" w:type="dxa"/>
            <w:tcBorders>
              <w:top w:val="nil"/>
              <w:left w:val="nil"/>
              <w:bottom w:val="single" w:sz="4" w:space="0" w:color="auto"/>
              <w:right w:val="single" w:sz="4" w:space="0" w:color="auto"/>
            </w:tcBorders>
            <w:shd w:val="clear" w:color="auto" w:fill="auto"/>
            <w:noWrap/>
            <w:vAlign w:val="center"/>
            <w:hideMark/>
          </w:tcPr>
          <w:p w14:paraId="610C43CA"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Lipid Modifying Agents</w:t>
            </w:r>
          </w:p>
        </w:tc>
        <w:tc>
          <w:tcPr>
            <w:tcW w:w="551" w:type="dxa"/>
            <w:tcBorders>
              <w:top w:val="nil"/>
              <w:left w:val="nil"/>
              <w:bottom w:val="single" w:sz="4" w:space="0" w:color="auto"/>
              <w:right w:val="single" w:sz="4" w:space="0" w:color="auto"/>
            </w:tcBorders>
            <w:shd w:val="clear" w:color="auto" w:fill="auto"/>
            <w:noWrap/>
            <w:vAlign w:val="center"/>
            <w:hideMark/>
          </w:tcPr>
          <w:p w14:paraId="610C43CB"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7</w:t>
            </w:r>
          </w:p>
        </w:tc>
        <w:tc>
          <w:tcPr>
            <w:tcW w:w="692" w:type="dxa"/>
            <w:tcBorders>
              <w:top w:val="nil"/>
              <w:left w:val="nil"/>
              <w:bottom w:val="single" w:sz="4" w:space="0" w:color="auto"/>
              <w:right w:val="single" w:sz="4" w:space="0" w:color="auto"/>
            </w:tcBorders>
            <w:shd w:val="clear" w:color="auto" w:fill="auto"/>
            <w:noWrap/>
            <w:vAlign w:val="center"/>
            <w:hideMark/>
          </w:tcPr>
          <w:p w14:paraId="610C43CC"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C10*</w:t>
            </w:r>
          </w:p>
        </w:tc>
        <w:tc>
          <w:tcPr>
            <w:tcW w:w="2020" w:type="dxa"/>
            <w:tcBorders>
              <w:top w:val="nil"/>
              <w:left w:val="nil"/>
              <w:bottom w:val="single" w:sz="4" w:space="0" w:color="auto"/>
              <w:right w:val="single" w:sz="4" w:space="0" w:color="auto"/>
            </w:tcBorders>
            <w:shd w:val="clear" w:color="auto" w:fill="auto"/>
            <w:noWrap/>
            <w:vAlign w:val="center"/>
            <w:hideMark/>
          </w:tcPr>
          <w:p w14:paraId="610C43CD" w14:textId="77777777" w:rsidR="007D57FB" w:rsidRPr="00547F82" w:rsidRDefault="007D57FB" w:rsidP="005B3E6B">
            <w:pPr>
              <w:spacing w:after="0" w:line="240" w:lineRule="auto"/>
              <w:rPr>
                <w:rFonts w:ascii="Calibri" w:eastAsia="Times New Roman" w:hAnsi="Calibri" w:cs="Calibri"/>
                <w:color w:val="000000"/>
                <w:lang w:eastAsia="en-GB"/>
              </w:rPr>
            </w:pPr>
            <w:r w:rsidRPr="00547F82">
              <w:rPr>
                <w:rFonts w:ascii="Calibri" w:eastAsia="Times New Roman" w:hAnsi="Calibri" w:cs="Calibri"/>
                <w:color w:val="000000"/>
                <w:lang w:eastAsia="en-GB"/>
              </w:rPr>
              <w:t>Not specified by paper</w:t>
            </w:r>
          </w:p>
        </w:tc>
        <w:tc>
          <w:tcPr>
            <w:tcW w:w="551" w:type="dxa"/>
            <w:tcBorders>
              <w:top w:val="nil"/>
              <w:left w:val="nil"/>
              <w:bottom w:val="single" w:sz="4" w:space="0" w:color="auto"/>
              <w:right w:val="single" w:sz="4" w:space="0" w:color="auto"/>
            </w:tcBorders>
            <w:shd w:val="clear" w:color="auto" w:fill="auto"/>
            <w:noWrap/>
            <w:vAlign w:val="center"/>
            <w:hideMark/>
          </w:tcPr>
          <w:p w14:paraId="610C43CE" w14:textId="77777777" w:rsidR="007D57FB" w:rsidRPr="00547F82" w:rsidRDefault="007D57FB" w:rsidP="005B3E6B">
            <w:pPr>
              <w:spacing w:after="0" w:line="240" w:lineRule="auto"/>
              <w:jc w:val="right"/>
              <w:rPr>
                <w:rFonts w:ascii="Calibri" w:eastAsia="Times New Roman" w:hAnsi="Calibri" w:cs="Calibri"/>
                <w:color w:val="000000"/>
                <w:lang w:eastAsia="en-GB"/>
              </w:rPr>
            </w:pPr>
            <w:r w:rsidRPr="00547F82">
              <w:rPr>
                <w:rFonts w:ascii="Calibri" w:eastAsia="Times New Roman" w:hAnsi="Calibri" w:cs="Calibri"/>
                <w:color w:val="000000"/>
                <w:lang w:eastAsia="en-GB"/>
              </w:rPr>
              <w:t>7</w:t>
            </w:r>
          </w:p>
        </w:tc>
        <w:tc>
          <w:tcPr>
            <w:tcW w:w="823" w:type="dxa"/>
            <w:tcBorders>
              <w:top w:val="nil"/>
              <w:left w:val="nil"/>
              <w:bottom w:val="single" w:sz="4" w:space="0" w:color="auto"/>
              <w:right w:val="single" w:sz="4" w:space="0" w:color="auto"/>
            </w:tcBorders>
            <w:shd w:val="clear" w:color="auto" w:fill="auto"/>
            <w:noWrap/>
            <w:vAlign w:val="center"/>
            <w:hideMark/>
          </w:tcPr>
          <w:p w14:paraId="610C43CF"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84" w:type="dxa"/>
            <w:tcBorders>
              <w:top w:val="nil"/>
              <w:left w:val="nil"/>
              <w:bottom w:val="single" w:sz="4" w:space="0" w:color="auto"/>
              <w:right w:val="single" w:sz="4" w:space="0" w:color="auto"/>
            </w:tcBorders>
            <w:shd w:val="clear" w:color="auto" w:fill="auto"/>
            <w:noWrap/>
            <w:vAlign w:val="center"/>
            <w:hideMark/>
          </w:tcPr>
          <w:p w14:paraId="610C43D0"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1" w:type="dxa"/>
            <w:tcBorders>
              <w:top w:val="nil"/>
              <w:left w:val="nil"/>
              <w:bottom w:val="single" w:sz="4" w:space="0" w:color="auto"/>
              <w:right w:val="single" w:sz="4" w:space="0" w:color="auto"/>
            </w:tcBorders>
            <w:shd w:val="clear" w:color="auto" w:fill="auto"/>
            <w:noWrap/>
            <w:vAlign w:val="center"/>
            <w:hideMark/>
          </w:tcPr>
          <w:p w14:paraId="610C43D1"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60" w:type="dxa"/>
            <w:tcBorders>
              <w:top w:val="nil"/>
              <w:left w:val="nil"/>
              <w:bottom w:val="single" w:sz="4" w:space="0" w:color="auto"/>
              <w:right w:val="single" w:sz="4" w:space="0" w:color="auto"/>
            </w:tcBorders>
            <w:shd w:val="clear" w:color="auto" w:fill="auto"/>
            <w:noWrap/>
            <w:vAlign w:val="center"/>
            <w:hideMark/>
          </w:tcPr>
          <w:p w14:paraId="610C43D2"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53" w:type="dxa"/>
            <w:tcBorders>
              <w:top w:val="nil"/>
              <w:left w:val="nil"/>
              <w:bottom w:val="single" w:sz="4" w:space="0" w:color="auto"/>
              <w:right w:val="single" w:sz="4" w:space="0" w:color="auto"/>
            </w:tcBorders>
            <w:shd w:val="clear" w:color="auto" w:fill="auto"/>
            <w:noWrap/>
            <w:vAlign w:val="center"/>
            <w:hideMark/>
          </w:tcPr>
          <w:p w14:paraId="610C43D3" w14:textId="77777777" w:rsidR="007D57FB" w:rsidRPr="00547F8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bl>
    <w:p w14:paraId="610C43D5" w14:textId="77777777" w:rsidR="007D57FB" w:rsidRDefault="007D57FB">
      <w:pPr>
        <w:rPr>
          <w:b/>
        </w:rPr>
      </w:pPr>
    </w:p>
    <w:p w14:paraId="610C43D6" w14:textId="77777777" w:rsidR="007D57FB" w:rsidRDefault="007D57FB" w:rsidP="005B3E6B">
      <w:pPr>
        <w:pStyle w:val="Heading3"/>
      </w:pPr>
      <w:bookmarkStart w:id="54" w:name="_Toc52396373"/>
      <w:r>
        <w:t>Central nervous system</w:t>
      </w:r>
      <w:bookmarkEnd w:id="54"/>
    </w:p>
    <w:tbl>
      <w:tblPr>
        <w:tblW w:w="13767" w:type="dxa"/>
        <w:tblLook w:val="04A0" w:firstRow="1" w:lastRow="0" w:firstColumn="1" w:lastColumn="0" w:noHBand="0" w:noVBand="1"/>
      </w:tblPr>
      <w:tblGrid>
        <w:gridCol w:w="1281"/>
        <w:gridCol w:w="2835"/>
        <w:gridCol w:w="578"/>
        <w:gridCol w:w="810"/>
        <w:gridCol w:w="1912"/>
        <w:gridCol w:w="578"/>
        <w:gridCol w:w="851"/>
        <w:gridCol w:w="1885"/>
        <w:gridCol w:w="578"/>
        <w:gridCol w:w="1881"/>
        <w:gridCol w:w="578"/>
      </w:tblGrid>
      <w:tr w:rsidR="007D57FB" w:rsidRPr="00606AE1" w14:paraId="610C43D8" w14:textId="77777777" w:rsidTr="005B3E6B">
        <w:trPr>
          <w:trHeight w:val="300"/>
        </w:trPr>
        <w:tc>
          <w:tcPr>
            <w:tcW w:w="13767"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3D7" w14:textId="75841200"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Central Nervous System 415 (17.4</w:t>
            </w:r>
            <w:r w:rsidR="00AB78B1">
              <w:rPr>
                <w:rFonts w:ascii="Calibri" w:eastAsia="Times New Roman" w:hAnsi="Calibri" w:cs="Calibri"/>
                <w:b/>
                <w:bCs/>
                <w:color w:val="000000"/>
                <w:lang w:eastAsia="en-GB"/>
              </w:rPr>
              <w:t>0</w:t>
            </w:r>
            <w:r w:rsidRPr="00606AE1">
              <w:rPr>
                <w:rFonts w:ascii="Calibri" w:eastAsia="Times New Roman" w:hAnsi="Calibri" w:cs="Calibri"/>
                <w:b/>
                <w:bCs/>
                <w:color w:val="000000"/>
                <w:lang w:eastAsia="en-GB"/>
              </w:rPr>
              <w:t>%)</w:t>
            </w:r>
          </w:p>
        </w:tc>
      </w:tr>
      <w:tr w:rsidR="007D57FB" w:rsidRPr="00606AE1" w14:paraId="610C43E4" w14:textId="77777777" w:rsidTr="005B3E6B">
        <w:trPr>
          <w:trHeight w:val="90"/>
        </w:trPr>
        <w:tc>
          <w:tcPr>
            <w:tcW w:w="1281" w:type="dxa"/>
            <w:tcBorders>
              <w:top w:val="nil"/>
              <w:left w:val="single" w:sz="4" w:space="0" w:color="auto"/>
              <w:bottom w:val="nil"/>
              <w:right w:val="single" w:sz="4" w:space="0" w:color="auto"/>
            </w:tcBorders>
            <w:shd w:val="clear" w:color="000000" w:fill="E7E6E6"/>
            <w:vAlign w:val="center"/>
            <w:hideMark/>
          </w:tcPr>
          <w:p w14:paraId="610C43D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 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top w:val="nil"/>
              <w:left w:val="nil"/>
              <w:bottom w:val="nil"/>
              <w:right w:val="single" w:sz="4" w:space="0" w:color="auto"/>
            </w:tcBorders>
            <w:shd w:val="clear" w:color="000000" w:fill="E7E6E6"/>
            <w:vAlign w:val="center"/>
            <w:hideMark/>
          </w:tcPr>
          <w:p w14:paraId="610C43DA"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78" w:type="dxa"/>
            <w:tcBorders>
              <w:top w:val="nil"/>
              <w:left w:val="nil"/>
              <w:bottom w:val="nil"/>
              <w:right w:val="single" w:sz="4" w:space="0" w:color="auto"/>
            </w:tcBorders>
            <w:shd w:val="clear" w:color="000000" w:fill="E7E6E6"/>
            <w:vAlign w:val="center"/>
            <w:hideMark/>
          </w:tcPr>
          <w:p w14:paraId="610C43D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10" w:type="dxa"/>
            <w:tcBorders>
              <w:top w:val="nil"/>
              <w:left w:val="nil"/>
              <w:bottom w:val="nil"/>
              <w:right w:val="single" w:sz="4" w:space="0" w:color="auto"/>
            </w:tcBorders>
            <w:shd w:val="clear" w:color="000000" w:fill="E7E6E6"/>
            <w:vAlign w:val="center"/>
            <w:hideMark/>
          </w:tcPr>
          <w:p w14:paraId="610C43D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12" w:type="dxa"/>
            <w:tcBorders>
              <w:top w:val="nil"/>
              <w:left w:val="nil"/>
              <w:bottom w:val="nil"/>
              <w:right w:val="single" w:sz="4" w:space="0" w:color="auto"/>
            </w:tcBorders>
            <w:shd w:val="clear" w:color="000000" w:fill="E7E6E6"/>
            <w:vAlign w:val="center"/>
            <w:hideMark/>
          </w:tcPr>
          <w:p w14:paraId="610C43DD"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78" w:type="dxa"/>
            <w:tcBorders>
              <w:top w:val="nil"/>
              <w:left w:val="nil"/>
              <w:bottom w:val="nil"/>
              <w:right w:val="single" w:sz="4" w:space="0" w:color="auto"/>
            </w:tcBorders>
            <w:shd w:val="clear" w:color="000000" w:fill="E7E6E6"/>
            <w:vAlign w:val="center"/>
            <w:hideMark/>
          </w:tcPr>
          <w:p w14:paraId="610C43D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51" w:type="dxa"/>
            <w:tcBorders>
              <w:top w:val="nil"/>
              <w:left w:val="nil"/>
              <w:bottom w:val="nil"/>
              <w:right w:val="single" w:sz="4" w:space="0" w:color="auto"/>
            </w:tcBorders>
            <w:shd w:val="clear" w:color="000000" w:fill="E7E6E6"/>
            <w:vAlign w:val="center"/>
            <w:hideMark/>
          </w:tcPr>
          <w:p w14:paraId="610C43DF"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5" w:type="dxa"/>
            <w:tcBorders>
              <w:top w:val="nil"/>
              <w:left w:val="nil"/>
              <w:bottom w:val="nil"/>
              <w:right w:val="single" w:sz="4" w:space="0" w:color="auto"/>
            </w:tcBorders>
            <w:shd w:val="clear" w:color="000000" w:fill="E7E6E6"/>
            <w:vAlign w:val="center"/>
            <w:hideMark/>
          </w:tcPr>
          <w:p w14:paraId="610C43E0"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78" w:type="dxa"/>
            <w:tcBorders>
              <w:top w:val="nil"/>
              <w:left w:val="nil"/>
              <w:bottom w:val="nil"/>
              <w:right w:val="single" w:sz="4" w:space="0" w:color="auto"/>
            </w:tcBorders>
            <w:shd w:val="clear" w:color="000000" w:fill="E7E6E6"/>
            <w:vAlign w:val="center"/>
            <w:hideMark/>
          </w:tcPr>
          <w:p w14:paraId="610C43E1"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881" w:type="dxa"/>
            <w:tcBorders>
              <w:top w:val="nil"/>
              <w:left w:val="nil"/>
              <w:bottom w:val="nil"/>
              <w:right w:val="single" w:sz="4" w:space="0" w:color="auto"/>
            </w:tcBorders>
            <w:shd w:val="clear" w:color="000000" w:fill="E7E6E6"/>
            <w:vAlign w:val="center"/>
            <w:hideMark/>
          </w:tcPr>
          <w:p w14:paraId="610C43E2"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78" w:type="dxa"/>
            <w:tcBorders>
              <w:top w:val="nil"/>
              <w:left w:val="nil"/>
              <w:bottom w:val="nil"/>
              <w:right w:val="single" w:sz="4" w:space="0" w:color="auto"/>
            </w:tcBorders>
            <w:shd w:val="clear" w:color="000000" w:fill="E7E6E6"/>
            <w:vAlign w:val="center"/>
            <w:hideMark/>
          </w:tcPr>
          <w:p w14:paraId="610C43E3"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606AE1" w14:paraId="610C43F0" w14:textId="77777777" w:rsidTr="005B3E6B">
        <w:trPr>
          <w:trHeight w:val="290"/>
        </w:trPr>
        <w:tc>
          <w:tcPr>
            <w:tcW w:w="12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Analgesics</w:t>
            </w:r>
          </w:p>
        </w:tc>
        <w:tc>
          <w:tcPr>
            <w:tcW w:w="5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260</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Opioids</w:t>
            </w:r>
          </w:p>
        </w:tc>
        <w:tc>
          <w:tcPr>
            <w:tcW w:w="5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3EA"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10C43EB"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w:t>
            </w:r>
          </w:p>
        </w:tc>
        <w:tc>
          <w:tcPr>
            <w:tcW w:w="1885" w:type="dxa"/>
            <w:tcBorders>
              <w:top w:val="single" w:sz="4" w:space="0" w:color="auto"/>
              <w:left w:val="nil"/>
              <w:bottom w:val="single" w:sz="4" w:space="0" w:color="auto"/>
              <w:right w:val="single" w:sz="4" w:space="0" w:color="auto"/>
            </w:tcBorders>
            <w:shd w:val="clear" w:color="auto" w:fill="auto"/>
            <w:noWrap/>
            <w:vAlign w:val="center"/>
            <w:hideMark/>
          </w:tcPr>
          <w:p w14:paraId="610C43EC"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Unspecified "Opioids"</w:t>
            </w:r>
          </w:p>
        </w:tc>
        <w:tc>
          <w:tcPr>
            <w:tcW w:w="578" w:type="dxa"/>
            <w:tcBorders>
              <w:top w:val="single" w:sz="4" w:space="0" w:color="auto"/>
              <w:left w:val="nil"/>
              <w:bottom w:val="single" w:sz="4" w:space="0" w:color="auto"/>
              <w:right w:val="single" w:sz="4" w:space="0" w:color="auto"/>
            </w:tcBorders>
            <w:shd w:val="clear" w:color="auto" w:fill="auto"/>
            <w:noWrap/>
            <w:vAlign w:val="center"/>
            <w:hideMark/>
          </w:tcPr>
          <w:p w14:paraId="610C43ED"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123</w:t>
            </w:r>
          </w:p>
        </w:tc>
        <w:tc>
          <w:tcPr>
            <w:tcW w:w="1881" w:type="dxa"/>
            <w:tcBorders>
              <w:top w:val="single" w:sz="4" w:space="0" w:color="auto"/>
              <w:left w:val="nil"/>
              <w:bottom w:val="single" w:sz="4" w:space="0" w:color="auto"/>
              <w:right w:val="single" w:sz="4" w:space="0" w:color="auto"/>
            </w:tcBorders>
            <w:shd w:val="clear" w:color="auto" w:fill="auto"/>
            <w:noWrap/>
            <w:vAlign w:val="center"/>
            <w:hideMark/>
          </w:tcPr>
          <w:p w14:paraId="610C43E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w:t>
            </w:r>
            <w:r>
              <w:rPr>
                <w:rFonts w:ascii="Calibri" w:eastAsia="Times New Roman" w:hAnsi="Calibri" w:cs="Calibri"/>
                <w:color w:val="000000"/>
                <w:lang w:eastAsia="en-GB"/>
              </w:rPr>
              <w:t>-</w:t>
            </w:r>
          </w:p>
        </w:tc>
        <w:tc>
          <w:tcPr>
            <w:tcW w:w="578" w:type="dxa"/>
            <w:tcBorders>
              <w:top w:val="single" w:sz="4" w:space="0" w:color="auto"/>
              <w:left w:val="nil"/>
              <w:bottom w:val="single" w:sz="4" w:space="0" w:color="auto"/>
              <w:right w:val="single" w:sz="4" w:space="0" w:color="auto"/>
            </w:tcBorders>
            <w:shd w:val="clear" w:color="auto" w:fill="auto"/>
            <w:noWrap/>
            <w:vAlign w:val="center"/>
            <w:hideMark/>
          </w:tcPr>
          <w:p w14:paraId="610C43EF"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3FC"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3F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3F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3F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10C43F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14:paraId="610C43F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3F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3F7"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N02AA</w:t>
            </w:r>
          </w:p>
        </w:tc>
        <w:tc>
          <w:tcPr>
            <w:tcW w:w="1885" w:type="dxa"/>
            <w:tcBorders>
              <w:top w:val="nil"/>
              <w:left w:val="nil"/>
              <w:bottom w:val="single" w:sz="4" w:space="0" w:color="auto"/>
              <w:right w:val="single" w:sz="4" w:space="0" w:color="auto"/>
            </w:tcBorders>
            <w:shd w:val="clear" w:color="auto" w:fill="auto"/>
            <w:noWrap/>
            <w:vAlign w:val="center"/>
            <w:hideMark/>
          </w:tcPr>
          <w:p w14:paraId="610C43F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Natural opium alkaloids</w:t>
            </w:r>
          </w:p>
        </w:tc>
        <w:tc>
          <w:tcPr>
            <w:tcW w:w="578" w:type="dxa"/>
            <w:tcBorders>
              <w:top w:val="nil"/>
              <w:left w:val="nil"/>
              <w:bottom w:val="single" w:sz="4" w:space="0" w:color="auto"/>
              <w:right w:val="single" w:sz="4" w:space="0" w:color="auto"/>
            </w:tcBorders>
            <w:shd w:val="clear" w:color="auto" w:fill="auto"/>
            <w:noWrap/>
            <w:vAlign w:val="center"/>
            <w:hideMark/>
          </w:tcPr>
          <w:p w14:paraId="610C43F9"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44</w:t>
            </w:r>
          </w:p>
        </w:tc>
        <w:tc>
          <w:tcPr>
            <w:tcW w:w="1881" w:type="dxa"/>
            <w:tcBorders>
              <w:top w:val="nil"/>
              <w:left w:val="nil"/>
              <w:bottom w:val="single" w:sz="4" w:space="0" w:color="auto"/>
              <w:right w:val="single" w:sz="4" w:space="0" w:color="auto"/>
            </w:tcBorders>
            <w:shd w:val="clear" w:color="auto" w:fill="auto"/>
            <w:noWrap/>
            <w:vAlign w:val="center"/>
            <w:hideMark/>
          </w:tcPr>
          <w:p w14:paraId="610C43F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Morphine</w:t>
            </w:r>
          </w:p>
        </w:tc>
        <w:tc>
          <w:tcPr>
            <w:tcW w:w="578" w:type="dxa"/>
            <w:tcBorders>
              <w:top w:val="nil"/>
              <w:left w:val="nil"/>
              <w:bottom w:val="single" w:sz="4" w:space="0" w:color="auto"/>
              <w:right w:val="single" w:sz="4" w:space="0" w:color="auto"/>
            </w:tcBorders>
            <w:shd w:val="clear" w:color="auto" w:fill="auto"/>
            <w:noWrap/>
            <w:vAlign w:val="center"/>
            <w:hideMark/>
          </w:tcPr>
          <w:p w14:paraId="610C43F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40</w:t>
            </w:r>
          </w:p>
        </w:tc>
      </w:tr>
      <w:tr w:rsidR="007D57FB" w:rsidRPr="00606AE1" w14:paraId="610C4408"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3F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3F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3F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10C440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14:paraId="610C440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0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03"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N02AX</w:t>
            </w:r>
          </w:p>
        </w:tc>
        <w:tc>
          <w:tcPr>
            <w:tcW w:w="1885" w:type="dxa"/>
            <w:tcBorders>
              <w:top w:val="nil"/>
              <w:left w:val="nil"/>
              <w:bottom w:val="single" w:sz="4" w:space="0" w:color="auto"/>
              <w:right w:val="single" w:sz="4" w:space="0" w:color="auto"/>
            </w:tcBorders>
            <w:shd w:val="clear" w:color="auto" w:fill="auto"/>
            <w:noWrap/>
            <w:vAlign w:val="center"/>
            <w:hideMark/>
          </w:tcPr>
          <w:p w14:paraId="610C4404"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Other opioids</w:t>
            </w:r>
          </w:p>
        </w:tc>
        <w:tc>
          <w:tcPr>
            <w:tcW w:w="578" w:type="dxa"/>
            <w:tcBorders>
              <w:top w:val="nil"/>
              <w:left w:val="nil"/>
              <w:bottom w:val="single" w:sz="4" w:space="0" w:color="auto"/>
              <w:right w:val="single" w:sz="4" w:space="0" w:color="auto"/>
            </w:tcBorders>
            <w:shd w:val="clear" w:color="auto" w:fill="auto"/>
            <w:noWrap/>
            <w:vAlign w:val="center"/>
            <w:hideMark/>
          </w:tcPr>
          <w:p w14:paraId="610C4405"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28</w:t>
            </w:r>
          </w:p>
        </w:tc>
        <w:tc>
          <w:tcPr>
            <w:tcW w:w="1881" w:type="dxa"/>
            <w:tcBorders>
              <w:top w:val="nil"/>
              <w:left w:val="nil"/>
              <w:bottom w:val="single" w:sz="4" w:space="0" w:color="auto"/>
              <w:right w:val="single" w:sz="4" w:space="0" w:color="auto"/>
            </w:tcBorders>
            <w:shd w:val="clear" w:color="auto" w:fill="auto"/>
            <w:noWrap/>
            <w:vAlign w:val="center"/>
            <w:hideMark/>
          </w:tcPr>
          <w:p w14:paraId="610C440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Tramadol</w:t>
            </w:r>
          </w:p>
        </w:tc>
        <w:tc>
          <w:tcPr>
            <w:tcW w:w="578" w:type="dxa"/>
            <w:tcBorders>
              <w:top w:val="nil"/>
              <w:left w:val="nil"/>
              <w:bottom w:val="single" w:sz="4" w:space="0" w:color="auto"/>
              <w:right w:val="single" w:sz="4" w:space="0" w:color="auto"/>
            </w:tcBorders>
            <w:shd w:val="clear" w:color="auto" w:fill="auto"/>
            <w:noWrap/>
            <w:vAlign w:val="center"/>
            <w:hideMark/>
          </w:tcPr>
          <w:p w14:paraId="610C440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28</w:t>
            </w:r>
          </w:p>
        </w:tc>
      </w:tr>
      <w:tr w:rsidR="007D57FB" w:rsidRPr="00606AE1" w14:paraId="610C4414"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40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40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0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10C440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14:paraId="610C440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0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0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N02AB</w:t>
            </w:r>
          </w:p>
        </w:tc>
        <w:tc>
          <w:tcPr>
            <w:tcW w:w="1885" w:type="dxa"/>
            <w:tcBorders>
              <w:top w:val="nil"/>
              <w:left w:val="nil"/>
              <w:bottom w:val="single" w:sz="4" w:space="0" w:color="auto"/>
              <w:right w:val="single" w:sz="4" w:space="0" w:color="auto"/>
            </w:tcBorders>
            <w:shd w:val="clear" w:color="auto" w:fill="auto"/>
            <w:noWrap/>
            <w:vAlign w:val="center"/>
            <w:hideMark/>
          </w:tcPr>
          <w:p w14:paraId="610C4410"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Phenylpiperidine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11"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6</w:t>
            </w:r>
          </w:p>
        </w:tc>
        <w:tc>
          <w:tcPr>
            <w:tcW w:w="1881" w:type="dxa"/>
            <w:tcBorders>
              <w:top w:val="nil"/>
              <w:left w:val="nil"/>
              <w:bottom w:val="single" w:sz="4" w:space="0" w:color="auto"/>
              <w:right w:val="single" w:sz="4" w:space="0" w:color="auto"/>
            </w:tcBorders>
            <w:shd w:val="clear" w:color="auto" w:fill="auto"/>
            <w:noWrap/>
            <w:vAlign w:val="center"/>
            <w:hideMark/>
          </w:tcPr>
          <w:p w14:paraId="610C4412"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13"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20"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41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41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1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10C441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14:paraId="610C441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1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1B"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N02AJ</w:t>
            </w:r>
          </w:p>
        </w:tc>
        <w:tc>
          <w:tcPr>
            <w:tcW w:w="1885" w:type="dxa"/>
            <w:tcBorders>
              <w:top w:val="nil"/>
              <w:left w:val="nil"/>
              <w:bottom w:val="single" w:sz="4" w:space="0" w:color="auto"/>
              <w:right w:val="single" w:sz="4" w:space="0" w:color="auto"/>
            </w:tcBorders>
            <w:shd w:val="clear" w:color="auto" w:fill="auto"/>
            <w:noWrap/>
            <w:vAlign w:val="center"/>
            <w:hideMark/>
          </w:tcPr>
          <w:p w14:paraId="610C441C"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Opioids in combination with non-opioid analgesics</w:t>
            </w:r>
          </w:p>
        </w:tc>
        <w:tc>
          <w:tcPr>
            <w:tcW w:w="578" w:type="dxa"/>
            <w:tcBorders>
              <w:top w:val="nil"/>
              <w:left w:val="nil"/>
              <w:bottom w:val="single" w:sz="4" w:space="0" w:color="auto"/>
              <w:right w:val="single" w:sz="4" w:space="0" w:color="auto"/>
            </w:tcBorders>
            <w:shd w:val="clear" w:color="auto" w:fill="auto"/>
            <w:noWrap/>
            <w:vAlign w:val="center"/>
            <w:hideMark/>
          </w:tcPr>
          <w:p w14:paraId="610C441D"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4</w:t>
            </w:r>
          </w:p>
        </w:tc>
        <w:tc>
          <w:tcPr>
            <w:tcW w:w="1881" w:type="dxa"/>
            <w:tcBorders>
              <w:top w:val="nil"/>
              <w:left w:val="nil"/>
              <w:bottom w:val="single" w:sz="4" w:space="0" w:color="auto"/>
              <w:right w:val="single" w:sz="4" w:space="0" w:color="auto"/>
            </w:tcBorders>
            <w:shd w:val="clear" w:color="auto" w:fill="auto"/>
            <w:noWrap/>
            <w:vAlign w:val="center"/>
            <w:hideMark/>
          </w:tcPr>
          <w:p w14:paraId="610C441E"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1F"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2C"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42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42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2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24"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N02B</w:t>
            </w:r>
          </w:p>
        </w:tc>
        <w:tc>
          <w:tcPr>
            <w:tcW w:w="19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2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Other analgesics and antipyretics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26"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55</w:t>
            </w:r>
          </w:p>
        </w:tc>
        <w:tc>
          <w:tcPr>
            <w:tcW w:w="851" w:type="dxa"/>
            <w:tcBorders>
              <w:top w:val="nil"/>
              <w:left w:val="nil"/>
              <w:bottom w:val="single" w:sz="4" w:space="0" w:color="auto"/>
              <w:right w:val="single" w:sz="4" w:space="0" w:color="auto"/>
            </w:tcBorders>
            <w:shd w:val="clear" w:color="auto" w:fill="auto"/>
            <w:noWrap/>
            <w:vAlign w:val="center"/>
            <w:hideMark/>
          </w:tcPr>
          <w:p w14:paraId="610C4427"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N02BE</w:t>
            </w:r>
          </w:p>
        </w:tc>
        <w:tc>
          <w:tcPr>
            <w:tcW w:w="1885" w:type="dxa"/>
            <w:tcBorders>
              <w:top w:val="nil"/>
              <w:left w:val="nil"/>
              <w:bottom w:val="single" w:sz="4" w:space="0" w:color="auto"/>
              <w:right w:val="single" w:sz="4" w:space="0" w:color="auto"/>
            </w:tcBorders>
            <w:shd w:val="clear" w:color="auto" w:fill="auto"/>
            <w:noWrap/>
            <w:vAlign w:val="center"/>
            <w:hideMark/>
          </w:tcPr>
          <w:p w14:paraId="610C442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Anilides</w:t>
            </w:r>
          </w:p>
        </w:tc>
        <w:tc>
          <w:tcPr>
            <w:tcW w:w="578" w:type="dxa"/>
            <w:tcBorders>
              <w:top w:val="nil"/>
              <w:left w:val="nil"/>
              <w:bottom w:val="single" w:sz="4" w:space="0" w:color="auto"/>
              <w:right w:val="single" w:sz="4" w:space="0" w:color="auto"/>
            </w:tcBorders>
            <w:shd w:val="clear" w:color="auto" w:fill="auto"/>
            <w:noWrap/>
            <w:vAlign w:val="center"/>
            <w:hideMark/>
          </w:tcPr>
          <w:p w14:paraId="610C4429"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34</w:t>
            </w:r>
          </w:p>
        </w:tc>
        <w:tc>
          <w:tcPr>
            <w:tcW w:w="1881" w:type="dxa"/>
            <w:tcBorders>
              <w:top w:val="nil"/>
              <w:left w:val="nil"/>
              <w:bottom w:val="single" w:sz="4" w:space="0" w:color="auto"/>
              <w:right w:val="single" w:sz="4" w:space="0" w:color="auto"/>
            </w:tcBorders>
            <w:shd w:val="clear" w:color="auto" w:fill="auto"/>
            <w:noWrap/>
            <w:vAlign w:val="center"/>
            <w:hideMark/>
          </w:tcPr>
          <w:p w14:paraId="610C442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Co-codamol</w:t>
            </w:r>
          </w:p>
        </w:tc>
        <w:tc>
          <w:tcPr>
            <w:tcW w:w="578" w:type="dxa"/>
            <w:tcBorders>
              <w:top w:val="nil"/>
              <w:left w:val="nil"/>
              <w:bottom w:val="single" w:sz="4" w:space="0" w:color="auto"/>
              <w:right w:val="single" w:sz="4" w:space="0" w:color="auto"/>
            </w:tcBorders>
            <w:shd w:val="clear" w:color="auto" w:fill="auto"/>
            <w:noWrap/>
            <w:vAlign w:val="center"/>
            <w:hideMark/>
          </w:tcPr>
          <w:p w14:paraId="610C442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31</w:t>
            </w:r>
          </w:p>
        </w:tc>
      </w:tr>
      <w:tr w:rsidR="007D57FB" w:rsidRPr="00606AE1" w14:paraId="610C4438" w14:textId="77777777" w:rsidTr="005B3E6B">
        <w:trPr>
          <w:trHeight w:val="290"/>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610C442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0C442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10C442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43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43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43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33"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N02B*</w:t>
            </w:r>
          </w:p>
        </w:tc>
        <w:tc>
          <w:tcPr>
            <w:tcW w:w="1885" w:type="dxa"/>
            <w:tcBorders>
              <w:top w:val="nil"/>
              <w:left w:val="nil"/>
              <w:bottom w:val="single" w:sz="4" w:space="0" w:color="auto"/>
              <w:right w:val="single" w:sz="4" w:space="0" w:color="auto"/>
            </w:tcBorders>
            <w:shd w:val="clear" w:color="auto" w:fill="auto"/>
            <w:noWrap/>
            <w:vAlign w:val="center"/>
            <w:hideMark/>
          </w:tcPr>
          <w:p w14:paraId="610C4434"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xml:space="preserve">Not specifed by the paper </w:t>
            </w:r>
          </w:p>
        </w:tc>
        <w:tc>
          <w:tcPr>
            <w:tcW w:w="578" w:type="dxa"/>
            <w:tcBorders>
              <w:top w:val="nil"/>
              <w:left w:val="nil"/>
              <w:bottom w:val="single" w:sz="4" w:space="0" w:color="auto"/>
              <w:right w:val="single" w:sz="4" w:space="0" w:color="auto"/>
            </w:tcBorders>
            <w:shd w:val="clear" w:color="auto" w:fill="auto"/>
            <w:noWrap/>
            <w:vAlign w:val="center"/>
            <w:hideMark/>
          </w:tcPr>
          <w:p w14:paraId="610C4435"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18</w:t>
            </w:r>
          </w:p>
        </w:tc>
        <w:tc>
          <w:tcPr>
            <w:tcW w:w="1881" w:type="dxa"/>
            <w:tcBorders>
              <w:top w:val="nil"/>
              <w:left w:val="nil"/>
              <w:bottom w:val="single" w:sz="4" w:space="0" w:color="auto"/>
              <w:right w:val="single" w:sz="4" w:space="0" w:color="auto"/>
            </w:tcBorders>
            <w:shd w:val="clear" w:color="auto" w:fill="auto"/>
            <w:noWrap/>
            <w:vAlign w:val="center"/>
            <w:hideMark/>
          </w:tcPr>
          <w:p w14:paraId="610C4436"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37"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44" w14:textId="77777777" w:rsidTr="005B3E6B">
        <w:trPr>
          <w:trHeight w:val="290"/>
        </w:trPr>
        <w:tc>
          <w:tcPr>
            <w:tcW w:w="1281" w:type="dxa"/>
            <w:vMerge w:val="restart"/>
            <w:tcBorders>
              <w:top w:val="nil"/>
              <w:left w:val="single" w:sz="4" w:space="0" w:color="auto"/>
              <w:right w:val="single" w:sz="4" w:space="0" w:color="auto"/>
            </w:tcBorders>
            <w:shd w:val="clear" w:color="auto" w:fill="auto"/>
            <w:noWrap/>
            <w:vAlign w:val="center"/>
            <w:hideMark/>
          </w:tcPr>
          <w:p w14:paraId="610C443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w:t>
            </w:r>
          </w:p>
        </w:tc>
        <w:tc>
          <w:tcPr>
            <w:tcW w:w="2835" w:type="dxa"/>
            <w:vMerge w:val="restart"/>
            <w:tcBorders>
              <w:top w:val="nil"/>
              <w:left w:val="single" w:sz="4" w:space="0" w:color="auto"/>
              <w:right w:val="single" w:sz="4" w:space="0" w:color="auto"/>
            </w:tcBorders>
            <w:shd w:val="clear" w:color="auto" w:fill="auto"/>
            <w:noWrap/>
            <w:vAlign w:val="center"/>
            <w:hideMark/>
          </w:tcPr>
          <w:p w14:paraId="610C443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Psycholeptics</w:t>
            </w:r>
          </w:p>
        </w:tc>
        <w:tc>
          <w:tcPr>
            <w:tcW w:w="578" w:type="dxa"/>
            <w:vMerge w:val="restart"/>
            <w:tcBorders>
              <w:top w:val="nil"/>
              <w:left w:val="single" w:sz="4" w:space="0" w:color="auto"/>
              <w:right w:val="single" w:sz="4" w:space="0" w:color="auto"/>
            </w:tcBorders>
            <w:shd w:val="clear" w:color="auto" w:fill="auto"/>
            <w:noWrap/>
            <w:vAlign w:val="center"/>
            <w:hideMark/>
          </w:tcPr>
          <w:p w14:paraId="610C443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92</w:t>
            </w: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3C"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N05B</w:t>
            </w:r>
          </w:p>
        </w:tc>
        <w:tc>
          <w:tcPr>
            <w:tcW w:w="19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3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Anxiolytics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3E"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61</w:t>
            </w:r>
          </w:p>
        </w:tc>
        <w:tc>
          <w:tcPr>
            <w:tcW w:w="851" w:type="dxa"/>
            <w:tcBorders>
              <w:top w:val="nil"/>
              <w:left w:val="nil"/>
              <w:bottom w:val="single" w:sz="4" w:space="0" w:color="auto"/>
              <w:right w:val="single" w:sz="4" w:space="0" w:color="auto"/>
            </w:tcBorders>
            <w:shd w:val="clear" w:color="auto" w:fill="auto"/>
            <w:noWrap/>
            <w:vAlign w:val="center"/>
            <w:hideMark/>
          </w:tcPr>
          <w:p w14:paraId="610C443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N05BA</w:t>
            </w:r>
          </w:p>
        </w:tc>
        <w:tc>
          <w:tcPr>
            <w:tcW w:w="1885" w:type="dxa"/>
            <w:tcBorders>
              <w:top w:val="nil"/>
              <w:left w:val="nil"/>
              <w:bottom w:val="single" w:sz="4" w:space="0" w:color="auto"/>
              <w:right w:val="single" w:sz="4" w:space="0" w:color="auto"/>
            </w:tcBorders>
            <w:shd w:val="clear" w:color="auto" w:fill="auto"/>
            <w:noWrap/>
            <w:vAlign w:val="center"/>
            <w:hideMark/>
          </w:tcPr>
          <w:p w14:paraId="610C4440"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Benzodiazepine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41"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60</w:t>
            </w:r>
          </w:p>
        </w:tc>
        <w:tc>
          <w:tcPr>
            <w:tcW w:w="1881" w:type="dxa"/>
            <w:tcBorders>
              <w:top w:val="nil"/>
              <w:left w:val="nil"/>
              <w:bottom w:val="single" w:sz="4" w:space="0" w:color="auto"/>
              <w:right w:val="single" w:sz="4" w:space="0" w:color="auto"/>
            </w:tcBorders>
            <w:shd w:val="clear" w:color="auto" w:fill="auto"/>
            <w:noWrap/>
            <w:vAlign w:val="center"/>
            <w:hideMark/>
          </w:tcPr>
          <w:p w14:paraId="610C4442"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Unspecified "benzodiazepines</w:t>
            </w:r>
            <w:r w:rsidRPr="00606AE1">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4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54</w:t>
            </w:r>
          </w:p>
        </w:tc>
      </w:tr>
      <w:tr w:rsidR="007D57FB" w:rsidRPr="00606AE1" w14:paraId="610C4450"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44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44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4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44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44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44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4B"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N05BB</w:t>
            </w:r>
          </w:p>
        </w:tc>
        <w:tc>
          <w:tcPr>
            <w:tcW w:w="1885" w:type="dxa"/>
            <w:tcBorders>
              <w:top w:val="nil"/>
              <w:left w:val="nil"/>
              <w:bottom w:val="single" w:sz="4" w:space="0" w:color="auto"/>
              <w:right w:val="single" w:sz="4" w:space="0" w:color="auto"/>
            </w:tcBorders>
            <w:shd w:val="clear" w:color="auto" w:fill="auto"/>
            <w:noWrap/>
            <w:vAlign w:val="center"/>
            <w:hideMark/>
          </w:tcPr>
          <w:p w14:paraId="610C444C"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Diphenylmethane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4D"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4E"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4F"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5C" w14:textId="77777777" w:rsidTr="005B3E6B">
        <w:trPr>
          <w:trHeight w:val="290"/>
        </w:trPr>
        <w:tc>
          <w:tcPr>
            <w:tcW w:w="1281" w:type="dxa"/>
            <w:vMerge/>
            <w:tcBorders>
              <w:left w:val="single" w:sz="4" w:space="0" w:color="auto"/>
              <w:bottom w:val="single" w:sz="4" w:space="0" w:color="auto"/>
              <w:right w:val="single" w:sz="4" w:space="0" w:color="auto"/>
            </w:tcBorders>
            <w:shd w:val="clear" w:color="auto" w:fill="auto"/>
            <w:vAlign w:val="center"/>
            <w:hideMark/>
          </w:tcPr>
          <w:p w14:paraId="610C445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shd w:val="clear" w:color="auto" w:fill="auto"/>
            <w:vAlign w:val="center"/>
            <w:hideMark/>
          </w:tcPr>
          <w:p w14:paraId="610C445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5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tcBorders>
              <w:top w:val="nil"/>
              <w:left w:val="single" w:sz="4" w:space="0" w:color="auto"/>
              <w:right w:val="single" w:sz="4" w:space="0" w:color="auto"/>
            </w:tcBorders>
            <w:shd w:val="clear" w:color="auto" w:fill="auto"/>
            <w:noWrap/>
            <w:vAlign w:val="center"/>
            <w:hideMark/>
          </w:tcPr>
          <w:p w14:paraId="610C4454"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w:t>
            </w:r>
          </w:p>
        </w:tc>
        <w:tc>
          <w:tcPr>
            <w:tcW w:w="1912" w:type="dxa"/>
            <w:tcBorders>
              <w:top w:val="nil"/>
              <w:left w:val="single" w:sz="4" w:space="0" w:color="auto"/>
              <w:right w:val="single" w:sz="4" w:space="0" w:color="auto"/>
            </w:tcBorders>
            <w:shd w:val="clear" w:color="auto" w:fill="auto"/>
            <w:noWrap/>
            <w:vAlign w:val="center"/>
            <w:hideMark/>
          </w:tcPr>
          <w:p w14:paraId="610C445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Antipsychotics</w:t>
            </w:r>
          </w:p>
        </w:tc>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610C4456"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18</w:t>
            </w:r>
          </w:p>
        </w:tc>
        <w:tc>
          <w:tcPr>
            <w:tcW w:w="851" w:type="dxa"/>
            <w:tcBorders>
              <w:top w:val="nil"/>
              <w:left w:val="nil"/>
              <w:bottom w:val="single" w:sz="4" w:space="0" w:color="auto"/>
              <w:right w:val="single" w:sz="4" w:space="0" w:color="auto"/>
            </w:tcBorders>
            <w:shd w:val="clear" w:color="auto" w:fill="auto"/>
            <w:noWrap/>
            <w:vAlign w:val="center"/>
            <w:hideMark/>
          </w:tcPr>
          <w:p w14:paraId="610C4457"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w:t>
            </w:r>
          </w:p>
        </w:tc>
        <w:tc>
          <w:tcPr>
            <w:tcW w:w="1885" w:type="dxa"/>
            <w:tcBorders>
              <w:top w:val="nil"/>
              <w:left w:val="nil"/>
              <w:bottom w:val="single" w:sz="4" w:space="0" w:color="auto"/>
              <w:right w:val="single" w:sz="4" w:space="0" w:color="auto"/>
            </w:tcBorders>
            <w:shd w:val="clear" w:color="auto" w:fill="auto"/>
            <w:noWrap/>
            <w:vAlign w:val="center"/>
            <w:hideMark/>
          </w:tcPr>
          <w:p w14:paraId="610C445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Unspecified "Antipsychotics"</w:t>
            </w:r>
          </w:p>
        </w:tc>
        <w:tc>
          <w:tcPr>
            <w:tcW w:w="578" w:type="dxa"/>
            <w:tcBorders>
              <w:top w:val="nil"/>
              <w:left w:val="nil"/>
              <w:bottom w:val="single" w:sz="4" w:space="0" w:color="auto"/>
              <w:right w:val="single" w:sz="4" w:space="0" w:color="auto"/>
            </w:tcBorders>
            <w:shd w:val="clear" w:color="auto" w:fill="auto"/>
            <w:noWrap/>
            <w:vAlign w:val="center"/>
            <w:hideMark/>
          </w:tcPr>
          <w:p w14:paraId="610C4459"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7</w:t>
            </w:r>
          </w:p>
        </w:tc>
        <w:tc>
          <w:tcPr>
            <w:tcW w:w="1881" w:type="dxa"/>
            <w:tcBorders>
              <w:top w:val="nil"/>
              <w:left w:val="nil"/>
              <w:bottom w:val="single" w:sz="4" w:space="0" w:color="auto"/>
              <w:right w:val="single" w:sz="4" w:space="0" w:color="auto"/>
            </w:tcBorders>
            <w:shd w:val="clear" w:color="auto" w:fill="auto"/>
            <w:noWrap/>
            <w:vAlign w:val="center"/>
            <w:hideMark/>
          </w:tcPr>
          <w:p w14:paraId="610C445A"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5B"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68" w14:textId="77777777" w:rsidTr="005B3E6B">
        <w:trPr>
          <w:trHeight w:val="90"/>
        </w:trPr>
        <w:tc>
          <w:tcPr>
            <w:tcW w:w="1281" w:type="dxa"/>
            <w:tcBorders>
              <w:top w:val="nil"/>
              <w:left w:val="single" w:sz="4" w:space="0" w:color="auto"/>
              <w:bottom w:val="nil"/>
              <w:right w:val="single" w:sz="4" w:space="0" w:color="auto"/>
            </w:tcBorders>
            <w:shd w:val="clear" w:color="000000" w:fill="E7E6E6"/>
            <w:vAlign w:val="center"/>
            <w:hideMark/>
          </w:tcPr>
          <w:p w14:paraId="610C445D"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 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top w:val="nil"/>
              <w:left w:val="nil"/>
              <w:bottom w:val="nil"/>
              <w:right w:val="single" w:sz="4" w:space="0" w:color="auto"/>
            </w:tcBorders>
            <w:shd w:val="clear" w:color="000000" w:fill="E7E6E6"/>
            <w:vAlign w:val="center"/>
            <w:hideMark/>
          </w:tcPr>
          <w:p w14:paraId="610C445E"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78" w:type="dxa"/>
            <w:tcBorders>
              <w:top w:val="nil"/>
              <w:left w:val="nil"/>
              <w:bottom w:val="nil"/>
              <w:right w:val="single" w:sz="4" w:space="0" w:color="auto"/>
            </w:tcBorders>
            <w:shd w:val="clear" w:color="000000" w:fill="E7E6E6"/>
            <w:vAlign w:val="center"/>
            <w:hideMark/>
          </w:tcPr>
          <w:p w14:paraId="610C445F"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10" w:type="dxa"/>
            <w:tcBorders>
              <w:top w:val="nil"/>
              <w:left w:val="nil"/>
              <w:bottom w:val="nil"/>
              <w:right w:val="single" w:sz="4" w:space="0" w:color="auto"/>
            </w:tcBorders>
            <w:shd w:val="clear" w:color="000000" w:fill="E7E6E6"/>
            <w:vAlign w:val="center"/>
            <w:hideMark/>
          </w:tcPr>
          <w:p w14:paraId="610C4460"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12" w:type="dxa"/>
            <w:tcBorders>
              <w:top w:val="nil"/>
              <w:left w:val="nil"/>
              <w:bottom w:val="nil"/>
              <w:right w:val="single" w:sz="4" w:space="0" w:color="auto"/>
            </w:tcBorders>
            <w:shd w:val="clear" w:color="000000" w:fill="E7E6E6"/>
            <w:vAlign w:val="center"/>
            <w:hideMark/>
          </w:tcPr>
          <w:p w14:paraId="610C4461"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78" w:type="dxa"/>
            <w:tcBorders>
              <w:top w:val="nil"/>
              <w:left w:val="nil"/>
              <w:bottom w:val="nil"/>
              <w:right w:val="single" w:sz="4" w:space="0" w:color="auto"/>
            </w:tcBorders>
            <w:shd w:val="clear" w:color="000000" w:fill="E7E6E6"/>
            <w:vAlign w:val="center"/>
            <w:hideMark/>
          </w:tcPr>
          <w:p w14:paraId="610C4462"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51" w:type="dxa"/>
            <w:tcBorders>
              <w:top w:val="nil"/>
              <w:left w:val="nil"/>
              <w:bottom w:val="nil"/>
              <w:right w:val="single" w:sz="4" w:space="0" w:color="auto"/>
            </w:tcBorders>
            <w:shd w:val="clear" w:color="000000" w:fill="E7E6E6"/>
            <w:vAlign w:val="center"/>
            <w:hideMark/>
          </w:tcPr>
          <w:p w14:paraId="610C4463"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5" w:type="dxa"/>
            <w:tcBorders>
              <w:top w:val="nil"/>
              <w:left w:val="nil"/>
              <w:bottom w:val="nil"/>
              <w:right w:val="single" w:sz="4" w:space="0" w:color="auto"/>
            </w:tcBorders>
            <w:shd w:val="clear" w:color="000000" w:fill="E7E6E6"/>
            <w:vAlign w:val="center"/>
            <w:hideMark/>
          </w:tcPr>
          <w:p w14:paraId="610C4464"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78" w:type="dxa"/>
            <w:tcBorders>
              <w:top w:val="nil"/>
              <w:left w:val="nil"/>
              <w:bottom w:val="nil"/>
              <w:right w:val="single" w:sz="4" w:space="0" w:color="auto"/>
            </w:tcBorders>
            <w:shd w:val="clear" w:color="000000" w:fill="E7E6E6"/>
            <w:vAlign w:val="center"/>
            <w:hideMark/>
          </w:tcPr>
          <w:p w14:paraId="610C446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881" w:type="dxa"/>
            <w:tcBorders>
              <w:top w:val="nil"/>
              <w:left w:val="nil"/>
              <w:bottom w:val="nil"/>
              <w:right w:val="single" w:sz="4" w:space="0" w:color="auto"/>
            </w:tcBorders>
            <w:shd w:val="clear" w:color="000000" w:fill="E7E6E6"/>
            <w:vAlign w:val="center"/>
            <w:hideMark/>
          </w:tcPr>
          <w:p w14:paraId="610C446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78" w:type="dxa"/>
            <w:tcBorders>
              <w:top w:val="nil"/>
              <w:left w:val="nil"/>
              <w:bottom w:val="nil"/>
              <w:right w:val="single" w:sz="4" w:space="0" w:color="auto"/>
            </w:tcBorders>
            <w:shd w:val="clear" w:color="000000" w:fill="E7E6E6"/>
            <w:vAlign w:val="center"/>
            <w:hideMark/>
          </w:tcPr>
          <w:p w14:paraId="610C4467"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606AE1" w14:paraId="610C4476" w14:textId="77777777" w:rsidTr="005B3E6B">
        <w:trPr>
          <w:trHeight w:val="290"/>
        </w:trPr>
        <w:tc>
          <w:tcPr>
            <w:tcW w:w="1281" w:type="dxa"/>
            <w:vMerge w:val="restart"/>
            <w:tcBorders>
              <w:top w:val="nil"/>
              <w:left w:val="single" w:sz="4" w:space="0" w:color="auto"/>
              <w:right w:val="single" w:sz="4" w:space="0" w:color="auto"/>
            </w:tcBorders>
            <w:shd w:val="clear" w:color="auto" w:fill="auto"/>
            <w:vAlign w:val="center"/>
            <w:hideMark/>
          </w:tcPr>
          <w:p w14:paraId="610C4469" w14:textId="77777777" w:rsidR="007D57FB" w:rsidRPr="009D5409" w:rsidRDefault="007D57FB" w:rsidP="005B3E6B">
            <w:pPr>
              <w:spacing w:after="0" w:line="240" w:lineRule="auto"/>
              <w:rPr>
                <w:rFonts w:ascii="Calibri" w:eastAsia="Times New Roman" w:hAnsi="Calibri" w:cs="Calibri"/>
                <w:i/>
                <w:color w:val="000000"/>
                <w:lang w:eastAsia="en-GB"/>
              </w:rPr>
            </w:pPr>
            <w:r w:rsidRPr="009D5409">
              <w:rPr>
                <w:rFonts w:ascii="Calibri" w:eastAsia="Times New Roman" w:hAnsi="Calibri" w:cs="Calibri"/>
                <w:i/>
                <w:color w:val="000000"/>
                <w:lang w:eastAsia="en-GB"/>
              </w:rPr>
              <w:t xml:space="preserve">Contd. </w:t>
            </w:r>
          </w:p>
          <w:p w14:paraId="610C446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w:t>
            </w:r>
          </w:p>
        </w:tc>
        <w:tc>
          <w:tcPr>
            <w:tcW w:w="2835" w:type="dxa"/>
            <w:vMerge w:val="restart"/>
            <w:tcBorders>
              <w:top w:val="nil"/>
              <w:left w:val="single" w:sz="4" w:space="0" w:color="auto"/>
              <w:right w:val="single" w:sz="4" w:space="0" w:color="auto"/>
            </w:tcBorders>
            <w:shd w:val="clear" w:color="auto" w:fill="auto"/>
            <w:vAlign w:val="center"/>
            <w:hideMark/>
          </w:tcPr>
          <w:p w14:paraId="610C446B" w14:textId="77777777" w:rsidR="007D57FB" w:rsidRPr="009D5409" w:rsidRDefault="007D57FB" w:rsidP="005B3E6B">
            <w:pPr>
              <w:spacing w:after="0" w:line="240" w:lineRule="auto"/>
              <w:rPr>
                <w:rFonts w:ascii="Calibri" w:eastAsia="Times New Roman" w:hAnsi="Calibri" w:cs="Calibri"/>
                <w:i/>
                <w:color w:val="000000"/>
                <w:lang w:eastAsia="en-GB"/>
              </w:rPr>
            </w:pPr>
            <w:r w:rsidRPr="009D5409">
              <w:rPr>
                <w:rFonts w:ascii="Calibri" w:eastAsia="Times New Roman" w:hAnsi="Calibri" w:cs="Calibri"/>
                <w:i/>
                <w:color w:val="000000"/>
                <w:lang w:eastAsia="en-GB"/>
              </w:rPr>
              <w:t xml:space="preserve">Contd. </w:t>
            </w:r>
          </w:p>
          <w:p w14:paraId="610C446C"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Psycholeptics</w:t>
            </w:r>
          </w:p>
        </w:tc>
        <w:tc>
          <w:tcPr>
            <w:tcW w:w="578" w:type="dxa"/>
            <w:vMerge w:val="restart"/>
            <w:tcBorders>
              <w:left w:val="single" w:sz="4" w:space="0" w:color="auto"/>
              <w:right w:val="single" w:sz="4" w:space="0" w:color="auto"/>
            </w:tcBorders>
            <w:shd w:val="clear" w:color="auto" w:fill="auto"/>
            <w:vAlign w:val="center"/>
            <w:hideMark/>
          </w:tcPr>
          <w:p w14:paraId="610C446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val="restart"/>
            <w:tcBorders>
              <w:left w:val="single" w:sz="4" w:space="0" w:color="auto"/>
              <w:right w:val="single" w:sz="4" w:space="0" w:color="auto"/>
            </w:tcBorders>
            <w:shd w:val="clear" w:color="auto" w:fill="auto"/>
            <w:vAlign w:val="center"/>
            <w:hideMark/>
          </w:tcPr>
          <w:p w14:paraId="610C446E" w14:textId="77777777" w:rsidR="007D57FB" w:rsidRPr="00606AE1" w:rsidRDefault="007D57FB" w:rsidP="005B3E6B">
            <w:pPr>
              <w:spacing w:after="0" w:line="240" w:lineRule="auto"/>
              <w:rPr>
                <w:rFonts w:ascii="Calibri" w:eastAsia="Times New Roman" w:hAnsi="Calibri" w:cs="Calibri"/>
                <w:color w:val="000000"/>
                <w:lang w:eastAsia="en-GB"/>
              </w:rPr>
            </w:pPr>
            <w:r w:rsidRPr="009D5409">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N05A </w:t>
            </w:r>
          </w:p>
        </w:tc>
        <w:tc>
          <w:tcPr>
            <w:tcW w:w="1912" w:type="dxa"/>
            <w:vMerge w:val="restart"/>
            <w:tcBorders>
              <w:left w:val="single" w:sz="4" w:space="0" w:color="auto"/>
              <w:right w:val="single" w:sz="4" w:space="0" w:color="auto"/>
            </w:tcBorders>
            <w:shd w:val="clear" w:color="auto" w:fill="auto"/>
            <w:vAlign w:val="center"/>
            <w:hideMark/>
          </w:tcPr>
          <w:p w14:paraId="610C446F" w14:textId="77777777" w:rsidR="007D57FB" w:rsidRPr="00606AE1" w:rsidRDefault="007D57FB" w:rsidP="005B3E6B">
            <w:pPr>
              <w:spacing w:after="0" w:line="240" w:lineRule="auto"/>
              <w:rPr>
                <w:rFonts w:ascii="Calibri" w:eastAsia="Times New Roman" w:hAnsi="Calibri" w:cs="Calibri"/>
                <w:color w:val="000000"/>
                <w:lang w:eastAsia="en-GB"/>
              </w:rPr>
            </w:pPr>
            <w:r w:rsidRPr="009D5409">
              <w:rPr>
                <w:rFonts w:ascii="Calibri" w:eastAsia="Times New Roman" w:hAnsi="Calibri" w:cs="Calibri"/>
                <w:i/>
                <w:color w:val="000000"/>
                <w:lang w:eastAsia="en-GB"/>
              </w:rPr>
              <w:t xml:space="preserve">Contd. </w:t>
            </w:r>
            <w:r w:rsidRPr="00606AE1">
              <w:rPr>
                <w:rFonts w:ascii="Calibri" w:eastAsia="Times New Roman" w:hAnsi="Calibri" w:cs="Calibri"/>
                <w:color w:val="000000"/>
                <w:lang w:eastAsia="en-GB"/>
              </w:rPr>
              <w:t>Antipsychotics</w:t>
            </w:r>
          </w:p>
        </w:tc>
        <w:tc>
          <w:tcPr>
            <w:tcW w:w="578" w:type="dxa"/>
            <w:vMerge w:val="restart"/>
            <w:tcBorders>
              <w:top w:val="nil"/>
              <w:left w:val="single" w:sz="4" w:space="0" w:color="auto"/>
              <w:right w:val="single" w:sz="4" w:space="0" w:color="auto"/>
            </w:tcBorders>
            <w:shd w:val="clear" w:color="auto" w:fill="auto"/>
            <w:vAlign w:val="center"/>
            <w:hideMark/>
          </w:tcPr>
          <w:p w14:paraId="610C447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71"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N05AD</w:t>
            </w:r>
          </w:p>
        </w:tc>
        <w:tc>
          <w:tcPr>
            <w:tcW w:w="1885" w:type="dxa"/>
            <w:tcBorders>
              <w:top w:val="nil"/>
              <w:left w:val="nil"/>
              <w:bottom w:val="single" w:sz="4" w:space="0" w:color="auto"/>
              <w:right w:val="single" w:sz="4" w:space="0" w:color="auto"/>
            </w:tcBorders>
            <w:shd w:val="clear" w:color="auto" w:fill="auto"/>
            <w:noWrap/>
            <w:vAlign w:val="center"/>
            <w:hideMark/>
          </w:tcPr>
          <w:p w14:paraId="610C447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Butyrophenone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7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1881" w:type="dxa"/>
            <w:tcBorders>
              <w:top w:val="nil"/>
              <w:left w:val="nil"/>
              <w:bottom w:val="single" w:sz="4" w:space="0" w:color="auto"/>
              <w:right w:val="single" w:sz="4" w:space="0" w:color="auto"/>
            </w:tcBorders>
            <w:shd w:val="clear" w:color="auto" w:fill="auto"/>
            <w:noWrap/>
            <w:vAlign w:val="center"/>
            <w:hideMark/>
          </w:tcPr>
          <w:p w14:paraId="610C447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7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82"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47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47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7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shd w:val="clear" w:color="auto" w:fill="auto"/>
            <w:vAlign w:val="center"/>
            <w:hideMark/>
          </w:tcPr>
          <w:p w14:paraId="610C447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shd w:val="clear" w:color="auto" w:fill="auto"/>
            <w:vAlign w:val="center"/>
            <w:hideMark/>
          </w:tcPr>
          <w:p w14:paraId="610C447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7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7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N05AF</w:t>
            </w:r>
          </w:p>
        </w:tc>
        <w:tc>
          <w:tcPr>
            <w:tcW w:w="1885" w:type="dxa"/>
            <w:tcBorders>
              <w:top w:val="nil"/>
              <w:left w:val="nil"/>
              <w:bottom w:val="single" w:sz="4" w:space="0" w:color="auto"/>
              <w:right w:val="single" w:sz="4" w:space="0" w:color="auto"/>
            </w:tcBorders>
            <w:shd w:val="clear" w:color="auto" w:fill="auto"/>
            <w:noWrap/>
            <w:vAlign w:val="center"/>
            <w:hideMark/>
          </w:tcPr>
          <w:p w14:paraId="610C447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Thioxanthene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7F"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1881" w:type="dxa"/>
            <w:tcBorders>
              <w:top w:val="nil"/>
              <w:left w:val="nil"/>
              <w:bottom w:val="single" w:sz="4" w:space="0" w:color="auto"/>
              <w:right w:val="single" w:sz="4" w:space="0" w:color="auto"/>
            </w:tcBorders>
            <w:shd w:val="clear" w:color="auto" w:fill="auto"/>
            <w:noWrap/>
            <w:vAlign w:val="center"/>
            <w:hideMark/>
          </w:tcPr>
          <w:p w14:paraId="610C448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8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8E" w14:textId="77777777" w:rsidTr="005B3E6B">
        <w:trPr>
          <w:trHeight w:val="1070"/>
        </w:trPr>
        <w:tc>
          <w:tcPr>
            <w:tcW w:w="1281" w:type="dxa"/>
            <w:vMerge/>
            <w:tcBorders>
              <w:left w:val="single" w:sz="4" w:space="0" w:color="auto"/>
              <w:bottom w:val="nil"/>
              <w:right w:val="single" w:sz="4" w:space="0" w:color="auto"/>
            </w:tcBorders>
            <w:vAlign w:val="center"/>
            <w:hideMark/>
          </w:tcPr>
          <w:p w14:paraId="610C448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nil"/>
              <w:right w:val="single" w:sz="4" w:space="0" w:color="auto"/>
            </w:tcBorders>
            <w:vAlign w:val="center"/>
            <w:hideMark/>
          </w:tcPr>
          <w:p w14:paraId="610C448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bottom w:val="nil"/>
              <w:right w:val="single" w:sz="4" w:space="0" w:color="auto"/>
            </w:tcBorders>
            <w:shd w:val="clear" w:color="auto" w:fill="auto"/>
            <w:vAlign w:val="center"/>
            <w:hideMark/>
          </w:tcPr>
          <w:p w14:paraId="610C448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shd w:val="clear" w:color="auto" w:fill="auto"/>
            <w:vAlign w:val="center"/>
            <w:hideMark/>
          </w:tcPr>
          <w:p w14:paraId="610C448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shd w:val="clear" w:color="auto" w:fill="auto"/>
            <w:vAlign w:val="center"/>
            <w:hideMark/>
          </w:tcPr>
          <w:p w14:paraId="610C448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8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8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N05AH</w:t>
            </w:r>
          </w:p>
        </w:tc>
        <w:tc>
          <w:tcPr>
            <w:tcW w:w="1885" w:type="dxa"/>
            <w:tcBorders>
              <w:top w:val="nil"/>
              <w:left w:val="nil"/>
              <w:bottom w:val="single" w:sz="4" w:space="0" w:color="auto"/>
              <w:right w:val="single" w:sz="4" w:space="0" w:color="auto"/>
            </w:tcBorders>
            <w:shd w:val="clear" w:color="auto" w:fill="auto"/>
            <w:noWrap/>
            <w:vAlign w:val="center"/>
            <w:hideMark/>
          </w:tcPr>
          <w:p w14:paraId="610C448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Diazepines, oxazepines, thiazepines and oxepines</w:t>
            </w:r>
          </w:p>
        </w:tc>
        <w:tc>
          <w:tcPr>
            <w:tcW w:w="578" w:type="dxa"/>
            <w:tcBorders>
              <w:top w:val="nil"/>
              <w:left w:val="nil"/>
              <w:bottom w:val="single" w:sz="4" w:space="0" w:color="auto"/>
              <w:right w:val="single" w:sz="4" w:space="0" w:color="auto"/>
            </w:tcBorders>
            <w:shd w:val="clear" w:color="auto" w:fill="auto"/>
            <w:noWrap/>
            <w:vAlign w:val="center"/>
            <w:hideMark/>
          </w:tcPr>
          <w:p w14:paraId="610C448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1881" w:type="dxa"/>
            <w:tcBorders>
              <w:top w:val="nil"/>
              <w:left w:val="nil"/>
              <w:bottom w:val="single" w:sz="4" w:space="0" w:color="auto"/>
              <w:right w:val="single" w:sz="4" w:space="0" w:color="auto"/>
            </w:tcBorders>
            <w:shd w:val="clear" w:color="auto" w:fill="auto"/>
            <w:noWrap/>
            <w:vAlign w:val="center"/>
            <w:hideMark/>
          </w:tcPr>
          <w:p w14:paraId="610C448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8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9A" w14:textId="77777777" w:rsidTr="005B3E6B">
        <w:trPr>
          <w:trHeight w:val="290"/>
        </w:trPr>
        <w:tc>
          <w:tcPr>
            <w:tcW w:w="1281" w:type="dxa"/>
            <w:vMerge/>
            <w:tcBorders>
              <w:left w:val="single" w:sz="4" w:space="0" w:color="auto"/>
              <w:right w:val="single" w:sz="4" w:space="0" w:color="auto"/>
            </w:tcBorders>
            <w:vAlign w:val="center"/>
            <w:hideMark/>
          </w:tcPr>
          <w:p w14:paraId="610C448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9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9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shd w:val="clear" w:color="auto" w:fill="auto"/>
            <w:vAlign w:val="center"/>
            <w:hideMark/>
          </w:tcPr>
          <w:p w14:paraId="610C449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shd w:val="clear" w:color="auto" w:fill="auto"/>
            <w:vAlign w:val="center"/>
            <w:hideMark/>
          </w:tcPr>
          <w:p w14:paraId="610C449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9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9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N05AA</w:t>
            </w:r>
          </w:p>
        </w:tc>
        <w:tc>
          <w:tcPr>
            <w:tcW w:w="1885" w:type="dxa"/>
            <w:tcBorders>
              <w:top w:val="nil"/>
              <w:left w:val="nil"/>
              <w:bottom w:val="single" w:sz="4" w:space="0" w:color="auto"/>
              <w:right w:val="single" w:sz="4" w:space="0" w:color="auto"/>
            </w:tcBorders>
            <w:shd w:val="clear" w:color="auto" w:fill="auto"/>
            <w:noWrap/>
            <w:vAlign w:val="center"/>
            <w:hideMark/>
          </w:tcPr>
          <w:p w14:paraId="610C449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Phenothiazines with aliphatic side-chain</w:t>
            </w:r>
          </w:p>
        </w:tc>
        <w:tc>
          <w:tcPr>
            <w:tcW w:w="578" w:type="dxa"/>
            <w:tcBorders>
              <w:top w:val="nil"/>
              <w:left w:val="nil"/>
              <w:bottom w:val="single" w:sz="4" w:space="0" w:color="auto"/>
              <w:right w:val="single" w:sz="4" w:space="0" w:color="auto"/>
            </w:tcBorders>
            <w:shd w:val="clear" w:color="auto" w:fill="auto"/>
            <w:noWrap/>
            <w:vAlign w:val="center"/>
            <w:hideMark/>
          </w:tcPr>
          <w:p w14:paraId="610C449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98"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499"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A6" w14:textId="77777777" w:rsidTr="005B3E6B">
        <w:trPr>
          <w:trHeight w:val="290"/>
        </w:trPr>
        <w:tc>
          <w:tcPr>
            <w:tcW w:w="1281" w:type="dxa"/>
            <w:vMerge/>
            <w:tcBorders>
              <w:left w:val="single" w:sz="4" w:space="0" w:color="auto"/>
              <w:right w:val="single" w:sz="4" w:space="0" w:color="auto"/>
            </w:tcBorders>
            <w:vAlign w:val="center"/>
            <w:hideMark/>
          </w:tcPr>
          <w:p w14:paraId="610C449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9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9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vAlign w:val="center"/>
            <w:hideMark/>
          </w:tcPr>
          <w:p w14:paraId="610C449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vAlign w:val="center"/>
            <w:hideMark/>
          </w:tcPr>
          <w:p w14:paraId="610C449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vAlign w:val="center"/>
            <w:hideMark/>
          </w:tcPr>
          <w:p w14:paraId="610C44A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A1"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N05AB</w:t>
            </w:r>
          </w:p>
        </w:tc>
        <w:tc>
          <w:tcPr>
            <w:tcW w:w="1885" w:type="dxa"/>
            <w:tcBorders>
              <w:top w:val="nil"/>
              <w:left w:val="nil"/>
              <w:bottom w:val="single" w:sz="4" w:space="0" w:color="auto"/>
              <w:right w:val="single" w:sz="4" w:space="0" w:color="auto"/>
            </w:tcBorders>
            <w:shd w:val="clear" w:color="auto" w:fill="auto"/>
            <w:noWrap/>
            <w:vAlign w:val="center"/>
            <w:hideMark/>
          </w:tcPr>
          <w:p w14:paraId="610C44A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Phenothiazines with piperazine structure</w:t>
            </w:r>
          </w:p>
        </w:tc>
        <w:tc>
          <w:tcPr>
            <w:tcW w:w="578" w:type="dxa"/>
            <w:tcBorders>
              <w:top w:val="nil"/>
              <w:left w:val="nil"/>
              <w:bottom w:val="single" w:sz="4" w:space="0" w:color="auto"/>
              <w:right w:val="single" w:sz="4" w:space="0" w:color="auto"/>
            </w:tcBorders>
            <w:shd w:val="clear" w:color="auto" w:fill="auto"/>
            <w:noWrap/>
            <w:vAlign w:val="center"/>
            <w:hideMark/>
          </w:tcPr>
          <w:p w14:paraId="610C44A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A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A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7D57FB" w:rsidRPr="00606AE1" w14:paraId="610C44B2" w14:textId="77777777" w:rsidTr="005B3E6B">
        <w:trPr>
          <w:trHeight w:val="290"/>
        </w:trPr>
        <w:tc>
          <w:tcPr>
            <w:tcW w:w="1281" w:type="dxa"/>
            <w:vMerge/>
            <w:tcBorders>
              <w:left w:val="single" w:sz="4" w:space="0" w:color="auto"/>
              <w:right w:val="single" w:sz="4" w:space="0" w:color="auto"/>
            </w:tcBorders>
            <w:vAlign w:val="center"/>
            <w:hideMark/>
          </w:tcPr>
          <w:p w14:paraId="610C44A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A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A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vAlign w:val="center"/>
            <w:hideMark/>
          </w:tcPr>
          <w:p w14:paraId="610C44A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vAlign w:val="center"/>
            <w:hideMark/>
          </w:tcPr>
          <w:p w14:paraId="610C44A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vAlign w:val="center"/>
            <w:hideMark/>
          </w:tcPr>
          <w:p w14:paraId="610C44A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A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N05AC</w:t>
            </w:r>
          </w:p>
        </w:tc>
        <w:tc>
          <w:tcPr>
            <w:tcW w:w="1885" w:type="dxa"/>
            <w:tcBorders>
              <w:top w:val="nil"/>
              <w:left w:val="nil"/>
              <w:bottom w:val="single" w:sz="4" w:space="0" w:color="auto"/>
              <w:right w:val="single" w:sz="4" w:space="0" w:color="auto"/>
            </w:tcBorders>
            <w:shd w:val="clear" w:color="auto" w:fill="auto"/>
            <w:noWrap/>
            <w:vAlign w:val="center"/>
            <w:hideMark/>
          </w:tcPr>
          <w:p w14:paraId="610C44A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Phenothiazines with piperidine structure</w:t>
            </w:r>
          </w:p>
        </w:tc>
        <w:tc>
          <w:tcPr>
            <w:tcW w:w="578" w:type="dxa"/>
            <w:tcBorders>
              <w:top w:val="nil"/>
              <w:left w:val="nil"/>
              <w:bottom w:val="single" w:sz="4" w:space="0" w:color="auto"/>
              <w:right w:val="single" w:sz="4" w:space="0" w:color="auto"/>
            </w:tcBorders>
            <w:shd w:val="clear" w:color="auto" w:fill="auto"/>
            <w:noWrap/>
            <w:vAlign w:val="center"/>
            <w:hideMark/>
          </w:tcPr>
          <w:p w14:paraId="610C44AF"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B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B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BE"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4B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4B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B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right w:val="single" w:sz="4" w:space="0" w:color="auto"/>
            </w:tcBorders>
            <w:vAlign w:val="center"/>
            <w:hideMark/>
          </w:tcPr>
          <w:p w14:paraId="610C44B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right w:val="single" w:sz="4" w:space="0" w:color="auto"/>
            </w:tcBorders>
            <w:vAlign w:val="center"/>
            <w:hideMark/>
          </w:tcPr>
          <w:p w14:paraId="610C44B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vAlign w:val="center"/>
            <w:hideMark/>
          </w:tcPr>
          <w:p w14:paraId="610C44B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B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N05AN</w:t>
            </w:r>
          </w:p>
        </w:tc>
        <w:tc>
          <w:tcPr>
            <w:tcW w:w="1885" w:type="dxa"/>
            <w:tcBorders>
              <w:top w:val="nil"/>
              <w:left w:val="nil"/>
              <w:bottom w:val="single" w:sz="4" w:space="0" w:color="auto"/>
              <w:right w:val="single" w:sz="4" w:space="0" w:color="auto"/>
            </w:tcBorders>
            <w:shd w:val="clear" w:color="auto" w:fill="auto"/>
            <w:noWrap/>
            <w:vAlign w:val="center"/>
            <w:hideMark/>
          </w:tcPr>
          <w:p w14:paraId="610C44B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Lithium</w:t>
            </w:r>
          </w:p>
        </w:tc>
        <w:tc>
          <w:tcPr>
            <w:tcW w:w="578" w:type="dxa"/>
            <w:tcBorders>
              <w:top w:val="nil"/>
              <w:left w:val="nil"/>
              <w:bottom w:val="single" w:sz="4" w:space="0" w:color="auto"/>
              <w:right w:val="single" w:sz="4" w:space="0" w:color="auto"/>
            </w:tcBorders>
            <w:shd w:val="clear" w:color="auto" w:fill="auto"/>
            <w:noWrap/>
            <w:vAlign w:val="center"/>
            <w:hideMark/>
          </w:tcPr>
          <w:p w14:paraId="610C44B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B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B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CA" w14:textId="77777777" w:rsidTr="005B3E6B">
        <w:trPr>
          <w:trHeight w:val="290"/>
        </w:trPr>
        <w:tc>
          <w:tcPr>
            <w:tcW w:w="1281" w:type="dxa"/>
            <w:vMerge/>
            <w:tcBorders>
              <w:left w:val="single" w:sz="4" w:space="0" w:color="auto"/>
              <w:right w:val="single" w:sz="4" w:space="0" w:color="auto"/>
            </w:tcBorders>
            <w:vAlign w:val="center"/>
            <w:hideMark/>
          </w:tcPr>
          <w:p w14:paraId="610C44B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C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C1"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bottom w:val="single" w:sz="4" w:space="0" w:color="auto"/>
              <w:right w:val="single" w:sz="4" w:space="0" w:color="auto"/>
            </w:tcBorders>
            <w:vAlign w:val="center"/>
            <w:hideMark/>
          </w:tcPr>
          <w:p w14:paraId="610C44C2"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left w:val="single" w:sz="4" w:space="0" w:color="auto"/>
              <w:bottom w:val="single" w:sz="4" w:space="0" w:color="auto"/>
              <w:right w:val="single" w:sz="4" w:space="0" w:color="auto"/>
            </w:tcBorders>
            <w:vAlign w:val="center"/>
            <w:hideMark/>
          </w:tcPr>
          <w:p w14:paraId="610C44C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bottom w:val="single" w:sz="4" w:space="0" w:color="auto"/>
              <w:right w:val="single" w:sz="4" w:space="0" w:color="auto"/>
            </w:tcBorders>
            <w:vAlign w:val="center"/>
            <w:hideMark/>
          </w:tcPr>
          <w:p w14:paraId="610C44C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C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N05AX</w:t>
            </w:r>
          </w:p>
        </w:tc>
        <w:tc>
          <w:tcPr>
            <w:tcW w:w="1885" w:type="dxa"/>
            <w:tcBorders>
              <w:top w:val="nil"/>
              <w:left w:val="nil"/>
              <w:bottom w:val="single" w:sz="4" w:space="0" w:color="auto"/>
              <w:right w:val="single" w:sz="4" w:space="0" w:color="auto"/>
            </w:tcBorders>
            <w:shd w:val="clear" w:color="auto" w:fill="auto"/>
            <w:noWrap/>
            <w:vAlign w:val="center"/>
            <w:hideMark/>
          </w:tcPr>
          <w:p w14:paraId="610C44C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Other antipsychotics</w:t>
            </w:r>
          </w:p>
        </w:tc>
        <w:tc>
          <w:tcPr>
            <w:tcW w:w="578" w:type="dxa"/>
            <w:tcBorders>
              <w:top w:val="nil"/>
              <w:left w:val="nil"/>
              <w:bottom w:val="single" w:sz="4" w:space="0" w:color="auto"/>
              <w:right w:val="single" w:sz="4" w:space="0" w:color="auto"/>
            </w:tcBorders>
            <w:shd w:val="clear" w:color="auto" w:fill="auto"/>
            <w:noWrap/>
            <w:vAlign w:val="center"/>
            <w:hideMark/>
          </w:tcPr>
          <w:p w14:paraId="610C44C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C8"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C9"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D6" w14:textId="77777777" w:rsidTr="005B3E6B">
        <w:trPr>
          <w:trHeight w:val="290"/>
        </w:trPr>
        <w:tc>
          <w:tcPr>
            <w:tcW w:w="1281" w:type="dxa"/>
            <w:vMerge/>
            <w:tcBorders>
              <w:left w:val="single" w:sz="4" w:space="0" w:color="auto"/>
              <w:right w:val="single" w:sz="4" w:space="0" w:color="auto"/>
            </w:tcBorders>
            <w:vAlign w:val="center"/>
            <w:hideMark/>
          </w:tcPr>
          <w:p w14:paraId="610C44C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C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C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C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N05C</w:t>
            </w:r>
          </w:p>
        </w:tc>
        <w:tc>
          <w:tcPr>
            <w:tcW w:w="19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C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Hypnotics and sedatives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D0"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13</w:t>
            </w:r>
          </w:p>
        </w:tc>
        <w:tc>
          <w:tcPr>
            <w:tcW w:w="851" w:type="dxa"/>
            <w:tcBorders>
              <w:top w:val="nil"/>
              <w:left w:val="nil"/>
              <w:bottom w:val="single" w:sz="4" w:space="0" w:color="auto"/>
              <w:right w:val="single" w:sz="4" w:space="0" w:color="auto"/>
            </w:tcBorders>
            <w:shd w:val="clear" w:color="auto" w:fill="auto"/>
            <w:noWrap/>
            <w:vAlign w:val="center"/>
            <w:hideMark/>
          </w:tcPr>
          <w:p w14:paraId="610C44D1"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N05C*</w:t>
            </w:r>
          </w:p>
        </w:tc>
        <w:tc>
          <w:tcPr>
            <w:tcW w:w="1885" w:type="dxa"/>
            <w:tcBorders>
              <w:top w:val="nil"/>
              <w:left w:val="nil"/>
              <w:bottom w:val="single" w:sz="4" w:space="0" w:color="auto"/>
              <w:right w:val="single" w:sz="4" w:space="0" w:color="auto"/>
            </w:tcBorders>
            <w:shd w:val="clear" w:color="auto" w:fill="auto"/>
            <w:noWrap/>
            <w:vAlign w:val="center"/>
            <w:hideMark/>
          </w:tcPr>
          <w:p w14:paraId="610C44D2"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Unspecified "benzodiazepines</w:t>
            </w:r>
            <w:r w:rsidRPr="00606AE1">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4D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10</w:t>
            </w:r>
          </w:p>
        </w:tc>
        <w:tc>
          <w:tcPr>
            <w:tcW w:w="1881" w:type="dxa"/>
            <w:tcBorders>
              <w:top w:val="nil"/>
              <w:left w:val="nil"/>
              <w:bottom w:val="single" w:sz="4" w:space="0" w:color="auto"/>
              <w:right w:val="single" w:sz="4" w:space="0" w:color="auto"/>
            </w:tcBorders>
            <w:shd w:val="clear" w:color="auto" w:fill="auto"/>
            <w:noWrap/>
            <w:vAlign w:val="center"/>
            <w:hideMark/>
          </w:tcPr>
          <w:p w14:paraId="610C44D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4D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4E2" w14:textId="77777777" w:rsidTr="005B3E6B">
        <w:trPr>
          <w:trHeight w:val="290"/>
        </w:trPr>
        <w:tc>
          <w:tcPr>
            <w:tcW w:w="1281" w:type="dxa"/>
            <w:vMerge/>
            <w:tcBorders>
              <w:left w:val="single" w:sz="4" w:space="0" w:color="auto"/>
              <w:right w:val="single" w:sz="4" w:space="0" w:color="auto"/>
            </w:tcBorders>
            <w:vAlign w:val="center"/>
            <w:hideMark/>
          </w:tcPr>
          <w:p w14:paraId="610C44D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4D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right w:val="single" w:sz="4" w:space="0" w:color="auto"/>
            </w:tcBorders>
            <w:shd w:val="clear" w:color="auto" w:fill="auto"/>
            <w:vAlign w:val="center"/>
            <w:hideMark/>
          </w:tcPr>
          <w:p w14:paraId="610C44D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4D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4D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4D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D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N05CD</w:t>
            </w:r>
          </w:p>
        </w:tc>
        <w:tc>
          <w:tcPr>
            <w:tcW w:w="1885" w:type="dxa"/>
            <w:tcBorders>
              <w:top w:val="nil"/>
              <w:left w:val="nil"/>
              <w:bottom w:val="single" w:sz="4" w:space="0" w:color="auto"/>
              <w:right w:val="single" w:sz="4" w:space="0" w:color="auto"/>
            </w:tcBorders>
            <w:shd w:val="clear" w:color="auto" w:fill="auto"/>
            <w:noWrap/>
            <w:vAlign w:val="center"/>
            <w:hideMark/>
          </w:tcPr>
          <w:p w14:paraId="610C44D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Benzodiazepine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DF"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1881" w:type="dxa"/>
            <w:tcBorders>
              <w:top w:val="nil"/>
              <w:left w:val="nil"/>
              <w:bottom w:val="single" w:sz="4" w:space="0" w:color="auto"/>
              <w:right w:val="single" w:sz="4" w:space="0" w:color="auto"/>
            </w:tcBorders>
            <w:shd w:val="clear" w:color="auto" w:fill="auto"/>
            <w:noWrap/>
            <w:vAlign w:val="center"/>
            <w:hideMark/>
          </w:tcPr>
          <w:p w14:paraId="610C44E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4E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4EE" w14:textId="77777777" w:rsidTr="005B3E6B">
        <w:trPr>
          <w:trHeight w:val="290"/>
        </w:trPr>
        <w:tc>
          <w:tcPr>
            <w:tcW w:w="1281" w:type="dxa"/>
            <w:vMerge/>
            <w:tcBorders>
              <w:left w:val="single" w:sz="4" w:space="0" w:color="auto"/>
              <w:bottom w:val="single" w:sz="4" w:space="0" w:color="auto"/>
              <w:right w:val="single" w:sz="4" w:space="0" w:color="auto"/>
            </w:tcBorders>
            <w:vAlign w:val="center"/>
            <w:hideMark/>
          </w:tcPr>
          <w:p w14:paraId="610C44E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vAlign w:val="center"/>
            <w:hideMark/>
          </w:tcPr>
          <w:p w14:paraId="610C44E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left w:val="single" w:sz="4" w:space="0" w:color="auto"/>
              <w:bottom w:val="single" w:sz="4" w:space="0" w:color="auto"/>
              <w:right w:val="single" w:sz="4" w:space="0" w:color="auto"/>
            </w:tcBorders>
            <w:shd w:val="clear" w:color="auto" w:fill="auto"/>
            <w:vAlign w:val="center"/>
            <w:hideMark/>
          </w:tcPr>
          <w:p w14:paraId="610C44E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4E6"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4E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4E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4E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N05CA</w:t>
            </w:r>
          </w:p>
        </w:tc>
        <w:tc>
          <w:tcPr>
            <w:tcW w:w="1885" w:type="dxa"/>
            <w:tcBorders>
              <w:top w:val="nil"/>
              <w:left w:val="nil"/>
              <w:bottom w:val="single" w:sz="4" w:space="0" w:color="auto"/>
              <w:right w:val="single" w:sz="4" w:space="0" w:color="auto"/>
            </w:tcBorders>
            <w:shd w:val="clear" w:color="auto" w:fill="auto"/>
            <w:noWrap/>
            <w:vAlign w:val="center"/>
            <w:hideMark/>
          </w:tcPr>
          <w:p w14:paraId="610C44EA"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Barbiturates, plain</w:t>
            </w:r>
          </w:p>
        </w:tc>
        <w:tc>
          <w:tcPr>
            <w:tcW w:w="578" w:type="dxa"/>
            <w:tcBorders>
              <w:top w:val="nil"/>
              <w:left w:val="nil"/>
              <w:bottom w:val="single" w:sz="4" w:space="0" w:color="auto"/>
              <w:right w:val="single" w:sz="4" w:space="0" w:color="auto"/>
            </w:tcBorders>
            <w:shd w:val="clear" w:color="auto" w:fill="auto"/>
            <w:noWrap/>
            <w:vAlign w:val="center"/>
            <w:hideMark/>
          </w:tcPr>
          <w:p w14:paraId="610C44EB"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1881" w:type="dxa"/>
            <w:tcBorders>
              <w:top w:val="nil"/>
              <w:left w:val="nil"/>
              <w:bottom w:val="single" w:sz="4" w:space="0" w:color="auto"/>
              <w:right w:val="single" w:sz="4" w:space="0" w:color="auto"/>
            </w:tcBorders>
            <w:shd w:val="clear" w:color="auto" w:fill="auto"/>
            <w:noWrap/>
            <w:vAlign w:val="center"/>
            <w:hideMark/>
          </w:tcPr>
          <w:p w14:paraId="610C44E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4E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4FA" w14:textId="77777777" w:rsidTr="005B3E6B">
        <w:trPr>
          <w:trHeight w:val="290"/>
        </w:trPr>
        <w:tc>
          <w:tcPr>
            <w:tcW w:w="128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E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N03</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F0"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Antiepileptics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F1"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30</w:t>
            </w: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F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N03A</w:t>
            </w:r>
          </w:p>
        </w:tc>
        <w:tc>
          <w:tcPr>
            <w:tcW w:w="19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F3"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Antiepileptics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4F4"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30</w:t>
            </w:r>
          </w:p>
        </w:tc>
        <w:tc>
          <w:tcPr>
            <w:tcW w:w="851" w:type="dxa"/>
            <w:tcBorders>
              <w:top w:val="nil"/>
              <w:left w:val="nil"/>
              <w:bottom w:val="single" w:sz="4" w:space="0" w:color="auto"/>
              <w:right w:val="single" w:sz="4" w:space="0" w:color="auto"/>
            </w:tcBorders>
            <w:shd w:val="clear" w:color="auto" w:fill="auto"/>
            <w:noWrap/>
            <w:vAlign w:val="center"/>
            <w:hideMark/>
          </w:tcPr>
          <w:p w14:paraId="610C44F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N03AA</w:t>
            </w:r>
          </w:p>
        </w:tc>
        <w:tc>
          <w:tcPr>
            <w:tcW w:w="1885" w:type="dxa"/>
            <w:tcBorders>
              <w:top w:val="nil"/>
              <w:left w:val="nil"/>
              <w:bottom w:val="single" w:sz="4" w:space="0" w:color="auto"/>
              <w:right w:val="single" w:sz="4" w:space="0" w:color="auto"/>
            </w:tcBorders>
            <w:shd w:val="clear" w:color="auto" w:fill="auto"/>
            <w:noWrap/>
            <w:vAlign w:val="center"/>
            <w:hideMark/>
          </w:tcPr>
          <w:p w14:paraId="610C44F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Barbiturates and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4F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18</w:t>
            </w:r>
          </w:p>
        </w:tc>
        <w:tc>
          <w:tcPr>
            <w:tcW w:w="1881" w:type="dxa"/>
            <w:tcBorders>
              <w:top w:val="nil"/>
              <w:left w:val="nil"/>
              <w:bottom w:val="single" w:sz="4" w:space="0" w:color="auto"/>
              <w:right w:val="single" w:sz="4" w:space="0" w:color="auto"/>
            </w:tcBorders>
            <w:shd w:val="clear" w:color="auto" w:fill="auto"/>
            <w:noWrap/>
            <w:vAlign w:val="center"/>
            <w:hideMark/>
          </w:tcPr>
          <w:p w14:paraId="610C44F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xml:space="preserve">phenobarbital </w:t>
            </w:r>
          </w:p>
        </w:tc>
        <w:tc>
          <w:tcPr>
            <w:tcW w:w="578" w:type="dxa"/>
            <w:tcBorders>
              <w:top w:val="nil"/>
              <w:left w:val="nil"/>
              <w:bottom w:val="single" w:sz="4" w:space="0" w:color="auto"/>
              <w:right w:val="single" w:sz="4" w:space="0" w:color="auto"/>
            </w:tcBorders>
            <w:shd w:val="clear" w:color="auto" w:fill="auto"/>
            <w:noWrap/>
            <w:vAlign w:val="center"/>
            <w:hideMark/>
          </w:tcPr>
          <w:p w14:paraId="610C44F9"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18</w:t>
            </w:r>
          </w:p>
        </w:tc>
      </w:tr>
      <w:tr w:rsidR="007D57FB" w:rsidRPr="00606AE1" w14:paraId="610C4506" w14:textId="77777777" w:rsidTr="005B3E6B">
        <w:trPr>
          <w:trHeight w:val="290"/>
        </w:trPr>
        <w:tc>
          <w:tcPr>
            <w:tcW w:w="1281" w:type="dxa"/>
            <w:vMerge/>
            <w:tcBorders>
              <w:top w:val="nil"/>
              <w:left w:val="single" w:sz="4" w:space="0" w:color="auto"/>
              <w:bottom w:val="single" w:sz="4" w:space="0" w:color="auto"/>
              <w:right w:val="single" w:sz="4" w:space="0" w:color="auto"/>
            </w:tcBorders>
            <w:vAlign w:val="center"/>
            <w:hideMark/>
          </w:tcPr>
          <w:p w14:paraId="610C44F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4F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4F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4F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4F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0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501"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xml:space="preserve">N03AF </w:t>
            </w:r>
          </w:p>
        </w:tc>
        <w:tc>
          <w:tcPr>
            <w:tcW w:w="1885" w:type="dxa"/>
            <w:tcBorders>
              <w:top w:val="nil"/>
              <w:left w:val="nil"/>
              <w:bottom w:val="single" w:sz="4" w:space="0" w:color="auto"/>
              <w:right w:val="single" w:sz="4" w:space="0" w:color="auto"/>
            </w:tcBorders>
            <w:shd w:val="clear" w:color="auto" w:fill="auto"/>
            <w:noWrap/>
            <w:vAlign w:val="center"/>
            <w:hideMark/>
          </w:tcPr>
          <w:p w14:paraId="610C450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Carboxamide derivatives</w:t>
            </w:r>
          </w:p>
        </w:tc>
        <w:tc>
          <w:tcPr>
            <w:tcW w:w="578" w:type="dxa"/>
            <w:tcBorders>
              <w:top w:val="nil"/>
              <w:left w:val="nil"/>
              <w:bottom w:val="single" w:sz="4" w:space="0" w:color="auto"/>
              <w:right w:val="single" w:sz="4" w:space="0" w:color="auto"/>
            </w:tcBorders>
            <w:shd w:val="clear" w:color="auto" w:fill="auto"/>
            <w:noWrap/>
            <w:vAlign w:val="center"/>
            <w:hideMark/>
          </w:tcPr>
          <w:p w14:paraId="610C450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9</w:t>
            </w:r>
          </w:p>
        </w:tc>
        <w:tc>
          <w:tcPr>
            <w:tcW w:w="1881" w:type="dxa"/>
            <w:tcBorders>
              <w:top w:val="nil"/>
              <w:left w:val="nil"/>
              <w:bottom w:val="single" w:sz="4" w:space="0" w:color="auto"/>
              <w:right w:val="single" w:sz="4" w:space="0" w:color="auto"/>
            </w:tcBorders>
            <w:shd w:val="clear" w:color="auto" w:fill="auto"/>
            <w:noWrap/>
            <w:vAlign w:val="center"/>
            <w:hideMark/>
          </w:tcPr>
          <w:p w14:paraId="610C450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0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12" w14:textId="77777777" w:rsidTr="005B3E6B">
        <w:trPr>
          <w:trHeight w:val="290"/>
        </w:trPr>
        <w:tc>
          <w:tcPr>
            <w:tcW w:w="1281" w:type="dxa"/>
            <w:vMerge/>
            <w:tcBorders>
              <w:top w:val="nil"/>
              <w:left w:val="single" w:sz="4" w:space="0" w:color="auto"/>
              <w:bottom w:val="single" w:sz="4" w:space="0" w:color="auto"/>
              <w:right w:val="single" w:sz="4" w:space="0" w:color="auto"/>
            </w:tcBorders>
            <w:vAlign w:val="center"/>
            <w:hideMark/>
          </w:tcPr>
          <w:p w14:paraId="610C450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50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0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50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50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0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50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N03AX</w:t>
            </w:r>
          </w:p>
        </w:tc>
        <w:tc>
          <w:tcPr>
            <w:tcW w:w="1885" w:type="dxa"/>
            <w:tcBorders>
              <w:top w:val="nil"/>
              <w:left w:val="nil"/>
              <w:bottom w:val="single" w:sz="4" w:space="0" w:color="auto"/>
              <w:right w:val="single" w:sz="4" w:space="0" w:color="auto"/>
            </w:tcBorders>
            <w:shd w:val="clear" w:color="auto" w:fill="auto"/>
            <w:noWrap/>
            <w:vAlign w:val="center"/>
            <w:hideMark/>
          </w:tcPr>
          <w:p w14:paraId="610C450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Other antiepileptics</w:t>
            </w:r>
          </w:p>
        </w:tc>
        <w:tc>
          <w:tcPr>
            <w:tcW w:w="578" w:type="dxa"/>
            <w:tcBorders>
              <w:top w:val="nil"/>
              <w:left w:val="nil"/>
              <w:bottom w:val="single" w:sz="4" w:space="0" w:color="auto"/>
              <w:right w:val="single" w:sz="4" w:space="0" w:color="auto"/>
            </w:tcBorders>
            <w:shd w:val="clear" w:color="auto" w:fill="auto"/>
            <w:noWrap/>
            <w:vAlign w:val="center"/>
            <w:hideMark/>
          </w:tcPr>
          <w:p w14:paraId="610C450F"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w:t>
            </w:r>
          </w:p>
        </w:tc>
        <w:tc>
          <w:tcPr>
            <w:tcW w:w="1881" w:type="dxa"/>
            <w:tcBorders>
              <w:top w:val="nil"/>
              <w:left w:val="nil"/>
              <w:bottom w:val="single" w:sz="4" w:space="0" w:color="auto"/>
              <w:right w:val="single" w:sz="4" w:space="0" w:color="auto"/>
            </w:tcBorders>
            <w:shd w:val="clear" w:color="auto" w:fill="auto"/>
            <w:noWrap/>
            <w:vAlign w:val="center"/>
            <w:hideMark/>
          </w:tcPr>
          <w:p w14:paraId="610C451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1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1E" w14:textId="77777777" w:rsidTr="005B3E6B">
        <w:trPr>
          <w:trHeight w:val="90"/>
        </w:trPr>
        <w:tc>
          <w:tcPr>
            <w:tcW w:w="1281" w:type="dxa"/>
            <w:tcBorders>
              <w:left w:val="single" w:sz="4" w:space="0" w:color="auto"/>
              <w:bottom w:val="nil"/>
              <w:right w:val="single" w:sz="4" w:space="0" w:color="auto"/>
            </w:tcBorders>
            <w:shd w:val="clear" w:color="000000" w:fill="E7E6E6"/>
            <w:vAlign w:val="center"/>
            <w:hideMark/>
          </w:tcPr>
          <w:p w14:paraId="610C4513"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 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514"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78" w:type="dxa"/>
            <w:tcBorders>
              <w:left w:val="nil"/>
              <w:bottom w:val="nil"/>
              <w:right w:val="single" w:sz="4" w:space="0" w:color="auto"/>
            </w:tcBorders>
            <w:shd w:val="clear" w:color="000000" w:fill="E7E6E6"/>
            <w:vAlign w:val="center"/>
            <w:hideMark/>
          </w:tcPr>
          <w:p w14:paraId="610C451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10" w:type="dxa"/>
            <w:tcBorders>
              <w:left w:val="nil"/>
              <w:bottom w:val="nil"/>
              <w:right w:val="single" w:sz="4" w:space="0" w:color="auto"/>
            </w:tcBorders>
            <w:shd w:val="clear" w:color="000000" w:fill="E7E6E6"/>
            <w:vAlign w:val="center"/>
            <w:hideMark/>
          </w:tcPr>
          <w:p w14:paraId="610C451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12" w:type="dxa"/>
            <w:tcBorders>
              <w:left w:val="nil"/>
              <w:bottom w:val="nil"/>
              <w:right w:val="single" w:sz="4" w:space="0" w:color="auto"/>
            </w:tcBorders>
            <w:shd w:val="clear" w:color="000000" w:fill="E7E6E6"/>
            <w:vAlign w:val="center"/>
            <w:hideMark/>
          </w:tcPr>
          <w:p w14:paraId="610C4517"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78" w:type="dxa"/>
            <w:tcBorders>
              <w:left w:val="nil"/>
              <w:bottom w:val="nil"/>
              <w:right w:val="single" w:sz="4" w:space="0" w:color="auto"/>
            </w:tcBorders>
            <w:shd w:val="clear" w:color="000000" w:fill="E7E6E6"/>
            <w:vAlign w:val="center"/>
            <w:hideMark/>
          </w:tcPr>
          <w:p w14:paraId="610C4518"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51" w:type="dxa"/>
            <w:tcBorders>
              <w:left w:val="nil"/>
              <w:bottom w:val="nil"/>
              <w:right w:val="single" w:sz="4" w:space="0" w:color="auto"/>
            </w:tcBorders>
            <w:shd w:val="clear" w:color="000000" w:fill="E7E6E6"/>
            <w:vAlign w:val="center"/>
            <w:hideMark/>
          </w:tcPr>
          <w:p w14:paraId="610C451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885" w:type="dxa"/>
            <w:tcBorders>
              <w:left w:val="nil"/>
              <w:bottom w:val="nil"/>
              <w:right w:val="single" w:sz="4" w:space="0" w:color="auto"/>
            </w:tcBorders>
            <w:shd w:val="clear" w:color="000000" w:fill="E7E6E6"/>
            <w:vAlign w:val="center"/>
            <w:hideMark/>
          </w:tcPr>
          <w:p w14:paraId="610C451A"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78" w:type="dxa"/>
            <w:tcBorders>
              <w:left w:val="nil"/>
              <w:bottom w:val="nil"/>
              <w:right w:val="single" w:sz="4" w:space="0" w:color="auto"/>
            </w:tcBorders>
            <w:shd w:val="clear" w:color="000000" w:fill="E7E6E6"/>
            <w:vAlign w:val="center"/>
            <w:hideMark/>
          </w:tcPr>
          <w:p w14:paraId="610C451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881" w:type="dxa"/>
            <w:tcBorders>
              <w:left w:val="nil"/>
              <w:bottom w:val="nil"/>
              <w:right w:val="single" w:sz="4" w:space="0" w:color="auto"/>
            </w:tcBorders>
            <w:shd w:val="clear" w:color="000000" w:fill="E7E6E6"/>
            <w:vAlign w:val="center"/>
            <w:hideMark/>
          </w:tcPr>
          <w:p w14:paraId="610C451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78" w:type="dxa"/>
            <w:tcBorders>
              <w:left w:val="nil"/>
              <w:bottom w:val="nil"/>
              <w:right w:val="single" w:sz="4" w:space="0" w:color="auto"/>
            </w:tcBorders>
            <w:shd w:val="clear" w:color="000000" w:fill="E7E6E6"/>
            <w:vAlign w:val="center"/>
            <w:hideMark/>
          </w:tcPr>
          <w:p w14:paraId="610C451D"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606AE1" w14:paraId="610C452A" w14:textId="77777777" w:rsidTr="005B3E6B">
        <w:trPr>
          <w:trHeight w:val="290"/>
        </w:trPr>
        <w:tc>
          <w:tcPr>
            <w:tcW w:w="128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1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20"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Psychoanaleptics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21"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20</w:t>
            </w: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2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N06A</w:t>
            </w:r>
          </w:p>
        </w:tc>
        <w:tc>
          <w:tcPr>
            <w:tcW w:w="19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23"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Antidepressants</w:t>
            </w:r>
          </w:p>
        </w:tc>
        <w:tc>
          <w:tcPr>
            <w:tcW w:w="5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524"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19</w:t>
            </w:r>
          </w:p>
        </w:tc>
        <w:tc>
          <w:tcPr>
            <w:tcW w:w="851" w:type="dxa"/>
            <w:tcBorders>
              <w:top w:val="nil"/>
              <w:left w:val="nil"/>
              <w:bottom w:val="single" w:sz="4" w:space="0" w:color="auto"/>
              <w:right w:val="single" w:sz="4" w:space="0" w:color="auto"/>
            </w:tcBorders>
            <w:shd w:val="clear" w:color="auto" w:fill="auto"/>
            <w:noWrap/>
            <w:vAlign w:val="center"/>
            <w:hideMark/>
          </w:tcPr>
          <w:p w14:paraId="610C4525"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N06AB</w:t>
            </w:r>
          </w:p>
        </w:tc>
        <w:tc>
          <w:tcPr>
            <w:tcW w:w="1885" w:type="dxa"/>
            <w:tcBorders>
              <w:top w:val="nil"/>
              <w:left w:val="nil"/>
              <w:bottom w:val="single" w:sz="4" w:space="0" w:color="auto"/>
              <w:right w:val="single" w:sz="4" w:space="0" w:color="auto"/>
            </w:tcBorders>
            <w:shd w:val="clear" w:color="auto" w:fill="auto"/>
            <w:noWrap/>
            <w:vAlign w:val="center"/>
            <w:hideMark/>
          </w:tcPr>
          <w:p w14:paraId="610C452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Selective serotonin reuptake inhibitors</w:t>
            </w:r>
          </w:p>
        </w:tc>
        <w:tc>
          <w:tcPr>
            <w:tcW w:w="578" w:type="dxa"/>
            <w:tcBorders>
              <w:top w:val="nil"/>
              <w:left w:val="nil"/>
              <w:bottom w:val="single" w:sz="4" w:space="0" w:color="auto"/>
              <w:right w:val="single" w:sz="4" w:space="0" w:color="auto"/>
            </w:tcBorders>
            <w:shd w:val="clear" w:color="auto" w:fill="auto"/>
            <w:noWrap/>
            <w:vAlign w:val="center"/>
            <w:hideMark/>
          </w:tcPr>
          <w:p w14:paraId="610C4527"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10</w:t>
            </w:r>
          </w:p>
        </w:tc>
        <w:tc>
          <w:tcPr>
            <w:tcW w:w="1881" w:type="dxa"/>
            <w:tcBorders>
              <w:top w:val="nil"/>
              <w:left w:val="nil"/>
              <w:bottom w:val="single" w:sz="4" w:space="0" w:color="auto"/>
              <w:right w:val="single" w:sz="4" w:space="0" w:color="auto"/>
            </w:tcBorders>
            <w:shd w:val="clear" w:color="auto" w:fill="auto"/>
            <w:noWrap/>
            <w:vAlign w:val="center"/>
            <w:hideMark/>
          </w:tcPr>
          <w:p w14:paraId="610C4528"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78" w:type="dxa"/>
            <w:tcBorders>
              <w:top w:val="nil"/>
              <w:left w:val="nil"/>
              <w:bottom w:val="single" w:sz="4" w:space="0" w:color="auto"/>
              <w:right w:val="single" w:sz="4" w:space="0" w:color="auto"/>
            </w:tcBorders>
            <w:shd w:val="clear" w:color="auto" w:fill="auto"/>
            <w:noWrap/>
            <w:vAlign w:val="center"/>
            <w:hideMark/>
          </w:tcPr>
          <w:p w14:paraId="610C4529"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7D57FB" w:rsidRPr="00606AE1" w14:paraId="610C4536" w14:textId="77777777" w:rsidTr="005B3E6B">
        <w:trPr>
          <w:trHeight w:val="290"/>
        </w:trPr>
        <w:tc>
          <w:tcPr>
            <w:tcW w:w="1281" w:type="dxa"/>
            <w:vMerge/>
            <w:tcBorders>
              <w:top w:val="nil"/>
              <w:left w:val="single" w:sz="4" w:space="0" w:color="auto"/>
              <w:bottom w:val="single" w:sz="4" w:space="0" w:color="auto"/>
              <w:right w:val="single" w:sz="4" w:space="0" w:color="auto"/>
            </w:tcBorders>
            <w:vAlign w:val="center"/>
            <w:hideMark/>
          </w:tcPr>
          <w:p w14:paraId="610C452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52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2D"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52E"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52F"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30"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531"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N06AA</w:t>
            </w:r>
          </w:p>
        </w:tc>
        <w:tc>
          <w:tcPr>
            <w:tcW w:w="1885" w:type="dxa"/>
            <w:tcBorders>
              <w:top w:val="nil"/>
              <w:left w:val="nil"/>
              <w:bottom w:val="single" w:sz="4" w:space="0" w:color="auto"/>
              <w:right w:val="single" w:sz="4" w:space="0" w:color="auto"/>
            </w:tcBorders>
            <w:shd w:val="clear" w:color="auto" w:fill="auto"/>
            <w:noWrap/>
            <w:vAlign w:val="center"/>
            <w:hideMark/>
          </w:tcPr>
          <w:p w14:paraId="610C4532"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Non-selective monoamine reuptake inhibitors</w:t>
            </w:r>
          </w:p>
        </w:tc>
        <w:tc>
          <w:tcPr>
            <w:tcW w:w="578" w:type="dxa"/>
            <w:tcBorders>
              <w:top w:val="nil"/>
              <w:left w:val="nil"/>
              <w:bottom w:val="single" w:sz="4" w:space="0" w:color="auto"/>
              <w:right w:val="single" w:sz="4" w:space="0" w:color="auto"/>
            </w:tcBorders>
            <w:shd w:val="clear" w:color="auto" w:fill="auto"/>
            <w:noWrap/>
            <w:vAlign w:val="center"/>
            <w:hideMark/>
          </w:tcPr>
          <w:p w14:paraId="610C4533"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7</w:t>
            </w:r>
          </w:p>
        </w:tc>
        <w:tc>
          <w:tcPr>
            <w:tcW w:w="1881" w:type="dxa"/>
            <w:tcBorders>
              <w:top w:val="nil"/>
              <w:left w:val="nil"/>
              <w:bottom w:val="single" w:sz="4" w:space="0" w:color="auto"/>
              <w:right w:val="single" w:sz="4" w:space="0" w:color="auto"/>
            </w:tcBorders>
            <w:shd w:val="clear" w:color="auto" w:fill="auto"/>
            <w:noWrap/>
            <w:vAlign w:val="center"/>
            <w:hideMark/>
          </w:tcPr>
          <w:p w14:paraId="610C453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3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42" w14:textId="77777777" w:rsidTr="005B3E6B">
        <w:trPr>
          <w:trHeight w:val="290"/>
        </w:trPr>
        <w:tc>
          <w:tcPr>
            <w:tcW w:w="1281" w:type="dxa"/>
            <w:vMerge/>
            <w:tcBorders>
              <w:top w:val="nil"/>
              <w:left w:val="single" w:sz="4" w:space="0" w:color="auto"/>
              <w:bottom w:val="single" w:sz="4" w:space="0" w:color="auto"/>
              <w:right w:val="single" w:sz="4" w:space="0" w:color="auto"/>
            </w:tcBorders>
            <w:vAlign w:val="center"/>
            <w:hideMark/>
          </w:tcPr>
          <w:p w14:paraId="610C4537"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538"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39"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53A"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1912" w:type="dxa"/>
            <w:vMerge/>
            <w:tcBorders>
              <w:top w:val="nil"/>
              <w:left w:val="single" w:sz="4" w:space="0" w:color="auto"/>
              <w:bottom w:val="single" w:sz="4" w:space="0" w:color="auto"/>
              <w:right w:val="single" w:sz="4" w:space="0" w:color="auto"/>
            </w:tcBorders>
            <w:vAlign w:val="center"/>
            <w:hideMark/>
          </w:tcPr>
          <w:p w14:paraId="610C453B"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3C"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51" w:type="dxa"/>
            <w:tcBorders>
              <w:top w:val="nil"/>
              <w:left w:val="nil"/>
              <w:bottom w:val="single" w:sz="4" w:space="0" w:color="auto"/>
              <w:right w:val="single" w:sz="4" w:space="0" w:color="auto"/>
            </w:tcBorders>
            <w:shd w:val="clear" w:color="auto" w:fill="auto"/>
            <w:noWrap/>
            <w:vAlign w:val="center"/>
            <w:hideMark/>
          </w:tcPr>
          <w:p w14:paraId="610C453D"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N06A*</w:t>
            </w:r>
          </w:p>
        </w:tc>
        <w:tc>
          <w:tcPr>
            <w:tcW w:w="1885" w:type="dxa"/>
            <w:tcBorders>
              <w:top w:val="nil"/>
              <w:left w:val="nil"/>
              <w:bottom w:val="single" w:sz="4" w:space="0" w:color="auto"/>
              <w:right w:val="single" w:sz="4" w:space="0" w:color="auto"/>
            </w:tcBorders>
            <w:shd w:val="clear" w:color="auto" w:fill="auto"/>
            <w:noWrap/>
            <w:vAlign w:val="center"/>
            <w:hideMark/>
          </w:tcPr>
          <w:p w14:paraId="610C453E"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Unspecified by paper</w:t>
            </w:r>
          </w:p>
        </w:tc>
        <w:tc>
          <w:tcPr>
            <w:tcW w:w="578" w:type="dxa"/>
            <w:tcBorders>
              <w:top w:val="nil"/>
              <w:left w:val="nil"/>
              <w:bottom w:val="single" w:sz="4" w:space="0" w:color="auto"/>
              <w:right w:val="single" w:sz="4" w:space="0" w:color="auto"/>
            </w:tcBorders>
            <w:shd w:val="clear" w:color="auto" w:fill="auto"/>
            <w:noWrap/>
            <w:vAlign w:val="center"/>
            <w:hideMark/>
          </w:tcPr>
          <w:p w14:paraId="610C453F"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1881" w:type="dxa"/>
            <w:tcBorders>
              <w:top w:val="nil"/>
              <w:left w:val="nil"/>
              <w:bottom w:val="single" w:sz="4" w:space="0" w:color="auto"/>
              <w:right w:val="single" w:sz="4" w:space="0" w:color="auto"/>
            </w:tcBorders>
            <w:shd w:val="clear" w:color="auto" w:fill="auto"/>
            <w:noWrap/>
            <w:vAlign w:val="center"/>
            <w:hideMark/>
          </w:tcPr>
          <w:p w14:paraId="610C454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4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606AE1" w14:paraId="610C454E" w14:textId="77777777" w:rsidTr="005B3E6B">
        <w:trPr>
          <w:trHeight w:val="290"/>
        </w:trPr>
        <w:tc>
          <w:tcPr>
            <w:tcW w:w="1281" w:type="dxa"/>
            <w:vMerge/>
            <w:tcBorders>
              <w:top w:val="nil"/>
              <w:left w:val="single" w:sz="4" w:space="0" w:color="auto"/>
              <w:bottom w:val="single" w:sz="4" w:space="0" w:color="auto"/>
              <w:right w:val="single" w:sz="4" w:space="0" w:color="auto"/>
            </w:tcBorders>
            <w:vAlign w:val="center"/>
            <w:hideMark/>
          </w:tcPr>
          <w:p w14:paraId="610C4543"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544"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578" w:type="dxa"/>
            <w:vMerge/>
            <w:tcBorders>
              <w:top w:val="nil"/>
              <w:left w:val="single" w:sz="4" w:space="0" w:color="auto"/>
              <w:bottom w:val="single" w:sz="4" w:space="0" w:color="auto"/>
              <w:right w:val="single" w:sz="4" w:space="0" w:color="auto"/>
            </w:tcBorders>
            <w:vAlign w:val="center"/>
            <w:hideMark/>
          </w:tcPr>
          <w:p w14:paraId="610C4545" w14:textId="77777777" w:rsidR="007D57FB" w:rsidRPr="00606AE1" w:rsidRDefault="007D57FB" w:rsidP="005B3E6B">
            <w:pPr>
              <w:spacing w:after="0" w:line="240" w:lineRule="auto"/>
              <w:rPr>
                <w:rFonts w:ascii="Calibri" w:eastAsia="Times New Roman" w:hAnsi="Calibri" w:cs="Calibri"/>
                <w:color w:val="000000"/>
                <w:lang w:eastAsia="en-GB"/>
              </w:rPr>
            </w:pPr>
          </w:p>
        </w:tc>
        <w:tc>
          <w:tcPr>
            <w:tcW w:w="810" w:type="dxa"/>
            <w:tcBorders>
              <w:top w:val="nil"/>
              <w:left w:val="nil"/>
              <w:bottom w:val="single" w:sz="4" w:space="0" w:color="auto"/>
              <w:right w:val="single" w:sz="4" w:space="0" w:color="auto"/>
            </w:tcBorders>
            <w:shd w:val="clear" w:color="auto" w:fill="auto"/>
            <w:noWrap/>
            <w:vAlign w:val="center"/>
            <w:hideMark/>
          </w:tcPr>
          <w:p w14:paraId="610C4546"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N06D</w:t>
            </w:r>
          </w:p>
        </w:tc>
        <w:tc>
          <w:tcPr>
            <w:tcW w:w="1912" w:type="dxa"/>
            <w:tcBorders>
              <w:top w:val="nil"/>
              <w:left w:val="nil"/>
              <w:bottom w:val="single" w:sz="4" w:space="0" w:color="auto"/>
              <w:right w:val="single" w:sz="4" w:space="0" w:color="auto"/>
            </w:tcBorders>
            <w:shd w:val="clear" w:color="auto" w:fill="auto"/>
            <w:noWrap/>
            <w:vAlign w:val="center"/>
            <w:hideMark/>
          </w:tcPr>
          <w:p w14:paraId="610C4547"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Anti-dementia drugs</w:t>
            </w:r>
          </w:p>
        </w:tc>
        <w:tc>
          <w:tcPr>
            <w:tcW w:w="578" w:type="dxa"/>
            <w:tcBorders>
              <w:top w:val="nil"/>
              <w:left w:val="nil"/>
              <w:bottom w:val="single" w:sz="4" w:space="0" w:color="auto"/>
              <w:right w:val="single" w:sz="4" w:space="0" w:color="auto"/>
            </w:tcBorders>
            <w:shd w:val="clear" w:color="auto" w:fill="auto"/>
            <w:noWrap/>
            <w:vAlign w:val="center"/>
            <w:hideMark/>
          </w:tcPr>
          <w:p w14:paraId="610C4548"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1</w:t>
            </w:r>
          </w:p>
        </w:tc>
        <w:tc>
          <w:tcPr>
            <w:tcW w:w="851" w:type="dxa"/>
            <w:tcBorders>
              <w:top w:val="nil"/>
              <w:left w:val="nil"/>
              <w:bottom w:val="single" w:sz="4" w:space="0" w:color="auto"/>
              <w:right w:val="single" w:sz="4" w:space="0" w:color="auto"/>
            </w:tcBorders>
            <w:shd w:val="clear" w:color="auto" w:fill="auto"/>
            <w:noWrap/>
            <w:vAlign w:val="center"/>
            <w:hideMark/>
          </w:tcPr>
          <w:p w14:paraId="610C4549"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5" w:type="dxa"/>
            <w:tcBorders>
              <w:top w:val="nil"/>
              <w:left w:val="nil"/>
              <w:bottom w:val="single" w:sz="4" w:space="0" w:color="auto"/>
              <w:right w:val="single" w:sz="4" w:space="0" w:color="auto"/>
            </w:tcBorders>
            <w:shd w:val="clear" w:color="auto" w:fill="auto"/>
            <w:noWrap/>
            <w:vAlign w:val="center"/>
            <w:hideMark/>
          </w:tcPr>
          <w:p w14:paraId="610C454A"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4B"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1" w:type="dxa"/>
            <w:tcBorders>
              <w:top w:val="nil"/>
              <w:left w:val="nil"/>
              <w:bottom w:val="single" w:sz="4" w:space="0" w:color="auto"/>
              <w:right w:val="single" w:sz="4" w:space="0" w:color="auto"/>
            </w:tcBorders>
            <w:shd w:val="clear" w:color="auto" w:fill="auto"/>
            <w:noWrap/>
            <w:vAlign w:val="center"/>
            <w:hideMark/>
          </w:tcPr>
          <w:p w14:paraId="610C454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4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5A"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54F"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N07</w:t>
            </w:r>
          </w:p>
        </w:tc>
        <w:tc>
          <w:tcPr>
            <w:tcW w:w="2835" w:type="dxa"/>
            <w:tcBorders>
              <w:top w:val="nil"/>
              <w:left w:val="nil"/>
              <w:bottom w:val="single" w:sz="4" w:space="0" w:color="auto"/>
              <w:right w:val="single" w:sz="4" w:space="0" w:color="auto"/>
            </w:tcBorders>
            <w:shd w:val="clear" w:color="auto" w:fill="auto"/>
            <w:noWrap/>
            <w:vAlign w:val="center"/>
            <w:hideMark/>
          </w:tcPr>
          <w:p w14:paraId="610C4550"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Other nervous system drugs</w:t>
            </w:r>
          </w:p>
        </w:tc>
        <w:tc>
          <w:tcPr>
            <w:tcW w:w="578" w:type="dxa"/>
            <w:tcBorders>
              <w:top w:val="nil"/>
              <w:left w:val="nil"/>
              <w:bottom w:val="single" w:sz="4" w:space="0" w:color="auto"/>
              <w:right w:val="single" w:sz="4" w:space="0" w:color="auto"/>
            </w:tcBorders>
            <w:shd w:val="clear" w:color="auto" w:fill="auto"/>
            <w:noWrap/>
            <w:vAlign w:val="center"/>
            <w:hideMark/>
          </w:tcPr>
          <w:p w14:paraId="610C4551"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6</w:t>
            </w:r>
          </w:p>
        </w:tc>
        <w:tc>
          <w:tcPr>
            <w:tcW w:w="810" w:type="dxa"/>
            <w:tcBorders>
              <w:top w:val="nil"/>
              <w:left w:val="nil"/>
              <w:bottom w:val="single" w:sz="4" w:space="0" w:color="auto"/>
              <w:right w:val="single" w:sz="4" w:space="0" w:color="auto"/>
            </w:tcBorders>
            <w:shd w:val="clear" w:color="auto" w:fill="auto"/>
            <w:noWrap/>
            <w:vAlign w:val="center"/>
            <w:hideMark/>
          </w:tcPr>
          <w:p w14:paraId="610C4552"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12" w:type="dxa"/>
            <w:tcBorders>
              <w:top w:val="nil"/>
              <w:left w:val="nil"/>
              <w:bottom w:val="single" w:sz="4" w:space="0" w:color="auto"/>
              <w:right w:val="single" w:sz="4" w:space="0" w:color="auto"/>
            </w:tcBorders>
            <w:shd w:val="clear" w:color="auto" w:fill="auto"/>
            <w:noWrap/>
            <w:vAlign w:val="center"/>
            <w:hideMark/>
          </w:tcPr>
          <w:p w14:paraId="610C4553"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5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14:paraId="610C455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5" w:type="dxa"/>
            <w:tcBorders>
              <w:top w:val="nil"/>
              <w:left w:val="nil"/>
              <w:bottom w:val="single" w:sz="4" w:space="0" w:color="auto"/>
              <w:right w:val="single" w:sz="4" w:space="0" w:color="auto"/>
            </w:tcBorders>
            <w:shd w:val="clear" w:color="auto" w:fill="auto"/>
            <w:noWrap/>
            <w:vAlign w:val="center"/>
            <w:hideMark/>
          </w:tcPr>
          <w:p w14:paraId="610C4556"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57"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1" w:type="dxa"/>
            <w:tcBorders>
              <w:top w:val="nil"/>
              <w:left w:val="nil"/>
              <w:bottom w:val="single" w:sz="4" w:space="0" w:color="auto"/>
              <w:right w:val="single" w:sz="4" w:space="0" w:color="auto"/>
            </w:tcBorders>
            <w:shd w:val="clear" w:color="auto" w:fill="auto"/>
            <w:noWrap/>
            <w:vAlign w:val="center"/>
            <w:hideMark/>
          </w:tcPr>
          <w:p w14:paraId="610C4558"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59"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66"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55B"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w:t>
            </w:r>
          </w:p>
        </w:tc>
        <w:tc>
          <w:tcPr>
            <w:tcW w:w="2835" w:type="dxa"/>
            <w:tcBorders>
              <w:top w:val="nil"/>
              <w:left w:val="nil"/>
              <w:bottom w:val="single" w:sz="4" w:space="0" w:color="auto"/>
              <w:right w:val="single" w:sz="4" w:space="0" w:color="auto"/>
            </w:tcBorders>
            <w:shd w:val="clear" w:color="auto" w:fill="auto"/>
            <w:noWrap/>
            <w:vAlign w:val="center"/>
            <w:hideMark/>
          </w:tcPr>
          <w:p w14:paraId="610C455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"Psychotropics" unspecifi</w:t>
            </w:r>
            <w:r w:rsidRPr="00606AE1">
              <w:rPr>
                <w:rFonts w:ascii="Calibri" w:eastAsia="Times New Roman" w:hAnsi="Calibri" w:cs="Calibri"/>
                <w:color w:val="000000"/>
                <w:lang w:eastAsia="en-GB"/>
              </w:rPr>
              <w:t>ed</w:t>
            </w:r>
          </w:p>
        </w:tc>
        <w:tc>
          <w:tcPr>
            <w:tcW w:w="578" w:type="dxa"/>
            <w:tcBorders>
              <w:top w:val="nil"/>
              <w:left w:val="nil"/>
              <w:bottom w:val="single" w:sz="4" w:space="0" w:color="auto"/>
              <w:right w:val="single" w:sz="4" w:space="0" w:color="auto"/>
            </w:tcBorders>
            <w:shd w:val="clear" w:color="auto" w:fill="auto"/>
            <w:noWrap/>
            <w:vAlign w:val="center"/>
            <w:hideMark/>
          </w:tcPr>
          <w:p w14:paraId="610C455D"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810" w:type="dxa"/>
            <w:tcBorders>
              <w:top w:val="nil"/>
              <w:left w:val="nil"/>
              <w:bottom w:val="single" w:sz="4" w:space="0" w:color="auto"/>
              <w:right w:val="single" w:sz="4" w:space="0" w:color="auto"/>
            </w:tcBorders>
            <w:shd w:val="clear" w:color="auto" w:fill="auto"/>
            <w:noWrap/>
            <w:vAlign w:val="center"/>
            <w:hideMark/>
          </w:tcPr>
          <w:p w14:paraId="610C455E"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12" w:type="dxa"/>
            <w:tcBorders>
              <w:top w:val="nil"/>
              <w:left w:val="nil"/>
              <w:bottom w:val="single" w:sz="4" w:space="0" w:color="auto"/>
              <w:right w:val="single" w:sz="4" w:space="0" w:color="auto"/>
            </w:tcBorders>
            <w:shd w:val="clear" w:color="auto" w:fill="auto"/>
            <w:noWrap/>
            <w:vAlign w:val="center"/>
            <w:hideMark/>
          </w:tcPr>
          <w:p w14:paraId="610C455F"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6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14:paraId="610C456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5" w:type="dxa"/>
            <w:tcBorders>
              <w:top w:val="nil"/>
              <w:left w:val="nil"/>
              <w:bottom w:val="single" w:sz="4" w:space="0" w:color="auto"/>
              <w:right w:val="single" w:sz="4" w:space="0" w:color="auto"/>
            </w:tcBorders>
            <w:shd w:val="clear" w:color="auto" w:fill="auto"/>
            <w:noWrap/>
            <w:vAlign w:val="center"/>
            <w:hideMark/>
          </w:tcPr>
          <w:p w14:paraId="610C4562"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63"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1" w:type="dxa"/>
            <w:tcBorders>
              <w:top w:val="nil"/>
              <w:left w:val="nil"/>
              <w:bottom w:val="single" w:sz="4" w:space="0" w:color="auto"/>
              <w:right w:val="single" w:sz="4" w:space="0" w:color="auto"/>
            </w:tcBorders>
            <w:shd w:val="clear" w:color="auto" w:fill="auto"/>
            <w:noWrap/>
            <w:vAlign w:val="center"/>
            <w:hideMark/>
          </w:tcPr>
          <w:p w14:paraId="610C4564"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65"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72"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567"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N01</w:t>
            </w:r>
          </w:p>
        </w:tc>
        <w:tc>
          <w:tcPr>
            <w:tcW w:w="2835" w:type="dxa"/>
            <w:tcBorders>
              <w:top w:val="nil"/>
              <w:left w:val="nil"/>
              <w:bottom w:val="single" w:sz="4" w:space="0" w:color="auto"/>
              <w:right w:val="single" w:sz="4" w:space="0" w:color="auto"/>
            </w:tcBorders>
            <w:shd w:val="clear" w:color="auto" w:fill="auto"/>
            <w:noWrap/>
            <w:vAlign w:val="center"/>
            <w:hideMark/>
          </w:tcPr>
          <w:p w14:paraId="610C4568"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w:t>
            </w:r>
            <w:r>
              <w:rPr>
                <w:rFonts w:ascii="Calibri" w:eastAsia="Times New Roman" w:hAnsi="Calibri" w:cs="Calibri"/>
                <w:color w:val="000000"/>
                <w:lang w:eastAsia="en-GB"/>
              </w:rPr>
              <w:t>a</w:t>
            </w:r>
            <w:r w:rsidRPr="00606AE1">
              <w:rPr>
                <w:rFonts w:ascii="Calibri" w:eastAsia="Times New Roman" w:hAnsi="Calibri" w:cs="Calibri"/>
                <w:color w:val="000000"/>
                <w:lang w:eastAsia="en-GB"/>
              </w:rPr>
              <w:t>esthetics</w:t>
            </w:r>
          </w:p>
        </w:tc>
        <w:tc>
          <w:tcPr>
            <w:tcW w:w="578" w:type="dxa"/>
            <w:tcBorders>
              <w:top w:val="nil"/>
              <w:left w:val="nil"/>
              <w:bottom w:val="single" w:sz="4" w:space="0" w:color="auto"/>
              <w:right w:val="single" w:sz="4" w:space="0" w:color="auto"/>
            </w:tcBorders>
            <w:shd w:val="clear" w:color="auto" w:fill="auto"/>
            <w:noWrap/>
            <w:vAlign w:val="center"/>
            <w:hideMark/>
          </w:tcPr>
          <w:p w14:paraId="610C4569"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2</w:t>
            </w:r>
          </w:p>
        </w:tc>
        <w:tc>
          <w:tcPr>
            <w:tcW w:w="810" w:type="dxa"/>
            <w:tcBorders>
              <w:top w:val="nil"/>
              <w:left w:val="nil"/>
              <w:bottom w:val="single" w:sz="4" w:space="0" w:color="auto"/>
              <w:right w:val="single" w:sz="4" w:space="0" w:color="auto"/>
            </w:tcBorders>
            <w:shd w:val="clear" w:color="auto" w:fill="auto"/>
            <w:noWrap/>
            <w:vAlign w:val="center"/>
            <w:hideMark/>
          </w:tcPr>
          <w:p w14:paraId="610C456A"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12" w:type="dxa"/>
            <w:tcBorders>
              <w:top w:val="nil"/>
              <w:left w:val="nil"/>
              <w:bottom w:val="single" w:sz="4" w:space="0" w:color="auto"/>
              <w:right w:val="single" w:sz="4" w:space="0" w:color="auto"/>
            </w:tcBorders>
            <w:shd w:val="clear" w:color="auto" w:fill="auto"/>
            <w:noWrap/>
            <w:vAlign w:val="center"/>
            <w:hideMark/>
          </w:tcPr>
          <w:p w14:paraId="610C456B"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6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14:paraId="610C456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5" w:type="dxa"/>
            <w:tcBorders>
              <w:top w:val="nil"/>
              <w:left w:val="nil"/>
              <w:bottom w:val="single" w:sz="4" w:space="0" w:color="auto"/>
              <w:right w:val="single" w:sz="4" w:space="0" w:color="auto"/>
            </w:tcBorders>
            <w:shd w:val="clear" w:color="auto" w:fill="auto"/>
            <w:noWrap/>
            <w:vAlign w:val="center"/>
            <w:hideMark/>
          </w:tcPr>
          <w:p w14:paraId="610C456E"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6F"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1" w:type="dxa"/>
            <w:tcBorders>
              <w:top w:val="nil"/>
              <w:left w:val="nil"/>
              <w:bottom w:val="single" w:sz="4" w:space="0" w:color="auto"/>
              <w:right w:val="single" w:sz="4" w:space="0" w:color="auto"/>
            </w:tcBorders>
            <w:shd w:val="clear" w:color="auto" w:fill="auto"/>
            <w:noWrap/>
            <w:vAlign w:val="center"/>
            <w:hideMark/>
          </w:tcPr>
          <w:p w14:paraId="610C4570"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71"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57E"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573"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N04</w:t>
            </w:r>
          </w:p>
        </w:tc>
        <w:tc>
          <w:tcPr>
            <w:tcW w:w="2835" w:type="dxa"/>
            <w:tcBorders>
              <w:top w:val="nil"/>
              <w:left w:val="nil"/>
              <w:bottom w:val="single" w:sz="4" w:space="0" w:color="auto"/>
              <w:right w:val="single" w:sz="4" w:space="0" w:color="auto"/>
            </w:tcBorders>
            <w:shd w:val="clear" w:color="auto" w:fill="auto"/>
            <w:noWrap/>
            <w:vAlign w:val="center"/>
            <w:hideMark/>
          </w:tcPr>
          <w:p w14:paraId="610C4574" w14:textId="77777777" w:rsidR="007D57FB" w:rsidRPr="00606AE1" w:rsidRDefault="007D57FB" w:rsidP="005B3E6B">
            <w:pPr>
              <w:spacing w:after="0" w:line="240" w:lineRule="auto"/>
              <w:rPr>
                <w:rFonts w:ascii="Calibri" w:eastAsia="Times New Roman" w:hAnsi="Calibri" w:cs="Calibri"/>
                <w:color w:val="000000"/>
                <w:lang w:eastAsia="en-GB"/>
              </w:rPr>
            </w:pPr>
            <w:r w:rsidRPr="00606AE1">
              <w:rPr>
                <w:rFonts w:ascii="Calibri" w:eastAsia="Times New Roman" w:hAnsi="Calibri" w:cs="Calibri"/>
                <w:color w:val="000000"/>
                <w:lang w:eastAsia="en-GB"/>
              </w:rPr>
              <w:t>Anti-parkinson drugs</w:t>
            </w:r>
          </w:p>
        </w:tc>
        <w:tc>
          <w:tcPr>
            <w:tcW w:w="578" w:type="dxa"/>
            <w:tcBorders>
              <w:top w:val="nil"/>
              <w:left w:val="nil"/>
              <w:bottom w:val="single" w:sz="4" w:space="0" w:color="auto"/>
              <w:right w:val="single" w:sz="4" w:space="0" w:color="auto"/>
            </w:tcBorders>
            <w:shd w:val="clear" w:color="auto" w:fill="auto"/>
            <w:noWrap/>
            <w:vAlign w:val="center"/>
            <w:hideMark/>
          </w:tcPr>
          <w:p w14:paraId="610C4575" w14:textId="77777777" w:rsidR="007D57FB" w:rsidRPr="00606AE1" w:rsidRDefault="007D57FB" w:rsidP="005B3E6B">
            <w:pPr>
              <w:spacing w:after="0" w:line="240" w:lineRule="auto"/>
              <w:jc w:val="right"/>
              <w:rPr>
                <w:rFonts w:ascii="Calibri" w:eastAsia="Times New Roman" w:hAnsi="Calibri" w:cs="Calibri"/>
                <w:color w:val="000000"/>
                <w:lang w:eastAsia="en-GB"/>
              </w:rPr>
            </w:pPr>
            <w:r w:rsidRPr="00606AE1">
              <w:rPr>
                <w:rFonts w:ascii="Calibri" w:eastAsia="Times New Roman" w:hAnsi="Calibri" w:cs="Calibri"/>
                <w:color w:val="000000"/>
                <w:lang w:eastAsia="en-GB"/>
              </w:rPr>
              <w:t>3</w:t>
            </w:r>
          </w:p>
        </w:tc>
        <w:tc>
          <w:tcPr>
            <w:tcW w:w="810" w:type="dxa"/>
            <w:tcBorders>
              <w:top w:val="nil"/>
              <w:left w:val="nil"/>
              <w:bottom w:val="single" w:sz="4" w:space="0" w:color="auto"/>
              <w:right w:val="single" w:sz="4" w:space="0" w:color="auto"/>
            </w:tcBorders>
            <w:shd w:val="clear" w:color="auto" w:fill="auto"/>
            <w:noWrap/>
            <w:vAlign w:val="center"/>
            <w:hideMark/>
          </w:tcPr>
          <w:p w14:paraId="610C4576"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12" w:type="dxa"/>
            <w:tcBorders>
              <w:top w:val="nil"/>
              <w:left w:val="nil"/>
              <w:bottom w:val="single" w:sz="4" w:space="0" w:color="auto"/>
              <w:right w:val="single" w:sz="4" w:space="0" w:color="auto"/>
            </w:tcBorders>
            <w:shd w:val="clear" w:color="auto" w:fill="auto"/>
            <w:noWrap/>
            <w:vAlign w:val="center"/>
            <w:hideMark/>
          </w:tcPr>
          <w:p w14:paraId="610C4577"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78"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14:paraId="610C4579"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5" w:type="dxa"/>
            <w:tcBorders>
              <w:top w:val="nil"/>
              <w:left w:val="nil"/>
              <w:bottom w:val="single" w:sz="4" w:space="0" w:color="auto"/>
              <w:right w:val="single" w:sz="4" w:space="0" w:color="auto"/>
            </w:tcBorders>
            <w:shd w:val="clear" w:color="auto" w:fill="auto"/>
            <w:noWrap/>
            <w:vAlign w:val="center"/>
            <w:hideMark/>
          </w:tcPr>
          <w:p w14:paraId="610C457A"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7B"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81" w:type="dxa"/>
            <w:tcBorders>
              <w:top w:val="nil"/>
              <w:left w:val="nil"/>
              <w:bottom w:val="single" w:sz="4" w:space="0" w:color="auto"/>
              <w:right w:val="single" w:sz="4" w:space="0" w:color="auto"/>
            </w:tcBorders>
            <w:shd w:val="clear" w:color="auto" w:fill="auto"/>
            <w:noWrap/>
            <w:vAlign w:val="center"/>
            <w:hideMark/>
          </w:tcPr>
          <w:p w14:paraId="610C457C"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8" w:type="dxa"/>
            <w:tcBorders>
              <w:top w:val="nil"/>
              <w:left w:val="nil"/>
              <w:bottom w:val="single" w:sz="4" w:space="0" w:color="auto"/>
              <w:right w:val="single" w:sz="4" w:space="0" w:color="auto"/>
            </w:tcBorders>
            <w:shd w:val="clear" w:color="auto" w:fill="auto"/>
            <w:noWrap/>
            <w:vAlign w:val="center"/>
            <w:hideMark/>
          </w:tcPr>
          <w:p w14:paraId="610C457D" w14:textId="77777777" w:rsidR="007D57FB" w:rsidRPr="00606AE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57F" w14:textId="77777777" w:rsidR="007D57FB" w:rsidRDefault="007D57FB">
      <w:pPr>
        <w:rPr>
          <w:b/>
        </w:rPr>
      </w:pPr>
    </w:p>
    <w:p w14:paraId="610C4580" w14:textId="0F540F74" w:rsidR="007D57FB" w:rsidRDefault="00634B8E" w:rsidP="005B3E6B">
      <w:pPr>
        <w:pStyle w:val="Heading3"/>
      </w:pPr>
      <w:bookmarkStart w:id="55" w:name="_Toc52396374"/>
      <w:r>
        <w:t>Anti-infectives for systemic use</w:t>
      </w:r>
      <w:bookmarkEnd w:id="55"/>
    </w:p>
    <w:tbl>
      <w:tblPr>
        <w:tblW w:w="13678" w:type="dxa"/>
        <w:tblLook w:val="04A0" w:firstRow="1" w:lastRow="0" w:firstColumn="1" w:lastColumn="0" w:noHBand="0" w:noVBand="1"/>
      </w:tblPr>
      <w:tblGrid>
        <w:gridCol w:w="1281"/>
        <w:gridCol w:w="2835"/>
        <w:gridCol w:w="580"/>
        <w:gridCol w:w="800"/>
        <w:gridCol w:w="1982"/>
        <w:gridCol w:w="580"/>
        <w:gridCol w:w="825"/>
        <w:gridCol w:w="1947"/>
        <w:gridCol w:w="580"/>
        <w:gridCol w:w="1688"/>
        <w:gridCol w:w="580"/>
      </w:tblGrid>
      <w:tr w:rsidR="007D57FB" w:rsidRPr="00E6290E" w14:paraId="610C4582" w14:textId="77777777" w:rsidTr="005B3E6B">
        <w:trPr>
          <w:trHeight w:val="290"/>
        </w:trPr>
        <w:tc>
          <w:tcPr>
            <w:tcW w:w="13678"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581" w14:textId="5F24AF95" w:rsidR="007D57FB" w:rsidRPr="00E6290E" w:rsidRDefault="00634B8E"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Ant-infectives for systemic use</w:t>
            </w:r>
            <w:r w:rsidR="007D57FB" w:rsidRPr="00E6290E">
              <w:rPr>
                <w:rFonts w:ascii="Calibri" w:eastAsia="Times New Roman" w:hAnsi="Calibri" w:cs="Calibri"/>
                <w:b/>
                <w:bCs/>
                <w:color w:val="000000"/>
                <w:lang w:eastAsia="en-GB"/>
              </w:rPr>
              <w:t xml:space="preserve"> 4</w:t>
            </w:r>
            <w:r w:rsidR="00981EB1">
              <w:rPr>
                <w:rFonts w:ascii="Calibri" w:eastAsia="Times New Roman" w:hAnsi="Calibri" w:cs="Calibri"/>
                <w:b/>
                <w:bCs/>
                <w:color w:val="000000"/>
                <w:lang w:eastAsia="en-GB"/>
              </w:rPr>
              <w:t>10</w:t>
            </w:r>
            <w:r w:rsidR="007D57FB" w:rsidRPr="00E6290E">
              <w:rPr>
                <w:rFonts w:ascii="Calibri" w:eastAsia="Times New Roman" w:hAnsi="Calibri" w:cs="Calibri"/>
                <w:b/>
                <w:bCs/>
                <w:color w:val="000000"/>
                <w:lang w:eastAsia="en-GB"/>
              </w:rPr>
              <w:t xml:space="preserve"> (17.1</w:t>
            </w:r>
            <w:r w:rsidR="00AB78B1">
              <w:rPr>
                <w:rFonts w:ascii="Calibri" w:eastAsia="Times New Roman" w:hAnsi="Calibri" w:cs="Calibri"/>
                <w:b/>
                <w:bCs/>
                <w:color w:val="000000"/>
                <w:lang w:eastAsia="en-GB"/>
              </w:rPr>
              <w:t>9</w:t>
            </w:r>
            <w:r w:rsidR="007D57FB" w:rsidRPr="00E6290E">
              <w:rPr>
                <w:rFonts w:ascii="Calibri" w:eastAsia="Times New Roman" w:hAnsi="Calibri" w:cs="Calibri"/>
                <w:b/>
                <w:bCs/>
                <w:color w:val="000000"/>
                <w:lang w:eastAsia="en-GB"/>
              </w:rPr>
              <w:t>%)</w:t>
            </w:r>
          </w:p>
        </w:tc>
      </w:tr>
      <w:tr w:rsidR="007D57FB" w:rsidRPr="00606AE1" w14:paraId="610C458E" w14:textId="77777777" w:rsidTr="005B3E6B">
        <w:trPr>
          <w:trHeight w:val="90"/>
        </w:trPr>
        <w:tc>
          <w:tcPr>
            <w:tcW w:w="1281" w:type="dxa"/>
            <w:tcBorders>
              <w:left w:val="single" w:sz="4" w:space="0" w:color="auto"/>
              <w:bottom w:val="nil"/>
              <w:right w:val="single" w:sz="4" w:space="0" w:color="auto"/>
            </w:tcBorders>
            <w:shd w:val="clear" w:color="000000" w:fill="E7E6E6"/>
            <w:vAlign w:val="center"/>
            <w:hideMark/>
          </w:tcPr>
          <w:p w14:paraId="610C4583"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584"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80" w:type="dxa"/>
            <w:tcBorders>
              <w:left w:val="nil"/>
              <w:bottom w:val="nil"/>
              <w:right w:val="single" w:sz="4" w:space="0" w:color="auto"/>
            </w:tcBorders>
            <w:shd w:val="clear" w:color="000000" w:fill="E7E6E6"/>
            <w:vAlign w:val="center"/>
            <w:hideMark/>
          </w:tcPr>
          <w:p w14:paraId="610C458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00" w:type="dxa"/>
            <w:tcBorders>
              <w:left w:val="nil"/>
              <w:bottom w:val="nil"/>
              <w:right w:val="single" w:sz="4" w:space="0" w:color="auto"/>
            </w:tcBorders>
            <w:shd w:val="clear" w:color="000000" w:fill="E7E6E6"/>
            <w:vAlign w:val="center"/>
            <w:hideMark/>
          </w:tcPr>
          <w:p w14:paraId="610C458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82" w:type="dxa"/>
            <w:tcBorders>
              <w:left w:val="nil"/>
              <w:bottom w:val="nil"/>
              <w:right w:val="single" w:sz="4" w:space="0" w:color="auto"/>
            </w:tcBorders>
            <w:shd w:val="clear" w:color="000000" w:fill="E7E6E6"/>
            <w:vAlign w:val="center"/>
            <w:hideMark/>
          </w:tcPr>
          <w:p w14:paraId="610C4587"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588"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25" w:type="dxa"/>
            <w:tcBorders>
              <w:left w:val="nil"/>
              <w:bottom w:val="nil"/>
              <w:right w:val="single" w:sz="4" w:space="0" w:color="auto"/>
            </w:tcBorders>
            <w:shd w:val="clear" w:color="000000" w:fill="E7E6E6"/>
            <w:vAlign w:val="center"/>
            <w:hideMark/>
          </w:tcPr>
          <w:p w14:paraId="610C458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47" w:type="dxa"/>
            <w:tcBorders>
              <w:left w:val="nil"/>
              <w:bottom w:val="nil"/>
              <w:right w:val="single" w:sz="4" w:space="0" w:color="auto"/>
            </w:tcBorders>
            <w:shd w:val="clear" w:color="000000" w:fill="E7E6E6"/>
            <w:vAlign w:val="center"/>
            <w:hideMark/>
          </w:tcPr>
          <w:p w14:paraId="610C458A"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58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88" w:type="dxa"/>
            <w:tcBorders>
              <w:left w:val="nil"/>
              <w:bottom w:val="nil"/>
              <w:right w:val="single" w:sz="4" w:space="0" w:color="auto"/>
            </w:tcBorders>
            <w:shd w:val="clear" w:color="000000" w:fill="E7E6E6"/>
            <w:vAlign w:val="center"/>
            <w:hideMark/>
          </w:tcPr>
          <w:p w14:paraId="610C458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80" w:type="dxa"/>
            <w:tcBorders>
              <w:left w:val="nil"/>
              <w:bottom w:val="nil"/>
              <w:right w:val="single" w:sz="4" w:space="0" w:color="auto"/>
            </w:tcBorders>
            <w:shd w:val="clear" w:color="000000" w:fill="E7E6E6"/>
            <w:vAlign w:val="center"/>
            <w:hideMark/>
          </w:tcPr>
          <w:p w14:paraId="610C458D"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E6290E" w14:paraId="610C459A" w14:textId="77777777" w:rsidTr="005B3E6B">
        <w:trPr>
          <w:trHeight w:val="290"/>
        </w:trPr>
        <w:tc>
          <w:tcPr>
            <w:tcW w:w="1281" w:type="dxa"/>
            <w:vMerge w:val="restart"/>
            <w:tcBorders>
              <w:top w:val="single" w:sz="4" w:space="0" w:color="auto"/>
              <w:left w:val="single" w:sz="4" w:space="0" w:color="auto"/>
              <w:right w:val="single" w:sz="4" w:space="0" w:color="auto"/>
            </w:tcBorders>
            <w:shd w:val="clear" w:color="auto" w:fill="auto"/>
            <w:noWrap/>
            <w:vAlign w:val="center"/>
            <w:hideMark/>
          </w:tcPr>
          <w:p w14:paraId="610C458F"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w:t>
            </w:r>
          </w:p>
        </w:tc>
        <w:tc>
          <w:tcPr>
            <w:tcW w:w="2835" w:type="dxa"/>
            <w:vMerge w:val="restart"/>
            <w:tcBorders>
              <w:top w:val="single" w:sz="4" w:space="0" w:color="auto"/>
              <w:left w:val="single" w:sz="4" w:space="0" w:color="auto"/>
              <w:right w:val="single" w:sz="4" w:space="0" w:color="auto"/>
            </w:tcBorders>
            <w:shd w:val="clear" w:color="auto" w:fill="auto"/>
            <w:noWrap/>
            <w:vAlign w:val="center"/>
            <w:hideMark/>
          </w:tcPr>
          <w:p w14:paraId="610C459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Antibacterials For Systemic Use</w:t>
            </w:r>
          </w:p>
        </w:tc>
        <w:tc>
          <w:tcPr>
            <w:tcW w:w="580" w:type="dxa"/>
            <w:vMerge w:val="restart"/>
            <w:tcBorders>
              <w:top w:val="single" w:sz="4" w:space="0" w:color="auto"/>
              <w:left w:val="single" w:sz="4" w:space="0" w:color="auto"/>
              <w:right w:val="single" w:sz="4" w:space="0" w:color="auto"/>
            </w:tcBorders>
            <w:shd w:val="clear" w:color="auto" w:fill="auto"/>
            <w:noWrap/>
            <w:vAlign w:val="center"/>
            <w:hideMark/>
          </w:tcPr>
          <w:p w14:paraId="610C4591" w14:textId="1D70CA90"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35</w:t>
            </w:r>
            <w:r w:rsidR="00981EB1">
              <w:rPr>
                <w:rFonts w:ascii="Calibri" w:eastAsia="Times New Roman" w:hAnsi="Calibri" w:cs="Calibri"/>
                <w:color w:val="000000"/>
                <w:lang w:eastAsia="en-GB"/>
              </w:rPr>
              <w:t>4</w:t>
            </w:r>
          </w:p>
        </w:tc>
        <w:tc>
          <w:tcPr>
            <w:tcW w:w="800" w:type="dxa"/>
            <w:vMerge w:val="restart"/>
            <w:tcBorders>
              <w:top w:val="single" w:sz="4" w:space="0" w:color="auto"/>
              <w:left w:val="single" w:sz="4" w:space="0" w:color="auto"/>
              <w:right w:val="single" w:sz="4" w:space="0" w:color="auto"/>
            </w:tcBorders>
            <w:shd w:val="clear" w:color="auto" w:fill="auto"/>
            <w:noWrap/>
            <w:vAlign w:val="center"/>
            <w:hideMark/>
          </w:tcPr>
          <w:p w14:paraId="610C459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w:t>
            </w:r>
          </w:p>
        </w:tc>
        <w:tc>
          <w:tcPr>
            <w:tcW w:w="1982" w:type="dxa"/>
            <w:vMerge w:val="restart"/>
            <w:tcBorders>
              <w:top w:val="single" w:sz="4" w:space="0" w:color="auto"/>
              <w:left w:val="single" w:sz="4" w:space="0" w:color="auto"/>
              <w:right w:val="single" w:sz="4" w:space="0" w:color="auto"/>
            </w:tcBorders>
            <w:shd w:val="clear" w:color="auto" w:fill="auto"/>
            <w:noWrap/>
            <w:vAlign w:val="center"/>
            <w:hideMark/>
          </w:tcPr>
          <w:p w14:paraId="610C459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Beta-lactam antibacterials, penicillins</w:t>
            </w:r>
          </w:p>
        </w:tc>
        <w:tc>
          <w:tcPr>
            <w:tcW w:w="580" w:type="dxa"/>
            <w:vMerge w:val="restart"/>
            <w:tcBorders>
              <w:top w:val="single" w:sz="4" w:space="0" w:color="auto"/>
              <w:left w:val="single" w:sz="4" w:space="0" w:color="auto"/>
              <w:right w:val="single" w:sz="4" w:space="0" w:color="auto"/>
            </w:tcBorders>
            <w:shd w:val="clear" w:color="auto" w:fill="auto"/>
            <w:noWrap/>
            <w:vAlign w:val="center"/>
            <w:hideMark/>
          </w:tcPr>
          <w:p w14:paraId="610C4594"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106</w:t>
            </w:r>
          </w:p>
        </w:tc>
        <w:tc>
          <w:tcPr>
            <w:tcW w:w="8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59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J01CA</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59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Penicillins with extended spectrum</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597"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32</w:t>
            </w:r>
          </w:p>
        </w:tc>
        <w:tc>
          <w:tcPr>
            <w:tcW w:w="1688" w:type="dxa"/>
            <w:tcBorders>
              <w:top w:val="single" w:sz="4" w:space="0" w:color="auto"/>
              <w:left w:val="nil"/>
              <w:bottom w:val="single" w:sz="4" w:space="0" w:color="auto"/>
              <w:right w:val="single" w:sz="4" w:space="0" w:color="auto"/>
            </w:tcBorders>
            <w:shd w:val="clear" w:color="auto" w:fill="auto"/>
            <w:noWrap/>
            <w:vAlign w:val="center"/>
            <w:hideMark/>
          </w:tcPr>
          <w:p w14:paraId="610C459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Ampicillin</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10C4599"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r>
      <w:tr w:rsidR="007D57FB" w:rsidRPr="00E6290E" w14:paraId="610C45A6"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9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9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9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shd w:val="clear" w:color="auto" w:fill="auto"/>
            <w:vAlign w:val="center"/>
            <w:hideMark/>
          </w:tcPr>
          <w:p w14:paraId="610C459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right w:val="single" w:sz="4" w:space="0" w:color="auto"/>
            </w:tcBorders>
            <w:shd w:val="clear" w:color="auto" w:fill="auto"/>
            <w:vAlign w:val="center"/>
            <w:hideMark/>
          </w:tcPr>
          <w:p w14:paraId="610C459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A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vMerge/>
            <w:tcBorders>
              <w:top w:val="single" w:sz="4" w:space="0" w:color="auto"/>
              <w:left w:val="single" w:sz="4" w:space="0" w:color="auto"/>
              <w:bottom w:val="single" w:sz="4" w:space="0" w:color="auto"/>
              <w:right w:val="single" w:sz="4" w:space="0" w:color="auto"/>
            </w:tcBorders>
            <w:vAlign w:val="center"/>
            <w:hideMark/>
          </w:tcPr>
          <w:p w14:paraId="610C45A1"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610C45A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610C45A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688" w:type="dxa"/>
            <w:tcBorders>
              <w:top w:val="nil"/>
              <w:left w:val="nil"/>
              <w:bottom w:val="single" w:sz="4" w:space="0" w:color="auto"/>
              <w:right w:val="single" w:sz="4" w:space="0" w:color="auto"/>
            </w:tcBorders>
            <w:shd w:val="clear" w:color="auto" w:fill="auto"/>
            <w:noWrap/>
            <w:vAlign w:val="center"/>
            <w:hideMark/>
          </w:tcPr>
          <w:p w14:paraId="610C45A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Amoxicillin</w:t>
            </w:r>
          </w:p>
        </w:tc>
        <w:tc>
          <w:tcPr>
            <w:tcW w:w="580" w:type="dxa"/>
            <w:tcBorders>
              <w:top w:val="nil"/>
              <w:left w:val="nil"/>
              <w:bottom w:val="single" w:sz="4" w:space="0" w:color="auto"/>
              <w:right w:val="single" w:sz="4" w:space="0" w:color="auto"/>
            </w:tcBorders>
            <w:shd w:val="clear" w:color="auto" w:fill="auto"/>
            <w:noWrap/>
            <w:vAlign w:val="center"/>
            <w:hideMark/>
          </w:tcPr>
          <w:p w14:paraId="610C45A5"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r>
      <w:tr w:rsidR="007D57FB" w:rsidRPr="00E6290E" w14:paraId="610C45B2" w14:textId="77777777" w:rsidTr="005B3E6B">
        <w:trPr>
          <w:trHeight w:val="290"/>
        </w:trPr>
        <w:tc>
          <w:tcPr>
            <w:tcW w:w="1281" w:type="dxa"/>
            <w:vMerge/>
            <w:tcBorders>
              <w:left w:val="single" w:sz="4" w:space="0" w:color="auto"/>
              <w:bottom w:val="single" w:sz="4" w:space="0" w:color="auto"/>
              <w:right w:val="single" w:sz="4" w:space="0" w:color="auto"/>
            </w:tcBorders>
            <w:shd w:val="clear" w:color="auto" w:fill="auto"/>
            <w:vAlign w:val="center"/>
            <w:hideMark/>
          </w:tcPr>
          <w:p w14:paraId="610C45A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shd w:val="clear" w:color="auto" w:fill="auto"/>
            <w:vAlign w:val="center"/>
            <w:hideMark/>
          </w:tcPr>
          <w:p w14:paraId="610C45A8"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5A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bottom w:val="single" w:sz="4" w:space="0" w:color="auto"/>
              <w:right w:val="single" w:sz="4" w:space="0" w:color="auto"/>
            </w:tcBorders>
            <w:shd w:val="clear" w:color="auto" w:fill="auto"/>
            <w:vAlign w:val="center"/>
            <w:hideMark/>
          </w:tcPr>
          <w:p w14:paraId="610C45A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bottom w:val="single" w:sz="4" w:space="0" w:color="auto"/>
              <w:right w:val="single" w:sz="4" w:space="0" w:color="auto"/>
            </w:tcBorders>
            <w:shd w:val="clear" w:color="auto" w:fill="auto"/>
            <w:vAlign w:val="center"/>
            <w:hideMark/>
          </w:tcPr>
          <w:p w14:paraId="610C45A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5A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5AD"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J01CR</w:t>
            </w:r>
          </w:p>
        </w:tc>
        <w:tc>
          <w:tcPr>
            <w:tcW w:w="1947" w:type="dxa"/>
            <w:tcBorders>
              <w:top w:val="nil"/>
              <w:left w:val="nil"/>
              <w:bottom w:val="single" w:sz="4" w:space="0" w:color="auto"/>
              <w:right w:val="single" w:sz="4" w:space="0" w:color="auto"/>
            </w:tcBorders>
            <w:shd w:val="clear" w:color="auto" w:fill="auto"/>
            <w:noWrap/>
            <w:vAlign w:val="center"/>
            <w:hideMark/>
          </w:tcPr>
          <w:p w14:paraId="610C45AE" w14:textId="77777777" w:rsidR="007D57FB" w:rsidRPr="00E6290E" w:rsidRDefault="009D7A6E" w:rsidP="005B3E6B">
            <w:pPr>
              <w:spacing w:after="0" w:line="240" w:lineRule="auto"/>
              <w:rPr>
                <w:rFonts w:ascii="Calibri" w:eastAsia="Times New Roman" w:hAnsi="Calibri" w:cs="Calibri"/>
                <w:color w:val="000000"/>
                <w:lang w:eastAsia="en-GB"/>
              </w:rPr>
            </w:pPr>
            <w:hyperlink r:id="rId26" w:history="1">
              <w:r w:rsidR="007D57FB" w:rsidRPr="00E6290E">
                <w:rPr>
                  <w:rFonts w:ascii="Calibri" w:eastAsia="Times New Roman" w:hAnsi="Calibri" w:cs="Calibri"/>
                  <w:color w:val="000000"/>
                  <w:lang w:eastAsia="en-GB"/>
                </w:rPr>
                <w:t xml:space="preserve">Combinations of penicillins, incl. </w:t>
              </w:r>
              <w:r w:rsidR="007D57FB">
                <w:rPr>
                  <w:rFonts w:ascii="Calibri" w:eastAsia="Times New Roman" w:hAnsi="Calibri" w:cs="Calibri"/>
                  <w:color w:val="000000"/>
                  <w:lang w:eastAsia="en-GB"/>
                </w:rPr>
                <w:t>B</w:t>
              </w:r>
              <w:r w:rsidR="007D57FB" w:rsidRPr="00E6290E">
                <w:rPr>
                  <w:rFonts w:ascii="Calibri" w:eastAsia="Times New Roman" w:hAnsi="Calibri" w:cs="Calibri"/>
                  <w:color w:val="000000"/>
                  <w:lang w:eastAsia="en-GB"/>
                </w:rPr>
                <w:t>eta-lactamase inhibitors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5AF"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28</w:t>
            </w:r>
          </w:p>
        </w:tc>
        <w:tc>
          <w:tcPr>
            <w:tcW w:w="1688" w:type="dxa"/>
            <w:tcBorders>
              <w:top w:val="nil"/>
              <w:left w:val="nil"/>
              <w:bottom w:val="single" w:sz="4" w:space="0" w:color="auto"/>
              <w:right w:val="single" w:sz="4" w:space="0" w:color="auto"/>
            </w:tcBorders>
            <w:shd w:val="clear" w:color="auto" w:fill="auto"/>
            <w:noWrap/>
            <w:vAlign w:val="center"/>
            <w:hideMark/>
          </w:tcPr>
          <w:p w14:paraId="610C45B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Co-amoxiclav</w:t>
            </w:r>
          </w:p>
        </w:tc>
        <w:tc>
          <w:tcPr>
            <w:tcW w:w="580" w:type="dxa"/>
            <w:tcBorders>
              <w:top w:val="nil"/>
              <w:left w:val="nil"/>
              <w:bottom w:val="single" w:sz="4" w:space="0" w:color="auto"/>
              <w:right w:val="single" w:sz="4" w:space="0" w:color="auto"/>
            </w:tcBorders>
            <w:shd w:val="clear" w:color="auto" w:fill="auto"/>
            <w:noWrap/>
            <w:vAlign w:val="center"/>
            <w:hideMark/>
          </w:tcPr>
          <w:p w14:paraId="610C45B1"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28</w:t>
            </w:r>
          </w:p>
        </w:tc>
      </w:tr>
      <w:tr w:rsidR="007D57FB" w:rsidRPr="00606AE1" w14:paraId="610C45BE" w14:textId="77777777" w:rsidTr="005B3E6B">
        <w:trPr>
          <w:trHeight w:val="90"/>
        </w:trPr>
        <w:tc>
          <w:tcPr>
            <w:tcW w:w="1281" w:type="dxa"/>
            <w:tcBorders>
              <w:left w:val="single" w:sz="4" w:space="0" w:color="auto"/>
              <w:bottom w:val="nil"/>
              <w:right w:val="single" w:sz="4" w:space="0" w:color="auto"/>
            </w:tcBorders>
            <w:shd w:val="clear" w:color="000000" w:fill="E7E6E6"/>
            <w:vAlign w:val="center"/>
            <w:hideMark/>
          </w:tcPr>
          <w:p w14:paraId="610C45B3"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5B4"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80" w:type="dxa"/>
            <w:tcBorders>
              <w:left w:val="nil"/>
              <w:bottom w:val="nil"/>
              <w:right w:val="single" w:sz="4" w:space="0" w:color="auto"/>
            </w:tcBorders>
            <w:shd w:val="clear" w:color="000000" w:fill="E7E6E6"/>
            <w:vAlign w:val="center"/>
            <w:hideMark/>
          </w:tcPr>
          <w:p w14:paraId="610C45B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00" w:type="dxa"/>
            <w:tcBorders>
              <w:left w:val="nil"/>
              <w:bottom w:val="nil"/>
              <w:right w:val="single" w:sz="4" w:space="0" w:color="auto"/>
            </w:tcBorders>
            <w:shd w:val="clear" w:color="000000" w:fill="E7E6E6"/>
            <w:vAlign w:val="center"/>
            <w:hideMark/>
          </w:tcPr>
          <w:p w14:paraId="610C45B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82" w:type="dxa"/>
            <w:tcBorders>
              <w:left w:val="nil"/>
              <w:bottom w:val="nil"/>
              <w:right w:val="single" w:sz="4" w:space="0" w:color="auto"/>
            </w:tcBorders>
            <w:shd w:val="clear" w:color="000000" w:fill="E7E6E6"/>
            <w:vAlign w:val="center"/>
            <w:hideMark/>
          </w:tcPr>
          <w:p w14:paraId="610C45B7"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5B8"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25" w:type="dxa"/>
            <w:tcBorders>
              <w:left w:val="nil"/>
              <w:bottom w:val="nil"/>
              <w:right w:val="single" w:sz="4" w:space="0" w:color="auto"/>
            </w:tcBorders>
            <w:shd w:val="clear" w:color="000000" w:fill="E7E6E6"/>
            <w:vAlign w:val="center"/>
            <w:hideMark/>
          </w:tcPr>
          <w:p w14:paraId="610C45B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47" w:type="dxa"/>
            <w:tcBorders>
              <w:left w:val="nil"/>
              <w:bottom w:val="nil"/>
              <w:right w:val="single" w:sz="4" w:space="0" w:color="auto"/>
            </w:tcBorders>
            <w:shd w:val="clear" w:color="000000" w:fill="E7E6E6"/>
            <w:vAlign w:val="center"/>
            <w:hideMark/>
          </w:tcPr>
          <w:p w14:paraId="610C45BA"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5B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88" w:type="dxa"/>
            <w:tcBorders>
              <w:left w:val="nil"/>
              <w:bottom w:val="nil"/>
              <w:right w:val="single" w:sz="4" w:space="0" w:color="auto"/>
            </w:tcBorders>
            <w:shd w:val="clear" w:color="000000" w:fill="E7E6E6"/>
            <w:vAlign w:val="center"/>
            <w:hideMark/>
          </w:tcPr>
          <w:p w14:paraId="610C45B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80" w:type="dxa"/>
            <w:tcBorders>
              <w:left w:val="nil"/>
              <w:bottom w:val="nil"/>
              <w:right w:val="single" w:sz="4" w:space="0" w:color="auto"/>
            </w:tcBorders>
            <w:shd w:val="clear" w:color="000000" w:fill="E7E6E6"/>
            <w:vAlign w:val="center"/>
            <w:hideMark/>
          </w:tcPr>
          <w:p w14:paraId="610C45BD"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E6290E" w14:paraId="610C45CD" w14:textId="77777777" w:rsidTr="005B3E6B">
        <w:trPr>
          <w:trHeight w:val="290"/>
        </w:trPr>
        <w:tc>
          <w:tcPr>
            <w:tcW w:w="1281" w:type="dxa"/>
            <w:vMerge w:val="restart"/>
            <w:tcBorders>
              <w:top w:val="single" w:sz="4" w:space="0" w:color="auto"/>
              <w:left w:val="single" w:sz="4" w:space="0" w:color="auto"/>
              <w:right w:val="single" w:sz="4" w:space="0" w:color="auto"/>
            </w:tcBorders>
            <w:shd w:val="clear" w:color="auto" w:fill="auto"/>
            <w:vAlign w:val="center"/>
            <w:hideMark/>
          </w:tcPr>
          <w:p w14:paraId="610C45BF" w14:textId="77777777" w:rsidR="007D57FB" w:rsidRPr="00346C0B" w:rsidRDefault="007D57FB" w:rsidP="005B3E6B">
            <w:pPr>
              <w:spacing w:after="0" w:line="240" w:lineRule="auto"/>
              <w:rPr>
                <w:rFonts w:ascii="Calibri" w:eastAsia="Times New Roman" w:hAnsi="Calibri" w:cs="Calibri"/>
                <w:i/>
                <w:color w:val="000000"/>
                <w:lang w:eastAsia="en-GB"/>
              </w:rPr>
            </w:pPr>
            <w:r w:rsidRPr="00346C0B">
              <w:rPr>
                <w:rFonts w:ascii="Calibri" w:eastAsia="Times New Roman" w:hAnsi="Calibri" w:cs="Calibri"/>
                <w:i/>
                <w:color w:val="000000"/>
                <w:lang w:eastAsia="en-GB"/>
              </w:rPr>
              <w:t>Contd.</w:t>
            </w:r>
          </w:p>
          <w:p w14:paraId="610C45C0"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J01</w:t>
            </w:r>
          </w:p>
        </w:tc>
        <w:tc>
          <w:tcPr>
            <w:tcW w:w="2835" w:type="dxa"/>
            <w:vMerge w:val="restart"/>
            <w:tcBorders>
              <w:top w:val="single" w:sz="4" w:space="0" w:color="auto"/>
              <w:left w:val="single" w:sz="4" w:space="0" w:color="auto"/>
              <w:right w:val="single" w:sz="4" w:space="0" w:color="auto"/>
            </w:tcBorders>
            <w:shd w:val="clear" w:color="auto" w:fill="auto"/>
            <w:vAlign w:val="center"/>
            <w:hideMark/>
          </w:tcPr>
          <w:p w14:paraId="610C45C1" w14:textId="77777777" w:rsidR="007D57FB" w:rsidRDefault="007D57FB" w:rsidP="005B3E6B">
            <w:pPr>
              <w:spacing w:after="0" w:line="240" w:lineRule="auto"/>
              <w:rPr>
                <w:rFonts w:ascii="Calibri" w:eastAsia="Times New Roman" w:hAnsi="Calibri" w:cs="Calibri"/>
                <w:color w:val="000000"/>
                <w:lang w:eastAsia="en-GB"/>
              </w:rPr>
            </w:pPr>
            <w:r w:rsidRPr="00346C0B">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w:t>
            </w:r>
          </w:p>
          <w:p w14:paraId="610C45C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Antibacterials For Systemic Use</w:t>
            </w:r>
          </w:p>
        </w:tc>
        <w:tc>
          <w:tcPr>
            <w:tcW w:w="580" w:type="dxa"/>
            <w:vMerge w:val="restart"/>
            <w:tcBorders>
              <w:top w:val="single" w:sz="4" w:space="0" w:color="auto"/>
              <w:left w:val="single" w:sz="4" w:space="0" w:color="auto"/>
              <w:right w:val="single" w:sz="4" w:space="0" w:color="auto"/>
            </w:tcBorders>
            <w:shd w:val="clear" w:color="auto" w:fill="auto"/>
            <w:vAlign w:val="center"/>
            <w:hideMark/>
          </w:tcPr>
          <w:p w14:paraId="610C45C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single" w:sz="4" w:space="0" w:color="auto"/>
              <w:left w:val="single" w:sz="4" w:space="0" w:color="auto"/>
              <w:right w:val="single" w:sz="4" w:space="0" w:color="auto"/>
            </w:tcBorders>
            <w:shd w:val="clear" w:color="auto" w:fill="auto"/>
            <w:vAlign w:val="center"/>
            <w:hideMark/>
          </w:tcPr>
          <w:p w14:paraId="610C45C4" w14:textId="77777777" w:rsidR="007D57FB" w:rsidRPr="00E6290E" w:rsidRDefault="007D57FB" w:rsidP="005B3E6B">
            <w:pPr>
              <w:spacing w:after="0" w:line="240" w:lineRule="auto"/>
              <w:rPr>
                <w:rFonts w:ascii="Calibri" w:eastAsia="Times New Roman" w:hAnsi="Calibri" w:cs="Calibri"/>
                <w:color w:val="000000"/>
                <w:lang w:eastAsia="en-GB"/>
              </w:rPr>
            </w:pPr>
            <w:r w:rsidRPr="00346C0B">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J01C</w:t>
            </w:r>
          </w:p>
        </w:tc>
        <w:tc>
          <w:tcPr>
            <w:tcW w:w="1982" w:type="dxa"/>
            <w:vMerge w:val="restart"/>
            <w:tcBorders>
              <w:top w:val="single" w:sz="4" w:space="0" w:color="auto"/>
              <w:left w:val="single" w:sz="4" w:space="0" w:color="auto"/>
              <w:right w:val="single" w:sz="4" w:space="0" w:color="auto"/>
            </w:tcBorders>
            <w:shd w:val="clear" w:color="auto" w:fill="auto"/>
            <w:vAlign w:val="center"/>
            <w:hideMark/>
          </w:tcPr>
          <w:p w14:paraId="610C45C5" w14:textId="77777777" w:rsidR="007D57FB" w:rsidRPr="00E271C8" w:rsidRDefault="007D57FB" w:rsidP="005B3E6B">
            <w:pPr>
              <w:spacing w:after="0" w:line="240" w:lineRule="auto"/>
              <w:rPr>
                <w:rFonts w:ascii="Calibri" w:eastAsia="Times New Roman" w:hAnsi="Calibri" w:cs="Calibri"/>
                <w:i/>
                <w:color w:val="000000"/>
                <w:lang w:eastAsia="en-GB"/>
              </w:rPr>
            </w:pPr>
            <w:r w:rsidRPr="00E271C8">
              <w:rPr>
                <w:rFonts w:ascii="Calibri" w:eastAsia="Times New Roman" w:hAnsi="Calibri" w:cs="Calibri"/>
                <w:i/>
                <w:color w:val="000000"/>
                <w:lang w:eastAsia="en-GB"/>
              </w:rPr>
              <w:t>Contd.</w:t>
            </w:r>
          </w:p>
          <w:p w14:paraId="610C45C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Beta-lactam antibacterials, penicillins</w:t>
            </w:r>
          </w:p>
        </w:tc>
        <w:tc>
          <w:tcPr>
            <w:tcW w:w="580" w:type="dxa"/>
            <w:vMerge w:val="restart"/>
            <w:tcBorders>
              <w:top w:val="single" w:sz="4" w:space="0" w:color="auto"/>
              <w:left w:val="single" w:sz="4" w:space="0" w:color="auto"/>
              <w:right w:val="single" w:sz="4" w:space="0" w:color="auto"/>
            </w:tcBorders>
            <w:shd w:val="clear" w:color="auto" w:fill="auto"/>
            <w:vAlign w:val="center"/>
            <w:hideMark/>
          </w:tcPr>
          <w:p w14:paraId="610C45C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5C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J01CG</w:t>
            </w:r>
          </w:p>
        </w:tc>
        <w:tc>
          <w:tcPr>
            <w:tcW w:w="1947" w:type="dxa"/>
            <w:tcBorders>
              <w:top w:val="nil"/>
              <w:left w:val="nil"/>
              <w:bottom w:val="single" w:sz="4" w:space="0" w:color="auto"/>
              <w:right w:val="single" w:sz="4" w:space="0" w:color="auto"/>
            </w:tcBorders>
            <w:shd w:val="clear" w:color="auto" w:fill="auto"/>
            <w:noWrap/>
            <w:vAlign w:val="center"/>
            <w:hideMark/>
          </w:tcPr>
          <w:p w14:paraId="610C45C9"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Beta-lactamase inhibitors</w:t>
            </w:r>
          </w:p>
        </w:tc>
        <w:tc>
          <w:tcPr>
            <w:tcW w:w="580" w:type="dxa"/>
            <w:tcBorders>
              <w:top w:val="nil"/>
              <w:left w:val="nil"/>
              <w:bottom w:val="single" w:sz="4" w:space="0" w:color="auto"/>
              <w:right w:val="single" w:sz="4" w:space="0" w:color="auto"/>
            </w:tcBorders>
            <w:shd w:val="clear" w:color="auto" w:fill="auto"/>
            <w:noWrap/>
            <w:vAlign w:val="center"/>
            <w:hideMark/>
          </w:tcPr>
          <w:p w14:paraId="610C45CA"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c>
          <w:tcPr>
            <w:tcW w:w="1688" w:type="dxa"/>
            <w:tcBorders>
              <w:top w:val="nil"/>
              <w:left w:val="nil"/>
              <w:bottom w:val="single" w:sz="4" w:space="0" w:color="auto"/>
              <w:right w:val="single" w:sz="4" w:space="0" w:color="auto"/>
            </w:tcBorders>
            <w:shd w:val="clear" w:color="auto" w:fill="auto"/>
            <w:noWrap/>
            <w:vAlign w:val="center"/>
            <w:hideMark/>
          </w:tcPr>
          <w:p w14:paraId="610C45CB"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Sulbactam</w:t>
            </w:r>
          </w:p>
        </w:tc>
        <w:tc>
          <w:tcPr>
            <w:tcW w:w="580" w:type="dxa"/>
            <w:tcBorders>
              <w:top w:val="nil"/>
              <w:left w:val="nil"/>
              <w:bottom w:val="single" w:sz="4" w:space="0" w:color="auto"/>
              <w:right w:val="single" w:sz="4" w:space="0" w:color="auto"/>
            </w:tcBorders>
            <w:shd w:val="clear" w:color="auto" w:fill="auto"/>
            <w:noWrap/>
            <w:vAlign w:val="center"/>
            <w:hideMark/>
          </w:tcPr>
          <w:p w14:paraId="610C45CC"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r>
      <w:tr w:rsidR="007D57FB" w:rsidRPr="00E6290E" w14:paraId="610C45D9"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C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C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D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shd w:val="clear" w:color="auto" w:fill="auto"/>
            <w:vAlign w:val="center"/>
            <w:hideMark/>
          </w:tcPr>
          <w:p w14:paraId="610C45D1"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right w:val="single" w:sz="4" w:space="0" w:color="auto"/>
            </w:tcBorders>
            <w:shd w:val="clear" w:color="auto" w:fill="auto"/>
            <w:vAlign w:val="center"/>
            <w:hideMark/>
          </w:tcPr>
          <w:p w14:paraId="610C45D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D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5D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w:t>
            </w:r>
          </w:p>
        </w:tc>
        <w:tc>
          <w:tcPr>
            <w:tcW w:w="1947" w:type="dxa"/>
            <w:tcBorders>
              <w:top w:val="nil"/>
              <w:left w:val="nil"/>
              <w:bottom w:val="single" w:sz="4" w:space="0" w:color="auto"/>
              <w:right w:val="single" w:sz="4" w:space="0" w:color="auto"/>
            </w:tcBorders>
            <w:shd w:val="clear" w:color="auto" w:fill="auto"/>
            <w:noWrap/>
            <w:vAlign w:val="center"/>
            <w:hideMark/>
          </w:tcPr>
          <w:p w14:paraId="610C45D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Not specified by paper</w:t>
            </w:r>
          </w:p>
        </w:tc>
        <w:tc>
          <w:tcPr>
            <w:tcW w:w="580" w:type="dxa"/>
            <w:tcBorders>
              <w:top w:val="nil"/>
              <w:left w:val="nil"/>
              <w:bottom w:val="single" w:sz="4" w:space="0" w:color="auto"/>
              <w:right w:val="single" w:sz="4" w:space="0" w:color="auto"/>
            </w:tcBorders>
            <w:shd w:val="clear" w:color="auto" w:fill="auto"/>
            <w:noWrap/>
            <w:vAlign w:val="center"/>
            <w:hideMark/>
          </w:tcPr>
          <w:p w14:paraId="610C45D6"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11</w:t>
            </w:r>
          </w:p>
        </w:tc>
        <w:tc>
          <w:tcPr>
            <w:tcW w:w="1688" w:type="dxa"/>
            <w:tcBorders>
              <w:top w:val="nil"/>
              <w:left w:val="nil"/>
              <w:bottom w:val="single" w:sz="4" w:space="0" w:color="auto"/>
              <w:right w:val="single" w:sz="4" w:space="0" w:color="auto"/>
            </w:tcBorders>
            <w:shd w:val="clear" w:color="auto" w:fill="auto"/>
            <w:noWrap/>
            <w:vAlign w:val="center"/>
            <w:hideMark/>
          </w:tcPr>
          <w:p w14:paraId="610C45D7"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5D8"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5E5"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D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D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D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shd w:val="clear" w:color="auto" w:fill="auto"/>
            <w:vAlign w:val="center"/>
            <w:hideMark/>
          </w:tcPr>
          <w:p w14:paraId="610C45D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right w:val="single" w:sz="4" w:space="0" w:color="auto"/>
            </w:tcBorders>
            <w:shd w:val="clear" w:color="auto" w:fill="auto"/>
            <w:vAlign w:val="center"/>
            <w:hideMark/>
          </w:tcPr>
          <w:p w14:paraId="610C45D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D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5E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J01CE</w:t>
            </w:r>
          </w:p>
        </w:tc>
        <w:tc>
          <w:tcPr>
            <w:tcW w:w="1947" w:type="dxa"/>
            <w:tcBorders>
              <w:top w:val="nil"/>
              <w:left w:val="nil"/>
              <w:bottom w:val="single" w:sz="4" w:space="0" w:color="auto"/>
              <w:right w:val="single" w:sz="4" w:space="0" w:color="auto"/>
            </w:tcBorders>
            <w:shd w:val="clear" w:color="auto" w:fill="auto"/>
            <w:noWrap/>
            <w:vAlign w:val="center"/>
            <w:hideMark/>
          </w:tcPr>
          <w:p w14:paraId="610C45E1" w14:textId="77777777" w:rsidR="007D57FB" w:rsidRPr="00E6290E" w:rsidRDefault="009D7A6E" w:rsidP="005B3E6B">
            <w:pPr>
              <w:spacing w:after="0" w:line="240" w:lineRule="auto"/>
              <w:rPr>
                <w:rFonts w:ascii="Calibri" w:eastAsia="Times New Roman" w:hAnsi="Calibri" w:cs="Calibri"/>
                <w:color w:val="000000"/>
                <w:lang w:eastAsia="en-GB"/>
              </w:rPr>
            </w:pPr>
            <w:hyperlink r:id="rId27" w:history="1">
              <w:r w:rsidR="007D57FB" w:rsidRPr="00E6290E">
                <w:rPr>
                  <w:rFonts w:ascii="Calibri" w:eastAsia="Times New Roman" w:hAnsi="Calibri" w:cs="Calibri"/>
                  <w:color w:val="000000"/>
                  <w:lang w:eastAsia="en-GB"/>
                </w:rPr>
                <w:t>Beta-lactamase sensitive penicillins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5E2"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10</w:t>
            </w:r>
          </w:p>
        </w:tc>
        <w:tc>
          <w:tcPr>
            <w:tcW w:w="1688" w:type="dxa"/>
            <w:tcBorders>
              <w:top w:val="nil"/>
              <w:left w:val="nil"/>
              <w:bottom w:val="single" w:sz="4" w:space="0" w:color="auto"/>
              <w:right w:val="single" w:sz="4" w:space="0" w:color="auto"/>
            </w:tcBorders>
            <w:shd w:val="clear" w:color="auto" w:fill="auto"/>
            <w:noWrap/>
            <w:vAlign w:val="center"/>
            <w:hideMark/>
          </w:tcPr>
          <w:p w14:paraId="610C45E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Penicillin G</w:t>
            </w:r>
          </w:p>
        </w:tc>
        <w:tc>
          <w:tcPr>
            <w:tcW w:w="580" w:type="dxa"/>
            <w:tcBorders>
              <w:top w:val="nil"/>
              <w:left w:val="nil"/>
              <w:bottom w:val="single" w:sz="4" w:space="0" w:color="auto"/>
              <w:right w:val="single" w:sz="4" w:space="0" w:color="auto"/>
            </w:tcBorders>
            <w:shd w:val="clear" w:color="auto" w:fill="auto"/>
            <w:noWrap/>
            <w:vAlign w:val="center"/>
            <w:hideMark/>
          </w:tcPr>
          <w:p w14:paraId="610C45E4"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5</w:t>
            </w:r>
          </w:p>
        </w:tc>
      </w:tr>
      <w:tr w:rsidR="007D57FB" w:rsidRPr="00E6290E" w14:paraId="610C45F1"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E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E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E8"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bottom w:val="single" w:sz="4" w:space="0" w:color="auto"/>
              <w:right w:val="single" w:sz="4" w:space="0" w:color="auto"/>
            </w:tcBorders>
            <w:shd w:val="clear" w:color="auto" w:fill="auto"/>
            <w:vAlign w:val="center"/>
            <w:hideMark/>
          </w:tcPr>
          <w:p w14:paraId="610C45E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bottom w:val="single" w:sz="4" w:space="0" w:color="auto"/>
              <w:right w:val="single" w:sz="4" w:space="0" w:color="auto"/>
            </w:tcBorders>
            <w:shd w:val="clear" w:color="auto" w:fill="auto"/>
            <w:vAlign w:val="center"/>
            <w:hideMark/>
          </w:tcPr>
          <w:p w14:paraId="610C45E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5E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5EC"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J01CF</w:t>
            </w:r>
          </w:p>
        </w:tc>
        <w:tc>
          <w:tcPr>
            <w:tcW w:w="1947" w:type="dxa"/>
            <w:tcBorders>
              <w:top w:val="nil"/>
              <w:left w:val="nil"/>
              <w:bottom w:val="single" w:sz="4" w:space="0" w:color="auto"/>
              <w:right w:val="single" w:sz="4" w:space="0" w:color="auto"/>
            </w:tcBorders>
            <w:shd w:val="clear" w:color="auto" w:fill="auto"/>
            <w:noWrap/>
            <w:vAlign w:val="center"/>
            <w:hideMark/>
          </w:tcPr>
          <w:p w14:paraId="610C45ED" w14:textId="77777777" w:rsidR="007D57FB" w:rsidRPr="00E6290E" w:rsidRDefault="009D7A6E" w:rsidP="005B3E6B">
            <w:pPr>
              <w:spacing w:after="0" w:line="240" w:lineRule="auto"/>
              <w:rPr>
                <w:rFonts w:ascii="Calibri" w:eastAsia="Times New Roman" w:hAnsi="Calibri" w:cs="Calibri"/>
                <w:color w:val="000000"/>
                <w:lang w:eastAsia="en-GB"/>
              </w:rPr>
            </w:pPr>
            <w:hyperlink r:id="rId28" w:history="1">
              <w:r w:rsidR="007D57FB" w:rsidRPr="00E6290E">
                <w:rPr>
                  <w:rFonts w:ascii="Calibri" w:eastAsia="Times New Roman" w:hAnsi="Calibri" w:cs="Calibri"/>
                  <w:color w:val="000000"/>
                  <w:lang w:eastAsia="en-GB"/>
                </w:rPr>
                <w:t>Beta-lactamase resistant penicillins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5EE"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9</w:t>
            </w:r>
          </w:p>
        </w:tc>
        <w:tc>
          <w:tcPr>
            <w:tcW w:w="1688" w:type="dxa"/>
            <w:tcBorders>
              <w:top w:val="nil"/>
              <w:left w:val="nil"/>
              <w:bottom w:val="single" w:sz="4" w:space="0" w:color="auto"/>
              <w:right w:val="single" w:sz="4" w:space="0" w:color="auto"/>
            </w:tcBorders>
            <w:shd w:val="clear" w:color="auto" w:fill="auto"/>
            <w:noWrap/>
            <w:vAlign w:val="center"/>
            <w:hideMark/>
          </w:tcPr>
          <w:p w14:paraId="610C45EF"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5F0"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5FD"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F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F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5F4"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5F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w:t>
            </w:r>
          </w:p>
        </w:tc>
        <w:tc>
          <w:tcPr>
            <w:tcW w:w="1982" w:type="dxa"/>
            <w:tcBorders>
              <w:top w:val="nil"/>
              <w:left w:val="nil"/>
              <w:bottom w:val="single" w:sz="4" w:space="0" w:color="auto"/>
              <w:right w:val="single" w:sz="4" w:space="0" w:color="auto"/>
            </w:tcBorders>
            <w:shd w:val="clear" w:color="auto" w:fill="auto"/>
            <w:noWrap/>
            <w:vAlign w:val="center"/>
            <w:hideMark/>
          </w:tcPr>
          <w:p w14:paraId="610C45F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Not specified by paper</w:t>
            </w:r>
          </w:p>
        </w:tc>
        <w:tc>
          <w:tcPr>
            <w:tcW w:w="580" w:type="dxa"/>
            <w:tcBorders>
              <w:top w:val="nil"/>
              <w:left w:val="nil"/>
              <w:bottom w:val="single" w:sz="4" w:space="0" w:color="auto"/>
              <w:right w:val="single" w:sz="4" w:space="0" w:color="auto"/>
            </w:tcBorders>
            <w:shd w:val="clear" w:color="auto" w:fill="auto"/>
            <w:noWrap/>
            <w:vAlign w:val="center"/>
            <w:hideMark/>
          </w:tcPr>
          <w:p w14:paraId="610C45F7"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63</w:t>
            </w:r>
          </w:p>
        </w:tc>
        <w:tc>
          <w:tcPr>
            <w:tcW w:w="825" w:type="dxa"/>
            <w:tcBorders>
              <w:top w:val="nil"/>
              <w:left w:val="nil"/>
              <w:bottom w:val="single" w:sz="4" w:space="0" w:color="auto"/>
              <w:right w:val="single" w:sz="4" w:space="0" w:color="auto"/>
            </w:tcBorders>
            <w:shd w:val="clear" w:color="auto" w:fill="auto"/>
            <w:noWrap/>
            <w:vAlign w:val="center"/>
            <w:hideMark/>
          </w:tcPr>
          <w:p w14:paraId="610C45F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w:t>
            </w:r>
            <w:r>
              <w:rPr>
                <w:rFonts w:ascii="Calibri" w:eastAsia="Times New Roman" w:hAnsi="Calibri" w:cs="Calibri"/>
                <w:color w:val="000000"/>
                <w:lang w:eastAsia="en-GB"/>
              </w:rPr>
              <w:t>-</w:t>
            </w:r>
          </w:p>
        </w:tc>
        <w:tc>
          <w:tcPr>
            <w:tcW w:w="1947" w:type="dxa"/>
            <w:tcBorders>
              <w:top w:val="nil"/>
              <w:left w:val="nil"/>
              <w:bottom w:val="single" w:sz="4" w:space="0" w:color="auto"/>
              <w:right w:val="single" w:sz="4" w:space="0" w:color="auto"/>
            </w:tcBorders>
            <w:shd w:val="clear" w:color="auto" w:fill="auto"/>
            <w:noWrap/>
            <w:vAlign w:val="center"/>
            <w:hideMark/>
          </w:tcPr>
          <w:p w14:paraId="610C45F9"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0" w:type="dxa"/>
            <w:tcBorders>
              <w:top w:val="nil"/>
              <w:left w:val="nil"/>
              <w:bottom w:val="single" w:sz="4" w:space="0" w:color="auto"/>
              <w:right w:val="single" w:sz="4" w:space="0" w:color="auto"/>
            </w:tcBorders>
            <w:shd w:val="clear" w:color="auto" w:fill="auto"/>
            <w:noWrap/>
            <w:vAlign w:val="center"/>
            <w:hideMark/>
          </w:tcPr>
          <w:p w14:paraId="610C45FA"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688" w:type="dxa"/>
            <w:tcBorders>
              <w:top w:val="nil"/>
              <w:left w:val="nil"/>
              <w:bottom w:val="single" w:sz="4" w:space="0" w:color="auto"/>
              <w:right w:val="single" w:sz="4" w:space="0" w:color="auto"/>
            </w:tcBorders>
            <w:shd w:val="clear" w:color="auto" w:fill="auto"/>
            <w:noWrap/>
            <w:vAlign w:val="center"/>
            <w:hideMark/>
          </w:tcPr>
          <w:p w14:paraId="610C45FB"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0" w:type="dxa"/>
            <w:tcBorders>
              <w:top w:val="nil"/>
              <w:left w:val="nil"/>
              <w:bottom w:val="single" w:sz="4" w:space="0" w:color="auto"/>
              <w:right w:val="single" w:sz="4" w:space="0" w:color="auto"/>
            </w:tcBorders>
            <w:shd w:val="clear" w:color="auto" w:fill="auto"/>
            <w:noWrap/>
            <w:vAlign w:val="center"/>
            <w:hideMark/>
          </w:tcPr>
          <w:p w14:paraId="610C45FC"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E6290E" w14:paraId="610C4609"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5F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5F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0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01"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J01D</w:t>
            </w:r>
          </w:p>
        </w:tc>
        <w:tc>
          <w:tcPr>
            <w:tcW w:w="19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0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Other beta-lactam antibacterials</w:t>
            </w:r>
          </w:p>
        </w:tc>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03"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54</w:t>
            </w:r>
          </w:p>
        </w:tc>
        <w:tc>
          <w:tcPr>
            <w:tcW w:w="825" w:type="dxa"/>
            <w:tcBorders>
              <w:top w:val="nil"/>
              <w:left w:val="nil"/>
              <w:bottom w:val="single" w:sz="4" w:space="0" w:color="auto"/>
              <w:right w:val="single" w:sz="4" w:space="0" w:color="auto"/>
            </w:tcBorders>
            <w:shd w:val="clear" w:color="auto" w:fill="auto"/>
            <w:noWrap/>
            <w:vAlign w:val="center"/>
            <w:hideMark/>
          </w:tcPr>
          <w:p w14:paraId="610C460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J01DD</w:t>
            </w:r>
          </w:p>
        </w:tc>
        <w:tc>
          <w:tcPr>
            <w:tcW w:w="1947" w:type="dxa"/>
            <w:tcBorders>
              <w:top w:val="nil"/>
              <w:left w:val="nil"/>
              <w:bottom w:val="single" w:sz="4" w:space="0" w:color="auto"/>
              <w:right w:val="single" w:sz="4" w:space="0" w:color="auto"/>
            </w:tcBorders>
            <w:shd w:val="clear" w:color="auto" w:fill="auto"/>
            <w:noWrap/>
            <w:vAlign w:val="center"/>
            <w:hideMark/>
          </w:tcPr>
          <w:p w14:paraId="610C4605" w14:textId="77777777" w:rsidR="007D57FB" w:rsidRPr="00E6290E" w:rsidRDefault="009D7A6E" w:rsidP="005B3E6B">
            <w:pPr>
              <w:spacing w:after="0" w:line="240" w:lineRule="auto"/>
              <w:rPr>
                <w:rFonts w:ascii="Calibri" w:eastAsia="Times New Roman" w:hAnsi="Calibri" w:cs="Calibri"/>
                <w:color w:val="000000"/>
                <w:lang w:eastAsia="en-GB"/>
              </w:rPr>
            </w:pPr>
            <w:hyperlink r:id="rId29" w:history="1">
              <w:r w:rsidR="007D57FB" w:rsidRPr="00E6290E">
                <w:rPr>
                  <w:rFonts w:ascii="Calibri" w:eastAsia="Times New Roman" w:hAnsi="Calibri" w:cs="Calibri"/>
                  <w:color w:val="000000"/>
                  <w:lang w:eastAsia="en-GB"/>
                </w:rPr>
                <w:t>Third-generation cephalosporins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06"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27</w:t>
            </w:r>
          </w:p>
        </w:tc>
        <w:tc>
          <w:tcPr>
            <w:tcW w:w="1688" w:type="dxa"/>
            <w:tcBorders>
              <w:top w:val="nil"/>
              <w:left w:val="nil"/>
              <w:bottom w:val="single" w:sz="4" w:space="0" w:color="auto"/>
              <w:right w:val="single" w:sz="4" w:space="0" w:color="auto"/>
            </w:tcBorders>
            <w:shd w:val="clear" w:color="auto" w:fill="auto"/>
            <w:noWrap/>
            <w:vAlign w:val="center"/>
            <w:hideMark/>
          </w:tcPr>
          <w:p w14:paraId="610C460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Ceftriaxone</w:t>
            </w:r>
          </w:p>
        </w:tc>
        <w:tc>
          <w:tcPr>
            <w:tcW w:w="580" w:type="dxa"/>
            <w:tcBorders>
              <w:top w:val="nil"/>
              <w:left w:val="nil"/>
              <w:bottom w:val="single" w:sz="4" w:space="0" w:color="auto"/>
              <w:right w:val="single" w:sz="4" w:space="0" w:color="auto"/>
            </w:tcBorders>
            <w:shd w:val="clear" w:color="auto" w:fill="auto"/>
            <w:noWrap/>
            <w:vAlign w:val="center"/>
            <w:hideMark/>
          </w:tcPr>
          <w:p w14:paraId="610C4608"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26</w:t>
            </w:r>
          </w:p>
        </w:tc>
      </w:tr>
      <w:tr w:rsidR="007D57FB" w:rsidRPr="00E6290E" w14:paraId="610C4615"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0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0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0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60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top w:val="nil"/>
              <w:left w:val="single" w:sz="4" w:space="0" w:color="auto"/>
              <w:bottom w:val="single" w:sz="4" w:space="0" w:color="auto"/>
              <w:right w:val="single" w:sz="4" w:space="0" w:color="auto"/>
            </w:tcBorders>
            <w:vAlign w:val="center"/>
            <w:hideMark/>
          </w:tcPr>
          <w:p w14:paraId="610C460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0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1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J01DC</w:t>
            </w:r>
          </w:p>
        </w:tc>
        <w:tc>
          <w:tcPr>
            <w:tcW w:w="1947" w:type="dxa"/>
            <w:tcBorders>
              <w:top w:val="nil"/>
              <w:left w:val="nil"/>
              <w:bottom w:val="single" w:sz="4" w:space="0" w:color="auto"/>
              <w:right w:val="single" w:sz="4" w:space="0" w:color="auto"/>
            </w:tcBorders>
            <w:shd w:val="clear" w:color="auto" w:fill="auto"/>
            <w:noWrap/>
            <w:vAlign w:val="center"/>
            <w:hideMark/>
          </w:tcPr>
          <w:p w14:paraId="610C4611" w14:textId="77777777" w:rsidR="007D57FB" w:rsidRPr="00E6290E" w:rsidRDefault="009D7A6E" w:rsidP="005B3E6B">
            <w:pPr>
              <w:spacing w:after="0" w:line="240" w:lineRule="auto"/>
              <w:rPr>
                <w:rFonts w:ascii="Calibri" w:eastAsia="Times New Roman" w:hAnsi="Calibri" w:cs="Calibri"/>
                <w:color w:val="000000"/>
                <w:lang w:eastAsia="en-GB"/>
              </w:rPr>
            </w:pPr>
            <w:hyperlink r:id="rId30" w:history="1">
              <w:r w:rsidR="007D57FB" w:rsidRPr="00E6290E">
                <w:rPr>
                  <w:rFonts w:ascii="Calibri" w:eastAsia="Times New Roman" w:hAnsi="Calibri" w:cs="Calibri"/>
                  <w:color w:val="000000"/>
                  <w:lang w:eastAsia="en-GB"/>
                </w:rPr>
                <w:t>Second-generation cephalosporins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12"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20</w:t>
            </w:r>
          </w:p>
        </w:tc>
        <w:tc>
          <w:tcPr>
            <w:tcW w:w="1688" w:type="dxa"/>
            <w:tcBorders>
              <w:top w:val="nil"/>
              <w:left w:val="nil"/>
              <w:bottom w:val="single" w:sz="4" w:space="0" w:color="auto"/>
              <w:right w:val="single" w:sz="4" w:space="0" w:color="auto"/>
            </w:tcBorders>
            <w:shd w:val="clear" w:color="auto" w:fill="auto"/>
            <w:noWrap/>
            <w:vAlign w:val="center"/>
            <w:hideMark/>
          </w:tcPr>
          <w:p w14:paraId="610C461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xml:space="preserve">Cefuroxime </w:t>
            </w:r>
          </w:p>
        </w:tc>
        <w:tc>
          <w:tcPr>
            <w:tcW w:w="580" w:type="dxa"/>
            <w:tcBorders>
              <w:top w:val="nil"/>
              <w:left w:val="nil"/>
              <w:bottom w:val="single" w:sz="4" w:space="0" w:color="auto"/>
              <w:right w:val="single" w:sz="4" w:space="0" w:color="auto"/>
            </w:tcBorders>
            <w:shd w:val="clear" w:color="auto" w:fill="auto"/>
            <w:noWrap/>
            <w:vAlign w:val="center"/>
            <w:hideMark/>
          </w:tcPr>
          <w:p w14:paraId="610C4614"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15</w:t>
            </w:r>
          </w:p>
        </w:tc>
      </w:tr>
      <w:tr w:rsidR="007D57FB" w:rsidRPr="00E6290E" w14:paraId="610C4621"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1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1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18"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61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top w:val="nil"/>
              <w:left w:val="single" w:sz="4" w:space="0" w:color="auto"/>
              <w:bottom w:val="single" w:sz="4" w:space="0" w:color="auto"/>
              <w:right w:val="single" w:sz="4" w:space="0" w:color="auto"/>
            </w:tcBorders>
            <w:vAlign w:val="center"/>
            <w:hideMark/>
          </w:tcPr>
          <w:p w14:paraId="610C461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1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1C"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J01DB</w:t>
            </w:r>
          </w:p>
        </w:tc>
        <w:tc>
          <w:tcPr>
            <w:tcW w:w="1947" w:type="dxa"/>
            <w:tcBorders>
              <w:top w:val="nil"/>
              <w:left w:val="nil"/>
              <w:bottom w:val="single" w:sz="4" w:space="0" w:color="auto"/>
              <w:right w:val="single" w:sz="4" w:space="0" w:color="auto"/>
            </w:tcBorders>
            <w:shd w:val="clear" w:color="auto" w:fill="auto"/>
            <w:noWrap/>
            <w:vAlign w:val="center"/>
            <w:hideMark/>
          </w:tcPr>
          <w:p w14:paraId="610C461D" w14:textId="77777777" w:rsidR="007D57FB" w:rsidRPr="00E6290E" w:rsidRDefault="009D7A6E" w:rsidP="005B3E6B">
            <w:pPr>
              <w:spacing w:after="0" w:line="240" w:lineRule="auto"/>
              <w:rPr>
                <w:rFonts w:ascii="Calibri" w:eastAsia="Times New Roman" w:hAnsi="Calibri" w:cs="Calibri"/>
                <w:color w:val="000000"/>
                <w:lang w:eastAsia="en-GB"/>
              </w:rPr>
            </w:pPr>
            <w:hyperlink r:id="rId31" w:history="1">
              <w:r w:rsidR="007D57FB" w:rsidRPr="00E6290E">
                <w:rPr>
                  <w:rFonts w:ascii="Calibri" w:eastAsia="Times New Roman" w:hAnsi="Calibri" w:cs="Calibri"/>
                  <w:color w:val="000000"/>
                  <w:lang w:eastAsia="en-GB"/>
                </w:rPr>
                <w:t>First-generation cephalosporins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1E"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6</w:t>
            </w:r>
          </w:p>
        </w:tc>
        <w:tc>
          <w:tcPr>
            <w:tcW w:w="1688" w:type="dxa"/>
            <w:tcBorders>
              <w:top w:val="nil"/>
              <w:left w:val="nil"/>
              <w:bottom w:val="single" w:sz="4" w:space="0" w:color="auto"/>
              <w:right w:val="single" w:sz="4" w:space="0" w:color="auto"/>
            </w:tcBorders>
            <w:shd w:val="clear" w:color="auto" w:fill="auto"/>
            <w:noWrap/>
            <w:vAlign w:val="center"/>
            <w:hideMark/>
          </w:tcPr>
          <w:p w14:paraId="610C461F"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20"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2D"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2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2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24"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625"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top w:val="nil"/>
              <w:left w:val="single" w:sz="4" w:space="0" w:color="auto"/>
              <w:bottom w:val="single" w:sz="4" w:space="0" w:color="auto"/>
              <w:right w:val="single" w:sz="4" w:space="0" w:color="auto"/>
            </w:tcBorders>
            <w:vAlign w:val="center"/>
            <w:hideMark/>
          </w:tcPr>
          <w:p w14:paraId="610C462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2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2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J01DE</w:t>
            </w:r>
          </w:p>
        </w:tc>
        <w:tc>
          <w:tcPr>
            <w:tcW w:w="1947" w:type="dxa"/>
            <w:tcBorders>
              <w:top w:val="nil"/>
              <w:left w:val="nil"/>
              <w:bottom w:val="single" w:sz="4" w:space="0" w:color="auto"/>
              <w:right w:val="single" w:sz="4" w:space="0" w:color="auto"/>
            </w:tcBorders>
            <w:shd w:val="clear" w:color="auto" w:fill="auto"/>
            <w:noWrap/>
            <w:vAlign w:val="center"/>
            <w:hideMark/>
          </w:tcPr>
          <w:p w14:paraId="610C4629"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Fourth-generation cephalosporins</w:t>
            </w:r>
          </w:p>
        </w:tc>
        <w:tc>
          <w:tcPr>
            <w:tcW w:w="580" w:type="dxa"/>
            <w:tcBorders>
              <w:top w:val="nil"/>
              <w:left w:val="nil"/>
              <w:bottom w:val="single" w:sz="4" w:space="0" w:color="auto"/>
              <w:right w:val="single" w:sz="4" w:space="0" w:color="auto"/>
            </w:tcBorders>
            <w:shd w:val="clear" w:color="auto" w:fill="auto"/>
            <w:noWrap/>
            <w:vAlign w:val="center"/>
            <w:hideMark/>
          </w:tcPr>
          <w:p w14:paraId="610C462A"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w:t>
            </w:r>
          </w:p>
        </w:tc>
        <w:tc>
          <w:tcPr>
            <w:tcW w:w="1688" w:type="dxa"/>
            <w:tcBorders>
              <w:top w:val="nil"/>
              <w:left w:val="nil"/>
              <w:bottom w:val="single" w:sz="4" w:space="0" w:color="auto"/>
              <w:right w:val="single" w:sz="4" w:space="0" w:color="auto"/>
            </w:tcBorders>
            <w:shd w:val="clear" w:color="auto" w:fill="auto"/>
            <w:noWrap/>
            <w:vAlign w:val="center"/>
            <w:hideMark/>
          </w:tcPr>
          <w:p w14:paraId="610C462B"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2C"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39"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2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2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3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1"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J01F</w:t>
            </w:r>
          </w:p>
        </w:tc>
        <w:tc>
          <w:tcPr>
            <w:tcW w:w="19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Macrolides, lincosamides and streptogramins</w:t>
            </w:r>
          </w:p>
        </w:tc>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3"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46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J01FA</w:t>
            </w:r>
          </w:p>
        </w:tc>
        <w:tc>
          <w:tcPr>
            <w:tcW w:w="19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Macrolides</w:t>
            </w:r>
          </w:p>
        </w:tc>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636"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43</w:t>
            </w:r>
          </w:p>
        </w:tc>
        <w:tc>
          <w:tcPr>
            <w:tcW w:w="1688" w:type="dxa"/>
            <w:tcBorders>
              <w:top w:val="nil"/>
              <w:left w:val="nil"/>
              <w:bottom w:val="single" w:sz="4" w:space="0" w:color="auto"/>
              <w:right w:val="single" w:sz="4" w:space="0" w:color="auto"/>
            </w:tcBorders>
            <w:shd w:val="clear" w:color="auto" w:fill="auto"/>
            <w:noWrap/>
            <w:vAlign w:val="center"/>
            <w:hideMark/>
          </w:tcPr>
          <w:p w14:paraId="610C463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xml:space="preserve">Erythromycin </w:t>
            </w:r>
          </w:p>
        </w:tc>
        <w:tc>
          <w:tcPr>
            <w:tcW w:w="580" w:type="dxa"/>
            <w:tcBorders>
              <w:top w:val="nil"/>
              <w:left w:val="nil"/>
              <w:bottom w:val="single" w:sz="4" w:space="0" w:color="auto"/>
              <w:right w:val="single" w:sz="4" w:space="0" w:color="auto"/>
            </w:tcBorders>
            <w:shd w:val="clear" w:color="auto" w:fill="auto"/>
            <w:noWrap/>
            <w:vAlign w:val="center"/>
            <w:hideMark/>
          </w:tcPr>
          <w:p w14:paraId="610C4638"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24</w:t>
            </w:r>
          </w:p>
        </w:tc>
      </w:tr>
      <w:tr w:rsidR="007D57FB" w:rsidRPr="00E6290E" w14:paraId="610C4645"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3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3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3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63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top w:val="nil"/>
              <w:left w:val="single" w:sz="4" w:space="0" w:color="auto"/>
              <w:bottom w:val="single" w:sz="4" w:space="0" w:color="auto"/>
              <w:right w:val="single" w:sz="4" w:space="0" w:color="auto"/>
            </w:tcBorders>
            <w:vAlign w:val="center"/>
            <w:hideMark/>
          </w:tcPr>
          <w:p w14:paraId="610C463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3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vMerge/>
            <w:tcBorders>
              <w:top w:val="nil"/>
              <w:left w:val="single" w:sz="4" w:space="0" w:color="auto"/>
              <w:bottom w:val="single" w:sz="4" w:space="0" w:color="auto"/>
              <w:right w:val="single" w:sz="4" w:space="0" w:color="auto"/>
            </w:tcBorders>
            <w:vAlign w:val="center"/>
            <w:hideMark/>
          </w:tcPr>
          <w:p w14:paraId="610C464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47" w:type="dxa"/>
            <w:vMerge/>
            <w:tcBorders>
              <w:top w:val="nil"/>
              <w:left w:val="single" w:sz="4" w:space="0" w:color="auto"/>
              <w:bottom w:val="single" w:sz="4" w:space="0" w:color="auto"/>
              <w:right w:val="single" w:sz="4" w:space="0" w:color="auto"/>
            </w:tcBorders>
            <w:vAlign w:val="center"/>
            <w:hideMark/>
          </w:tcPr>
          <w:p w14:paraId="610C4641"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4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688" w:type="dxa"/>
            <w:tcBorders>
              <w:top w:val="nil"/>
              <w:left w:val="nil"/>
              <w:bottom w:val="single" w:sz="4" w:space="0" w:color="auto"/>
              <w:right w:val="single" w:sz="4" w:space="0" w:color="auto"/>
            </w:tcBorders>
            <w:shd w:val="clear" w:color="auto" w:fill="auto"/>
            <w:noWrap/>
            <w:vAlign w:val="center"/>
            <w:hideMark/>
          </w:tcPr>
          <w:p w14:paraId="610C464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xml:space="preserve">Clarithromycin </w:t>
            </w:r>
          </w:p>
        </w:tc>
        <w:tc>
          <w:tcPr>
            <w:tcW w:w="580" w:type="dxa"/>
            <w:tcBorders>
              <w:top w:val="nil"/>
              <w:left w:val="nil"/>
              <w:bottom w:val="single" w:sz="4" w:space="0" w:color="auto"/>
              <w:right w:val="single" w:sz="4" w:space="0" w:color="auto"/>
            </w:tcBorders>
            <w:shd w:val="clear" w:color="auto" w:fill="auto"/>
            <w:noWrap/>
            <w:vAlign w:val="center"/>
            <w:hideMark/>
          </w:tcPr>
          <w:p w14:paraId="610C4644"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18</w:t>
            </w:r>
          </w:p>
        </w:tc>
      </w:tr>
      <w:tr w:rsidR="007D57FB" w:rsidRPr="00E6290E" w14:paraId="610C4651"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4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47"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48"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64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top w:val="nil"/>
              <w:left w:val="single" w:sz="4" w:space="0" w:color="auto"/>
              <w:bottom w:val="single" w:sz="4" w:space="0" w:color="auto"/>
              <w:right w:val="single" w:sz="4" w:space="0" w:color="auto"/>
            </w:tcBorders>
            <w:vAlign w:val="center"/>
            <w:hideMark/>
          </w:tcPr>
          <w:p w14:paraId="610C464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top w:val="nil"/>
              <w:left w:val="single" w:sz="4" w:space="0" w:color="auto"/>
              <w:bottom w:val="single" w:sz="4" w:space="0" w:color="auto"/>
              <w:right w:val="single" w:sz="4" w:space="0" w:color="auto"/>
            </w:tcBorders>
            <w:vAlign w:val="center"/>
            <w:hideMark/>
          </w:tcPr>
          <w:p w14:paraId="610C464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4C"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J01FF</w:t>
            </w:r>
          </w:p>
        </w:tc>
        <w:tc>
          <w:tcPr>
            <w:tcW w:w="1947" w:type="dxa"/>
            <w:tcBorders>
              <w:top w:val="nil"/>
              <w:left w:val="nil"/>
              <w:bottom w:val="single" w:sz="4" w:space="0" w:color="auto"/>
              <w:right w:val="single" w:sz="4" w:space="0" w:color="auto"/>
            </w:tcBorders>
            <w:shd w:val="clear" w:color="auto" w:fill="auto"/>
            <w:noWrap/>
            <w:vAlign w:val="center"/>
            <w:hideMark/>
          </w:tcPr>
          <w:p w14:paraId="610C464D"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Lincosamides</w:t>
            </w:r>
          </w:p>
        </w:tc>
        <w:tc>
          <w:tcPr>
            <w:tcW w:w="580" w:type="dxa"/>
            <w:tcBorders>
              <w:top w:val="nil"/>
              <w:left w:val="nil"/>
              <w:bottom w:val="single" w:sz="4" w:space="0" w:color="auto"/>
              <w:right w:val="single" w:sz="4" w:space="0" w:color="auto"/>
            </w:tcBorders>
            <w:shd w:val="clear" w:color="auto" w:fill="auto"/>
            <w:noWrap/>
            <w:vAlign w:val="center"/>
            <w:hideMark/>
          </w:tcPr>
          <w:p w14:paraId="610C464E"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3</w:t>
            </w:r>
          </w:p>
        </w:tc>
        <w:tc>
          <w:tcPr>
            <w:tcW w:w="1688" w:type="dxa"/>
            <w:tcBorders>
              <w:top w:val="nil"/>
              <w:left w:val="nil"/>
              <w:bottom w:val="single" w:sz="4" w:space="0" w:color="auto"/>
              <w:right w:val="single" w:sz="4" w:space="0" w:color="auto"/>
            </w:tcBorders>
            <w:shd w:val="clear" w:color="auto" w:fill="auto"/>
            <w:noWrap/>
            <w:vAlign w:val="center"/>
            <w:hideMark/>
          </w:tcPr>
          <w:p w14:paraId="610C464F"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50"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5D"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5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5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54"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65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J01M</w:t>
            </w:r>
          </w:p>
        </w:tc>
        <w:tc>
          <w:tcPr>
            <w:tcW w:w="1982" w:type="dxa"/>
            <w:tcBorders>
              <w:top w:val="nil"/>
              <w:left w:val="nil"/>
              <w:bottom w:val="single" w:sz="4" w:space="0" w:color="auto"/>
              <w:right w:val="single" w:sz="4" w:space="0" w:color="auto"/>
            </w:tcBorders>
            <w:shd w:val="clear" w:color="auto" w:fill="auto"/>
            <w:noWrap/>
            <w:vAlign w:val="center"/>
            <w:hideMark/>
          </w:tcPr>
          <w:p w14:paraId="610C465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Quinolone antibacterials</w:t>
            </w:r>
          </w:p>
        </w:tc>
        <w:tc>
          <w:tcPr>
            <w:tcW w:w="580" w:type="dxa"/>
            <w:tcBorders>
              <w:top w:val="nil"/>
              <w:left w:val="nil"/>
              <w:bottom w:val="single" w:sz="4" w:space="0" w:color="auto"/>
              <w:right w:val="single" w:sz="4" w:space="0" w:color="auto"/>
            </w:tcBorders>
            <w:shd w:val="clear" w:color="auto" w:fill="auto"/>
            <w:noWrap/>
            <w:vAlign w:val="center"/>
            <w:hideMark/>
          </w:tcPr>
          <w:p w14:paraId="610C4657" w14:textId="0B17AB3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w:t>
            </w:r>
            <w:r w:rsidR="00981EB1">
              <w:rPr>
                <w:rFonts w:ascii="Calibri" w:eastAsia="Times New Roman" w:hAnsi="Calibri" w:cs="Calibri"/>
                <w:color w:val="000000"/>
                <w:lang w:eastAsia="en-GB"/>
              </w:rPr>
              <w:t>9</w:t>
            </w:r>
          </w:p>
        </w:tc>
        <w:tc>
          <w:tcPr>
            <w:tcW w:w="825" w:type="dxa"/>
            <w:tcBorders>
              <w:top w:val="nil"/>
              <w:left w:val="nil"/>
              <w:bottom w:val="single" w:sz="4" w:space="0" w:color="auto"/>
              <w:right w:val="single" w:sz="4" w:space="0" w:color="auto"/>
            </w:tcBorders>
            <w:shd w:val="clear" w:color="auto" w:fill="auto"/>
            <w:noWrap/>
            <w:vAlign w:val="center"/>
            <w:hideMark/>
          </w:tcPr>
          <w:p w14:paraId="610C465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J01MA</w:t>
            </w:r>
          </w:p>
        </w:tc>
        <w:tc>
          <w:tcPr>
            <w:tcW w:w="1947" w:type="dxa"/>
            <w:tcBorders>
              <w:top w:val="nil"/>
              <w:left w:val="nil"/>
              <w:bottom w:val="single" w:sz="4" w:space="0" w:color="auto"/>
              <w:right w:val="single" w:sz="4" w:space="0" w:color="auto"/>
            </w:tcBorders>
            <w:shd w:val="clear" w:color="auto" w:fill="auto"/>
            <w:noWrap/>
            <w:vAlign w:val="center"/>
            <w:hideMark/>
          </w:tcPr>
          <w:p w14:paraId="610C4659"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Fluoroquinolones</w:t>
            </w:r>
          </w:p>
        </w:tc>
        <w:tc>
          <w:tcPr>
            <w:tcW w:w="580" w:type="dxa"/>
            <w:tcBorders>
              <w:top w:val="nil"/>
              <w:left w:val="nil"/>
              <w:bottom w:val="single" w:sz="4" w:space="0" w:color="auto"/>
              <w:right w:val="single" w:sz="4" w:space="0" w:color="auto"/>
            </w:tcBorders>
            <w:shd w:val="clear" w:color="auto" w:fill="auto"/>
            <w:noWrap/>
            <w:vAlign w:val="center"/>
            <w:hideMark/>
          </w:tcPr>
          <w:p w14:paraId="610C465A" w14:textId="26101999"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w:t>
            </w:r>
            <w:r w:rsidR="00981EB1">
              <w:rPr>
                <w:rFonts w:ascii="Calibri" w:eastAsia="Times New Roman" w:hAnsi="Calibri" w:cs="Calibri"/>
                <w:color w:val="000000"/>
                <w:lang w:eastAsia="en-GB"/>
              </w:rPr>
              <w:t>9</w:t>
            </w:r>
          </w:p>
        </w:tc>
        <w:tc>
          <w:tcPr>
            <w:tcW w:w="1688" w:type="dxa"/>
            <w:tcBorders>
              <w:top w:val="nil"/>
              <w:left w:val="nil"/>
              <w:bottom w:val="single" w:sz="4" w:space="0" w:color="auto"/>
              <w:right w:val="single" w:sz="4" w:space="0" w:color="auto"/>
            </w:tcBorders>
            <w:shd w:val="clear" w:color="auto" w:fill="auto"/>
            <w:noWrap/>
            <w:vAlign w:val="center"/>
            <w:hideMark/>
          </w:tcPr>
          <w:p w14:paraId="610C465B"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Ciprofloxacin</w:t>
            </w:r>
          </w:p>
        </w:tc>
        <w:tc>
          <w:tcPr>
            <w:tcW w:w="580" w:type="dxa"/>
            <w:tcBorders>
              <w:top w:val="nil"/>
              <w:left w:val="nil"/>
              <w:bottom w:val="single" w:sz="4" w:space="0" w:color="auto"/>
              <w:right w:val="single" w:sz="4" w:space="0" w:color="auto"/>
            </w:tcBorders>
            <w:shd w:val="clear" w:color="auto" w:fill="auto"/>
            <w:noWrap/>
            <w:vAlign w:val="center"/>
            <w:hideMark/>
          </w:tcPr>
          <w:p w14:paraId="610C465C" w14:textId="52B2DA66"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w:t>
            </w:r>
            <w:r w:rsidR="00981EB1">
              <w:rPr>
                <w:rFonts w:ascii="Calibri" w:eastAsia="Times New Roman" w:hAnsi="Calibri" w:cs="Calibri"/>
                <w:color w:val="000000"/>
                <w:lang w:eastAsia="en-GB"/>
              </w:rPr>
              <w:t>8</w:t>
            </w:r>
          </w:p>
        </w:tc>
      </w:tr>
      <w:tr w:rsidR="007D57FB" w:rsidRPr="00E6290E" w14:paraId="610C4669"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5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5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6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nil"/>
              <w:left w:val="single" w:sz="4" w:space="0" w:color="auto"/>
              <w:right w:val="single" w:sz="4" w:space="0" w:color="auto"/>
            </w:tcBorders>
            <w:shd w:val="clear" w:color="auto" w:fill="auto"/>
            <w:noWrap/>
            <w:vAlign w:val="center"/>
            <w:hideMark/>
          </w:tcPr>
          <w:p w14:paraId="610C4661"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J01X</w:t>
            </w:r>
          </w:p>
        </w:tc>
        <w:tc>
          <w:tcPr>
            <w:tcW w:w="1982" w:type="dxa"/>
            <w:vMerge w:val="restart"/>
            <w:tcBorders>
              <w:top w:val="nil"/>
              <w:left w:val="single" w:sz="4" w:space="0" w:color="auto"/>
              <w:right w:val="single" w:sz="4" w:space="0" w:color="auto"/>
            </w:tcBorders>
            <w:shd w:val="clear" w:color="auto" w:fill="auto"/>
            <w:noWrap/>
            <w:vAlign w:val="center"/>
            <w:hideMark/>
          </w:tcPr>
          <w:p w14:paraId="610C466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Other antibacterials</w:t>
            </w:r>
          </w:p>
        </w:tc>
        <w:tc>
          <w:tcPr>
            <w:tcW w:w="580" w:type="dxa"/>
            <w:vMerge w:val="restart"/>
            <w:tcBorders>
              <w:top w:val="nil"/>
              <w:left w:val="single" w:sz="4" w:space="0" w:color="auto"/>
              <w:right w:val="single" w:sz="4" w:space="0" w:color="auto"/>
            </w:tcBorders>
            <w:shd w:val="clear" w:color="auto" w:fill="auto"/>
            <w:noWrap/>
            <w:vAlign w:val="center"/>
            <w:hideMark/>
          </w:tcPr>
          <w:p w14:paraId="610C4663"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26</w:t>
            </w:r>
          </w:p>
        </w:tc>
        <w:tc>
          <w:tcPr>
            <w:tcW w:w="825" w:type="dxa"/>
            <w:tcBorders>
              <w:top w:val="nil"/>
              <w:left w:val="nil"/>
              <w:bottom w:val="single" w:sz="4" w:space="0" w:color="auto"/>
              <w:right w:val="single" w:sz="4" w:space="0" w:color="auto"/>
            </w:tcBorders>
            <w:shd w:val="clear" w:color="auto" w:fill="auto"/>
            <w:noWrap/>
            <w:vAlign w:val="center"/>
            <w:hideMark/>
          </w:tcPr>
          <w:p w14:paraId="610C466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J01XD</w:t>
            </w:r>
          </w:p>
        </w:tc>
        <w:tc>
          <w:tcPr>
            <w:tcW w:w="1947" w:type="dxa"/>
            <w:tcBorders>
              <w:top w:val="nil"/>
              <w:left w:val="nil"/>
              <w:bottom w:val="single" w:sz="4" w:space="0" w:color="auto"/>
              <w:right w:val="single" w:sz="4" w:space="0" w:color="auto"/>
            </w:tcBorders>
            <w:shd w:val="clear" w:color="auto" w:fill="auto"/>
            <w:noWrap/>
            <w:vAlign w:val="center"/>
            <w:hideMark/>
          </w:tcPr>
          <w:p w14:paraId="610C4665" w14:textId="77777777" w:rsidR="007D57FB" w:rsidRPr="00E6290E" w:rsidRDefault="009D7A6E" w:rsidP="005B3E6B">
            <w:pPr>
              <w:spacing w:after="0" w:line="240" w:lineRule="auto"/>
              <w:rPr>
                <w:rFonts w:ascii="Calibri" w:eastAsia="Times New Roman" w:hAnsi="Calibri" w:cs="Calibri"/>
                <w:color w:val="000000"/>
                <w:lang w:eastAsia="en-GB"/>
              </w:rPr>
            </w:pPr>
            <w:hyperlink r:id="rId32" w:history="1">
              <w:r w:rsidR="007D57FB" w:rsidRPr="00E6290E">
                <w:rPr>
                  <w:rFonts w:ascii="Calibri" w:eastAsia="Times New Roman" w:hAnsi="Calibri" w:cs="Calibri"/>
                  <w:color w:val="000000"/>
                  <w:lang w:eastAsia="en-GB"/>
                </w:rPr>
                <w:t>Imidazole derivatives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66"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c>
          <w:tcPr>
            <w:tcW w:w="1688" w:type="dxa"/>
            <w:tcBorders>
              <w:top w:val="nil"/>
              <w:left w:val="nil"/>
              <w:bottom w:val="single" w:sz="4" w:space="0" w:color="auto"/>
              <w:right w:val="single" w:sz="4" w:space="0" w:color="auto"/>
            </w:tcBorders>
            <w:shd w:val="clear" w:color="auto" w:fill="auto"/>
            <w:noWrap/>
            <w:vAlign w:val="center"/>
            <w:hideMark/>
          </w:tcPr>
          <w:p w14:paraId="610C466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xml:space="preserve">Metronidazole </w:t>
            </w:r>
          </w:p>
        </w:tc>
        <w:tc>
          <w:tcPr>
            <w:tcW w:w="580" w:type="dxa"/>
            <w:tcBorders>
              <w:top w:val="nil"/>
              <w:left w:val="nil"/>
              <w:bottom w:val="single" w:sz="4" w:space="0" w:color="auto"/>
              <w:right w:val="single" w:sz="4" w:space="0" w:color="auto"/>
            </w:tcBorders>
            <w:shd w:val="clear" w:color="auto" w:fill="auto"/>
            <w:noWrap/>
            <w:vAlign w:val="center"/>
            <w:hideMark/>
          </w:tcPr>
          <w:p w14:paraId="610C4668"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16</w:t>
            </w:r>
          </w:p>
        </w:tc>
      </w:tr>
      <w:tr w:rsidR="007D57FB" w:rsidRPr="00E6290E" w14:paraId="610C4675" w14:textId="77777777" w:rsidTr="005B3E6B">
        <w:trPr>
          <w:trHeight w:val="290"/>
        </w:trPr>
        <w:tc>
          <w:tcPr>
            <w:tcW w:w="1281" w:type="dxa"/>
            <w:vMerge/>
            <w:tcBorders>
              <w:left w:val="single" w:sz="4" w:space="0" w:color="auto"/>
              <w:bottom w:val="single" w:sz="4" w:space="0" w:color="auto"/>
              <w:right w:val="single" w:sz="4" w:space="0" w:color="auto"/>
            </w:tcBorders>
            <w:shd w:val="clear" w:color="auto" w:fill="auto"/>
            <w:vAlign w:val="center"/>
            <w:hideMark/>
          </w:tcPr>
          <w:p w14:paraId="610C466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shd w:val="clear" w:color="auto" w:fill="auto"/>
            <w:vAlign w:val="center"/>
            <w:hideMark/>
          </w:tcPr>
          <w:p w14:paraId="610C466B"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66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bottom w:val="single" w:sz="4" w:space="0" w:color="auto"/>
              <w:right w:val="single" w:sz="4" w:space="0" w:color="auto"/>
            </w:tcBorders>
            <w:shd w:val="clear" w:color="auto" w:fill="auto"/>
            <w:vAlign w:val="center"/>
            <w:hideMark/>
          </w:tcPr>
          <w:p w14:paraId="610C466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bottom w:val="single" w:sz="4" w:space="0" w:color="auto"/>
              <w:right w:val="single" w:sz="4" w:space="0" w:color="auto"/>
            </w:tcBorders>
            <w:shd w:val="clear" w:color="auto" w:fill="auto"/>
            <w:vAlign w:val="center"/>
            <w:hideMark/>
          </w:tcPr>
          <w:p w14:paraId="610C466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66F"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7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J01XA</w:t>
            </w:r>
          </w:p>
        </w:tc>
        <w:tc>
          <w:tcPr>
            <w:tcW w:w="1947" w:type="dxa"/>
            <w:tcBorders>
              <w:top w:val="nil"/>
              <w:left w:val="nil"/>
              <w:bottom w:val="single" w:sz="4" w:space="0" w:color="auto"/>
              <w:right w:val="single" w:sz="4" w:space="0" w:color="auto"/>
            </w:tcBorders>
            <w:shd w:val="clear" w:color="auto" w:fill="auto"/>
            <w:noWrap/>
            <w:vAlign w:val="center"/>
            <w:hideMark/>
          </w:tcPr>
          <w:p w14:paraId="610C4671" w14:textId="77777777" w:rsidR="007D57FB" w:rsidRPr="00E6290E" w:rsidRDefault="009D7A6E" w:rsidP="005B3E6B">
            <w:pPr>
              <w:spacing w:after="0" w:line="240" w:lineRule="auto"/>
              <w:rPr>
                <w:rFonts w:ascii="Calibri" w:eastAsia="Times New Roman" w:hAnsi="Calibri" w:cs="Calibri"/>
                <w:color w:val="000000"/>
                <w:lang w:eastAsia="en-GB"/>
              </w:rPr>
            </w:pPr>
            <w:hyperlink r:id="rId33" w:history="1">
              <w:r w:rsidR="007D57FB" w:rsidRPr="00E6290E">
                <w:rPr>
                  <w:rFonts w:ascii="Calibri" w:eastAsia="Times New Roman" w:hAnsi="Calibri" w:cs="Calibri"/>
                  <w:color w:val="000000"/>
                  <w:lang w:eastAsia="en-GB"/>
                </w:rPr>
                <w:t>Glycopeptide antibacterials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72"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8</w:t>
            </w:r>
          </w:p>
        </w:tc>
        <w:tc>
          <w:tcPr>
            <w:tcW w:w="1688" w:type="dxa"/>
            <w:tcBorders>
              <w:top w:val="nil"/>
              <w:left w:val="nil"/>
              <w:bottom w:val="single" w:sz="4" w:space="0" w:color="auto"/>
              <w:right w:val="single" w:sz="4" w:space="0" w:color="auto"/>
            </w:tcBorders>
            <w:shd w:val="clear" w:color="auto" w:fill="auto"/>
            <w:noWrap/>
            <w:vAlign w:val="center"/>
            <w:hideMark/>
          </w:tcPr>
          <w:p w14:paraId="610C4673"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74"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06AE1" w14:paraId="610C4681" w14:textId="77777777" w:rsidTr="005B3E6B">
        <w:trPr>
          <w:trHeight w:val="90"/>
        </w:trPr>
        <w:tc>
          <w:tcPr>
            <w:tcW w:w="1281" w:type="dxa"/>
            <w:tcBorders>
              <w:left w:val="single" w:sz="4" w:space="0" w:color="auto"/>
              <w:bottom w:val="nil"/>
              <w:right w:val="single" w:sz="4" w:space="0" w:color="auto"/>
            </w:tcBorders>
            <w:shd w:val="clear" w:color="000000" w:fill="E7E6E6"/>
            <w:vAlign w:val="center"/>
            <w:hideMark/>
          </w:tcPr>
          <w:p w14:paraId="610C4676"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677"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80" w:type="dxa"/>
            <w:tcBorders>
              <w:left w:val="nil"/>
              <w:bottom w:val="nil"/>
              <w:right w:val="single" w:sz="4" w:space="0" w:color="auto"/>
            </w:tcBorders>
            <w:shd w:val="clear" w:color="000000" w:fill="E7E6E6"/>
            <w:vAlign w:val="center"/>
            <w:hideMark/>
          </w:tcPr>
          <w:p w14:paraId="610C4678"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00" w:type="dxa"/>
            <w:tcBorders>
              <w:left w:val="nil"/>
              <w:bottom w:val="nil"/>
              <w:right w:val="single" w:sz="4" w:space="0" w:color="auto"/>
            </w:tcBorders>
            <w:shd w:val="clear" w:color="000000" w:fill="E7E6E6"/>
            <w:vAlign w:val="center"/>
            <w:hideMark/>
          </w:tcPr>
          <w:p w14:paraId="610C467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82" w:type="dxa"/>
            <w:tcBorders>
              <w:left w:val="nil"/>
              <w:bottom w:val="nil"/>
              <w:right w:val="single" w:sz="4" w:space="0" w:color="auto"/>
            </w:tcBorders>
            <w:shd w:val="clear" w:color="000000" w:fill="E7E6E6"/>
            <w:vAlign w:val="center"/>
            <w:hideMark/>
          </w:tcPr>
          <w:p w14:paraId="610C467A"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67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25" w:type="dxa"/>
            <w:tcBorders>
              <w:left w:val="nil"/>
              <w:bottom w:val="nil"/>
              <w:right w:val="single" w:sz="4" w:space="0" w:color="auto"/>
            </w:tcBorders>
            <w:shd w:val="clear" w:color="000000" w:fill="E7E6E6"/>
            <w:vAlign w:val="center"/>
            <w:hideMark/>
          </w:tcPr>
          <w:p w14:paraId="610C467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47" w:type="dxa"/>
            <w:tcBorders>
              <w:left w:val="nil"/>
              <w:bottom w:val="nil"/>
              <w:right w:val="single" w:sz="4" w:space="0" w:color="auto"/>
            </w:tcBorders>
            <w:shd w:val="clear" w:color="000000" w:fill="E7E6E6"/>
            <w:vAlign w:val="center"/>
            <w:hideMark/>
          </w:tcPr>
          <w:p w14:paraId="610C467D"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80" w:type="dxa"/>
            <w:tcBorders>
              <w:left w:val="nil"/>
              <w:bottom w:val="nil"/>
              <w:right w:val="single" w:sz="4" w:space="0" w:color="auto"/>
            </w:tcBorders>
            <w:shd w:val="clear" w:color="000000" w:fill="E7E6E6"/>
            <w:vAlign w:val="center"/>
            <w:hideMark/>
          </w:tcPr>
          <w:p w14:paraId="610C467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88" w:type="dxa"/>
            <w:tcBorders>
              <w:left w:val="nil"/>
              <w:bottom w:val="nil"/>
              <w:right w:val="single" w:sz="4" w:space="0" w:color="auto"/>
            </w:tcBorders>
            <w:shd w:val="clear" w:color="000000" w:fill="E7E6E6"/>
            <w:vAlign w:val="center"/>
            <w:hideMark/>
          </w:tcPr>
          <w:p w14:paraId="610C467F"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80" w:type="dxa"/>
            <w:tcBorders>
              <w:left w:val="nil"/>
              <w:bottom w:val="nil"/>
              <w:right w:val="single" w:sz="4" w:space="0" w:color="auto"/>
            </w:tcBorders>
            <w:shd w:val="clear" w:color="000000" w:fill="E7E6E6"/>
            <w:vAlign w:val="center"/>
            <w:hideMark/>
          </w:tcPr>
          <w:p w14:paraId="610C4680"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E6290E" w14:paraId="610C468F" w14:textId="77777777" w:rsidTr="005B3E6B">
        <w:trPr>
          <w:trHeight w:val="290"/>
        </w:trPr>
        <w:tc>
          <w:tcPr>
            <w:tcW w:w="1281" w:type="dxa"/>
            <w:vMerge w:val="restart"/>
            <w:tcBorders>
              <w:top w:val="single" w:sz="4" w:space="0" w:color="auto"/>
              <w:left w:val="single" w:sz="4" w:space="0" w:color="auto"/>
              <w:right w:val="single" w:sz="4" w:space="0" w:color="auto"/>
            </w:tcBorders>
            <w:shd w:val="clear" w:color="auto" w:fill="auto"/>
            <w:vAlign w:val="center"/>
            <w:hideMark/>
          </w:tcPr>
          <w:p w14:paraId="610C4682" w14:textId="77777777" w:rsidR="007D57FB" w:rsidRPr="00346C0B" w:rsidRDefault="007D57FB" w:rsidP="005B3E6B">
            <w:pPr>
              <w:spacing w:after="0" w:line="240" w:lineRule="auto"/>
              <w:rPr>
                <w:rFonts w:ascii="Calibri" w:eastAsia="Times New Roman" w:hAnsi="Calibri" w:cs="Calibri"/>
                <w:i/>
                <w:color w:val="000000"/>
                <w:lang w:eastAsia="en-GB"/>
              </w:rPr>
            </w:pPr>
            <w:r w:rsidRPr="00346C0B">
              <w:rPr>
                <w:rFonts w:ascii="Calibri" w:eastAsia="Times New Roman" w:hAnsi="Calibri" w:cs="Calibri"/>
                <w:i/>
                <w:color w:val="000000"/>
                <w:lang w:eastAsia="en-GB"/>
              </w:rPr>
              <w:t>Contd.</w:t>
            </w:r>
          </w:p>
          <w:p w14:paraId="610C4683"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J01</w:t>
            </w:r>
          </w:p>
        </w:tc>
        <w:tc>
          <w:tcPr>
            <w:tcW w:w="2835" w:type="dxa"/>
            <w:vMerge w:val="restart"/>
            <w:tcBorders>
              <w:top w:val="single" w:sz="4" w:space="0" w:color="auto"/>
              <w:left w:val="single" w:sz="4" w:space="0" w:color="auto"/>
              <w:right w:val="single" w:sz="4" w:space="0" w:color="auto"/>
            </w:tcBorders>
            <w:shd w:val="clear" w:color="auto" w:fill="auto"/>
            <w:vAlign w:val="center"/>
            <w:hideMark/>
          </w:tcPr>
          <w:p w14:paraId="610C4684" w14:textId="77777777" w:rsidR="007D57FB" w:rsidRDefault="007D57FB" w:rsidP="005B3E6B">
            <w:pPr>
              <w:spacing w:after="0" w:line="240" w:lineRule="auto"/>
              <w:rPr>
                <w:rFonts w:ascii="Calibri" w:eastAsia="Times New Roman" w:hAnsi="Calibri" w:cs="Calibri"/>
                <w:color w:val="000000"/>
                <w:lang w:eastAsia="en-GB"/>
              </w:rPr>
            </w:pPr>
            <w:r w:rsidRPr="00346C0B">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w:t>
            </w:r>
          </w:p>
          <w:p w14:paraId="610C468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Antibacterials For Systemic Use</w:t>
            </w:r>
          </w:p>
        </w:tc>
        <w:tc>
          <w:tcPr>
            <w:tcW w:w="580" w:type="dxa"/>
            <w:vMerge w:val="restart"/>
            <w:tcBorders>
              <w:top w:val="single" w:sz="4" w:space="0" w:color="auto"/>
              <w:left w:val="single" w:sz="4" w:space="0" w:color="auto"/>
              <w:right w:val="single" w:sz="4" w:space="0" w:color="auto"/>
            </w:tcBorders>
            <w:shd w:val="clear" w:color="auto" w:fill="auto"/>
            <w:vAlign w:val="center"/>
            <w:hideMark/>
          </w:tcPr>
          <w:p w14:paraId="610C468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nil"/>
              <w:left w:val="single" w:sz="4" w:space="0" w:color="auto"/>
              <w:right w:val="single" w:sz="4" w:space="0" w:color="auto"/>
            </w:tcBorders>
            <w:shd w:val="clear" w:color="auto" w:fill="auto"/>
            <w:vAlign w:val="center"/>
            <w:hideMark/>
          </w:tcPr>
          <w:p w14:paraId="610C4687" w14:textId="77777777" w:rsidR="007D57FB" w:rsidRPr="00E6290E" w:rsidRDefault="007D57FB" w:rsidP="005B3E6B">
            <w:pPr>
              <w:spacing w:after="0" w:line="240" w:lineRule="auto"/>
              <w:rPr>
                <w:rFonts w:ascii="Calibri" w:eastAsia="Times New Roman" w:hAnsi="Calibri" w:cs="Calibri"/>
                <w:color w:val="000000"/>
                <w:lang w:eastAsia="en-GB"/>
              </w:rPr>
            </w:pPr>
            <w:r w:rsidRPr="00371585">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w:t>
            </w:r>
            <w:r w:rsidRPr="00E6290E">
              <w:rPr>
                <w:rFonts w:ascii="Calibri" w:eastAsia="Times New Roman" w:hAnsi="Calibri" w:cs="Calibri"/>
                <w:color w:val="000000"/>
                <w:lang w:eastAsia="en-GB"/>
              </w:rPr>
              <w:t>J01X</w:t>
            </w:r>
          </w:p>
        </w:tc>
        <w:tc>
          <w:tcPr>
            <w:tcW w:w="1982" w:type="dxa"/>
            <w:vMerge w:val="restart"/>
            <w:tcBorders>
              <w:top w:val="nil"/>
              <w:left w:val="single" w:sz="4" w:space="0" w:color="auto"/>
              <w:right w:val="single" w:sz="4" w:space="0" w:color="auto"/>
            </w:tcBorders>
            <w:shd w:val="clear" w:color="auto" w:fill="auto"/>
            <w:vAlign w:val="center"/>
            <w:hideMark/>
          </w:tcPr>
          <w:p w14:paraId="610C4688" w14:textId="77777777" w:rsidR="007D57FB" w:rsidRPr="00E6290E" w:rsidRDefault="007D57FB" w:rsidP="005B3E6B">
            <w:pPr>
              <w:spacing w:after="0" w:line="240" w:lineRule="auto"/>
              <w:rPr>
                <w:rFonts w:ascii="Calibri" w:eastAsia="Times New Roman" w:hAnsi="Calibri" w:cs="Calibri"/>
                <w:color w:val="000000"/>
                <w:lang w:eastAsia="en-GB"/>
              </w:rPr>
            </w:pPr>
            <w:r w:rsidRPr="00371585">
              <w:rPr>
                <w:rFonts w:ascii="Calibri" w:eastAsia="Times New Roman" w:hAnsi="Calibri" w:cs="Calibri"/>
                <w:i/>
                <w:color w:val="000000"/>
                <w:lang w:eastAsia="en-GB"/>
              </w:rPr>
              <w:t xml:space="preserve">Contd. </w:t>
            </w:r>
            <w:r w:rsidRPr="00E6290E">
              <w:rPr>
                <w:rFonts w:ascii="Calibri" w:eastAsia="Times New Roman" w:hAnsi="Calibri" w:cs="Calibri"/>
                <w:color w:val="000000"/>
                <w:lang w:eastAsia="en-GB"/>
              </w:rPr>
              <w:t>Other antibacterials</w:t>
            </w:r>
          </w:p>
        </w:tc>
        <w:tc>
          <w:tcPr>
            <w:tcW w:w="580" w:type="dxa"/>
            <w:vMerge w:val="restart"/>
            <w:tcBorders>
              <w:top w:val="nil"/>
              <w:left w:val="single" w:sz="4" w:space="0" w:color="auto"/>
              <w:right w:val="single" w:sz="4" w:space="0" w:color="auto"/>
            </w:tcBorders>
            <w:shd w:val="clear" w:color="auto" w:fill="auto"/>
            <w:vAlign w:val="center"/>
            <w:hideMark/>
          </w:tcPr>
          <w:p w14:paraId="610C468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8A"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J01XB</w:t>
            </w:r>
          </w:p>
        </w:tc>
        <w:tc>
          <w:tcPr>
            <w:tcW w:w="1947" w:type="dxa"/>
            <w:tcBorders>
              <w:top w:val="nil"/>
              <w:left w:val="nil"/>
              <w:bottom w:val="single" w:sz="4" w:space="0" w:color="auto"/>
              <w:right w:val="single" w:sz="4" w:space="0" w:color="auto"/>
            </w:tcBorders>
            <w:shd w:val="clear" w:color="auto" w:fill="auto"/>
            <w:noWrap/>
            <w:vAlign w:val="center"/>
            <w:hideMark/>
          </w:tcPr>
          <w:p w14:paraId="610C468B" w14:textId="77777777" w:rsidR="007D57FB" w:rsidRPr="00E6290E" w:rsidRDefault="009D7A6E" w:rsidP="005B3E6B">
            <w:pPr>
              <w:spacing w:after="0" w:line="240" w:lineRule="auto"/>
              <w:rPr>
                <w:rFonts w:ascii="Calibri" w:eastAsia="Times New Roman" w:hAnsi="Calibri" w:cs="Calibri"/>
                <w:color w:val="000000"/>
                <w:lang w:eastAsia="en-GB"/>
              </w:rPr>
            </w:pPr>
            <w:hyperlink r:id="rId34" w:history="1">
              <w:r w:rsidR="007D57FB" w:rsidRPr="00E6290E">
                <w:rPr>
                  <w:rFonts w:ascii="Calibri" w:eastAsia="Times New Roman" w:hAnsi="Calibri" w:cs="Calibri"/>
                  <w:color w:val="000000"/>
                  <w:lang w:eastAsia="en-GB"/>
                </w:rPr>
                <w:t>Polymyxins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8C"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w:t>
            </w:r>
          </w:p>
        </w:tc>
        <w:tc>
          <w:tcPr>
            <w:tcW w:w="1688" w:type="dxa"/>
            <w:tcBorders>
              <w:top w:val="nil"/>
              <w:left w:val="nil"/>
              <w:bottom w:val="single" w:sz="4" w:space="0" w:color="auto"/>
              <w:right w:val="single" w:sz="4" w:space="0" w:color="auto"/>
            </w:tcBorders>
            <w:shd w:val="clear" w:color="auto" w:fill="auto"/>
            <w:noWrap/>
            <w:vAlign w:val="center"/>
            <w:hideMark/>
          </w:tcPr>
          <w:p w14:paraId="610C468D"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8E"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9B"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90"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91"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92"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bottom w:val="single" w:sz="4" w:space="0" w:color="auto"/>
              <w:right w:val="single" w:sz="4" w:space="0" w:color="auto"/>
            </w:tcBorders>
            <w:shd w:val="clear" w:color="auto" w:fill="auto"/>
            <w:vAlign w:val="center"/>
            <w:hideMark/>
          </w:tcPr>
          <w:p w14:paraId="610C4693"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1982" w:type="dxa"/>
            <w:vMerge/>
            <w:tcBorders>
              <w:left w:val="single" w:sz="4" w:space="0" w:color="auto"/>
              <w:bottom w:val="single" w:sz="4" w:space="0" w:color="auto"/>
              <w:right w:val="single" w:sz="4" w:space="0" w:color="auto"/>
            </w:tcBorders>
            <w:shd w:val="clear" w:color="auto" w:fill="auto"/>
            <w:vAlign w:val="center"/>
            <w:hideMark/>
          </w:tcPr>
          <w:p w14:paraId="610C4694"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695"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25" w:type="dxa"/>
            <w:tcBorders>
              <w:top w:val="nil"/>
              <w:left w:val="nil"/>
              <w:bottom w:val="single" w:sz="4" w:space="0" w:color="auto"/>
              <w:right w:val="single" w:sz="4" w:space="0" w:color="auto"/>
            </w:tcBorders>
            <w:shd w:val="clear" w:color="auto" w:fill="auto"/>
            <w:noWrap/>
            <w:vAlign w:val="center"/>
            <w:hideMark/>
          </w:tcPr>
          <w:p w14:paraId="610C469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J01XX</w:t>
            </w:r>
          </w:p>
        </w:tc>
        <w:tc>
          <w:tcPr>
            <w:tcW w:w="1947" w:type="dxa"/>
            <w:tcBorders>
              <w:top w:val="nil"/>
              <w:left w:val="nil"/>
              <w:bottom w:val="single" w:sz="4" w:space="0" w:color="auto"/>
              <w:right w:val="single" w:sz="4" w:space="0" w:color="auto"/>
            </w:tcBorders>
            <w:shd w:val="clear" w:color="auto" w:fill="auto"/>
            <w:noWrap/>
            <w:vAlign w:val="center"/>
            <w:hideMark/>
          </w:tcPr>
          <w:p w14:paraId="610C469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Other antibacterials</w:t>
            </w:r>
          </w:p>
        </w:tc>
        <w:tc>
          <w:tcPr>
            <w:tcW w:w="580" w:type="dxa"/>
            <w:tcBorders>
              <w:top w:val="nil"/>
              <w:left w:val="nil"/>
              <w:bottom w:val="single" w:sz="4" w:space="0" w:color="auto"/>
              <w:right w:val="single" w:sz="4" w:space="0" w:color="auto"/>
            </w:tcBorders>
            <w:shd w:val="clear" w:color="auto" w:fill="auto"/>
            <w:noWrap/>
            <w:vAlign w:val="center"/>
            <w:hideMark/>
          </w:tcPr>
          <w:p w14:paraId="610C4698"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w:t>
            </w:r>
          </w:p>
        </w:tc>
        <w:tc>
          <w:tcPr>
            <w:tcW w:w="1688" w:type="dxa"/>
            <w:tcBorders>
              <w:top w:val="nil"/>
              <w:left w:val="nil"/>
              <w:bottom w:val="single" w:sz="4" w:space="0" w:color="auto"/>
              <w:right w:val="single" w:sz="4" w:space="0" w:color="auto"/>
            </w:tcBorders>
            <w:shd w:val="clear" w:color="auto" w:fill="auto"/>
            <w:noWrap/>
            <w:vAlign w:val="center"/>
            <w:hideMark/>
          </w:tcPr>
          <w:p w14:paraId="610C4699"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9A"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A7"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9C"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9D"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9E"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69F"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J01E</w:t>
            </w:r>
          </w:p>
        </w:tc>
        <w:tc>
          <w:tcPr>
            <w:tcW w:w="1982" w:type="dxa"/>
            <w:tcBorders>
              <w:top w:val="nil"/>
              <w:left w:val="nil"/>
              <w:bottom w:val="single" w:sz="4" w:space="0" w:color="auto"/>
              <w:right w:val="single" w:sz="4" w:space="0" w:color="auto"/>
            </w:tcBorders>
            <w:shd w:val="clear" w:color="auto" w:fill="auto"/>
            <w:noWrap/>
            <w:vAlign w:val="center"/>
            <w:hideMark/>
          </w:tcPr>
          <w:p w14:paraId="610C46A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Sulfonamides and trimethoprim</w:t>
            </w:r>
          </w:p>
        </w:tc>
        <w:tc>
          <w:tcPr>
            <w:tcW w:w="580" w:type="dxa"/>
            <w:tcBorders>
              <w:top w:val="nil"/>
              <w:left w:val="nil"/>
              <w:bottom w:val="single" w:sz="4" w:space="0" w:color="auto"/>
              <w:right w:val="single" w:sz="4" w:space="0" w:color="auto"/>
            </w:tcBorders>
            <w:shd w:val="clear" w:color="auto" w:fill="auto"/>
            <w:noWrap/>
            <w:vAlign w:val="center"/>
            <w:hideMark/>
          </w:tcPr>
          <w:p w14:paraId="610C46A1"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23</w:t>
            </w:r>
          </w:p>
        </w:tc>
        <w:tc>
          <w:tcPr>
            <w:tcW w:w="825" w:type="dxa"/>
            <w:tcBorders>
              <w:top w:val="nil"/>
              <w:left w:val="nil"/>
              <w:bottom w:val="single" w:sz="4" w:space="0" w:color="auto"/>
              <w:right w:val="single" w:sz="4" w:space="0" w:color="auto"/>
            </w:tcBorders>
            <w:shd w:val="clear" w:color="auto" w:fill="auto"/>
            <w:noWrap/>
            <w:vAlign w:val="center"/>
            <w:hideMark/>
          </w:tcPr>
          <w:p w14:paraId="610C46A2"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J01EE</w:t>
            </w:r>
          </w:p>
        </w:tc>
        <w:tc>
          <w:tcPr>
            <w:tcW w:w="1947" w:type="dxa"/>
            <w:tcBorders>
              <w:top w:val="nil"/>
              <w:left w:val="nil"/>
              <w:bottom w:val="single" w:sz="4" w:space="0" w:color="auto"/>
              <w:right w:val="single" w:sz="4" w:space="0" w:color="auto"/>
            </w:tcBorders>
            <w:shd w:val="clear" w:color="auto" w:fill="auto"/>
            <w:noWrap/>
            <w:vAlign w:val="center"/>
            <w:hideMark/>
          </w:tcPr>
          <w:p w14:paraId="610C46A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Combinations of sulfonamides and trimethoprim, incl. derivatives</w:t>
            </w:r>
          </w:p>
        </w:tc>
        <w:tc>
          <w:tcPr>
            <w:tcW w:w="580" w:type="dxa"/>
            <w:tcBorders>
              <w:top w:val="nil"/>
              <w:left w:val="nil"/>
              <w:bottom w:val="single" w:sz="4" w:space="0" w:color="auto"/>
              <w:right w:val="single" w:sz="4" w:space="0" w:color="auto"/>
            </w:tcBorders>
            <w:shd w:val="clear" w:color="auto" w:fill="auto"/>
            <w:noWrap/>
            <w:vAlign w:val="center"/>
            <w:hideMark/>
          </w:tcPr>
          <w:p w14:paraId="610C46A4"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23</w:t>
            </w:r>
          </w:p>
        </w:tc>
        <w:tc>
          <w:tcPr>
            <w:tcW w:w="1688" w:type="dxa"/>
            <w:tcBorders>
              <w:top w:val="nil"/>
              <w:left w:val="nil"/>
              <w:bottom w:val="single" w:sz="4" w:space="0" w:color="auto"/>
              <w:right w:val="single" w:sz="4" w:space="0" w:color="auto"/>
            </w:tcBorders>
            <w:shd w:val="clear" w:color="auto" w:fill="auto"/>
            <w:noWrap/>
            <w:vAlign w:val="center"/>
            <w:hideMark/>
          </w:tcPr>
          <w:p w14:paraId="610C46A5"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Trimethoprim</w:t>
            </w:r>
          </w:p>
        </w:tc>
        <w:tc>
          <w:tcPr>
            <w:tcW w:w="580" w:type="dxa"/>
            <w:tcBorders>
              <w:top w:val="nil"/>
              <w:left w:val="nil"/>
              <w:bottom w:val="single" w:sz="4" w:space="0" w:color="auto"/>
              <w:right w:val="single" w:sz="4" w:space="0" w:color="auto"/>
            </w:tcBorders>
            <w:shd w:val="clear" w:color="auto" w:fill="auto"/>
            <w:noWrap/>
            <w:vAlign w:val="center"/>
            <w:hideMark/>
          </w:tcPr>
          <w:p w14:paraId="610C46A6"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22</w:t>
            </w:r>
          </w:p>
        </w:tc>
      </w:tr>
      <w:tr w:rsidR="007D57FB" w:rsidRPr="00E6290E" w14:paraId="610C46B3" w14:textId="77777777" w:rsidTr="005B3E6B">
        <w:trPr>
          <w:trHeight w:val="290"/>
        </w:trPr>
        <w:tc>
          <w:tcPr>
            <w:tcW w:w="1281" w:type="dxa"/>
            <w:vMerge/>
            <w:tcBorders>
              <w:left w:val="single" w:sz="4" w:space="0" w:color="auto"/>
              <w:right w:val="single" w:sz="4" w:space="0" w:color="auto"/>
            </w:tcBorders>
            <w:shd w:val="clear" w:color="auto" w:fill="auto"/>
            <w:vAlign w:val="center"/>
            <w:hideMark/>
          </w:tcPr>
          <w:p w14:paraId="610C46A8"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6A9"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right w:val="single" w:sz="4" w:space="0" w:color="auto"/>
            </w:tcBorders>
            <w:shd w:val="clear" w:color="auto" w:fill="auto"/>
            <w:vAlign w:val="center"/>
            <w:hideMark/>
          </w:tcPr>
          <w:p w14:paraId="610C46AA"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6AB"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J01G</w:t>
            </w:r>
          </w:p>
        </w:tc>
        <w:tc>
          <w:tcPr>
            <w:tcW w:w="1982" w:type="dxa"/>
            <w:tcBorders>
              <w:top w:val="nil"/>
              <w:left w:val="nil"/>
              <w:bottom w:val="single" w:sz="4" w:space="0" w:color="auto"/>
              <w:right w:val="single" w:sz="4" w:space="0" w:color="auto"/>
            </w:tcBorders>
            <w:shd w:val="clear" w:color="auto" w:fill="auto"/>
            <w:noWrap/>
            <w:vAlign w:val="center"/>
            <w:hideMark/>
          </w:tcPr>
          <w:p w14:paraId="610C46AC" w14:textId="77777777" w:rsidR="007D57FB" w:rsidRPr="00E6290E" w:rsidRDefault="009D7A6E" w:rsidP="005B3E6B">
            <w:pPr>
              <w:spacing w:after="0" w:line="240" w:lineRule="auto"/>
              <w:rPr>
                <w:rFonts w:ascii="Calibri" w:eastAsia="Times New Roman" w:hAnsi="Calibri" w:cs="Calibri"/>
                <w:color w:val="000000"/>
                <w:lang w:eastAsia="en-GB"/>
              </w:rPr>
            </w:pPr>
            <w:hyperlink r:id="rId35" w:history="1">
              <w:r w:rsidR="007D57FB" w:rsidRPr="00E6290E">
                <w:rPr>
                  <w:rFonts w:ascii="Calibri" w:eastAsia="Times New Roman" w:hAnsi="Calibri" w:cs="Calibri"/>
                  <w:color w:val="000000"/>
                  <w:lang w:eastAsia="en-GB"/>
                </w:rPr>
                <w:t>Aminoglycoside antibacterials</w:t>
              </w:r>
            </w:hyperlink>
          </w:p>
        </w:tc>
        <w:tc>
          <w:tcPr>
            <w:tcW w:w="580" w:type="dxa"/>
            <w:tcBorders>
              <w:top w:val="nil"/>
              <w:left w:val="nil"/>
              <w:bottom w:val="single" w:sz="4" w:space="0" w:color="auto"/>
              <w:right w:val="single" w:sz="4" w:space="0" w:color="auto"/>
            </w:tcBorders>
            <w:shd w:val="clear" w:color="auto" w:fill="auto"/>
            <w:noWrap/>
            <w:vAlign w:val="center"/>
            <w:hideMark/>
          </w:tcPr>
          <w:p w14:paraId="610C46AD"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6</w:t>
            </w:r>
          </w:p>
        </w:tc>
        <w:tc>
          <w:tcPr>
            <w:tcW w:w="825" w:type="dxa"/>
            <w:tcBorders>
              <w:top w:val="nil"/>
              <w:left w:val="nil"/>
              <w:bottom w:val="single" w:sz="4" w:space="0" w:color="auto"/>
              <w:right w:val="single" w:sz="4" w:space="0" w:color="auto"/>
            </w:tcBorders>
            <w:shd w:val="clear" w:color="auto" w:fill="auto"/>
            <w:noWrap/>
            <w:vAlign w:val="center"/>
            <w:hideMark/>
          </w:tcPr>
          <w:p w14:paraId="610C46AE"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6AF"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B0"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8" w:type="dxa"/>
            <w:tcBorders>
              <w:top w:val="nil"/>
              <w:left w:val="nil"/>
              <w:bottom w:val="single" w:sz="4" w:space="0" w:color="auto"/>
              <w:right w:val="single" w:sz="4" w:space="0" w:color="auto"/>
            </w:tcBorders>
            <w:shd w:val="clear" w:color="auto" w:fill="auto"/>
            <w:noWrap/>
            <w:vAlign w:val="center"/>
            <w:hideMark/>
          </w:tcPr>
          <w:p w14:paraId="610C46B1"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B2"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BF" w14:textId="77777777" w:rsidTr="005B3E6B">
        <w:trPr>
          <w:trHeight w:val="290"/>
        </w:trPr>
        <w:tc>
          <w:tcPr>
            <w:tcW w:w="1281" w:type="dxa"/>
            <w:vMerge/>
            <w:tcBorders>
              <w:left w:val="single" w:sz="4" w:space="0" w:color="auto"/>
              <w:bottom w:val="single" w:sz="4" w:space="0" w:color="auto"/>
              <w:right w:val="single" w:sz="4" w:space="0" w:color="auto"/>
            </w:tcBorders>
            <w:shd w:val="clear" w:color="auto" w:fill="auto"/>
            <w:vAlign w:val="center"/>
            <w:hideMark/>
          </w:tcPr>
          <w:p w14:paraId="610C46B4"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shd w:val="clear" w:color="auto" w:fill="auto"/>
            <w:vAlign w:val="center"/>
            <w:hideMark/>
          </w:tcPr>
          <w:p w14:paraId="610C46B5"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580" w:type="dxa"/>
            <w:vMerge/>
            <w:tcBorders>
              <w:left w:val="single" w:sz="4" w:space="0" w:color="auto"/>
              <w:bottom w:val="single" w:sz="4" w:space="0" w:color="auto"/>
              <w:right w:val="single" w:sz="4" w:space="0" w:color="auto"/>
            </w:tcBorders>
            <w:shd w:val="clear" w:color="auto" w:fill="auto"/>
            <w:vAlign w:val="center"/>
            <w:hideMark/>
          </w:tcPr>
          <w:p w14:paraId="610C46B6" w14:textId="77777777" w:rsidR="007D57FB" w:rsidRPr="00E6290E"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6B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J01A</w:t>
            </w:r>
          </w:p>
        </w:tc>
        <w:tc>
          <w:tcPr>
            <w:tcW w:w="1982" w:type="dxa"/>
            <w:tcBorders>
              <w:top w:val="nil"/>
              <w:left w:val="nil"/>
              <w:bottom w:val="single" w:sz="4" w:space="0" w:color="auto"/>
              <w:right w:val="single" w:sz="4" w:space="0" w:color="auto"/>
            </w:tcBorders>
            <w:shd w:val="clear" w:color="auto" w:fill="auto"/>
            <w:noWrap/>
            <w:vAlign w:val="center"/>
            <w:hideMark/>
          </w:tcPr>
          <w:p w14:paraId="610C46B8"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Tetracyclines</w:t>
            </w:r>
          </w:p>
        </w:tc>
        <w:tc>
          <w:tcPr>
            <w:tcW w:w="580" w:type="dxa"/>
            <w:tcBorders>
              <w:top w:val="nil"/>
              <w:left w:val="nil"/>
              <w:bottom w:val="single" w:sz="4" w:space="0" w:color="auto"/>
              <w:right w:val="single" w:sz="4" w:space="0" w:color="auto"/>
            </w:tcBorders>
            <w:shd w:val="clear" w:color="auto" w:fill="auto"/>
            <w:noWrap/>
            <w:vAlign w:val="center"/>
            <w:hideMark/>
          </w:tcPr>
          <w:p w14:paraId="610C46B9"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1</w:t>
            </w:r>
          </w:p>
        </w:tc>
        <w:tc>
          <w:tcPr>
            <w:tcW w:w="825" w:type="dxa"/>
            <w:tcBorders>
              <w:top w:val="nil"/>
              <w:left w:val="nil"/>
              <w:bottom w:val="single" w:sz="4" w:space="0" w:color="auto"/>
              <w:right w:val="single" w:sz="4" w:space="0" w:color="auto"/>
            </w:tcBorders>
            <w:shd w:val="clear" w:color="auto" w:fill="auto"/>
            <w:noWrap/>
            <w:vAlign w:val="center"/>
            <w:hideMark/>
          </w:tcPr>
          <w:p w14:paraId="610C46BA"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6BB"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BC"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8" w:type="dxa"/>
            <w:tcBorders>
              <w:top w:val="nil"/>
              <w:left w:val="nil"/>
              <w:bottom w:val="single" w:sz="4" w:space="0" w:color="auto"/>
              <w:right w:val="single" w:sz="4" w:space="0" w:color="auto"/>
            </w:tcBorders>
            <w:shd w:val="clear" w:color="auto" w:fill="auto"/>
            <w:noWrap/>
            <w:vAlign w:val="center"/>
            <w:hideMark/>
          </w:tcPr>
          <w:p w14:paraId="610C46BD"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BE"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E6290E" w14:paraId="610C46CB"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6C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J04</w:t>
            </w:r>
          </w:p>
        </w:tc>
        <w:tc>
          <w:tcPr>
            <w:tcW w:w="2835" w:type="dxa"/>
            <w:tcBorders>
              <w:top w:val="nil"/>
              <w:left w:val="nil"/>
              <w:bottom w:val="single" w:sz="4" w:space="0" w:color="auto"/>
              <w:right w:val="single" w:sz="4" w:space="0" w:color="auto"/>
            </w:tcBorders>
            <w:shd w:val="clear" w:color="auto" w:fill="auto"/>
            <w:noWrap/>
            <w:vAlign w:val="center"/>
            <w:hideMark/>
          </w:tcPr>
          <w:p w14:paraId="610C46C1"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Antimycobacterials</w:t>
            </w:r>
          </w:p>
        </w:tc>
        <w:tc>
          <w:tcPr>
            <w:tcW w:w="580" w:type="dxa"/>
            <w:tcBorders>
              <w:top w:val="nil"/>
              <w:left w:val="nil"/>
              <w:bottom w:val="single" w:sz="4" w:space="0" w:color="auto"/>
              <w:right w:val="single" w:sz="4" w:space="0" w:color="auto"/>
            </w:tcBorders>
            <w:shd w:val="clear" w:color="auto" w:fill="auto"/>
            <w:noWrap/>
            <w:vAlign w:val="center"/>
            <w:hideMark/>
          </w:tcPr>
          <w:p w14:paraId="610C46C2"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54</w:t>
            </w:r>
          </w:p>
        </w:tc>
        <w:tc>
          <w:tcPr>
            <w:tcW w:w="800" w:type="dxa"/>
            <w:tcBorders>
              <w:top w:val="nil"/>
              <w:left w:val="nil"/>
              <w:bottom w:val="single" w:sz="4" w:space="0" w:color="auto"/>
              <w:right w:val="single" w:sz="4" w:space="0" w:color="auto"/>
            </w:tcBorders>
            <w:shd w:val="clear" w:color="auto" w:fill="auto"/>
            <w:noWrap/>
            <w:vAlign w:val="center"/>
            <w:hideMark/>
          </w:tcPr>
          <w:p w14:paraId="610C46C3"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J04A</w:t>
            </w:r>
          </w:p>
        </w:tc>
        <w:tc>
          <w:tcPr>
            <w:tcW w:w="1982" w:type="dxa"/>
            <w:tcBorders>
              <w:top w:val="nil"/>
              <w:left w:val="nil"/>
              <w:bottom w:val="single" w:sz="4" w:space="0" w:color="auto"/>
              <w:right w:val="single" w:sz="4" w:space="0" w:color="auto"/>
            </w:tcBorders>
            <w:shd w:val="clear" w:color="auto" w:fill="auto"/>
            <w:noWrap/>
            <w:vAlign w:val="center"/>
            <w:hideMark/>
          </w:tcPr>
          <w:p w14:paraId="610C46C4"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Drugs for treatment of tuberculosis</w:t>
            </w:r>
          </w:p>
        </w:tc>
        <w:tc>
          <w:tcPr>
            <w:tcW w:w="580" w:type="dxa"/>
            <w:tcBorders>
              <w:top w:val="nil"/>
              <w:left w:val="nil"/>
              <w:bottom w:val="single" w:sz="4" w:space="0" w:color="auto"/>
              <w:right w:val="single" w:sz="4" w:space="0" w:color="auto"/>
            </w:tcBorders>
            <w:shd w:val="clear" w:color="auto" w:fill="auto"/>
            <w:noWrap/>
            <w:vAlign w:val="center"/>
            <w:hideMark/>
          </w:tcPr>
          <w:p w14:paraId="610C46C5"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54</w:t>
            </w:r>
          </w:p>
        </w:tc>
        <w:tc>
          <w:tcPr>
            <w:tcW w:w="825" w:type="dxa"/>
            <w:tcBorders>
              <w:top w:val="nil"/>
              <w:left w:val="nil"/>
              <w:bottom w:val="single" w:sz="4" w:space="0" w:color="auto"/>
              <w:right w:val="single" w:sz="4" w:space="0" w:color="auto"/>
            </w:tcBorders>
            <w:shd w:val="clear" w:color="auto" w:fill="auto"/>
            <w:noWrap/>
            <w:vAlign w:val="center"/>
            <w:hideMark/>
          </w:tcPr>
          <w:p w14:paraId="610C46C6"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J04AB</w:t>
            </w:r>
          </w:p>
        </w:tc>
        <w:tc>
          <w:tcPr>
            <w:tcW w:w="1947" w:type="dxa"/>
            <w:tcBorders>
              <w:top w:val="nil"/>
              <w:left w:val="nil"/>
              <w:bottom w:val="single" w:sz="4" w:space="0" w:color="auto"/>
              <w:right w:val="single" w:sz="4" w:space="0" w:color="auto"/>
            </w:tcBorders>
            <w:shd w:val="clear" w:color="auto" w:fill="auto"/>
            <w:noWrap/>
            <w:vAlign w:val="center"/>
            <w:hideMark/>
          </w:tcPr>
          <w:p w14:paraId="610C46C7"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Drugs for treatment of tuberculosis, antibiotics</w:t>
            </w:r>
          </w:p>
        </w:tc>
        <w:tc>
          <w:tcPr>
            <w:tcW w:w="580" w:type="dxa"/>
            <w:tcBorders>
              <w:top w:val="nil"/>
              <w:left w:val="nil"/>
              <w:bottom w:val="single" w:sz="4" w:space="0" w:color="auto"/>
              <w:right w:val="single" w:sz="4" w:space="0" w:color="auto"/>
            </w:tcBorders>
            <w:shd w:val="clear" w:color="auto" w:fill="auto"/>
            <w:noWrap/>
            <w:vAlign w:val="center"/>
            <w:hideMark/>
          </w:tcPr>
          <w:p w14:paraId="610C46C8"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54</w:t>
            </w:r>
          </w:p>
        </w:tc>
        <w:tc>
          <w:tcPr>
            <w:tcW w:w="1688" w:type="dxa"/>
            <w:tcBorders>
              <w:top w:val="nil"/>
              <w:left w:val="nil"/>
              <w:bottom w:val="single" w:sz="4" w:space="0" w:color="auto"/>
              <w:right w:val="single" w:sz="4" w:space="0" w:color="auto"/>
            </w:tcBorders>
            <w:shd w:val="clear" w:color="auto" w:fill="auto"/>
            <w:noWrap/>
            <w:vAlign w:val="center"/>
            <w:hideMark/>
          </w:tcPr>
          <w:p w14:paraId="610C46C9"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 xml:space="preserve">Not specified by the paper </w:t>
            </w:r>
          </w:p>
        </w:tc>
        <w:tc>
          <w:tcPr>
            <w:tcW w:w="580" w:type="dxa"/>
            <w:tcBorders>
              <w:top w:val="nil"/>
              <w:left w:val="nil"/>
              <w:bottom w:val="single" w:sz="4" w:space="0" w:color="auto"/>
              <w:right w:val="single" w:sz="4" w:space="0" w:color="auto"/>
            </w:tcBorders>
            <w:shd w:val="clear" w:color="auto" w:fill="auto"/>
            <w:noWrap/>
            <w:vAlign w:val="center"/>
            <w:hideMark/>
          </w:tcPr>
          <w:p w14:paraId="610C46CA"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49</w:t>
            </w:r>
          </w:p>
        </w:tc>
      </w:tr>
      <w:tr w:rsidR="007D57FB" w:rsidRPr="00E6290E" w14:paraId="610C46D7" w14:textId="77777777" w:rsidTr="005B3E6B">
        <w:trPr>
          <w:trHeight w:val="290"/>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14:paraId="610C46CC"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J02</w:t>
            </w:r>
          </w:p>
        </w:tc>
        <w:tc>
          <w:tcPr>
            <w:tcW w:w="2835" w:type="dxa"/>
            <w:tcBorders>
              <w:top w:val="nil"/>
              <w:left w:val="nil"/>
              <w:bottom w:val="single" w:sz="4" w:space="0" w:color="auto"/>
              <w:right w:val="single" w:sz="4" w:space="0" w:color="auto"/>
            </w:tcBorders>
            <w:shd w:val="clear" w:color="auto" w:fill="auto"/>
            <w:noWrap/>
            <w:vAlign w:val="center"/>
            <w:hideMark/>
          </w:tcPr>
          <w:p w14:paraId="610C46CD"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Antimycotics for systemic use</w:t>
            </w:r>
          </w:p>
        </w:tc>
        <w:tc>
          <w:tcPr>
            <w:tcW w:w="580" w:type="dxa"/>
            <w:tcBorders>
              <w:top w:val="nil"/>
              <w:left w:val="nil"/>
              <w:bottom w:val="single" w:sz="4" w:space="0" w:color="auto"/>
              <w:right w:val="single" w:sz="4" w:space="0" w:color="auto"/>
            </w:tcBorders>
            <w:shd w:val="clear" w:color="auto" w:fill="auto"/>
            <w:noWrap/>
            <w:vAlign w:val="center"/>
            <w:hideMark/>
          </w:tcPr>
          <w:p w14:paraId="610C46CE"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w:t>
            </w:r>
          </w:p>
        </w:tc>
        <w:tc>
          <w:tcPr>
            <w:tcW w:w="800" w:type="dxa"/>
            <w:tcBorders>
              <w:top w:val="nil"/>
              <w:left w:val="nil"/>
              <w:bottom w:val="single" w:sz="4" w:space="0" w:color="auto"/>
              <w:right w:val="single" w:sz="4" w:space="0" w:color="auto"/>
            </w:tcBorders>
            <w:shd w:val="clear" w:color="auto" w:fill="auto"/>
            <w:noWrap/>
            <w:vAlign w:val="center"/>
            <w:hideMark/>
          </w:tcPr>
          <w:p w14:paraId="610C46CF"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J02A</w:t>
            </w:r>
          </w:p>
        </w:tc>
        <w:tc>
          <w:tcPr>
            <w:tcW w:w="1982" w:type="dxa"/>
            <w:tcBorders>
              <w:top w:val="nil"/>
              <w:left w:val="nil"/>
              <w:bottom w:val="single" w:sz="4" w:space="0" w:color="auto"/>
              <w:right w:val="single" w:sz="4" w:space="0" w:color="auto"/>
            </w:tcBorders>
            <w:shd w:val="clear" w:color="auto" w:fill="auto"/>
            <w:noWrap/>
            <w:vAlign w:val="center"/>
            <w:hideMark/>
          </w:tcPr>
          <w:p w14:paraId="610C46D0" w14:textId="77777777" w:rsidR="007D57FB" w:rsidRPr="00E6290E" w:rsidRDefault="007D57FB" w:rsidP="005B3E6B">
            <w:pPr>
              <w:spacing w:after="0" w:line="240" w:lineRule="auto"/>
              <w:rPr>
                <w:rFonts w:ascii="Calibri" w:eastAsia="Times New Roman" w:hAnsi="Calibri" w:cs="Calibri"/>
                <w:color w:val="000000"/>
                <w:lang w:eastAsia="en-GB"/>
              </w:rPr>
            </w:pPr>
            <w:r w:rsidRPr="00E6290E">
              <w:rPr>
                <w:rFonts w:ascii="Calibri" w:eastAsia="Times New Roman" w:hAnsi="Calibri" w:cs="Calibri"/>
                <w:color w:val="000000"/>
                <w:lang w:eastAsia="en-GB"/>
              </w:rPr>
              <w:t>Antimycotics for systemic use</w:t>
            </w:r>
          </w:p>
        </w:tc>
        <w:tc>
          <w:tcPr>
            <w:tcW w:w="580" w:type="dxa"/>
            <w:tcBorders>
              <w:top w:val="nil"/>
              <w:left w:val="nil"/>
              <w:bottom w:val="single" w:sz="4" w:space="0" w:color="auto"/>
              <w:right w:val="single" w:sz="4" w:space="0" w:color="auto"/>
            </w:tcBorders>
            <w:shd w:val="clear" w:color="auto" w:fill="auto"/>
            <w:noWrap/>
            <w:vAlign w:val="center"/>
            <w:hideMark/>
          </w:tcPr>
          <w:p w14:paraId="610C46D1" w14:textId="77777777" w:rsidR="007D57FB" w:rsidRPr="00E6290E" w:rsidRDefault="007D57FB" w:rsidP="005B3E6B">
            <w:pPr>
              <w:spacing w:after="0" w:line="240" w:lineRule="auto"/>
              <w:jc w:val="right"/>
              <w:rPr>
                <w:rFonts w:ascii="Calibri" w:eastAsia="Times New Roman" w:hAnsi="Calibri" w:cs="Calibri"/>
                <w:color w:val="000000"/>
                <w:lang w:eastAsia="en-GB"/>
              </w:rPr>
            </w:pPr>
            <w:r w:rsidRPr="00E6290E">
              <w:rPr>
                <w:rFonts w:ascii="Calibri" w:eastAsia="Times New Roman" w:hAnsi="Calibri" w:cs="Calibri"/>
                <w:color w:val="000000"/>
                <w:lang w:eastAsia="en-GB"/>
              </w:rPr>
              <w:t>2</w:t>
            </w:r>
          </w:p>
        </w:tc>
        <w:tc>
          <w:tcPr>
            <w:tcW w:w="825" w:type="dxa"/>
            <w:tcBorders>
              <w:top w:val="nil"/>
              <w:left w:val="nil"/>
              <w:bottom w:val="single" w:sz="4" w:space="0" w:color="auto"/>
              <w:right w:val="single" w:sz="4" w:space="0" w:color="auto"/>
            </w:tcBorders>
            <w:shd w:val="clear" w:color="auto" w:fill="auto"/>
            <w:noWrap/>
            <w:vAlign w:val="center"/>
            <w:hideMark/>
          </w:tcPr>
          <w:p w14:paraId="610C46D2"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6D3"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D4"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8" w:type="dxa"/>
            <w:tcBorders>
              <w:top w:val="nil"/>
              <w:left w:val="nil"/>
              <w:bottom w:val="single" w:sz="4" w:space="0" w:color="auto"/>
              <w:right w:val="single" w:sz="4" w:space="0" w:color="auto"/>
            </w:tcBorders>
            <w:shd w:val="clear" w:color="auto" w:fill="auto"/>
            <w:noWrap/>
            <w:vAlign w:val="center"/>
            <w:hideMark/>
          </w:tcPr>
          <w:p w14:paraId="610C46D5"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center"/>
            <w:hideMark/>
          </w:tcPr>
          <w:p w14:paraId="610C46D6" w14:textId="77777777" w:rsidR="007D57FB" w:rsidRPr="00E6290E"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6D8" w14:textId="77777777" w:rsidR="007D57FB" w:rsidRDefault="007D57FB">
      <w:pPr>
        <w:rPr>
          <w:b/>
        </w:rPr>
      </w:pPr>
    </w:p>
    <w:p w14:paraId="610C46D9" w14:textId="77777777" w:rsidR="007D57FB" w:rsidRDefault="007D57FB" w:rsidP="005B3E6B">
      <w:pPr>
        <w:pStyle w:val="Heading3"/>
      </w:pPr>
      <w:bookmarkStart w:id="56" w:name="_Toc52396375"/>
      <w:r>
        <w:t>Blood and blood forming organs</w:t>
      </w:r>
      <w:bookmarkEnd w:id="56"/>
    </w:p>
    <w:tbl>
      <w:tblPr>
        <w:tblW w:w="13576" w:type="dxa"/>
        <w:tblLook w:val="04A0" w:firstRow="1" w:lastRow="0" w:firstColumn="1" w:lastColumn="0" w:noHBand="0" w:noVBand="1"/>
      </w:tblPr>
      <w:tblGrid>
        <w:gridCol w:w="1158"/>
        <w:gridCol w:w="2835"/>
        <w:gridCol w:w="584"/>
        <w:gridCol w:w="800"/>
        <w:gridCol w:w="2003"/>
        <w:gridCol w:w="585"/>
        <w:gridCol w:w="822"/>
        <w:gridCol w:w="1995"/>
        <w:gridCol w:w="585"/>
        <w:gridCol w:w="1683"/>
        <w:gridCol w:w="526"/>
      </w:tblGrid>
      <w:tr w:rsidR="007D57FB" w:rsidRPr="002673E6" w14:paraId="610C46DB" w14:textId="77777777" w:rsidTr="005B3E6B">
        <w:trPr>
          <w:trHeight w:val="300"/>
        </w:trPr>
        <w:tc>
          <w:tcPr>
            <w:tcW w:w="13576"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6DA" w14:textId="40262EA0" w:rsidR="007D57FB" w:rsidRPr="002673E6" w:rsidRDefault="007D57FB" w:rsidP="005B3E6B">
            <w:pPr>
              <w:spacing w:after="0" w:line="240" w:lineRule="auto"/>
              <w:rPr>
                <w:rFonts w:ascii="Calibri" w:eastAsia="Times New Roman" w:hAnsi="Calibri" w:cs="Calibri"/>
                <w:b/>
                <w:bCs/>
                <w:color w:val="000000"/>
                <w:lang w:eastAsia="en-GB"/>
              </w:rPr>
            </w:pPr>
            <w:r w:rsidRPr="002673E6">
              <w:rPr>
                <w:rFonts w:ascii="Calibri" w:eastAsia="Times New Roman" w:hAnsi="Calibri" w:cs="Calibri"/>
                <w:b/>
                <w:bCs/>
                <w:color w:val="000000"/>
                <w:lang w:eastAsia="en-GB"/>
              </w:rPr>
              <w:t>Blood and blood forming organs 32</w:t>
            </w:r>
            <w:r w:rsidR="00981EB1">
              <w:rPr>
                <w:rFonts w:ascii="Calibri" w:eastAsia="Times New Roman" w:hAnsi="Calibri" w:cs="Calibri"/>
                <w:b/>
                <w:bCs/>
                <w:color w:val="000000"/>
                <w:lang w:eastAsia="en-GB"/>
              </w:rPr>
              <w:t>9</w:t>
            </w:r>
            <w:r w:rsidRPr="002673E6">
              <w:rPr>
                <w:rFonts w:ascii="Calibri" w:eastAsia="Times New Roman" w:hAnsi="Calibri" w:cs="Calibri"/>
                <w:b/>
                <w:bCs/>
                <w:color w:val="000000"/>
                <w:lang w:eastAsia="en-GB"/>
              </w:rPr>
              <w:t xml:space="preserve"> (13.7</w:t>
            </w:r>
            <w:r w:rsidR="00AB78B1">
              <w:rPr>
                <w:rFonts w:ascii="Calibri" w:eastAsia="Times New Roman" w:hAnsi="Calibri" w:cs="Calibri"/>
                <w:b/>
                <w:bCs/>
                <w:color w:val="000000"/>
                <w:lang w:eastAsia="en-GB"/>
              </w:rPr>
              <w:t>9</w:t>
            </w:r>
            <w:r w:rsidRPr="002673E6">
              <w:rPr>
                <w:rFonts w:ascii="Calibri" w:eastAsia="Times New Roman" w:hAnsi="Calibri" w:cs="Calibri"/>
                <w:b/>
                <w:bCs/>
                <w:color w:val="000000"/>
                <w:lang w:eastAsia="en-GB"/>
              </w:rPr>
              <w:t>%)</w:t>
            </w:r>
          </w:p>
        </w:tc>
      </w:tr>
      <w:tr w:rsidR="007D57FB" w:rsidRPr="00606AE1" w14:paraId="610C46E7" w14:textId="77777777" w:rsidTr="005B3E6B">
        <w:trPr>
          <w:trHeight w:val="90"/>
        </w:trPr>
        <w:tc>
          <w:tcPr>
            <w:tcW w:w="1158" w:type="dxa"/>
            <w:tcBorders>
              <w:left w:val="single" w:sz="4" w:space="0" w:color="auto"/>
              <w:bottom w:val="nil"/>
              <w:right w:val="single" w:sz="4" w:space="0" w:color="auto"/>
            </w:tcBorders>
            <w:shd w:val="clear" w:color="000000" w:fill="E7E6E6"/>
            <w:vAlign w:val="center"/>
            <w:hideMark/>
          </w:tcPr>
          <w:p w14:paraId="610C46D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6DD"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84" w:type="dxa"/>
            <w:tcBorders>
              <w:left w:val="nil"/>
              <w:bottom w:val="nil"/>
              <w:right w:val="single" w:sz="4" w:space="0" w:color="auto"/>
            </w:tcBorders>
            <w:shd w:val="clear" w:color="000000" w:fill="E7E6E6"/>
            <w:vAlign w:val="center"/>
            <w:hideMark/>
          </w:tcPr>
          <w:p w14:paraId="610C46D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00" w:type="dxa"/>
            <w:tcBorders>
              <w:left w:val="nil"/>
              <w:bottom w:val="nil"/>
              <w:right w:val="single" w:sz="4" w:space="0" w:color="auto"/>
            </w:tcBorders>
            <w:shd w:val="clear" w:color="000000" w:fill="E7E6E6"/>
            <w:vAlign w:val="center"/>
            <w:hideMark/>
          </w:tcPr>
          <w:p w14:paraId="610C46DF"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003" w:type="dxa"/>
            <w:tcBorders>
              <w:left w:val="nil"/>
              <w:bottom w:val="nil"/>
              <w:right w:val="single" w:sz="4" w:space="0" w:color="auto"/>
            </w:tcBorders>
            <w:shd w:val="clear" w:color="000000" w:fill="E7E6E6"/>
            <w:vAlign w:val="center"/>
            <w:hideMark/>
          </w:tcPr>
          <w:p w14:paraId="610C46E0"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85" w:type="dxa"/>
            <w:tcBorders>
              <w:left w:val="nil"/>
              <w:bottom w:val="nil"/>
              <w:right w:val="single" w:sz="4" w:space="0" w:color="auto"/>
            </w:tcBorders>
            <w:shd w:val="clear" w:color="000000" w:fill="E7E6E6"/>
            <w:vAlign w:val="center"/>
            <w:hideMark/>
          </w:tcPr>
          <w:p w14:paraId="610C46E1"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22" w:type="dxa"/>
            <w:tcBorders>
              <w:left w:val="nil"/>
              <w:bottom w:val="nil"/>
              <w:right w:val="single" w:sz="4" w:space="0" w:color="auto"/>
            </w:tcBorders>
            <w:shd w:val="clear" w:color="000000" w:fill="E7E6E6"/>
            <w:vAlign w:val="center"/>
            <w:hideMark/>
          </w:tcPr>
          <w:p w14:paraId="610C46E2"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95" w:type="dxa"/>
            <w:tcBorders>
              <w:left w:val="nil"/>
              <w:bottom w:val="nil"/>
              <w:right w:val="single" w:sz="4" w:space="0" w:color="auto"/>
            </w:tcBorders>
            <w:shd w:val="clear" w:color="000000" w:fill="E7E6E6"/>
            <w:vAlign w:val="center"/>
            <w:hideMark/>
          </w:tcPr>
          <w:p w14:paraId="610C46E3"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85" w:type="dxa"/>
            <w:tcBorders>
              <w:left w:val="nil"/>
              <w:bottom w:val="nil"/>
              <w:right w:val="single" w:sz="4" w:space="0" w:color="auto"/>
            </w:tcBorders>
            <w:shd w:val="clear" w:color="000000" w:fill="E7E6E6"/>
            <w:vAlign w:val="center"/>
            <w:hideMark/>
          </w:tcPr>
          <w:p w14:paraId="610C46E4"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83" w:type="dxa"/>
            <w:tcBorders>
              <w:left w:val="nil"/>
              <w:bottom w:val="nil"/>
              <w:right w:val="single" w:sz="4" w:space="0" w:color="auto"/>
            </w:tcBorders>
            <w:shd w:val="clear" w:color="000000" w:fill="E7E6E6"/>
            <w:vAlign w:val="center"/>
            <w:hideMark/>
          </w:tcPr>
          <w:p w14:paraId="610C46E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26" w:type="dxa"/>
            <w:tcBorders>
              <w:left w:val="nil"/>
              <w:bottom w:val="nil"/>
              <w:right w:val="single" w:sz="4" w:space="0" w:color="auto"/>
            </w:tcBorders>
            <w:shd w:val="clear" w:color="000000" w:fill="E7E6E6"/>
            <w:vAlign w:val="center"/>
            <w:hideMark/>
          </w:tcPr>
          <w:p w14:paraId="610C46E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2673E6" w14:paraId="610C46F3" w14:textId="77777777" w:rsidTr="005B3E6B">
        <w:trPr>
          <w:trHeight w:val="290"/>
        </w:trPr>
        <w:tc>
          <w:tcPr>
            <w:tcW w:w="1158" w:type="dxa"/>
            <w:vMerge w:val="restart"/>
            <w:tcBorders>
              <w:top w:val="single" w:sz="4" w:space="0" w:color="auto"/>
              <w:left w:val="single" w:sz="4" w:space="0" w:color="auto"/>
              <w:right w:val="single" w:sz="4" w:space="0" w:color="auto"/>
            </w:tcBorders>
            <w:shd w:val="clear" w:color="auto" w:fill="auto"/>
            <w:noWrap/>
            <w:vAlign w:val="center"/>
            <w:hideMark/>
          </w:tcPr>
          <w:p w14:paraId="610C46E8"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w:t>
            </w:r>
          </w:p>
        </w:tc>
        <w:tc>
          <w:tcPr>
            <w:tcW w:w="2835" w:type="dxa"/>
            <w:vMerge w:val="restart"/>
            <w:tcBorders>
              <w:top w:val="single" w:sz="4" w:space="0" w:color="auto"/>
              <w:left w:val="single" w:sz="4" w:space="0" w:color="auto"/>
              <w:right w:val="single" w:sz="4" w:space="0" w:color="auto"/>
            </w:tcBorders>
            <w:shd w:val="clear" w:color="auto" w:fill="auto"/>
            <w:noWrap/>
            <w:vAlign w:val="center"/>
            <w:hideMark/>
          </w:tcPr>
          <w:p w14:paraId="610C46E9"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Antithrombotic Agents</w:t>
            </w:r>
          </w:p>
        </w:tc>
        <w:tc>
          <w:tcPr>
            <w:tcW w:w="584" w:type="dxa"/>
            <w:vMerge w:val="restart"/>
            <w:tcBorders>
              <w:top w:val="single" w:sz="4" w:space="0" w:color="auto"/>
              <w:left w:val="single" w:sz="4" w:space="0" w:color="auto"/>
              <w:right w:val="single" w:sz="4" w:space="0" w:color="auto"/>
            </w:tcBorders>
            <w:shd w:val="clear" w:color="auto" w:fill="auto"/>
            <w:noWrap/>
            <w:vAlign w:val="center"/>
            <w:hideMark/>
          </w:tcPr>
          <w:p w14:paraId="610C46EA" w14:textId="13D7743D"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29</w:t>
            </w:r>
            <w:r w:rsidR="00981EB1">
              <w:rPr>
                <w:rFonts w:ascii="Calibri" w:eastAsia="Times New Roman" w:hAnsi="Calibri" w:cs="Calibri"/>
                <w:color w:val="000000"/>
                <w:lang w:eastAsia="en-GB"/>
              </w:rPr>
              <w:t>1</w:t>
            </w:r>
          </w:p>
        </w:tc>
        <w:tc>
          <w:tcPr>
            <w:tcW w:w="800" w:type="dxa"/>
            <w:vMerge w:val="restart"/>
            <w:tcBorders>
              <w:top w:val="single" w:sz="4" w:space="0" w:color="auto"/>
              <w:left w:val="single" w:sz="4" w:space="0" w:color="auto"/>
              <w:right w:val="single" w:sz="4" w:space="0" w:color="auto"/>
            </w:tcBorders>
            <w:shd w:val="clear" w:color="auto" w:fill="auto"/>
            <w:noWrap/>
            <w:vAlign w:val="center"/>
            <w:hideMark/>
          </w:tcPr>
          <w:p w14:paraId="610C46EB"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B01A</w:t>
            </w:r>
          </w:p>
        </w:tc>
        <w:tc>
          <w:tcPr>
            <w:tcW w:w="2003" w:type="dxa"/>
            <w:vMerge w:val="restart"/>
            <w:tcBorders>
              <w:top w:val="single" w:sz="4" w:space="0" w:color="auto"/>
              <w:left w:val="single" w:sz="4" w:space="0" w:color="auto"/>
              <w:right w:val="single" w:sz="4" w:space="0" w:color="auto"/>
            </w:tcBorders>
            <w:shd w:val="clear" w:color="auto" w:fill="auto"/>
            <w:noWrap/>
            <w:vAlign w:val="center"/>
            <w:hideMark/>
          </w:tcPr>
          <w:p w14:paraId="610C46EC"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Antithrombotic agents</w:t>
            </w:r>
          </w:p>
        </w:tc>
        <w:tc>
          <w:tcPr>
            <w:tcW w:w="585" w:type="dxa"/>
            <w:vMerge w:val="restart"/>
            <w:tcBorders>
              <w:top w:val="single" w:sz="4" w:space="0" w:color="auto"/>
              <w:left w:val="single" w:sz="4" w:space="0" w:color="auto"/>
              <w:right w:val="single" w:sz="4" w:space="0" w:color="auto"/>
            </w:tcBorders>
            <w:shd w:val="clear" w:color="auto" w:fill="auto"/>
            <w:noWrap/>
            <w:vAlign w:val="center"/>
            <w:hideMark/>
          </w:tcPr>
          <w:p w14:paraId="610C46ED" w14:textId="4B92FFE8"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2</w:t>
            </w:r>
            <w:r w:rsidR="00981EB1">
              <w:rPr>
                <w:rFonts w:ascii="Calibri" w:eastAsia="Times New Roman" w:hAnsi="Calibri" w:cs="Calibri"/>
                <w:color w:val="000000"/>
                <w:lang w:eastAsia="en-GB"/>
              </w:rPr>
              <w:t>50</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610C46EE"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B01AA</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14:paraId="610C46EF"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w:t>
            </w:r>
            <w:r w:rsidRPr="002673E6">
              <w:rPr>
                <w:rFonts w:ascii="Calibri" w:eastAsia="Times New Roman" w:hAnsi="Calibri" w:cs="Calibri"/>
                <w:color w:val="000000"/>
                <w:lang w:eastAsia="en-GB"/>
              </w:rPr>
              <w:t xml:space="preserve">ntithrombotic agents vitamin </w:t>
            </w:r>
            <w:r>
              <w:rPr>
                <w:rFonts w:ascii="Calibri" w:eastAsia="Times New Roman" w:hAnsi="Calibri" w:cs="Calibri"/>
                <w:color w:val="000000"/>
                <w:lang w:eastAsia="en-GB"/>
              </w:rPr>
              <w:t>K</w:t>
            </w:r>
            <w:r w:rsidRPr="002673E6">
              <w:rPr>
                <w:rFonts w:ascii="Calibri" w:eastAsia="Times New Roman" w:hAnsi="Calibri" w:cs="Calibri"/>
                <w:color w:val="000000"/>
                <w:lang w:eastAsia="en-GB"/>
              </w:rPr>
              <w:t xml:space="preserve"> antagonists</w:t>
            </w:r>
          </w:p>
        </w:tc>
        <w:tc>
          <w:tcPr>
            <w:tcW w:w="585" w:type="dxa"/>
            <w:tcBorders>
              <w:top w:val="single" w:sz="4" w:space="0" w:color="auto"/>
              <w:left w:val="nil"/>
              <w:bottom w:val="single" w:sz="4" w:space="0" w:color="auto"/>
              <w:right w:val="single" w:sz="4" w:space="0" w:color="auto"/>
            </w:tcBorders>
            <w:shd w:val="clear" w:color="auto" w:fill="auto"/>
            <w:noWrap/>
            <w:vAlign w:val="center"/>
            <w:hideMark/>
          </w:tcPr>
          <w:p w14:paraId="610C46F0" w14:textId="61704683"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8</w:t>
            </w:r>
            <w:r w:rsidR="00981EB1">
              <w:rPr>
                <w:rFonts w:ascii="Calibri" w:eastAsia="Times New Roman" w:hAnsi="Calibri" w:cs="Calibri"/>
                <w:color w:val="000000"/>
                <w:lang w:eastAsia="en-GB"/>
              </w:rPr>
              <w:t>2</w:t>
            </w:r>
          </w:p>
        </w:tc>
        <w:tc>
          <w:tcPr>
            <w:tcW w:w="1683" w:type="dxa"/>
            <w:tcBorders>
              <w:top w:val="single" w:sz="4" w:space="0" w:color="auto"/>
              <w:left w:val="nil"/>
              <w:bottom w:val="single" w:sz="4" w:space="0" w:color="auto"/>
              <w:right w:val="single" w:sz="4" w:space="0" w:color="auto"/>
            </w:tcBorders>
            <w:shd w:val="clear" w:color="auto" w:fill="auto"/>
            <w:noWrap/>
            <w:vAlign w:val="center"/>
            <w:hideMark/>
          </w:tcPr>
          <w:p w14:paraId="610C46F1"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Warfarin</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610C46F2" w14:textId="2B4E0AA0"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8</w:t>
            </w:r>
            <w:r w:rsidR="00981EB1">
              <w:rPr>
                <w:rFonts w:ascii="Calibri" w:eastAsia="Times New Roman" w:hAnsi="Calibri" w:cs="Calibri"/>
                <w:color w:val="000000"/>
                <w:lang w:eastAsia="en-GB"/>
              </w:rPr>
              <w:t>1</w:t>
            </w:r>
          </w:p>
        </w:tc>
      </w:tr>
      <w:tr w:rsidR="007D57FB" w:rsidRPr="002673E6" w14:paraId="610C46FF" w14:textId="77777777" w:rsidTr="005B3E6B">
        <w:trPr>
          <w:trHeight w:val="290"/>
        </w:trPr>
        <w:tc>
          <w:tcPr>
            <w:tcW w:w="1158" w:type="dxa"/>
            <w:vMerge/>
            <w:tcBorders>
              <w:left w:val="single" w:sz="4" w:space="0" w:color="auto"/>
              <w:right w:val="single" w:sz="4" w:space="0" w:color="auto"/>
            </w:tcBorders>
            <w:vAlign w:val="center"/>
            <w:hideMark/>
          </w:tcPr>
          <w:p w14:paraId="610C46F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6F5"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vAlign w:val="center"/>
            <w:hideMark/>
          </w:tcPr>
          <w:p w14:paraId="610C46F6"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vAlign w:val="center"/>
            <w:hideMark/>
          </w:tcPr>
          <w:p w14:paraId="610C46F7"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right w:val="single" w:sz="4" w:space="0" w:color="auto"/>
            </w:tcBorders>
            <w:vAlign w:val="center"/>
            <w:hideMark/>
          </w:tcPr>
          <w:p w14:paraId="610C46F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vAlign w:val="center"/>
            <w:hideMark/>
          </w:tcPr>
          <w:p w14:paraId="610C46F9"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val="restart"/>
            <w:tcBorders>
              <w:top w:val="nil"/>
              <w:left w:val="single" w:sz="4" w:space="0" w:color="auto"/>
              <w:right w:val="single" w:sz="4" w:space="0" w:color="auto"/>
            </w:tcBorders>
            <w:shd w:val="clear" w:color="auto" w:fill="auto"/>
            <w:noWrap/>
            <w:vAlign w:val="center"/>
            <w:hideMark/>
          </w:tcPr>
          <w:p w14:paraId="610C46FA"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B01AB</w:t>
            </w:r>
          </w:p>
        </w:tc>
        <w:tc>
          <w:tcPr>
            <w:tcW w:w="1995" w:type="dxa"/>
            <w:vMerge w:val="restart"/>
            <w:tcBorders>
              <w:top w:val="nil"/>
              <w:left w:val="single" w:sz="4" w:space="0" w:color="auto"/>
              <w:right w:val="single" w:sz="4" w:space="0" w:color="auto"/>
            </w:tcBorders>
            <w:shd w:val="clear" w:color="auto" w:fill="auto"/>
            <w:noWrap/>
            <w:vAlign w:val="center"/>
            <w:hideMark/>
          </w:tcPr>
          <w:p w14:paraId="610C46FB"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Antithrombotic agents heparin group</w:t>
            </w:r>
          </w:p>
        </w:tc>
        <w:tc>
          <w:tcPr>
            <w:tcW w:w="585" w:type="dxa"/>
            <w:vMerge w:val="restart"/>
            <w:tcBorders>
              <w:top w:val="nil"/>
              <w:left w:val="single" w:sz="4" w:space="0" w:color="auto"/>
              <w:right w:val="single" w:sz="4" w:space="0" w:color="auto"/>
            </w:tcBorders>
            <w:shd w:val="clear" w:color="auto" w:fill="auto"/>
            <w:noWrap/>
            <w:vAlign w:val="center"/>
            <w:hideMark/>
          </w:tcPr>
          <w:p w14:paraId="610C46FC"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84</w:t>
            </w:r>
          </w:p>
        </w:tc>
        <w:tc>
          <w:tcPr>
            <w:tcW w:w="1683" w:type="dxa"/>
            <w:tcBorders>
              <w:top w:val="nil"/>
              <w:left w:val="nil"/>
              <w:bottom w:val="single" w:sz="4" w:space="0" w:color="auto"/>
              <w:right w:val="single" w:sz="4" w:space="0" w:color="auto"/>
            </w:tcBorders>
            <w:shd w:val="clear" w:color="auto" w:fill="auto"/>
            <w:noWrap/>
            <w:vAlign w:val="center"/>
            <w:hideMark/>
          </w:tcPr>
          <w:p w14:paraId="610C46FD"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Enoxaparin</w:t>
            </w:r>
          </w:p>
        </w:tc>
        <w:tc>
          <w:tcPr>
            <w:tcW w:w="526" w:type="dxa"/>
            <w:tcBorders>
              <w:top w:val="nil"/>
              <w:left w:val="nil"/>
              <w:bottom w:val="single" w:sz="4" w:space="0" w:color="auto"/>
              <w:right w:val="single" w:sz="4" w:space="0" w:color="auto"/>
            </w:tcBorders>
            <w:shd w:val="clear" w:color="auto" w:fill="auto"/>
            <w:noWrap/>
            <w:vAlign w:val="center"/>
            <w:hideMark/>
          </w:tcPr>
          <w:p w14:paraId="610C46FE"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40</w:t>
            </w:r>
          </w:p>
        </w:tc>
      </w:tr>
      <w:tr w:rsidR="007D57FB" w:rsidRPr="002673E6" w14:paraId="610C470B" w14:textId="77777777" w:rsidTr="005B3E6B">
        <w:trPr>
          <w:trHeight w:val="290"/>
        </w:trPr>
        <w:tc>
          <w:tcPr>
            <w:tcW w:w="1158" w:type="dxa"/>
            <w:vMerge/>
            <w:tcBorders>
              <w:left w:val="single" w:sz="4" w:space="0" w:color="auto"/>
              <w:right w:val="single" w:sz="4" w:space="0" w:color="auto"/>
            </w:tcBorders>
            <w:vAlign w:val="center"/>
            <w:hideMark/>
          </w:tcPr>
          <w:p w14:paraId="610C4700"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701"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vAlign w:val="center"/>
            <w:hideMark/>
          </w:tcPr>
          <w:p w14:paraId="610C4702"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shd w:val="clear" w:color="auto" w:fill="auto"/>
            <w:vAlign w:val="center"/>
            <w:hideMark/>
          </w:tcPr>
          <w:p w14:paraId="610C4703"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right w:val="single" w:sz="4" w:space="0" w:color="auto"/>
            </w:tcBorders>
            <w:shd w:val="clear" w:color="auto" w:fill="auto"/>
            <w:vAlign w:val="center"/>
            <w:hideMark/>
          </w:tcPr>
          <w:p w14:paraId="610C470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shd w:val="clear" w:color="auto" w:fill="auto"/>
            <w:vAlign w:val="center"/>
            <w:hideMark/>
          </w:tcPr>
          <w:p w14:paraId="610C4705"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tcBorders>
              <w:left w:val="single" w:sz="4" w:space="0" w:color="auto"/>
              <w:right w:val="single" w:sz="4" w:space="0" w:color="auto"/>
            </w:tcBorders>
            <w:vAlign w:val="center"/>
            <w:hideMark/>
          </w:tcPr>
          <w:p w14:paraId="610C4706"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995" w:type="dxa"/>
            <w:vMerge/>
            <w:tcBorders>
              <w:left w:val="single" w:sz="4" w:space="0" w:color="auto"/>
              <w:right w:val="single" w:sz="4" w:space="0" w:color="auto"/>
            </w:tcBorders>
            <w:vAlign w:val="center"/>
            <w:hideMark/>
          </w:tcPr>
          <w:p w14:paraId="610C4707"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vAlign w:val="center"/>
            <w:hideMark/>
          </w:tcPr>
          <w:p w14:paraId="610C470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683" w:type="dxa"/>
            <w:tcBorders>
              <w:top w:val="nil"/>
              <w:left w:val="nil"/>
              <w:bottom w:val="single" w:sz="4" w:space="0" w:color="auto"/>
              <w:right w:val="single" w:sz="4" w:space="0" w:color="auto"/>
            </w:tcBorders>
            <w:shd w:val="clear" w:color="auto" w:fill="auto"/>
            <w:noWrap/>
            <w:vAlign w:val="center"/>
            <w:hideMark/>
          </w:tcPr>
          <w:p w14:paraId="610C4709"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Dalteparin</w:t>
            </w:r>
          </w:p>
        </w:tc>
        <w:tc>
          <w:tcPr>
            <w:tcW w:w="526" w:type="dxa"/>
            <w:tcBorders>
              <w:top w:val="nil"/>
              <w:left w:val="nil"/>
              <w:bottom w:val="single" w:sz="4" w:space="0" w:color="auto"/>
              <w:right w:val="single" w:sz="4" w:space="0" w:color="auto"/>
            </w:tcBorders>
            <w:shd w:val="clear" w:color="auto" w:fill="auto"/>
            <w:noWrap/>
            <w:vAlign w:val="center"/>
            <w:hideMark/>
          </w:tcPr>
          <w:p w14:paraId="610C470A"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32</w:t>
            </w:r>
          </w:p>
        </w:tc>
      </w:tr>
      <w:tr w:rsidR="007D57FB" w:rsidRPr="002673E6" w14:paraId="610C4717" w14:textId="77777777" w:rsidTr="005B3E6B">
        <w:trPr>
          <w:trHeight w:val="580"/>
        </w:trPr>
        <w:tc>
          <w:tcPr>
            <w:tcW w:w="1158" w:type="dxa"/>
            <w:vMerge/>
            <w:tcBorders>
              <w:left w:val="single" w:sz="4" w:space="0" w:color="auto"/>
              <w:right w:val="single" w:sz="4" w:space="0" w:color="auto"/>
            </w:tcBorders>
            <w:shd w:val="clear" w:color="auto" w:fill="auto"/>
            <w:vAlign w:val="center"/>
            <w:hideMark/>
          </w:tcPr>
          <w:p w14:paraId="610C470C"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70D"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shd w:val="clear" w:color="auto" w:fill="auto"/>
            <w:vAlign w:val="center"/>
            <w:hideMark/>
          </w:tcPr>
          <w:p w14:paraId="610C470E"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vAlign w:val="center"/>
            <w:hideMark/>
          </w:tcPr>
          <w:p w14:paraId="610C470F"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right w:val="single" w:sz="4" w:space="0" w:color="auto"/>
            </w:tcBorders>
            <w:vAlign w:val="center"/>
            <w:hideMark/>
          </w:tcPr>
          <w:p w14:paraId="610C4710"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vAlign w:val="center"/>
            <w:hideMark/>
          </w:tcPr>
          <w:p w14:paraId="610C4711"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tcBorders>
              <w:left w:val="single" w:sz="4" w:space="0" w:color="auto"/>
              <w:right w:val="single" w:sz="4" w:space="0" w:color="auto"/>
            </w:tcBorders>
            <w:vAlign w:val="center"/>
            <w:hideMark/>
          </w:tcPr>
          <w:p w14:paraId="610C4712"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995" w:type="dxa"/>
            <w:vMerge/>
            <w:tcBorders>
              <w:left w:val="single" w:sz="4" w:space="0" w:color="auto"/>
              <w:right w:val="single" w:sz="4" w:space="0" w:color="auto"/>
            </w:tcBorders>
            <w:vAlign w:val="center"/>
            <w:hideMark/>
          </w:tcPr>
          <w:p w14:paraId="610C4713"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vAlign w:val="center"/>
            <w:hideMark/>
          </w:tcPr>
          <w:p w14:paraId="610C471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683" w:type="dxa"/>
            <w:tcBorders>
              <w:top w:val="nil"/>
              <w:left w:val="nil"/>
              <w:right w:val="single" w:sz="4" w:space="0" w:color="auto"/>
            </w:tcBorders>
            <w:shd w:val="clear" w:color="auto" w:fill="auto"/>
            <w:noWrap/>
            <w:vAlign w:val="center"/>
            <w:hideMark/>
          </w:tcPr>
          <w:p w14:paraId="610C4715"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Heparin</w:t>
            </w:r>
          </w:p>
        </w:tc>
        <w:tc>
          <w:tcPr>
            <w:tcW w:w="526" w:type="dxa"/>
            <w:tcBorders>
              <w:top w:val="nil"/>
              <w:left w:val="nil"/>
              <w:right w:val="single" w:sz="4" w:space="0" w:color="auto"/>
            </w:tcBorders>
            <w:shd w:val="clear" w:color="auto" w:fill="auto"/>
            <w:noWrap/>
            <w:vAlign w:val="center"/>
            <w:hideMark/>
          </w:tcPr>
          <w:p w14:paraId="610C4716"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12</w:t>
            </w:r>
          </w:p>
        </w:tc>
      </w:tr>
      <w:tr w:rsidR="007D57FB" w:rsidRPr="00606AE1" w14:paraId="610C4723" w14:textId="77777777" w:rsidTr="005B3E6B">
        <w:trPr>
          <w:trHeight w:val="90"/>
        </w:trPr>
        <w:tc>
          <w:tcPr>
            <w:tcW w:w="1158" w:type="dxa"/>
            <w:tcBorders>
              <w:left w:val="single" w:sz="4" w:space="0" w:color="auto"/>
              <w:bottom w:val="nil"/>
              <w:right w:val="single" w:sz="4" w:space="0" w:color="auto"/>
            </w:tcBorders>
            <w:shd w:val="clear" w:color="000000" w:fill="E7E6E6"/>
            <w:vAlign w:val="center"/>
            <w:hideMark/>
          </w:tcPr>
          <w:p w14:paraId="610C4718"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5" w:type="dxa"/>
            <w:tcBorders>
              <w:left w:val="nil"/>
              <w:bottom w:val="nil"/>
              <w:right w:val="single" w:sz="4" w:space="0" w:color="auto"/>
            </w:tcBorders>
            <w:shd w:val="clear" w:color="000000" w:fill="E7E6E6"/>
            <w:vAlign w:val="center"/>
            <w:hideMark/>
          </w:tcPr>
          <w:p w14:paraId="610C4719"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84" w:type="dxa"/>
            <w:tcBorders>
              <w:left w:val="nil"/>
              <w:bottom w:val="nil"/>
              <w:right w:val="single" w:sz="4" w:space="0" w:color="auto"/>
            </w:tcBorders>
            <w:shd w:val="clear" w:color="000000" w:fill="E7E6E6"/>
            <w:vAlign w:val="center"/>
            <w:hideMark/>
          </w:tcPr>
          <w:p w14:paraId="610C471A"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00" w:type="dxa"/>
            <w:tcBorders>
              <w:left w:val="nil"/>
              <w:bottom w:val="nil"/>
              <w:right w:val="single" w:sz="4" w:space="0" w:color="auto"/>
            </w:tcBorders>
            <w:shd w:val="clear" w:color="000000" w:fill="E7E6E6"/>
            <w:vAlign w:val="center"/>
            <w:hideMark/>
          </w:tcPr>
          <w:p w14:paraId="610C471B"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003" w:type="dxa"/>
            <w:tcBorders>
              <w:left w:val="nil"/>
              <w:bottom w:val="nil"/>
              <w:right w:val="single" w:sz="4" w:space="0" w:color="auto"/>
            </w:tcBorders>
            <w:shd w:val="clear" w:color="000000" w:fill="E7E6E6"/>
            <w:vAlign w:val="center"/>
            <w:hideMark/>
          </w:tcPr>
          <w:p w14:paraId="610C471C"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85" w:type="dxa"/>
            <w:tcBorders>
              <w:left w:val="nil"/>
              <w:bottom w:val="nil"/>
              <w:right w:val="single" w:sz="4" w:space="0" w:color="auto"/>
            </w:tcBorders>
            <w:shd w:val="clear" w:color="000000" w:fill="E7E6E6"/>
            <w:vAlign w:val="center"/>
            <w:hideMark/>
          </w:tcPr>
          <w:p w14:paraId="610C471D"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22" w:type="dxa"/>
            <w:tcBorders>
              <w:left w:val="nil"/>
              <w:bottom w:val="nil"/>
              <w:right w:val="single" w:sz="4" w:space="0" w:color="auto"/>
            </w:tcBorders>
            <w:shd w:val="clear" w:color="000000" w:fill="E7E6E6"/>
            <w:vAlign w:val="center"/>
            <w:hideMark/>
          </w:tcPr>
          <w:p w14:paraId="610C471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95" w:type="dxa"/>
            <w:tcBorders>
              <w:left w:val="nil"/>
              <w:bottom w:val="nil"/>
              <w:right w:val="single" w:sz="4" w:space="0" w:color="auto"/>
            </w:tcBorders>
            <w:shd w:val="clear" w:color="000000" w:fill="E7E6E6"/>
            <w:vAlign w:val="center"/>
            <w:hideMark/>
          </w:tcPr>
          <w:p w14:paraId="610C471F"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85" w:type="dxa"/>
            <w:tcBorders>
              <w:left w:val="nil"/>
              <w:bottom w:val="nil"/>
              <w:right w:val="single" w:sz="4" w:space="0" w:color="auto"/>
            </w:tcBorders>
            <w:shd w:val="clear" w:color="000000" w:fill="E7E6E6"/>
            <w:vAlign w:val="center"/>
            <w:hideMark/>
          </w:tcPr>
          <w:p w14:paraId="610C4720"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83" w:type="dxa"/>
            <w:tcBorders>
              <w:left w:val="nil"/>
              <w:bottom w:val="nil"/>
              <w:right w:val="single" w:sz="4" w:space="0" w:color="auto"/>
            </w:tcBorders>
            <w:shd w:val="clear" w:color="000000" w:fill="E7E6E6"/>
            <w:vAlign w:val="center"/>
            <w:hideMark/>
          </w:tcPr>
          <w:p w14:paraId="610C4721"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26" w:type="dxa"/>
            <w:tcBorders>
              <w:left w:val="nil"/>
              <w:bottom w:val="nil"/>
              <w:right w:val="single" w:sz="4" w:space="0" w:color="auto"/>
            </w:tcBorders>
            <w:shd w:val="clear" w:color="000000" w:fill="E7E6E6"/>
            <w:vAlign w:val="center"/>
            <w:hideMark/>
          </w:tcPr>
          <w:p w14:paraId="610C4722"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2673E6" w14:paraId="610C4733" w14:textId="77777777" w:rsidTr="005B3E6B">
        <w:trPr>
          <w:trHeight w:val="290"/>
        </w:trPr>
        <w:tc>
          <w:tcPr>
            <w:tcW w:w="1158" w:type="dxa"/>
            <w:vMerge w:val="restart"/>
            <w:tcBorders>
              <w:top w:val="single" w:sz="4" w:space="0" w:color="auto"/>
              <w:left w:val="single" w:sz="4" w:space="0" w:color="auto"/>
              <w:right w:val="single" w:sz="4" w:space="0" w:color="auto"/>
            </w:tcBorders>
            <w:shd w:val="clear" w:color="auto" w:fill="auto"/>
            <w:vAlign w:val="center"/>
            <w:hideMark/>
          </w:tcPr>
          <w:p w14:paraId="610C4724" w14:textId="77777777" w:rsidR="007D57FB" w:rsidRPr="00734C70" w:rsidRDefault="007D57FB" w:rsidP="005B3E6B">
            <w:pPr>
              <w:spacing w:after="0" w:line="240" w:lineRule="auto"/>
              <w:rPr>
                <w:rFonts w:ascii="Calibri" w:eastAsia="Times New Roman" w:hAnsi="Calibri" w:cs="Calibri"/>
                <w:i/>
                <w:color w:val="000000"/>
                <w:lang w:eastAsia="en-GB"/>
              </w:rPr>
            </w:pPr>
            <w:r w:rsidRPr="00734C70">
              <w:rPr>
                <w:rFonts w:ascii="Calibri" w:eastAsia="Times New Roman" w:hAnsi="Calibri" w:cs="Calibri"/>
                <w:i/>
                <w:color w:val="000000"/>
                <w:lang w:eastAsia="en-GB"/>
              </w:rPr>
              <w:t xml:space="preserve">Contd. </w:t>
            </w:r>
          </w:p>
          <w:p w14:paraId="610C4725"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w:t>
            </w:r>
          </w:p>
        </w:tc>
        <w:tc>
          <w:tcPr>
            <w:tcW w:w="2835" w:type="dxa"/>
            <w:vMerge w:val="restart"/>
            <w:tcBorders>
              <w:top w:val="single" w:sz="4" w:space="0" w:color="auto"/>
              <w:left w:val="single" w:sz="4" w:space="0" w:color="auto"/>
              <w:right w:val="single" w:sz="4" w:space="0" w:color="auto"/>
            </w:tcBorders>
            <w:shd w:val="clear" w:color="auto" w:fill="auto"/>
            <w:vAlign w:val="center"/>
            <w:hideMark/>
          </w:tcPr>
          <w:p w14:paraId="610C4726" w14:textId="77777777" w:rsidR="007D57FB" w:rsidRPr="00734C70" w:rsidRDefault="007D57FB" w:rsidP="005B3E6B">
            <w:pPr>
              <w:spacing w:after="0" w:line="240" w:lineRule="auto"/>
              <w:rPr>
                <w:rFonts w:ascii="Calibri" w:eastAsia="Times New Roman" w:hAnsi="Calibri" w:cs="Calibri"/>
                <w:i/>
                <w:color w:val="000000"/>
                <w:lang w:eastAsia="en-GB"/>
              </w:rPr>
            </w:pPr>
            <w:r w:rsidRPr="00734C70">
              <w:rPr>
                <w:rFonts w:ascii="Calibri" w:eastAsia="Times New Roman" w:hAnsi="Calibri" w:cs="Calibri"/>
                <w:i/>
                <w:color w:val="000000"/>
                <w:lang w:eastAsia="en-GB"/>
              </w:rPr>
              <w:t xml:space="preserve">Contd. </w:t>
            </w:r>
          </w:p>
          <w:p w14:paraId="610C4727"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Antithrombotic Agents</w:t>
            </w:r>
          </w:p>
        </w:tc>
        <w:tc>
          <w:tcPr>
            <w:tcW w:w="584" w:type="dxa"/>
            <w:vMerge w:val="restart"/>
            <w:tcBorders>
              <w:top w:val="single" w:sz="4" w:space="0" w:color="auto"/>
              <w:left w:val="single" w:sz="4" w:space="0" w:color="auto"/>
              <w:right w:val="single" w:sz="4" w:space="0" w:color="auto"/>
            </w:tcBorders>
            <w:shd w:val="clear" w:color="auto" w:fill="auto"/>
            <w:vAlign w:val="center"/>
            <w:hideMark/>
          </w:tcPr>
          <w:p w14:paraId="610C472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val="restart"/>
            <w:tcBorders>
              <w:top w:val="single" w:sz="4" w:space="0" w:color="auto"/>
              <w:left w:val="single" w:sz="4" w:space="0" w:color="auto"/>
              <w:right w:val="single" w:sz="4" w:space="0" w:color="auto"/>
            </w:tcBorders>
            <w:shd w:val="clear" w:color="auto" w:fill="auto"/>
            <w:vAlign w:val="center"/>
            <w:hideMark/>
          </w:tcPr>
          <w:p w14:paraId="610C4729" w14:textId="77777777" w:rsidR="007D57FB" w:rsidRPr="00734C70" w:rsidRDefault="007D57FB" w:rsidP="005B3E6B">
            <w:pPr>
              <w:spacing w:after="0" w:line="240" w:lineRule="auto"/>
              <w:rPr>
                <w:rFonts w:ascii="Calibri" w:eastAsia="Times New Roman" w:hAnsi="Calibri" w:cs="Calibri"/>
                <w:i/>
                <w:color w:val="000000"/>
                <w:lang w:eastAsia="en-GB"/>
              </w:rPr>
            </w:pPr>
            <w:r w:rsidRPr="00734C70">
              <w:rPr>
                <w:rFonts w:ascii="Calibri" w:eastAsia="Times New Roman" w:hAnsi="Calibri" w:cs="Calibri"/>
                <w:i/>
                <w:color w:val="000000"/>
                <w:lang w:eastAsia="en-GB"/>
              </w:rPr>
              <w:t xml:space="preserve">Contd. </w:t>
            </w:r>
          </w:p>
          <w:p w14:paraId="610C472A"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B01A</w:t>
            </w:r>
          </w:p>
        </w:tc>
        <w:tc>
          <w:tcPr>
            <w:tcW w:w="2003" w:type="dxa"/>
            <w:vMerge w:val="restart"/>
            <w:tcBorders>
              <w:top w:val="single" w:sz="4" w:space="0" w:color="auto"/>
              <w:left w:val="single" w:sz="4" w:space="0" w:color="auto"/>
              <w:right w:val="single" w:sz="4" w:space="0" w:color="auto"/>
            </w:tcBorders>
            <w:shd w:val="clear" w:color="auto" w:fill="auto"/>
            <w:vAlign w:val="center"/>
            <w:hideMark/>
          </w:tcPr>
          <w:p w14:paraId="610C472B" w14:textId="77777777" w:rsidR="007D57FB" w:rsidRPr="00734C70" w:rsidRDefault="007D57FB" w:rsidP="005B3E6B">
            <w:pPr>
              <w:spacing w:after="0" w:line="240" w:lineRule="auto"/>
              <w:rPr>
                <w:rFonts w:ascii="Calibri" w:eastAsia="Times New Roman" w:hAnsi="Calibri" w:cs="Calibri"/>
                <w:i/>
                <w:color w:val="000000"/>
                <w:lang w:eastAsia="en-GB"/>
              </w:rPr>
            </w:pPr>
            <w:r w:rsidRPr="00734C70">
              <w:rPr>
                <w:rFonts w:ascii="Calibri" w:eastAsia="Times New Roman" w:hAnsi="Calibri" w:cs="Calibri"/>
                <w:i/>
                <w:color w:val="000000"/>
                <w:lang w:eastAsia="en-GB"/>
              </w:rPr>
              <w:t xml:space="preserve">Contd. </w:t>
            </w:r>
          </w:p>
          <w:p w14:paraId="610C472C"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Antithrombotic agents</w:t>
            </w:r>
          </w:p>
        </w:tc>
        <w:tc>
          <w:tcPr>
            <w:tcW w:w="585" w:type="dxa"/>
            <w:vMerge w:val="restart"/>
            <w:tcBorders>
              <w:top w:val="single" w:sz="4" w:space="0" w:color="auto"/>
              <w:left w:val="single" w:sz="4" w:space="0" w:color="auto"/>
              <w:right w:val="single" w:sz="4" w:space="0" w:color="auto"/>
            </w:tcBorders>
            <w:shd w:val="clear" w:color="auto" w:fill="auto"/>
            <w:vAlign w:val="center"/>
            <w:hideMark/>
          </w:tcPr>
          <w:p w14:paraId="610C472D"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2E"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B01AC</w:t>
            </w:r>
          </w:p>
        </w:tc>
        <w:tc>
          <w:tcPr>
            <w:tcW w:w="19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2F"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w:t>
            </w:r>
            <w:r w:rsidRPr="002673E6">
              <w:rPr>
                <w:rFonts w:ascii="Calibri" w:eastAsia="Times New Roman" w:hAnsi="Calibri" w:cs="Calibri"/>
                <w:color w:val="000000"/>
                <w:lang w:eastAsia="en-GB"/>
              </w:rPr>
              <w:t>ntithrombotic agents platelet aggregation inhibitors excl. heparin</w:t>
            </w:r>
          </w:p>
        </w:tc>
        <w:tc>
          <w:tcPr>
            <w:tcW w:w="5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30" w14:textId="6BFA595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7</w:t>
            </w:r>
            <w:r w:rsidR="00981EB1">
              <w:rPr>
                <w:rFonts w:ascii="Calibri" w:eastAsia="Times New Roman" w:hAnsi="Calibri" w:cs="Calibri"/>
                <w:color w:val="000000"/>
                <w:lang w:eastAsia="en-GB"/>
              </w:rPr>
              <w:t>7</w:t>
            </w:r>
          </w:p>
        </w:tc>
        <w:tc>
          <w:tcPr>
            <w:tcW w:w="1683" w:type="dxa"/>
            <w:tcBorders>
              <w:top w:val="nil"/>
              <w:left w:val="nil"/>
              <w:bottom w:val="single" w:sz="4" w:space="0" w:color="auto"/>
              <w:right w:val="single" w:sz="4" w:space="0" w:color="auto"/>
            </w:tcBorders>
            <w:shd w:val="clear" w:color="auto" w:fill="auto"/>
            <w:noWrap/>
            <w:vAlign w:val="center"/>
            <w:hideMark/>
          </w:tcPr>
          <w:p w14:paraId="610C4731"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Aspirin</w:t>
            </w:r>
          </w:p>
        </w:tc>
        <w:tc>
          <w:tcPr>
            <w:tcW w:w="526" w:type="dxa"/>
            <w:tcBorders>
              <w:top w:val="nil"/>
              <w:left w:val="nil"/>
              <w:bottom w:val="single" w:sz="4" w:space="0" w:color="auto"/>
              <w:right w:val="single" w:sz="4" w:space="0" w:color="auto"/>
            </w:tcBorders>
            <w:shd w:val="clear" w:color="auto" w:fill="auto"/>
            <w:noWrap/>
            <w:vAlign w:val="center"/>
            <w:hideMark/>
          </w:tcPr>
          <w:p w14:paraId="610C4732" w14:textId="7E4247CD"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2</w:t>
            </w:r>
            <w:r w:rsidR="00981EB1">
              <w:rPr>
                <w:rFonts w:ascii="Calibri" w:eastAsia="Times New Roman" w:hAnsi="Calibri" w:cs="Calibri"/>
                <w:color w:val="000000"/>
                <w:lang w:eastAsia="en-GB"/>
              </w:rPr>
              <w:t>3</w:t>
            </w:r>
          </w:p>
        </w:tc>
      </w:tr>
      <w:tr w:rsidR="007D57FB" w:rsidRPr="002673E6" w14:paraId="610C473F" w14:textId="77777777" w:rsidTr="005B3E6B">
        <w:trPr>
          <w:trHeight w:val="290"/>
        </w:trPr>
        <w:tc>
          <w:tcPr>
            <w:tcW w:w="1158" w:type="dxa"/>
            <w:vMerge/>
            <w:tcBorders>
              <w:left w:val="single" w:sz="4" w:space="0" w:color="auto"/>
              <w:right w:val="single" w:sz="4" w:space="0" w:color="auto"/>
            </w:tcBorders>
            <w:vAlign w:val="center"/>
            <w:hideMark/>
          </w:tcPr>
          <w:p w14:paraId="610C473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735"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vAlign w:val="center"/>
            <w:hideMark/>
          </w:tcPr>
          <w:p w14:paraId="610C4736"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vAlign w:val="center"/>
            <w:hideMark/>
          </w:tcPr>
          <w:p w14:paraId="610C4737"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right w:val="single" w:sz="4" w:space="0" w:color="auto"/>
            </w:tcBorders>
            <w:vAlign w:val="center"/>
            <w:hideMark/>
          </w:tcPr>
          <w:p w14:paraId="610C473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vAlign w:val="center"/>
            <w:hideMark/>
          </w:tcPr>
          <w:p w14:paraId="610C4739"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tcBorders>
              <w:top w:val="nil"/>
              <w:left w:val="single" w:sz="4" w:space="0" w:color="auto"/>
              <w:bottom w:val="single" w:sz="4" w:space="0" w:color="auto"/>
              <w:right w:val="single" w:sz="4" w:space="0" w:color="auto"/>
            </w:tcBorders>
            <w:vAlign w:val="center"/>
            <w:hideMark/>
          </w:tcPr>
          <w:p w14:paraId="610C473A"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995" w:type="dxa"/>
            <w:vMerge/>
            <w:tcBorders>
              <w:top w:val="nil"/>
              <w:left w:val="single" w:sz="4" w:space="0" w:color="auto"/>
              <w:bottom w:val="single" w:sz="4" w:space="0" w:color="auto"/>
              <w:right w:val="single" w:sz="4" w:space="0" w:color="auto"/>
            </w:tcBorders>
            <w:vAlign w:val="center"/>
            <w:hideMark/>
          </w:tcPr>
          <w:p w14:paraId="610C473B"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top w:val="nil"/>
              <w:left w:val="single" w:sz="4" w:space="0" w:color="auto"/>
              <w:bottom w:val="single" w:sz="4" w:space="0" w:color="auto"/>
              <w:right w:val="single" w:sz="4" w:space="0" w:color="auto"/>
            </w:tcBorders>
            <w:vAlign w:val="center"/>
            <w:hideMark/>
          </w:tcPr>
          <w:p w14:paraId="610C473C"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683" w:type="dxa"/>
            <w:tcBorders>
              <w:top w:val="nil"/>
              <w:left w:val="nil"/>
              <w:bottom w:val="single" w:sz="4" w:space="0" w:color="auto"/>
              <w:right w:val="single" w:sz="4" w:space="0" w:color="auto"/>
            </w:tcBorders>
            <w:shd w:val="clear" w:color="auto" w:fill="auto"/>
            <w:noWrap/>
            <w:vAlign w:val="center"/>
            <w:hideMark/>
          </w:tcPr>
          <w:p w14:paraId="610C473D"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Unspecified antiplatelets</w:t>
            </w:r>
          </w:p>
        </w:tc>
        <w:tc>
          <w:tcPr>
            <w:tcW w:w="526" w:type="dxa"/>
            <w:tcBorders>
              <w:top w:val="nil"/>
              <w:left w:val="nil"/>
              <w:bottom w:val="single" w:sz="4" w:space="0" w:color="auto"/>
              <w:right w:val="single" w:sz="4" w:space="0" w:color="auto"/>
            </w:tcBorders>
            <w:shd w:val="clear" w:color="auto" w:fill="auto"/>
            <w:noWrap/>
            <w:vAlign w:val="center"/>
            <w:hideMark/>
          </w:tcPr>
          <w:p w14:paraId="610C473E"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36</w:t>
            </w:r>
          </w:p>
        </w:tc>
      </w:tr>
      <w:tr w:rsidR="007D57FB" w:rsidRPr="002673E6" w14:paraId="610C474B" w14:textId="77777777" w:rsidTr="005B3E6B">
        <w:trPr>
          <w:trHeight w:val="290"/>
        </w:trPr>
        <w:tc>
          <w:tcPr>
            <w:tcW w:w="1158" w:type="dxa"/>
            <w:vMerge/>
            <w:tcBorders>
              <w:left w:val="single" w:sz="4" w:space="0" w:color="auto"/>
              <w:right w:val="single" w:sz="4" w:space="0" w:color="auto"/>
            </w:tcBorders>
            <w:shd w:val="clear" w:color="auto" w:fill="auto"/>
            <w:vAlign w:val="center"/>
            <w:hideMark/>
          </w:tcPr>
          <w:p w14:paraId="610C4740"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shd w:val="clear" w:color="auto" w:fill="auto"/>
            <w:vAlign w:val="center"/>
            <w:hideMark/>
          </w:tcPr>
          <w:p w14:paraId="610C4741"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shd w:val="clear" w:color="auto" w:fill="auto"/>
            <w:vAlign w:val="center"/>
            <w:hideMark/>
          </w:tcPr>
          <w:p w14:paraId="610C4742"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right w:val="single" w:sz="4" w:space="0" w:color="auto"/>
            </w:tcBorders>
            <w:shd w:val="clear" w:color="auto" w:fill="auto"/>
            <w:vAlign w:val="center"/>
            <w:hideMark/>
          </w:tcPr>
          <w:p w14:paraId="610C4743"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right w:val="single" w:sz="4" w:space="0" w:color="auto"/>
            </w:tcBorders>
            <w:shd w:val="clear" w:color="auto" w:fill="auto"/>
            <w:vAlign w:val="center"/>
            <w:hideMark/>
          </w:tcPr>
          <w:p w14:paraId="610C474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right w:val="single" w:sz="4" w:space="0" w:color="auto"/>
            </w:tcBorders>
            <w:shd w:val="clear" w:color="auto" w:fill="auto"/>
            <w:vAlign w:val="center"/>
            <w:hideMark/>
          </w:tcPr>
          <w:p w14:paraId="610C4745"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vMerge/>
            <w:tcBorders>
              <w:top w:val="nil"/>
              <w:left w:val="single" w:sz="4" w:space="0" w:color="auto"/>
              <w:bottom w:val="single" w:sz="4" w:space="0" w:color="auto"/>
              <w:right w:val="single" w:sz="4" w:space="0" w:color="auto"/>
            </w:tcBorders>
            <w:vAlign w:val="center"/>
            <w:hideMark/>
          </w:tcPr>
          <w:p w14:paraId="610C4746"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995" w:type="dxa"/>
            <w:vMerge/>
            <w:tcBorders>
              <w:top w:val="nil"/>
              <w:left w:val="single" w:sz="4" w:space="0" w:color="auto"/>
              <w:bottom w:val="single" w:sz="4" w:space="0" w:color="auto"/>
              <w:right w:val="single" w:sz="4" w:space="0" w:color="auto"/>
            </w:tcBorders>
            <w:vAlign w:val="center"/>
            <w:hideMark/>
          </w:tcPr>
          <w:p w14:paraId="610C4747"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top w:val="nil"/>
              <w:left w:val="single" w:sz="4" w:space="0" w:color="auto"/>
              <w:bottom w:val="single" w:sz="4" w:space="0" w:color="auto"/>
              <w:right w:val="single" w:sz="4" w:space="0" w:color="auto"/>
            </w:tcBorders>
            <w:vAlign w:val="center"/>
            <w:hideMark/>
          </w:tcPr>
          <w:p w14:paraId="610C474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1683" w:type="dxa"/>
            <w:tcBorders>
              <w:top w:val="nil"/>
              <w:left w:val="nil"/>
              <w:bottom w:val="single" w:sz="4" w:space="0" w:color="auto"/>
              <w:right w:val="single" w:sz="4" w:space="0" w:color="auto"/>
            </w:tcBorders>
            <w:shd w:val="clear" w:color="auto" w:fill="auto"/>
            <w:noWrap/>
            <w:vAlign w:val="center"/>
            <w:hideMark/>
          </w:tcPr>
          <w:p w14:paraId="610C4749"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Clopidogrel</w:t>
            </w:r>
          </w:p>
        </w:tc>
        <w:tc>
          <w:tcPr>
            <w:tcW w:w="526" w:type="dxa"/>
            <w:tcBorders>
              <w:top w:val="nil"/>
              <w:left w:val="nil"/>
              <w:bottom w:val="single" w:sz="4" w:space="0" w:color="auto"/>
              <w:right w:val="single" w:sz="4" w:space="0" w:color="auto"/>
            </w:tcBorders>
            <w:shd w:val="clear" w:color="auto" w:fill="auto"/>
            <w:noWrap/>
            <w:vAlign w:val="center"/>
            <w:hideMark/>
          </w:tcPr>
          <w:p w14:paraId="610C474A"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10</w:t>
            </w:r>
          </w:p>
        </w:tc>
      </w:tr>
      <w:tr w:rsidR="007D57FB" w:rsidRPr="002673E6" w14:paraId="610C4757" w14:textId="77777777" w:rsidTr="005B3E6B">
        <w:trPr>
          <w:trHeight w:val="290"/>
        </w:trPr>
        <w:tc>
          <w:tcPr>
            <w:tcW w:w="1158" w:type="dxa"/>
            <w:vMerge/>
            <w:tcBorders>
              <w:left w:val="single" w:sz="4" w:space="0" w:color="auto"/>
              <w:right w:val="single" w:sz="4" w:space="0" w:color="auto"/>
            </w:tcBorders>
            <w:vAlign w:val="center"/>
            <w:hideMark/>
          </w:tcPr>
          <w:p w14:paraId="610C474C"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right w:val="single" w:sz="4" w:space="0" w:color="auto"/>
            </w:tcBorders>
            <w:vAlign w:val="center"/>
            <w:hideMark/>
          </w:tcPr>
          <w:p w14:paraId="610C474D"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right w:val="single" w:sz="4" w:space="0" w:color="auto"/>
            </w:tcBorders>
            <w:vAlign w:val="center"/>
            <w:hideMark/>
          </w:tcPr>
          <w:p w14:paraId="610C474E"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left w:val="single" w:sz="4" w:space="0" w:color="auto"/>
              <w:bottom w:val="single" w:sz="4" w:space="0" w:color="auto"/>
              <w:right w:val="single" w:sz="4" w:space="0" w:color="auto"/>
            </w:tcBorders>
            <w:vAlign w:val="center"/>
            <w:hideMark/>
          </w:tcPr>
          <w:p w14:paraId="610C474F"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left w:val="single" w:sz="4" w:space="0" w:color="auto"/>
              <w:bottom w:val="single" w:sz="4" w:space="0" w:color="auto"/>
              <w:right w:val="single" w:sz="4" w:space="0" w:color="auto"/>
            </w:tcBorders>
            <w:vAlign w:val="center"/>
            <w:hideMark/>
          </w:tcPr>
          <w:p w14:paraId="610C4750"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left w:val="single" w:sz="4" w:space="0" w:color="auto"/>
              <w:bottom w:val="single" w:sz="4" w:space="0" w:color="auto"/>
              <w:right w:val="single" w:sz="4" w:space="0" w:color="auto"/>
            </w:tcBorders>
            <w:vAlign w:val="center"/>
            <w:hideMark/>
          </w:tcPr>
          <w:p w14:paraId="610C4751"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tcBorders>
              <w:top w:val="nil"/>
              <w:left w:val="nil"/>
              <w:bottom w:val="single" w:sz="4" w:space="0" w:color="auto"/>
              <w:right w:val="single" w:sz="4" w:space="0" w:color="auto"/>
            </w:tcBorders>
            <w:shd w:val="clear" w:color="auto" w:fill="auto"/>
            <w:noWrap/>
            <w:vAlign w:val="center"/>
            <w:hideMark/>
          </w:tcPr>
          <w:p w14:paraId="610C4752"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B01AD</w:t>
            </w:r>
          </w:p>
        </w:tc>
        <w:tc>
          <w:tcPr>
            <w:tcW w:w="1995" w:type="dxa"/>
            <w:tcBorders>
              <w:top w:val="nil"/>
              <w:left w:val="nil"/>
              <w:bottom w:val="single" w:sz="4" w:space="0" w:color="auto"/>
              <w:right w:val="single" w:sz="4" w:space="0" w:color="auto"/>
            </w:tcBorders>
            <w:shd w:val="clear" w:color="auto" w:fill="auto"/>
            <w:noWrap/>
            <w:vAlign w:val="center"/>
            <w:hideMark/>
          </w:tcPr>
          <w:p w14:paraId="610C4753"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Enzymes</w:t>
            </w:r>
          </w:p>
        </w:tc>
        <w:tc>
          <w:tcPr>
            <w:tcW w:w="585" w:type="dxa"/>
            <w:tcBorders>
              <w:top w:val="nil"/>
              <w:left w:val="nil"/>
              <w:bottom w:val="single" w:sz="4" w:space="0" w:color="auto"/>
              <w:right w:val="single" w:sz="4" w:space="0" w:color="auto"/>
            </w:tcBorders>
            <w:shd w:val="clear" w:color="auto" w:fill="auto"/>
            <w:noWrap/>
            <w:vAlign w:val="center"/>
            <w:hideMark/>
          </w:tcPr>
          <w:p w14:paraId="610C4754"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3</w:t>
            </w:r>
          </w:p>
        </w:tc>
        <w:tc>
          <w:tcPr>
            <w:tcW w:w="1683" w:type="dxa"/>
            <w:tcBorders>
              <w:top w:val="nil"/>
              <w:left w:val="nil"/>
              <w:bottom w:val="single" w:sz="4" w:space="0" w:color="auto"/>
              <w:right w:val="single" w:sz="4" w:space="0" w:color="auto"/>
            </w:tcBorders>
            <w:shd w:val="clear" w:color="auto" w:fill="auto"/>
            <w:noWrap/>
            <w:vAlign w:val="center"/>
            <w:hideMark/>
          </w:tcPr>
          <w:p w14:paraId="610C4755"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56"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2673E6" w14:paraId="610C4763" w14:textId="77777777" w:rsidTr="005B3E6B">
        <w:trPr>
          <w:trHeight w:val="290"/>
        </w:trPr>
        <w:tc>
          <w:tcPr>
            <w:tcW w:w="1158" w:type="dxa"/>
            <w:vMerge/>
            <w:tcBorders>
              <w:left w:val="single" w:sz="4" w:space="0" w:color="auto"/>
              <w:bottom w:val="single" w:sz="4" w:space="0" w:color="auto"/>
              <w:right w:val="single" w:sz="4" w:space="0" w:color="auto"/>
            </w:tcBorders>
            <w:vAlign w:val="center"/>
            <w:hideMark/>
          </w:tcPr>
          <w:p w14:paraId="610C475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left w:val="single" w:sz="4" w:space="0" w:color="auto"/>
              <w:bottom w:val="single" w:sz="4" w:space="0" w:color="auto"/>
              <w:right w:val="single" w:sz="4" w:space="0" w:color="auto"/>
            </w:tcBorders>
            <w:vAlign w:val="center"/>
            <w:hideMark/>
          </w:tcPr>
          <w:p w14:paraId="610C4759"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left w:val="single" w:sz="4" w:space="0" w:color="auto"/>
              <w:bottom w:val="single" w:sz="4" w:space="0" w:color="auto"/>
              <w:right w:val="single" w:sz="4" w:space="0" w:color="auto"/>
            </w:tcBorders>
            <w:vAlign w:val="center"/>
            <w:hideMark/>
          </w:tcPr>
          <w:p w14:paraId="610C475A"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75B"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B01*</w:t>
            </w:r>
          </w:p>
        </w:tc>
        <w:tc>
          <w:tcPr>
            <w:tcW w:w="2003" w:type="dxa"/>
            <w:tcBorders>
              <w:top w:val="nil"/>
              <w:left w:val="nil"/>
              <w:bottom w:val="single" w:sz="4" w:space="0" w:color="auto"/>
              <w:right w:val="single" w:sz="4" w:space="0" w:color="auto"/>
            </w:tcBorders>
            <w:shd w:val="clear" w:color="auto" w:fill="auto"/>
            <w:noWrap/>
            <w:vAlign w:val="center"/>
            <w:hideMark/>
          </w:tcPr>
          <w:p w14:paraId="610C475C"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Not specified by paper</w:t>
            </w:r>
          </w:p>
        </w:tc>
        <w:tc>
          <w:tcPr>
            <w:tcW w:w="585" w:type="dxa"/>
            <w:tcBorders>
              <w:top w:val="nil"/>
              <w:left w:val="nil"/>
              <w:bottom w:val="single" w:sz="4" w:space="0" w:color="auto"/>
              <w:right w:val="single" w:sz="4" w:space="0" w:color="auto"/>
            </w:tcBorders>
            <w:shd w:val="clear" w:color="auto" w:fill="auto"/>
            <w:noWrap/>
            <w:vAlign w:val="center"/>
            <w:hideMark/>
          </w:tcPr>
          <w:p w14:paraId="610C475D"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18</w:t>
            </w:r>
          </w:p>
        </w:tc>
        <w:tc>
          <w:tcPr>
            <w:tcW w:w="822" w:type="dxa"/>
            <w:tcBorders>
              <w:top w:val="nil"/>
              <w:left w:val="nil"/>
              <w:bottom w:val="single" w:sz="4" w:space="0" w:color="auto"/>
              <w:right w:val="single" w:sz="4" w:space="0" w:color="auto"/>
            </w:tcBorders>
            <w:shd w:val="clear" w:color="auto" w:fill="auto"/>
            <w:noWrap/>
            <w:vAlign w:val="center"/>
            <w:hideMark/>
          </w:tcPr>
          <w:p w14:paraId="610C475E"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5" w:type="dxa"/>
            <w:tcBorders>
              <w:top w:val="nil"/>
              <w:left w:val="nil"/>
              <w:bottom w:val="single" w:sz="4" w:space="0" w:color="auto"/>
              <w:right w:val="single" w:sz="4" w:space="0" w:color="auto"/>
            </w:tcBorders>
            <w:shd w:val="clear" w:color="auto" w:fill="auto"/>
            <w:noWrap/>
            <w:vAlign w:val="center"/>
            <w:hideMark/>
          </w:tcPr>
          <w:p w14:paraId="610C475F"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5" w:type="dxa"/>
            <w:tcBorders>
              <w:top w:val="nil"/>
              <w:left w:val="nil"/>
              <w:bottom w:val="single" w:sz="4" w:space="0" w:color="auto"/>
              <w:right w:val="single" w:sz="4" w:space="0" w:color="auto"/>
            </w:tcBorders>
            <w:shd w:val="clear" w:color="auto" w:fill="auto"/>
            <w:noWrap/>
            <w:vAlign w:val="center"/>
            <w:hideMark/>
          </w:tcPr>
          <w:p w14:paraId="610C4760"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3" w:type="dxa"/>
            <w:tcBorders>
              <w:top w:val="nil"/>
              <w:left w:val="nil"/>
              <w:bottom w:val="single" w:sz="4" w:space="0" w:color="auto"/>
              <w:right w:val="single" w:sz="4" w:space="0" w:color="auto"/>
            </w:tcBorders>
            <w:shd w:val="clear" w:color="auto" w:fill="auto"/>
            <w:noWrap/>
            <w:vAlign w:val="center"/>
            <w:hideMark/>
          </w:tcPr>
          <w:p w14:paraId="610C4761"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62"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2673E6" w14:paraId="610C476F" w14:textId="77777777" w:rsidTr="005B3E6B">
        <w:trPr>
          <w:trHeight w:val="290"/>
        </w:trPr>
        <w:tc>
          <w:tcPr>
            <w:tcW w:w="11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4"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5"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Antianemic Preparations</w:t>
            </w:r>
          </w:p>
        </w:tc>
        <w:tc>
          <w:tcPr>
            <w:tcW w:w="5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6"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22</w:t>
            </w:r>
          </w:p>
        </w:tc>
        <w:tc>
          <w:tcPr>
            <w:tcW w:w="8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7"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B03A</w:t>
            </w:r>
          </w:p>
        </w:tc>
        <w:tc>
          <w:tcPr>
            <w:tcW w:w="20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8"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Iron preparations</w:t>
            </w:r>
          </w:p>
        </w:tc>
        <w:tc>
          <w:tcPr>
            <w:tcW w:w="5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69"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20</w:t>
            </w:r>
          </w:p>
        </w:tc>
        <w:tc>
          <w:tcPr>
            <w:tcW w:w="822" w:type="dxa"/>
            <w:tcBorders>
              <w:top w:val="nil"/>
              <w:left w:val="nil"/>
              <w:bottom w:val="single" w:sz="4" w:space="0" w:color="auto"/>
              <w:right w:val="single" w:sz="4" w:space="0" w:color="auto"/>
            </w:tcBorders>
            <w:shd w:val="clear" w:color="auto" w:fill="auto"/>
            <w:noWrap/>
            <w:vAlign w:val="center"/>
            <w:hideMark/>
          </w:tcPr>
          <w:p w14:paraId="610C476A"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B03AA</w:t>
            </w:r>
          </w:p>
        </w:tc>
        <w:tc>
          <w:tcPr>
            <w:tcW w:w="1995" w:type="dxa"/>
            <w:tcBorders>
              <w:top w:val="nil"/>
              <w:left w:val="nil"/>
              <w:bottom w:val="single" w:sz="4" w:space="0" w:color="auto"/>
              <w:right w:val="single" w:sz="4" w:space="0" w:color="auto"/>
            </w:tcBorders>
            <w:shd w:val="clear" w:color="auto" w:fill="auto"/>
            <w:noWrap/>
            <w:vAlign w:val="center"/>
            <w:hideMark/>
          </w:tcPr>
          <w:p w14:paraId="610C476B"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Iron bivalent, oral preparations</w:t>
            </w:r>
          </w:p>
        </w:tc>
        <w:tc>
          <w:tcPr>
            <w:tcW w:w="585" w:type="dxa"/>
            <w:tcBorders>
              <w:top w:val="nil"/>
              <w:left w:val="nil"/>
              <w:bottom w:val="single" w:sz="4" w:space="0" w:color="auto"/>
              <w:right w:val="single" w:sz="4" w:space="0" w:color="auto"/>
            </w:tcBorders>
            <w:shd w:val="clear" w:color="auto" w:fill="auto"/>
            <w:noWrap/>
            <w:vAlign w:val="center"/>
            <w:hideMark/>
          </w:tcPr>
          <w:p w14:paraId="610C476C"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16</w:t>
            </w:r>
          </w:p>
        </w:tc>
        <w:tc>
          <w:tcPr>
            <w:tcW w:w="1683" w:type="dxa"/>
            <w:tcBorders>
              <w:top w:val="nil"/>
              <w:left w:val="nil"/>
              <w:bottom w:val="single" w:sz="4" w:space="0" w:color="auto"/>
              <w:right w:val="single" w:sz="4" w:space="0" w:color="auto"/>
            </w:tcBorders>
            <w:shd w:val="clear" w:color="auto" w:fill="auto"/>
            <w:noWrap/>
            <w:vAlign w:val="center"/>
            <w:hideMark/>
          </w:tcPr>
          <w:p w14:paraId="610C476D"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 xml:space="preserve">Ferrous sulphate </w:t>
            </w:r>
          </w:p>
        </w:tc>
        <w:tc>
          <w:tcPr>
            <w:tcW w:w="526" w:type="dxa"/>
            <w:tcBorders>
              <w:top w:val="nil"/>
              <w:left w:val="nil"/>
              <w:bottom w:val="single" w:sz="4" w:space="0" w:color="auto"/>
              <w:right w:val="single" w:sz="4" w:space="0" w:color="auto"/>
            </w:tcBorders>
            <w:shd w:val="clear" w:color="auto" w:fill="auto"/>
            <w:noWrap/>
            <w:vAlign w:val="center"/>
            <w:hideMark/>
          </w:tcPr>
          <w:p w14:paraId="610C476E"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16</w:t>
            </w:r>
          </w:p>
        </w:tc>
      </w:tr>
      <w:tr w:rsidR="007D57FB" w:rsidRPr="002673E6" w14:paraId="610C477B"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770"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771"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top w:val="nil"/>
              <w:left w:val="single" w:sz="4" w:space="0" w:color="auto"/>
              <w:bottom w:val="single" w:sz="4" w:space="0" w:color="auto"/>
              <w:right w:val="single" w:sz="4" w:space="0" w:color="auto"/>
            </w:tcBorders>
            <w:vAlign w:val="center"/>
            <w:hideMark/>
          </w:tcPr>
          <w:p w14:paraId="610C4772"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vMerge/>
            <w:tcBorders>
              <w:top w:val="nil"/>
              <w:left w:val="single" w:sz="4" w:space="0" w:color="auto"/>
              <w:bottom w:val="single" w:sz="4" w:space="0" w:color="auto"/>
              <w:right w:val="single" w:sz="4" w:space="0" w:color="auto"/>
            </w:tcBorders>
            <w:vAlign w:val="center"/>
            <w:hideMark/>
          </w:tcPr>
          <w:p w14:paraId="610C4773"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003" w:type="dxa"/>
            <w:vMerge/>
            <w:tcBorders>
              <w:top w:val="nil"/>
              <w:left w:val="single" w:sz="4" w:space="0" w:color="auto"/>
              <w:bottom w:val="single" w:sz="4" w:space="0" w:color="auto"/>
              <w:right w:val="single" w:sz="4" w:space="0" w:color="auto"/>
            </w:tcBorders>
            <w:vAlign w:val="center"/>
            <w:hideMark/>
          </w:tcPr>
          <w:p w14:paraId="610C4774"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5" w:type="dxa"/>
            <w:vMerge/>
            <w:tcBorders>
              <w:top w:val="nil"/>
              <w:left w:val="single" w:sz="4" w:space="0" w:color="auto"/>
              <w:bottom w:val="single" w:sz="4" w:space="0" w:color="auto"/>
              <w:right w:val="single" w:sz="4" w:space="0" w:color="auto"/>
            </w:tcBorders>
            <w:vAlign w:val="center"/>
            <w:hideMark/>
          </w:tcPr>
          <w:p w14:paraId="610C4775"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22" w:type="dxa"/>
            <w:tcBorders>
              <w:top w:val="nil"/>
              <w:left w:val="nil"/>
              <w:bottom w:val="single" w:sz="4" w:space="0" w:color="auto"/>
              <w:right w:val="single" w:sz="4" w:space="0" w:color="auto"/>
            </w:tcBorders>
            <w:shd w:val="clear" w:color="auto" w:fill="auto"/>
            <w:noWrap/>
            <w:vAlign w:val="center"/>
            <w:hideMark/>
          </w:tcPr>
          <w:p w14:paraId="610C4776"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B03A*</w:t>
            </w:r>
          </w:p>
        </w:tc>
        <w:tc>
          <w:tcPr>
            <w:tcW w:w="1995" w:type="dxa"/>
            <w:tcBorders>
              <w:top w:val="nil"/>
              <w:left w:val="nil"/>
              <w:bottom w:val="single" w:sz="4" w:space="0" w:color="auto"/>
              <w:right w:val="single" w:sz="4" w:space="0" w:color="auto"/>
            </w:tcBorders>
            <w:shd w:val="clear" w:color="auto" w:fill="auto"/>
            <w:noWrap/>
            <w:vAlign w:val="center"/>
            <w:hideMark/>
          </w:tcPr>
          <w:p w14:paraId="610C4777"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Unspecified Iron preparations</w:t>
            </w:r>
          </w:p>
        </w:tc>
        <w:tc>
          <w:tcPr>
            <w:tcW w:w="585" w:type="dxa"/>
            <w:tcBorders>
              <w:top w:val="nil"/>
              <w:left w:val="nil"/>
              <w:bottom w:val="single" w:sz="4" w:space="0" w:color="auto"/>
              <w:right w:val="single" w:sz="4" w:space="0" w:color="auto"/>
            </w:tcBorders>
            <w:shd w:val="clear" w:color="auto" w:fill="auto"/>
            <w:noWrap/>
            <w:vAlign w:val="center"/>
            <w:hideMark/>
          </w:tcPr>
          <w:p w14:paraId="610C4778"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4</w:t>
            </w:r>
          </w:p>
        </w:tc>
        <w:tc>
          <w:tcPr>
            <w:tcW w:w="1683" w:type="dxa"/>
            <w:tcBorders>
              <w:top w:val="nil"/>
              <w:left w:val="nil"/>
              <w:bottom w:val="single" w:sz="4" w:space="0" w:color="auto"/>
              <w:right w:val="single" w:sz="4" w:space="0" w:color="auto"/>
            </w:tcBorders>
            <w:shd w:val="clear" w:color="auto" w:fill="auto"/>
            <w:noWrap/>
            <w:vAlign w:val="center"/>
            <w:hideMark/>
          </w:tcPr>
          <w:p w14:paraId="610C4779"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7A"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2673E6" w14:paraId="610C4787"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77C"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77D"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top w:val="nil"/>
              <w:left w:val="single" w:sz="4" w:space="0" w:color="auto"/>
              <w:bottom w:val="single" w:sz="4" w:space="0" w:color="auto"/>
              <w:right w:val="single" w:sz="4" w:space="0" w:color="auto"/>
            </w:tcBorders>
            <w:vAlign w:val="center"/>
            <w:hideMark/>
          </w:tcPr>
          <w:p w14:paraId="610C477E"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77F"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w:t>
            </w:r>
          </w:p>
        </w:tc>
        <w:tc>
          <w:tcPr>
            <w:tcW w:w="2003" w:type="dxa"/>
            <w:tcBorders>
              <w:top w:val="nil"/>
              <w:left w:val="nil"/>
              <w:bottom w:val="single" w:sz="4" w:space="0" w:color="auto"/>
              <w:right w:val="single" w:sz="4" w:space="0" w:color="auto"/>
            </w:tcBorders>
            <w:shd w:val="clear" w:color="auto" w:fill="auto"/>
            <w:noWrap/>
            <w:vAlign w:val="center"/>
            <w:hideMark/>
          </w:tcPr>
          <w:p w14:paraId="610C4780"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Not specified by paper</w:t>
            </w:r>
          </w:p>
        </w:tc>
        <w:tc>
          <w:tcPr>
            <w:tcW w:w="585" w:type="dxa"/>
            <w:tcBorders>
              <w:top w:val="nil"/>
              <w:left w:val="nil"/>
              <w:bottom w:val="single" w:sz="4" w:space="0" w:color="auto"/>
              <w:right w:val="single" w:sz="4" w:space="0" w:color="auto"/>
            </w:tcBorders>
            <w:shd w:val="clear" w:color="auto" w:fill="auto"/>
            <w:noWrap/>
            <w:vAlign w:val="center"/>
            <w:hideMark/>
          </w:tcPr>
          <w:p w14:paraId="610C4781"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w:t>
            </w:r>
          </w:p>
        </w:tc>
        <w:tc>
          <w:tcPr>
            <w:tcW w:w="822" w:type="dxa"/>
            <w:tcBorders>
              <w:top w:val="nil"/>
              <w:left w:val="nil"/>
              <w:bottom w:val="single" w:sz="4" w:space="0" w:color="auto"/>
              <w:right w:val="single" w:sz="4" w:space="0" w:color="auto"/>
            </w:tcBorders>
            <w:shd w:val="clear" w:color="auto" w:fill="auto"/>
            <w:noWrap/>
            <w:vAlign w:val="center"/>
            <w:hideMark/>
          </w:tcPr>
          <w:p w14:paraId="610C4782"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5" w:type="dxa"/>
            <w:tcBorders>
              <w:top w:val="nil"/>
              <w:left w:val="nil"/>
              <w:bottom w:val="single" w:sz="4" w:space="0" w:color="auto"/>
              <w:right w:val="single" w:sz="4" w:space="0" w:color="auto"/>
            </w:tcBorders>
            <w:shd w:val="clear" w:color="auto" w:fill="auto"/>
            <w:noWrap/>
            <w:vAlign w:val="center"/>
            <w:hideMark/>
          </w:tcPr>
          <w:p w14:paraId="610C4783"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5" w:type="dxa"/>
            <w:tcBorders>
              <w:top w:val="nil"/>
              <w:left w:val="nil"/>
              <w:bottom w:val="single" w:sz="4" w:space="0" w:color="auto"/>
              <w:right w:val="single" w:sz="4" w:space="0" w:color="auto"/>
            </w:tcBorders>
            <w:shd w:val="clear" w:color="auto" w:fill="auto"/>
            <w:noWrap/>
            <w:vAlign w:val="center"/>
            <w:hideMark/>
          </w:tcPr>
          <w:p w14:paraId="610C4784"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3" w:type="dxa"/>
            <w:tcBorders>
              <w:top w:val="nil"/>
              <w:left w:val="nil"/>
              <w:bottom w:val="single" w:sz="4" w:space="0" w:color="auto"/>
              <w:right w:val="single" w:sz="4" w:space="0" w:color="auto"/>
            </w:tcBorders>
            <w:shd w:val="clear" w:color="auto" w:fill="auto"/>
            <w:noWrap/>
            <w:vAlign w:val="center"/>
            <w:hideMark/>
          </w:tcPr>
          <w:p w14:paraId="610C4785"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86"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2673E6" w14:paraId="610C4793"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788"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2835" w:type="dxa"/>
            <w:vMerge/>
            <w:tcBorders>
              <w:top w:val="nil"/>
              <w:left w:val="single" w:sz="4" w:space="0" w:color="auto"/>
              <w:bottom w:val="single" w:sz="4" w:space="0" w:color="auto"/>
              <w:right w:val="single" w:sz="4" w:space="0" w:color="auto"/>
            </w:tcBorders>
            <w:vAlign w:val="center"/>
            <w:hideMark/>
          </w:tcPr>
          <w:p w14:paraId="610C4789"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584" w:type="dxa"/>
            <w:vMerge/>
            <w:tcBorders>
              <w:top w:val="nil"/>
              <w:left w:val="single" w:sz="4" w:space="0" w:color="auto"/>
              <w:bottom w:val="single" w:sz="4" w:space="0" w:color="auto"/>
              <w:right w:val="single" w:sz="4" w:space="0" w:color="auto"/>
            </w:tcBorders>
            <w:vAlign w:val="center"/>
            <w:hideMark/>
          </w:tcPr>
          <w:p w14:paraId="610C478A" w14:textId="77777777" w:rsidR="007D57FB" w:rsidRPr="002673E6" w:rsidRDefault="007D57FB" w:rsidP="005B3E6B">
            <w:pPr>
              <w:spacing w:after="0" w:line="240" w:lineRule="auto"/>
              <w:rPr>
                <w:rFonts w:ascii="Calibri" w:eastAsia="Times New Roman" w:hAnsi="Calibri" w:cs="Calibri"/>
                <w:color w:val="000000"/>
                <w:lang w:eastAsia="en-GB"/>
              </w:rPr>
            </w:pPr>
          </w:p>
        </w:tc>
        <w:tc>
          <w:tcPr>
            <w:tcW w:w="800" w:type="dxa"/>
            <w:tcBorders>
              <w:top w:val="nil"/>
              <w:left w:val="nil"/>
              <w:bottom w:val="single" w:sz="4" w:space="0" w:color="auto"/>
              <w:right w:val="single" w:sz="4" w:space="0" w:color="auto"/>
            </w:tcBorders>
            <w:shd w:val="clear" w:color="auto" w:fill="auto"/>
            <w:noWrap/>
            <w:vAlign w:val="center"/>
            <w:hideMark/>
          </w:tcPr>
          <w:p w14:paraId="610C478B"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B03B</w:t>
            </w:r>
          </w:p>
        </w:tc>
        <w:tc>
          <w:tcPr>
            <w:tcW w:w="2003" w:type="dxa"/>
            <w:tcBorders>
              <w:top w:val="nil"/>
              <w:left w:val="nil"/>
              <w:bottom w:val="single" w:sz="4" w:space="0" w:color="auto"/>
              <w:right w:val="single" w:sz="4" w:space="0" w:color="auto"/>
            </w:tcBorders>
            <w:shd w:val="clear" w:color="auto" w:fill="auto"/>
            <w:noWrap/>
            <w:vAlign w:val="center"/>
            <w:hideMark/>
          </w:tcPr>
          <w:p w14:paraId="610C478C"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Vitamin B</w:t>
            </w:r>
            <w:r w:rsidRPr="002673E6">
              <w:rPr>
                <w:rFonts w:ascii="Calibri" w:eastAsia="Times New Roman" w:hAnsi="Calibri" w:cs="Calibri"/>
                <w:color w:val="000000"/>
                <w:lang w:eastAsia="en-GB"/>
              </w:rPr>
              <w:t>12 and folic acid</w:t>
            </w:r>
          </w:p>
        </w:tc>
        <w:tc>
          <w:tcPr>
            <w:tcW w:w="585" w:type="dxa"/>
            <w:tcBorders>
              <w:top w:val="nil"/>
              <w:left w:val="nil"/>
              <w:bottom w:val="single" w:sz="4" w:space="0" w:color="auto"/>
              <w:right w:val="single" w:sz="4" w:space="0" w:color="auto"/>
            </w:tcBorders>
            <w:shd w:val="clear" w:color="auto" w:fill="auto"/>
            <w:noWrap/>
            <w:vAlign w:val="center"/>
            <w:hideMark/>
          </w:tcPr>
          <w:p w14:paraId="610C478D"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w:t>
            </w:r>
          </w:p>
        </w:tc>
        <w:tc>
          <w:tcPr>
            <w:tcW w:w="822" w:type="dxa"/>
            <w:tcBorders>
              <w:top w:val="nil"/>
              <w:left w:val="nil"/>
              <w:bottom w:val="single" w:sz="4" w:space="0" w:color="auto"/>
              <w:right w:val="single" w:sz="4" w:space="0" w:color="auto"/>
            </w:tcBorders>
            <w:shd w:val="clear" w:color="auto" w:fill="auto"/>
            <w:noWrap/>
            <w:vAlign w:val="center"/>
            <w:hideMark/>
          </w:tcPr>
          <w:p w14:paraId="610C478E"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5" w:type="dxa"/>
            <w:tcBorders>
              <w:top w:val="nil"/>
              <w:left w:val="nil"/>
              <w:bottom w:val="single" w:sz="4" w:space="0" w:color="auto"/>
              <w:right w:val="single" w:sz="4" w:space="0" w:color="auto"/>
            </w:tcBorders>
            <w:shd w:val="clear" w:color="auto" w:fill="auto"/>
            <w:noWrap/>
            <w:vAlign w:val="center"/>
            <w:hideMark/>
          </w:tcPr>
          <w:p w14:paraId="610C478F"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5" w:type="dxa"/>
            <w:tcBorders>
              <w:top w:val="nil"/>
              <w:left w:val="nil"/>
              <w:bottom w:val="single" w:sz="4" w:space="0" w:color="auto"/>
              <w:right w:val="single" w:sz="4" w:space="0" w:color="auto"/>
            </w:tcBorders>
            <w:shd w:val="clear" w:color="auto" w:fill="auto"/>
            <w:noWrap/>
            <w:vAlign w:val="center"/>
            <w:hideMark/>
          </w:tcPr>
          <w:p w14:paraId="610C4790"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3" w:type="dxa"/>
            <w:tcBorders>
              <w:top w:val="nil"/>
              <w:left w:val="nil"/>
              <w:bottom w:val="single" w:sz="4" w:space="0" w:color="auto"/>
              <w:right w:val="single" w:sz="4" w:space="0" w:color="auto"/>
            </w:tcBorders>
            <w:shd w:val="clear" w:color="auto" w:fill="auto"/>
            <w:noWrap/>
            <w:vAlign w:val="center"/>
            <w:hideMark/>
          </w:tcPr>
          <w:p w14:paraId="610C4791"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92"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2673E6" w14:paraId="610C479F"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794"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B05</w:t>
            </w:r>
          </w:p>
        </w:tc>
        <w:tc>
          <w:tcPr>
            <w:tcW w:w="2835" w:type="dxa"/>
            <w:tcBorders>
              <w:top w:val="nil"/>
              <w:left w:val="nil"/>
              <w:bottom w:val="single" w:sz="4" w:space="0" w:color="auto"/>
              <w:right w:val="single" w:sz="4" w:space="0" w:color="auto"/>
            </w:tcBorders>
            <w:shd w:val="clear" w:color="auto" w:fill="auto"/>
            <w:noWrap/>
            <w:vAlign w:val="center"/>
            <w:hideMark/>
          </w:tcPr>
          <w:p w14:paraId="610C4795"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Blood Substitutes And Perfusion Solutions</w:t>
            </w:r>
          </w:p>
        </w:tc>
        <w:tc>
          <w:tcPr>
            <w:tcW w:w="584" w:type="dxa"/>
            <w:tcBorders>
              <w:top w:val="nil"/>
              <w:left w:val="nil"/>
              <w:bottom w:val="single" w:sz="4" w:space="0" w:color="auto"/>
              <w:right w:val="single" w:sz="4" w:space="0" w:color="auto"/>
            </w:tcBorders>
            <w:shd w:val="clear" w:color="auto" w:fill="auto"/>
            <w:noWrap/>
            <w:vAlign w:val="center"/>
            <w:hideMark/>
          </w:tcPr>
          <w:p w14:paraId="610C4796"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15</w:t>
            </w:r>
          </w:p>
        </w:tc>
        <w:tc>
          <w:tcPr>
            <w:tcW w:w="800" w:type="dxa"/>
            <w:tcBorders>
              <w:top w:val="nil"/>
              <w:left w:val="nil"/>
              <w:bottom w:val="single" w:sz="4" w:space="0" w:color="auto"/>
              <w:right w:val="single" w:sz="4" w:space="0" w:color="auto"/>
            </w:tcBorders>
            <w:shd w:val="clear" w:color="auto" w:fill="auto"/>
            <w:noWrap/>
            <w:vAlign w:val="center"/>
            <w:hideMark/>
          </w:tcPr>
          <w:p w14:paraId="610C4797"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B05B</w:t>
            </w:r>
          </w:p>
        </w:tc>
        <w:tc>
          <w:tcPr>
            <w:tcW w:w="2003" w:type="dxa"/>
            <w:tcBorders>
              <w:top w:val="nil"/>
              <w:left w:val="nil"/>
              <w:bottom w:val="single" w:sz="4" w:space="0" w:color="auto"/>
              <w:right w:val="single" w:sz="4" w:space="0" w:color="auto"/>
            </w:tcBorders>
            <w:shd w:val="clear" w:color="auto" w:fill="auto"/>
            <w:noWrap/>
            <w:vAlign w:val="center"/>
            <w:hideMark/>
          </w:tcPr>
          <w:p w14:paraId="610C4798" w14:textId="77777777" w:rsidR="007D57FB" w:rsidRPr="002673E6" w:rsidRDefault="007D57FB" w:rsidP="005B3E6B">
            <w:pPr>
              <w:spacing w:after="0" w:line="240" w:lineRule="auto"/>
              <w:rPr>
                <w:rFonts w:ascii="Calibri" w:eastAsia="Times New Roman" w:hAnsi="Calibri" w:cs="Calibri"/>
                <w:color w:val="000000"/>
                <w:lang w:eastAsia="en-GB"/>
              </w:rPr>
            </w:pPr>
            <w:r w:rsidRPr="002673E6">
              <w:rPr>
                <w:rFonts w:ascii="Calibri" w:eastAsia="Times New Roman" w:hAnsi="Calibri" w:cs="Calibri"/>
                <w:color w:val="000000"/>
                <w:lang w:eastAsia="en-GB"/>
              </w:rPr>
              <w:t>I.V. SOLUTIONS</w:t>
            </w:r>
          </w:p>
        </w:tc>
        <w:tc>
          <w:tcPr>
            <w:tcW w:w="585" w:type="dxa"/>
            <w:tcBorders>
              <w:top w:val="nil"/>
              <w:left w:val="nil"/>
              <w:bottom w:val="single" w:sz="4" w:space="0" w:color="auto"/>
              <w:right w:val="single" w:sz="4" w:space="0" w:color="auto"/>
            </w:tcBorders>
            <w:shd w:val="clear" w:color="auto" w:fill="auto"/>
            <w:noWrap/>
            <w:vAlign w:val="center"/>
            <w:hideMark/>
          </w:tcPr>
          <w:p w14:paraId="610C4799" w14:textId="77777777" w:rsidR="007D57FB" w:rsidRPr="002673E6" w:rsidRDefault="007D57FB" w:rsidP="005B3E6B">
            <w:pPr>
              <w:spacing w:after="0" w:line="240" w:lineRule="auto"/>
              <w:jc w:val="right"/>
              <w:rPr>
                <w:rFonts w:ascii="Calibri" w:eastAsia="Times New Roman" w:hAnsi="Calibri" w:cs="Calibri"/>
                <w:color w:val="000000"/>
                <w:lang w:eastAsia="en-GB"/>
              </w:rPr>
            </w:pPr>
            <w:r w:rsidRPr="002673E6">
              <w:rPr>
                <w:rFonts w:ascii="Calibri" w:eastAsia="Times New Roman" w:hAnsi="Calibri" w:cs="Calibri"/>
                <w:color w:val="000000"/>
                <w:lang w:eastAsia="en-GB"/>
              </w:rPr>
              <w:t>8</w:t>
            </w:r>
          </w:p>
        </w:tc>
        <w:tc>
          <w:tcPr>
            <w:tcW w:w="822" w:type="dxa"/>
            <w:tcBorders>
              <w:top w:val="nil"/>
              <w:left w:val="nil"/>
              <w:bottom w:val="single" w:sz="4" w:space="0" w:color="auto"/>
              <w:right w:val="single" w:sz="4" w:space="0" w:color="auto"/>
            </w:tcBorders>
            <w:shd w:val="clear" w:color="auto" w:fill="auto"/>
            <w:noWrap/>
            <w:vAlign w:val="center"/>
            <w:hideMark/>
          </w:tcPr>
          <w:p w14:paraId="610C479A"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5" w:type="dxa"/>
            <w:tcBorders>
              <w:top w:val="nil"/>
              <w:left w:val="nil"/>
              <w:bottom w:val="single" w:sz="4" w:space="0" w:color="auto"/>
              <w:right w:val="single" w:sz="4" w:space="0" w:color="auto"/>
            </w:tcBorders>
            <w:shd w:val="clear" w:color="auto" w:fill="auto"/>
            <w:noWrap/>
            <w:vAlign w:val="center"/>
            <w:hideMark/>
          </w:tcPr>
          <w:p w14:paraId="610C479B"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5" w:type="dxa"/>
            <w:tcBorders>
              <w:top w:val="nil"/>
              <w:left w:val="nil"/>
              <w:bottom w:val="single" w:sz="4" w:space="0" w:color="auto"/>
              <w:right w:val="single" w:sz="4" w:space="0" w:color="auto"/>
            </w:tcBorders>
            <w:shd w:val="clear" w:color="auto" w:fill="auto"/>
            <w:noWrap/>
            <w:vAlign w:val="center"/>
            <w:hideMark/>
          </w:tcPr>
          <w:p w14:paraId="610C479C"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83" w:type="dxa"/>
            <w:tcBorders>
              <w:top w:val="nil"/>
              <w:left w:val="nil"/>
              <w:bottom w:val="single" w:sz="4" w:space="0" w:color="auto"/>
              <w:right w:val="single" w:sz="4" w:space="0" w:color="auto"/>
            </w:tcBorders>
            <w:shd w:val="clear" w:color="auto" w:fill="auto"/>
            <w:noWrap/>
            <w:vAlign w:val="center"/>
            <w:hideMark/>
          </w:tcPr>
          <w:p w14:paraId="610C479D"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26" w:type="dxa"/>
            <w:tcBorders>
              <w:top w:val="nil"/>
              <w:left w:val="nil"/>
              <w:bottom w:val="single" w:sz="4" w:space="0" w:color="auto"/>
              <w:right w:val="single" w:sz="4" w:space="0" w:color="auto"/>
            </w:tcBorders>
            <w:shd w:val="clear" w:color="auto" w:fill="auto"/>
            <w:noWrap/>
            <w:vAlign w:val="center"/>
            <w:hideMark/>
          </w:tcPr>
          <w:p w14:paraId="610C479E" w14:textId="77777777" w:rsidR="007D57FB" w:rsidRPr="002673E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7A0" w14:textId="77777777" w:rsidR="007D57FB" w:rsidRDefault="007D57FB">
      <w:pPr>
        <w:rPr>
          <w:b/>
        </w:rPr>
      </w:pPr>
    </w:p>
    <w:p w14:paraId="610C47A1" w14:textId="77777777" w:rsidR="007D57FB" w:rsidRDefault="007D57FB" w:rsidP="005B3E6B">
      <w:pPr>
        <w:pStyle w:val="Heading3"/>
      </w:pPr>
      <w:bookmarkStart w:id="57" w:name="_Toc52396376"/>
      <w:r>
        <w:t>Alimentary tract and metabolism</w:t>
      </w:r>
      <w:bookmarkEnd w:id="57"/>
    </w:p>
    <w:tbl>
      <w:tblPr>
        <w:tblW w:w="13570" w:type="dxa"/>
        <w:tblLook w:val="04A0" w:firstRow="1" w:lastRow="0" w:firstColumn="1" w:lastColumn="0" w:noHBand="0" w:noVBand="1"/>
      </w:tblPr>
      <w:tblGrid>
        <w:gridCol w:w="1158"/>
        <w:gridCol w:w="2839"/>
        <w:gridCol w:w="564"/>
        <w:gridCol w:w="810"/>
        <w:gridCol w:w="1947"/>
        <w:gridCol w:w="564"/>
        <w:gridCol w:w="833"/>
        <w:gridCol w:w="2023"/>
        <w:gridCol w:w="564"/>
        <w:gridCol w:w="1692"/>
        <w:gridCol w:w="576"/>
      </w:tblGrid>
      <w:tr w:rsidR="007D57FB" w:rsidRPr="00663CB7" w14:paraId="610C47A3" w14:textId="77777777" w:rsidTr="005B3E6B">
        <w:trPr>
          <w:trHeight w:val="300"/>
        </w:trPr>
        <w:tc>
          <w:tcPr>
            <w:tcW w:w="13570"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7A2" w14:textId="77777777" w:rsidR="007D57FB" w:rsidRPr="00663CB7" w:rsidRDefault="007D57FB" w:rsidP="005B3E6B">
            <w:pPr>
              <w:spacing w:after="0" w:line="240" w:lineRule="auto"/>
              <w:rPr>
                <w:rFonts w:ascii="Calibri" w:eastAsia="Times New Roman" w:hAnsi="Calibri" w:cs="Calibri"/>
                <w:b/>
                <w:bCs/>
                <w:color w:val="000000"/>
                <w:lang w:eastAsia="en-GB"/>
              </w:rPr>
            </w:pPr>
            <w:r w:rsidRPr="00663CB7">
              <w:rPr>
                <w:rFonts w:ascii="Calibri" w:eastAsia="Times New Roman" w:hAnsi="Calibri" w:cs="Calibri"/>
                <w:b/>
                <w:bCs/>
                <w:color w:val="000000"/>
                <w:lang w:eastAsia="en-GB"/>
              </w:rPr>
              <w:t>Alimentary tract and metabolism 169 (7.09%)</w:t>
            </w:r>
          </w:p>
        </w:tc>
      </w:tr>
      <w:tr w:rsidR="007D57FB" w:rsidRPr="00606AE1" w14:paraId="610C47AF" w14:textId="77777777" w:rsidTr="005B3E6B">
        <w:trPr>
          <w:trHeight w:val="90"/>
        </w:trPr>
        <w:tc>
          <w:tcPr>
            <w:tcW w:w="1158" w:type="dxa"/>
            <w:tcBorders>
              <w:left w:val="single" w:sz="4" w:space="0" w:color="auto"/>
              <w:bottom w:val="nil"/>
              <w:right w:val="single" w:sz="4" w:space="0" w:color="auto"/>
            </w:tcBorders>
            <w:shd w:val="clear" w:color="000000" w:fill="E7E6E6"/>
            <w:vAlign w:val="center"/>
            <w:hideMark/>
          </w:tcPr>
          <w:p w14:paraId="610C47A4"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9" w:type="dxa"/>
            <w:tcBorders>
              <w:left w:val="nil"/>
              <w:bottom w:val="nil"/>
              <w:right w:val="single" w:sz="4" w:space="0" w:color="auto"/>
            </w:tcBorders>
            <w:shd w:val="clear" w:color="000000" w:fill="E7E6E6"/>
            <w:vAlign w:val="center"/>
            <w:hideMark/>
          </w:tcPr>
          <w:p w14:paraId="610C47A5"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64" w:type="dxa"/>
            <w:tcBorders>
              <w:left w:val="nil"/>
              <w:bottom w:val="nil"/>
              <w:right w:val="single" w:sz="4" w:space="0" w:color="auto"/>
            </w:tcBorders>
            <w:shd w:val="clear" w:color="000000" w:fill="E7E6E6"/>
            <w:vAlign w:val="center"/>
            <w:hideMark/>
          </w:tcPr>
          <w:p w14:paraId="610C47A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10" w:type="dxa"/>
            <w:tcBorders>
              <w:left w:val="nil"/>
              <w:bottom w:val="nil"/>
              <w:right w:val="single" w:sz="4" w:space="0" w:color="auto"/>
            </w:tcBorders>
            <w:shd w:val="clear" w:color="000000" w:fill="E7E6E6"/>
            <w:vAlign w:val="center"/>
            <w:hideMark/>
          </w:tcPr>
          <w:p w14:paraId="610C47A7"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47" w:type="dxa"/>
            <w:tcBorders>
              <w:left w:val="nil"/>
              <w:bottom w:val="nil"/>
              <w:right w:val="single" w:sz="4" w:space="0" w:color="auto"/>
            </w:tcBorders>
            <w:shd w:val="clear" w:color="000000" w:fill="E7E6E6"/>
            <w:vAlign w:val="center"/>
            <w:hideMark/>
          </w:tcPr>
          <w:p w14:paraId="610C47A8"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64" w:type="dxa"/>
            <w:tcBorders>
              <w:left w:val="nil"/>
              <w:bottom w:val="nil"/>
              <w:right w:val="single" w:sz="4" w:space="0" w:color="auto"/>
            </w:tcBorders>
            <w:shd w:val="clear" w:color="000000" w:fill="E7E6E6"/>
            <w:vAlign w:val="center"/>
            <w:hideMark/>
          </w:tcPr>
          <w:p w14:paraId="610C47A9"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33" w:type="dxa"/>
            <w:tcBorders>
              <w:left w:val="nil"/>
              <w:bottom w:val="nil"/>
              <w:right w:val="single" w:sz="4" w:space="0" w:color="auto"/>
            </w:tcBorders>
            <w:shd w:val="clear" w:color="000000" w:fill="E7E6E6"/>
            <w:vAlign w:val="center"/>
            <w:hideMark/>
          </w:tcPr>
          <w:p w14:paraId="610C47AA"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2023" w:type="dxa"/>
            <w:tcBorders>
              <w:left w:val="nil"/>
              <w:bottom w:val="nil"/>
              <w:right w:val="single" w:sz="4" w:space="0" w:color="auto"/>
            </w:tcBorders>
            <w:shd w:val="clear" w:color="000000" w:fill="E7E6E6"/>
            <w:vAlign w:val="center"/>
            <w:hideMark/>
          </w:tcPr>
          <w:p w14:paraId="610C47AB"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64" w:type="dxa"/>
            <w:tcBorders>
              <w:left w:val="nil"/>
              <w:bottom w:val="nil"/>
              <w:right w:val="single" w:sz="4" w:space="0" w:color="auto"/>
            </w:tcBorders>
            <w:shd w:val="clear" w:color="000000" w:fill="E7E6E6"/>
            <w:vAlign w:val="center"/>
            <w:hideMark/>
          </w:tcPr>
          <w:p w14:paraId="610C47AC"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92" w:type="dxa"/>
            <w:tcBorders>
              <w:left w:val="nil"/>
              <w:bottom w:val="nil"/>
              <w:right w:val="single" w:sz="4" w:space="0" w:color="auto"/>
            </w:tcBorders>
            <w:shd w:val="clear" w:color="000000" w:fill="E7E6E6"/>
            <w:vAlign w:val="center"/>
            <w:hideMark/>
          </w:tcPr>
          <w:p w14:paraId="610C47AD"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76" w:type="dxa"/>
            <w:tcBorders>
              <w:left w:val="nil"/>
              <w:bottom w:val="nil"/>
              <w:right w:val="single" w:sz="4" w:space="0" w:color="auto"/>
            </w:tcBorders>
            <w:shd w:val="clear" w:color="000000" w:fill="E7E6E6"/>
            <w:vAlign w:val="center"/>
            <w:hideMark/>
          </w:tcPr>
          <w:p w14:paraId="610C47A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663CB7" w14:paraId="610C47BB" w14:textId="77777777" w:rsidTr="005B3E6B">
        <w:trPr>
          <w:trHeight w:val="290"/>
        </w:trPr>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0"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w:t>
            </w:r>
          </w:p>
        </w:tc>
        <w:tc>
          <w:tcPr>
            <w:tcW w:w="2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1"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 xml:space="preserve">Drugs Used In Diabetes </w:t>
            </w: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2"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61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3"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A10A</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4"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Insulins and analogues</w:t>
            </w: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7B5"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39</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610C47B6"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A10AD</w:t>
            </w:r>
          </w:p>
        </w:tc>
        <w:tc>
          <w:tcPr>
            <w:tcW w:w="2023" w:type="dxa"/>
            <w:tcBorders>
              <w:top w:val="single" w:sz="4" w:space="0" w:color="auto"/>
              <w:left w:val="nil"/>
              <w:bottom w:val="single" w:sz="4" w:space="0" w:color="auto"/>
              <w:right w:val="single" w:sz="4" w:space="0" w:color="auto"/>
            </w:tcBorders>
            <w:shd w:val="clear" w:color="auto" w:fill="auto"/>
            <w:noWrap/>
            <w:vAlign w:val="center"/>
            <w:hideMark/>
          </w:tcPr>
          <w:p w14:paraId="610C47B7"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Insulins and analogues for injection, intermediate- or long-acting combined with fast-acting</w:t>
            </w:r>
          </w:p>
        </w:tc>
        <w:tc>
          <w:tcPr>
            <w:tcW w:w="564" w:type="dxa"/>
            <w:tcBorders>
              <w:top w:val="single" w:sz="4" w:space="0" w:color="auto"/>
              <w:left w:val="nil"/>
              <w:bottom w:val="single" w:sz="4" w:space="0" w:color="auto"/>
              <w:right w:val="single" w:sz="4" w:space="0" w:color="auto"/>
            </w:tcBorders>
            <w:shd w:val="clear" w:color="auto" w:fill="auto"/>
            <w:noWrap/>
            <w:vAlign w:val="center"/>
            <w:hideMark/>
          </w:tcPr>
          <w:p w14:paraId="610C47B8"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27</w:t>
            </w:r>
          </w:p>
        </w:tc>
        <w:tc>
          <w:tcPr>
            <w:tcW w:w="1692" w:type="dxa"/>
            <w:tcBorders>
              <w:top w:val="single" w:sz="4" w:space="0" w:color="auto"/>
              <w:left w:val="nil"/>
              <w:bottom w:val="single" w:sz="4" w:space="0" w:color="auto"/>
              <w:right w:val="single" w:sz="4" w:space="0" w:color="auto"/>
            </w:tcBorders>
            <w:shd w:val="clear" w:color="auto" w:fill="auto"/>
            <w:noWrap/>
            <w:vAlign w:val="center"/>
            <w:hideMark/>
          </w:tcPr>
          <w:p w14:paraId="610C47B9"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Unspecified insulin or analogues</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610C47BA"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17</w:t>
            </w:r>
          </w:p>
        </w:tc>
      </w:tr>
      <w:tr w:rsidR="007D57FB" w:rsidRPr="00606AE1" w14:paraId="610C47C7" w14:textId="77777777" w:rsidTr="005B3E6B">
        <w:trPr>
          <w:trHeight w:val="90"/>
        </w:trPr>
        <w:tc>
          <w:tcPr>
            <w:tcW w:w="1158" w:type="dxa"/>
            <w:tcBorders>
              <w:left w:val="single" w:sz="4" w:space="0" w:color="auto"/>
              <w:bottom w:val="nil"/>
              <w:right w:val="single" w:sz="4" w:space="0" w:color="auto"/>
            </w:tcBorders>
            <w:shd w:val="clear" w:color="000000" w:fill="E7E6E6"/>
            <w:vAlign w:val="center"/>
            <w:hideMark/>
          </w:tcPr>
          <w:p w14:paraId="610C47BC"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Contd. </w:t>
            </w:r>
            <w:r w:rsidRPr="00606AE1">
              <w:rPr>
                <w:rFonts w:ascii="Calibri" w:eastAsia="Times New Roman" w:hAnsi="Calibri" w:cs="Calibri"/>
                <w:b/>
                <w:bCs/>
                <w:color w:val="000000"/>
                <w:lang w:eastAsia="en-GB"/>
              </w:rPr>
              <w:t>ATC 2</w:t>
            </w:r>
            <w:r w:rsidRPr="00E56464">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 xml:space="preserve"> </w:t>
            </w:r>
          </w:p>
        </w:tc>
        <w:tc>
          <w:tcPr>
            <w:tcW w:w="2839" w:type="dxa"/>
            <w:tcBorders>
              <w:left w:val="nil"/>
              <w:bottom w:val="nil"/>
              <w:right w:val="single" w:sz="4" w:space="0" w:color="auto"/>
            </w:tcBorders>
            <w:shd w:val="clear" w:color="000000" w:fill="E7E6E6"/>
            <w:vAlign w:val="center"/>
            <w:hideMark/>
          </w:tcPr>
          <w:p w14:paraId="610C47BD"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06AE1">
              <w:rPr>
                <w:rFonts w:ascii="Calibri" w:eastAsia="Times New Roman" w:hAnsi="Calibri" w:cs="Calibri"/>
                <w:b/>
                <w:bCs/>
                <w:color w:val="000000"/>
                <w:lang w:eastAsia="en-GB"/>
              </w:rPr>
              <w:t>herapeutic subgroup</w:t>
            </w:r>
          </w:p>
        </w:tc>
        <w:tc>
          <w:tcPr>
            <w:tcW w:w="564" w:type="dxa"/>
            <w:tcBorders>
              <w:left w:val="nil"/>
              <w:bottom w:val="nil"/>
              <w:right w:val="single" w:sz="4" w:space="0" w:color="auto"/>
            </w:tcBorders>
            <w:shd w:val="clear" w:color="000000" w:fill="E7E6E6"/>
            <w:vAlign w:val="center"/>
            <w:hideMark/>
          </w:tcPr>
          <w:p w14:paraId="610C47BE"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10" w:type="dxa"/>
            <w:tcBorders>
              <w:left w:val="nil"/>
              <w:bottom w:val="nil"/>
              <w:right w:val="single" w:sz="4" w:space="0" w:color="auto"/>
            </w:tcBorders>
            <w:shd w:val="clear" w:color="000000" w:fill="E7E6E6"/>
            <w:vAlign w:val="center"/>
            <w:hideMark/>
          </w:tcPr>
          <w:p w14:paraId="610C47BF"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3</w:t>
            </w:r>
            <w:r w:rsidRPr="00E56464">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47" w:type="dxa"/>
            <w:tcBorders>
              <w:left w:val="nil"/>
              <w:bottom w:val="nil"/>
              <w:right w:val="single" w:sz="4" w:space="0" w:color="auto"/>
            </w:tcBorders>
            <w:shd w:val="clear" w:color="000000" w:fill="E7E6E6"/>
            <w:vAlign w:val="center"/>
            <w:hideMark/>
          </w:tcPr>
          <w:p w14:paraId="610C47C0"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06AE1">
              <w:rPr>
                <w:rFonts w:ascii="Calibri" w:eastAsia="Times New Roman" w:hAnsi="Calibri" w:cs="Calibri"/>
                <w:b/>
                <w:bCs/>
                <w:color w:val="000000"/>
                <w:lang w:eastAsia="en-GB"/>
              </w:rPr>
              <w:t>ubgroup</w:t>
            </w:r>
          </w:p>
        </w:tc>
        <w:tc>
          <w:tcPr>
            <w:tcW w:w="564" w:type="dxa"/>
            <w:tcBorders>
              <w:left w:val="nil"/>
              <w:bottom w:val="nil"/>
              <w:right w:val="single" w:sz="4" w:space="0" w:color="auto"/>
            </w:tcBorders>
            <w:shd w:val="clear" w:color="000000" w:fill="E7E6E6"/>
            <w:vAlign w:val="center"/>
            <w:hideMark/>
          </w:tcPr>
          <w:p w14:paraId="610C47C1"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833" w:type="dxa"/>
            <w:tcBorders>
              <w:left w:val="nil"/>
              <w:bottom w:val="nil"/>
              <w:right w:val="single" w:sz="4" w:space="0" w:color="auto"/>
            </w:tcBorders>
            <w:shd w:val="clear" w:color="000000" w:fill="E7E6E6"/>
            <w:vAlign w:val="center"/>
            <w:hideMark/>
          </w:tcPr>
          <w:p w14:paraId="610C47C2"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4</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2023" w:type="dxa"/>
            <w:tcBorders>
              <w:left w:val="nil"/>
              <w:bottom w:val="nil"/>
              <w:right w:val="single" w:sz="4" w:space="0" w:color="auto"/>
            </w:tcBorders>
            <w:shd w:val="clear" w:color="000000" w:fill="E7E6E6"/>
            <w:vAlign w:val="center"/>
            <w:hideMark/>
          </w:tcPr>
          <w:p w14:paraId="610C47C3" w14:textId="77777777" w:rsidR="007D57FB" w:rsidRPr="00606AE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06AE1">
              <w:rPr>
                <w:rFonts w:ascii="Calibri" w:eastAsia="Times New Roman" w:hAnsi="Calibri" w:cs="Calibri"/>
                <w:b/>
                <w:bCs/>
                <w:color w:val="000000"/>
                <w:lang w:eastAsia="en-GB"/>
              </w:rPr>
              <w:t>ubgroup</w:t>
            </w:r>
          </w:p>
        </w:tc>
        <w:tc>
          <w:tcPr>
            <w:tcW w:w="564" w:type="dxa"/>
            <w:tcBorders>
              <w:left w:val="nil"/>
              <w:bottom w:val="nil"/>
              <w:right w:val="single" w:sz="4" w:space="0" w:color="auto"/>
            </w:tcBorders>
            <w:shd w:val="clear" w:color="000000" w:fill="E7E6E6"/>
            <w:vAlign w:val="center"/>
            <w:hideMark/>
          </w:tcPr>
          <w:p w14:paraId="610C47C4"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c>
          <w:tcPr>
            <w:tcW w:w="1692" w:type="dxa"/>
            <w:tcBorders>
              <w:left w:val="nil"/>
              <w:bottom w:val="nil"/>
              <w:right w:val="single" w:sz="4" w:space="0" w:color="auto"/>
            </w:tcBorders>
            <w:shd w:val="clear" w:color="000000" w:fill="E7E6E6"/>
            <w:vAlign w:val="center"/>
            <w:hideMark/>
          </w:tcPr>
          <w:p w14:paraId="610C47C5"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ATC 5</w:t>
            </w:r>
            <w:r w:rsidRPr="00E56464">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06AE1">
              <w:rPr>
                <w:rFonts w:ascii="Calibri" w:eastAsia="Times New Roman" w:hAnsi="Calibri" w:cs="Calibri"/>
                <w:b/>
                <w:bCs/>
                <w:color w:val="000000"/>
                <w:lang w:eastAsia="en-GB"/>
              </w:rPr>
              <w:t>drug (when n ≥ 10)</w:t>
            </w:r>
          </w:p>
        </w:tc>
        <w:tc>
          <w:tcPr>
            <w:tcW w:w="576" w:type="dxa"/>
            <w:tcBorders>
              <w:left w:val="nil"/>
              <w:bottom w:val="nil"/>
              <w:right w:val="single" w:sz="4" w:space="0" w:color="auto"/>
            </w:tcBorders>
            <w:shd w:val="clear" w:color="000000" w:fill="E7E6E6"/>
            <w:vAlign w:val="center"/>
            <w:hideMark/>
          </w:tcPr>
          <w:p w14:paraId="610C47C6" w14:textId="77777777" w:rsidR="007D57FB" w:rsidRPr="00606AE1" w:rsidRDefault="007D57FB" w:rsidP="005B3E6B">
            <w:pPr>
              <w:spacing w:after="0" w:line="240" w:lineRule="auto"/>
              <w:rPr>
                <w:rFonts w:ascii="Calibri" w:eastAsia="Times New Roman" w:hAnsi="Calibri" w:cs="Calibri"/>
                <w:b/>
                <w:bCs/>
                <w:color w:val="000000"/>
                <w:lang w:eastAsia="en-GB"/>
              </w:rPr>
            </w:pPr>
            <w:r w:rsidRPr="00606AE1">
              <w:rPr>
                <w:rFonts w:ascii="Calibri" w:eastAsia="Times New Roman" w:hAnsi="Calibri" w:cs="Calibri"/>
                <w:b/>
                <w:bCs/>
                <w:color w:val="000000"/>
                <w:lang w:eastAsia="en-GB"/>
              </w:rPr>
              <w:t>n</w:t>
            </w:r>
          </w:p>
        </w:tc>
      </w:tr>
      <w:tr w:rsidR="007D57FB" w:rsidRPr="00663CB7" w14:paraId="610C47D6" w14:textId="77777777" w:rsidTr="005B3E6B">
        <w:trPr>
          <w:trHeight w:val="290"/>
        </w:trPr>
        <w:tc>
          <w:tcPr>
            <w:tcW w:w="1158" w:type="dxa"/>
            <w:vMerge w:val="restart"/>
            <w:tcBorders>
              <w:top w:val="single" w:sz="4" w:space="0" w:color="auto"/>
              <w:left w:val="single" w:sz="4" w:space="0" w:color="auto"/>
              <w:right w:val="single" w:sz="4" w:space="0" w:color="auto"/>
            </w:tcBorders>
            <w:shd w:val="clear" w:color="auto" w:fill="auto"/>
            <w:vAlign w:val="center"/>
            <w:hideMark/>
          </w:tcPr>
          <w:p w14:paraId="610C47C8" w14:textId="77777777" w:rsidR="007D57FB" w:rsidRPr="003A7E17" w:rsidRDefault="007D57FB" w:rsidP="005B3E6B">
            <w:pPr>
              <w:spacing w:after="0" w:line="240" w:lineRule="auto"/>
              <w:rPr>
                <w:rFonts w:ascii="Calibri" w:eastAsia="Times New Roman" w:hAnsi="Calibri" w:cs="Calibri"/>
                <w:i/>
                <w:color w:val="000000"/>
                <w:lang w:eastAsia="en-GB"/>
              </w:rPr>
            </w:pPr>
            <w:r w:rsidRPr="003A7E17">
              <w:rPr>
                <w:rFonts w:ascii="Calibri" w:eastAsia="Times New Roman" w:hAnsi="Calibri" w:cs="Calibri"/>
                <w:i/>
                <w:color w:val="000000"/>
                <w:lang w:eastAsia="en-GB"/>
              </w:rPr>
              <w:t xml:space="preserve">Contd. </w:t>
            </w:r>
          </w:p>
          <w:p w14:paraId="610C47C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A10</w:t>
            </w:r>
          </w:p>
        </w:tc>
        <w:tc>
          <w:tcPr>
            <w:tcW w:w="2839" w:type="dxa"/>
            <w:vMerge w:val="restart"/>
            <w:tcBorders>
              <w:top w:val="single" w:sz="4" w:space="0" w:color="auto"/>
              <w:left w:val="single" w:sz="4" w:space="0" w:color="auto"/>
              <w:right w:val="single" w:sz="4" w:space="0" w:color="auto"/>
            </w:tcBorders>
            <w:shd w:val="clear" w:color="auto" w:fill="auto"/>
            <w:vAlign w:val="center"/>
            <w:hideMark/>
          </w:tcPr>
          <w:p w14:paraId="610C47CA" w14:textId="77777777" w:rsidR="007D57FB" w:rsidRPr="003A7E17" w:rsidRDefault="007D57FB" w:rsidP="005B3E6B">
            <w:pPr>
              <w:spacing w:after="0" w:line="240" w:lineRule="auto"/>
              <w:rPr>
                <w:rFonts w:ascii="Calibri" w:eastAsia="Times New Roman" w:hAnsi="Calibri" w:cs="Calibri"/>
                <w:i/>
                <w:color w:val="000000"/>
                <w:lang w:eastAsia="en-GB"/>
              </w:rPr>
            </w:pPr>
            <w:r w:rsidRPr="003A7E17">
              <w:rPr>
                <w:rFonts w:ascii="Calibri" w:eastAsia="Times New Roman" w:hAnsi="Calibri" w:cs="Calibri"/>
                <w:i/>
                <w:color w:val="000000"/>
                <w:lang w:eastAsia="en-GB"/>
              </w:rPr>
              <w:t xml:space="preserve">Contd. </w:t>
            </w:r>
          </w:p>
          <w:p w14:paraId="610C47CB"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Drugs Used In Diabetes</w:t>
            </w:r>
          </w:p>
        </w:tc>
        <w:tc>
          <w:tcPr>
            <w:tcW w:w="564" w:type="dxa"/>
            <w:vMerge w:val="restart"/>
            <w:tcBorders>
              <w:top w:val="single" w:sz="4" w:space="0" w:color="auto"/>
              <w:left w:val="single" w:sz="4" w:space="0" w:color="auto"/>
              <w:right w:val="single" w:sz="4" w:space="0" w:color="auto"/>
            </w:tcBorders>
            <w:shd w:val="clear" w:color="auto" w:fill="auto"/>
            <w:vAlign w:val="center"/>
            <w:hideMark/>
          </w:tcPr>
          <w:p w14:paraId="610C47CC"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610C47CD" w14:textId="77777777" w:rsidR="007D57FB" w:rsidRPr="00663CB7" w:rsidRDefault="007D57FB" w:rsidP="005B3E6B">
            <w:pPr>
              <w:spacing w:after="0" w:line="240" w:lineRule="auto"/>
              <w:rPr>
                <w:rFonts w:ascii="Calibri" w:eastAsia="Times New Roman" w:hAnsi="Calibri" w:cs="Calibri"/>
                <w:color w:val="000000"/>
                <w:lang w:eastAsia="en-GB"/>
              </w:rPr>
            </w:pPr>
            <w:r w:rsidRPr="003A7E17">
              <w:rPr>
                <w:rFonts w:ascii="Calibri" w:eastAsia="Times New Roman" w:hAnsi="Calibri" w:cs="Calibri"/>
                <w:i/>
                <w:color w:val="000000"/>
                <w:lang w:eastAsia="en-GB"/>
              </w:rPr>
              <w:t>Contd.</w:t>
            </w:r>
            <w:r>
              <w:rPr>
                <w:rFonts w:ascii="Calibri" w:eastAsia="Times New Roman" w:hAnsi="Calibri" w:cs="Calibri"/>
                <w:color w:val="000000"/>
                <w:lang w:eastAsia="en-GB"/>
              </w:rPr>
              <w:t xml:space="preserve"> A10A</w:t>
            </w:r>
          </w:p>
        </w:tc>
        <w:tc>
          <w:tcPr>
            <w:tcW w:w="1947" w:type="dxa"/>
            <w:vMerge w:val="restart"/>
            <w:tcBorders>
              <w:top w:val="single" w:sz="4" w:space="0" w:color="auto"/>
              <w:left w:val="single" w:sz="4" w:space="0" w:color="auto"/>
              <w:right w:val="single" w:sz="4" w:space="0" w:color="auto"/>
            </w:tcBorders>
            <w:shd w:val="clear" w:color="auto" w:fill="auto"/>
            <w:vAlign w:val="center"/>
            <w:hideMark/>
          </w:tcPr>
          <w:p w14:paraId="610C47CE" w14:textId="77777777" w:rsidR="007D57FB" w:rsidRPr="003A7E17" w:rsidRDefault="007D57FB" w:rsidP="005B3E6B">
            <w:pPr>
              <w:spacing w:after="0" w:line="240" w:lineRule="auto"/>
              <w:rPr>
                <w:rFonts w:ascii="Calibri" w:eastAsia="Times New Roman" w:hAnsi="Calibri" w:cs="Calibri"/>
                <w:i/>
                <w:color w:val="000000"/>
                <w:lang w:eastAsia="en-GB"/>
              </w:rPr>
            </w:pPr>
            <w:r w:rsidRPr="003A7E17">
              <w:rPr>
                <w:rFonts w:ascii="Calibri" w:eastAsia="Times New Roman" w:hAnsi="Calibri" w:cs="Calibri"/>
                <w:i/>
                <w:color w:val="000000"/>
                <w:lang w:eastAsia="en-GB"/>
              </w:rPr>
              <w:t xml:space="preserve">Contd. </w:t>
            </w:r>
          </w:p>
          <w:p w14:paraId="610C47CF"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Insulins and analogues</w:t>
            </w:r>
          </w:p>
        </w:tc>
        <w:tc>
          <w:tcPr>
            <w:tcW w:w="564" w:type="dxa"/>
            <w:vMerge w:val="restart"/>
            <w:tcBorders>
              <w:top w:val="single" w:sz="4" w:space="0" w:color="auto"/>
              <w:left w:val="single" w:sz="4" w:space="0" w:color="auto"/>
              <w:right w:val="single" w:sz="4" w:space="0" w:color="auto"/>
            </w:tcBorders>
            <w:shd w:val="clear" w:color="auto" w:fill="auto"/>
            <w:vAlign w:val="center"/>
            <w:hideMark/>
          </w:tcPr>
          <w:p w14:paraId="610C47D0"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33" w:type="dxa"/>
            <w:tcBorders>
              <w:top w:val="nil"/>
              <w:left w:val="nil"/>
              <w:bottom w:val="single" w:sz="4" w:space="0" w:color="auto"/>
              <w:right w:val="single" w:sz="4" w:space="0" w:color="auto"/>
            </w:tcBorders>
            <w:shd w:val="clear" w:color="auto" w:fill="auto"/>
            <w:noWrap/>
            <w:vAlign w:val="center"/>
            <w:hideMark/>
          </w:tcPr>
          <w:p w14:paraId="610C47D1"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A10AB</w:t>
            </w:r>
          </w:p>
        </w:tc>
        <w:tc>
          <w:tcPr>
            <w:tcW w:w="2023" w:type="dxa"/>
            <w:tcBorders>
              <w:top w:val="nil"/>
              <w:left w:val="nil"/>
              <w:bottom w:val="single" w:sz="4" w:space="0" w:color="auto"/>
              <w:right w:val="single" w:sz="4" w:space="0" w:color="auto"/>
            </w:tcBorders>
            <w:shd w:val="clear" w:color="auto" w:fill="auto"/>
            <w:noWrap/>
            <w:vAlign w:val="center"/>
            <w:hideMark/>
          </w:tcPr>
          <w:p w14:paraId="610C47D2"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Insulins and analogues for injection, fast-acting</w:t>
            </w:r>
          </w:p>
        </w:tc>
        <w:tc>
          <w:tcPr>
            <w:tcW w:w="564" w:type="dxa"/>
            <w:tcBorders>
              <w:top w:val="nil"/>
              <w:left w:val="nil"/>
              <w:bottom w:val="single" w:sz="4" w:space="0" w:color="auto"/>
              <w:right w:val="single" w:sz="4" w:space="0" w:color="auto"/>
            </w:tcBorders>
            <w:shd w:val="clear" w:color="auto" w:fill="auto"/>
            <w:noWrap/>
            <w:vAlign w:val="center"/>
            <w:hideMark/>
          </w:tcPr>
          <w:p w14:paraId="610C47D3"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8</w:t>
            </w:r>
          </w:p>
        </w:tc>
        <w:tc>
          <w:tcPr>
            <w:tcW w:w="1692" w:type="dxa"/>
            <w:tcBorders>
              <w:top w:val="nil"/>
              <w:left w:val="nil"/>
              <w:bottom w:val="single" w:sz="4" w:space="0" w:color="auto"/>
              <w:right w:val="single" w:sz="4" w:space="0" w:color="auto"/>
            </w:tcBorders>
            <w:shd w:val="clear" w:color="auto" w:fill="auto"/>
            <w:noWrap/>
            <w:vAlign w:val="center"/>
            <w:hideMark/>
          </w:tcPr>
          <w:p w14:paraId="610C47D4"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7D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7E2" w14:textId="77777777" w:rsidTr="005B3E6B">
        <w:trPr>
          <w:trHeight w:val="290"/>
        </w:trPr>
        <w:tc>
          <w:tcPr>
            <w:tcW w:w="1158" w:type="dxa"/>
            <w:vMerge/>
            <w:tcBorders>
              <w:left w:val="single" w:sz="4" w:space="0" w:color="auto"/>
              <w:right w:val="single" w:sz="4" w:space="0" w:color="auto"/>
            </w:tcBorders>
            <w:shd w:val="clear" w:color="auto" w:fill="auto"/>
            <w:vAlign w:val="center"/>
            <w:hideMark/>
          </w:tcPr>
          <w:p w14:paraId="610C47D7"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left w:val="single" w:sz="4" w:space="0" w:color="auto"/>
              <w:right w:val="single" w:sz="4" w:space="0" w:color="auto"/>
            </w:tcBorders>
            <w:shd w:val="clear" w:color="auto" w:fill="auto"/>
            <w:vAlign w:val="center"/>
            <w:hideMark/>
          </w:tcPr>
          <w:p w14:paraId="610C47D8"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left w:val="single" w:sz="4" w:space="0" w:color="auto"/>
              <w:right w:val="single" w:sz="4" w:space="0" w:color="auto"/>
            </w:tcBorders>
            <w:shd w:val="clear" w:color="auto" w:fill="auto"/>
            <w:vAlign w:val="center"/>
            <w:hideMark/>
          </w:tcPr>
          <w:p w14:paraId="610C47D9"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vMerge/>
            <w:tcBorders>
              <w:left w:val="single" w:sz="4" w:space="0" w:color="auto"/>
              <w:bottom w:val="single" w:sz="4" w:space="0" w:color="auto"/>
              <w:right w:val="single" w:sz="4" w:space="0" w:color="auto"/>
            </w:tcBorders>
            <w:shd w:val="clear" w:color="auto" w:fill="auto"/>
            <w:vAlign w:val="center"/>
            <w:hideMark/>
          </w:tcPr>
          <w:p w14:paraId="610C47DA"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1947" w:type="dxa"/>
            <w:vMerge/>
            <w:tcBorders>
              <w:left w:val="single" w:sz="4" w:space="0" w:color="auto"/>
              <w:bottom w:val="single" w:sz="4" w:space="0" w:color="auto"/>
              <w:right w:val="single" w:sz="4" w:space="0" w:color="auto"/>
            </w:tcBorders>
            <w:shd w:val="clear" w:color="auto" w:fill="auto"/>
            <w:vAlign w:val="center"/>
            <w:hideMark/>
          </w:tcPr>
          <w:p w14:paraId="610C47DB"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left w:val="single" w:sz="4" w:space="0" w:color="auto"/>
              <w:bottom w:val="single" w:sz="4" w:space="0" w:color="auto"/>
              <w:right w:val="single" w:sz="4" w:space="0" w:color="auto"/>
            </w:tcBorders>
            <w:shd w:val="clear" w:color="auto" w:fill="auto"/>
            <w:vAlign w:val="center"/>
            <w:hideMark/>
          </w:tcPr>
          <w:p w14:paraId="610C47DC"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33" w:type="dxa"/>
            <w:tcBorders>
              <w:top w:val="nil"/>
              <w:left w:val="nil"/>
              <w:bottom w:val="single" w:sz="4" w:space="0" w:color="auto"/>
              <w:right w:val="single" w:sz="4" w:space="0" w:color="auto"/>
            </w:tcBorders>
            <w:shd w:val="clear" w:color="auto" w:fill="auto"/>
            <w:noWrap/>
            <w:vAlign w:val="center"/>
            <w:hideMark/>
          </w:tcPr>
          <w:p w14:paraId="610C47DD"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A10AE</w:t>
            </w:r>
          </w:p>
        </w:tc>
        <w:tc>
          <w:tcPr>
            <w:tcW w:w="2023" w:type="dxa"/>
            <w:tcBorders>
              <w:top w:val="nil"/>
              <w:left w:val="nil"/>
              <w:bottom w:val="single" w:sz="4" w:space="0" w:color="auto"/>
              <w:right w:val="single" w:sz="4" w:space="0" w:color="auto"/>
            </w:tcBorders>
            <w:shd w:val="clear" w:color="auto" w:fill="auto"/>
            <w:noWrap/>
            <w:vAlign w:val="center"/>
            <w:hideMark/>
          </w:tcPr>
          <w:p w14:paraId="610C47DE"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Insulins and analogues for injection, long-acting</w:t>
            </w:r>
          </w:p>
        </w:tc>
        <w:tc>
          <w:tcPr>
            <w:tcW w:w="564" w:type="dxa"/>
            <w:tcBorders>
              <w:top w:val="nil"/>
              <w:left w:val="nil"/>
              <w:bottom w:val="single" w:sz="4" w:space="0" w:color="auto"/>
              <w:right w:val="single" w:sz="4" w:space="0" w:color="auto"/>
            </w:tcBorders>
            <w:shd w:val="clear" w:color="auto" w:fill="auto"/>
            <w:noWrap/>
            <w:vAlign w:val="center"/>
            <w:hideMark/>
          </w:tcPr>
          <w:p w14:paraId="610C47DF"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4</w:t>
            </w:r>
          </w:p>
        </w:tc>
        <w:tc>
          <w:tcPr>
            <w:tcW w:w="1692" w:type="dxa"/>
            <w:tcBorders>
              <w:top w:val="nil"/>
              <w:left w:val="nil"/>
              <w:bottom w:val="single" w:sz="4" w:space="0" w:color="auto"/>
              <w:right w:val="single" w:sz="4" w:space="0" w:color="auto"/>
            </w:tcBorders>
            <w:shd w:val="clear" w:color="auto" w:fill="auto"/>
            <w:noWrap/>
            <w:vAlign w:val="center"/>
            <w:hideMark/>
          </w:tcPr>
          <w:p w14:paraId="610C47E0"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7E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7EE" w14:textId="77777777" w:rsidTr="005B3E6B">
        <w:trPr>
          <w:trHeight w:val="290"/>
        </w:trPr>
        <w:tc>
          <w:tcPr>
            <w:tcW w:w="1158" w:type="dxa"/>
            <w:vMerge/>
            <w:tcBorders>
              <w:left w:val="single" w:sz="4" w:space="0" w:color="auto"/>
              <w:right w:val="single" w:sz="4" w:space="0" w:color="auto"/>
            </w:tcBorders>
            <w:shd w:val="clear" w:color="auto" w:fill="auto"/>
            <w:vAlign w:val="center"/>
            <w:hideMark/>
          </w:tcPr>
          <w:p w14:paraId="610C47E3"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left w:val="single" w:sz="4" w:space="0" w:color="auto"/>
              <w:right w:val="single" w:sz="4" w:space="0" w:color="auto"/>
            </w:tcBorders>
            <w:shd w:val="clear" w:color="auto" w:fill="auto"/>
            <w:vAlign w:val="center"/>
            <w:hideMark/>
          </w:tcPr>
          <w:p w14:paraId="610C47E4"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left w:val="single" w:sz="4" w:space="0" w:color="auto"/>
              <w:right w:val="single" w:sz="4" w:space="0" w:color="auto"/>
            </w:tcBorders>
            <w:shd w:val="clear" w:color="auto" w:fill="auto"/>
            <w:vAlign w:val="center"/>
            <w:hideMark/>
          </w:tcPr>
          <w:p w14:paraId="610C47E5"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tcBorders>
              <w:top w:val="nil"/>
              <w:left w:val="nil"/>
              <w:bottom w:val="single" w:sz="4" w:space="0" w:color="auto"/>
              <w:right w:val="single" w:sz="4" w:space="0" w:color="auto"/>
            </w:tcBorders>
            <w:shd w:val="clear" w:color="auto" w:fill="auto"/>
            <w:noWrap/>
            <w:vAlign w:val="center"/>
            <w:hideMark/>
          </w:tcPr>
          <w:p w14:paraId="610C47E6"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A10B</w:t>
            </w:r>
          </w:p>
        </w:tc>
        <w:tc>
          <w:tcPr>
            <w:tcW w:w="1947" w:type="dxa"/>
            <w:tcBorders>
              <w:top w:val="nil"/>
              <w:left w:val="nil"/>
              <w:bottom w:val="single" w:sz="4" w:space="0" w:color="auto"/>
              <w:right w:val="single" w:sz="4" w:space="0" w:color="auto"/>
            </w:tcBorders>
            <w:shd w:val="clear" w:color="auto" w:fill="auto"/>
            <w:noWrap/>
            <w:vAlign w:val="center"/>
            <w:hideMark/>
          </w:tcPr>
          <w:p w14:paraId="610C47E7"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Blood glucose lowering drugs, excl. Insulins</w:t>
            </w:r>
          </w:p>
        </w:tc>
        <w:tc>
          <w:tcPr>
            <w:tcW w:w="564" w:type="dxa"/>
            <w:tcBorders>
              <w:top w:val="nil"/>
              <w:left w:val="nil"/>
              <w:bottom w:val="single" w:sz="4" w:space="0" w:color="auto"/>
              <w:right w:val="single" w:sz="4" w:space="0" w:color="auto"/>
            </w:tcBorders>
            <w:shd w:val="clear" w:color="auto" w:fill="auto"/>
            <w:noWrap/>
            <w:vAlign w:val="center"/>
            <w:hideMark/>
          </w:tcPr>
          <w:p w14:paraId="610C47E8"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20</w:t>
            </w:r>
          </w:p>
        </w:tc>
        <w:tc>
          <w:tcPr>
            <w:tcW w:w="833" w:type="dxa"/>
            <w:tcBorders>
              <w:top w:val="nil"/>
              <w:left w:val="nil"/>
              <w:bottom w:val="single" w:sz="4" w:space="0" w:color="auto"/>
              <w:right w:val="single" w:sz="4" w:space="0" w:color="auto"/>
            </w:tcBorders>
            <w:shd w:val="clear" w:color="auto" w:fill="auto"/>
            <w:noWrap/>
            <w:vAlign w:val="center"/>
            <w:hideMark/>
          </w:tcPr>
          <w:p w14:paraId="610C47E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7EA"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7EB"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7EC"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7ED"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7FA" w14:textId="77777777" w:rsidTr="005B3E6B">
        <w:trPr>
          <w:trHeight w:val="290"/>
        </w:trPr>
        <w:tc>
          <w:tcPr>
            <w:tcW w:w="1158" w:type="dxa"/>
            <w:vMerge/>
            <w:tcBorders>
              <w:left w:val="single" w:sz="4" w:space="0" w:color="auto"/>
              <w:bottom w:val="single" w:sz="4" w:space="0" w:color="auto"/>
              <w:right w:val="single" w:sz="4" w:space="0" w:color="auto"/>
            </w:tcBorders>
            <w:shd w:val="clear" w:color="auto" w:fill="auto"/>
            <w:vAlign w:val="center"/>
            <w:hideMark/>
          </w:tcPr>
          <w:p w14:paraId="610C47EF"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left w:val="single" w:sz="4" w:space="0" w:color="auto"/>
              <w:bottom w:val="single" w:sz="4" w:space="0" w:color="auto"/>
              <w:right w:val="single" w:sz="4" w:space="0" w:color="auto"/>
            </w:tcBorders>
            <w:shd w:val="clear" w:color="auto" w:fill="auto"/>
            <w:vAlign w:val="center"/>
            <w:hideMark/>
          </w:tcPr>
          <w:p w14:paraId="610C47F0"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left w:val="single" w:sz="4" w:space="0" w:color="auto"/>
              <w:bottom w:val="single" w:sz="4" w:space="0" w:color="auto"/>
              <w:right w:val="single" w:sz="4" w:space="0" w:color="auto"/>
            </w:tcBorders>
            <w:shd w:val="clear" w:color="auto" w:fill="auto"/>
            <w:vAlign w:val="center"/>
            <w:hideMark/>
          </w:tcPr>
          <w:p w14:paraId="610C47F1"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tcBorders>
              <w:top w:val="nil"/>
              <w:left w:val="nil"/>
              <w:bottom w:val="single" w:sz="4" w:space="0" w:color="auto"/>
              <w:right w:val="single" w:sz="4" w:space="0" w:color="auto"/>
            </w:tcBorders>
            <w:shd w:val="clear" w:color="auto" w:fill="auto"/>
            <w:noWrap/>
            <w:vAlign w:val="center"/>
            <w:hideMark/>
          </w:tcPr>
          <w:p w14:paraId="610C47F2"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A10*</w:t>
            </w:r>
          </w:p>
        </w:tc>
        <w:tc>
          <w:tcPr>
            <w:tcW w:w="1947" w:type="dxa"/>
            <w:tcBorders>
              <w:top w:val="nil"/>
              <w:left w:val="nil"/>
              <w:bottom w:val="single" w:sz="4" w:space="0" w:color="auto"/>
              <w:right w:val="single" w:sz="4" w:space="0" w:color="auto"/>
            </w:tcBorders>
            <w:shd w:val="clear" w:color="auto" w:fill="auto"/>
            <w:noWrap/>
            <w:vAlign w:val="center"/>
            <w:hideMark/>
          </w:tcPr>
          <w:p w14:paraId="610C47F3"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Not specified</w:t>
            </w:r>
          </w:p>
        </w:tc>
        <w:tc>
          <w:tcPr>
            <w:tcW w:w="564" w:type="dxa"/>
            <w:tcBorders>
              <w:top w:val="nil"/>
              <w:left w:val="nil"/>
              <w:bottom w:val="single" w:sz="4" w:space="0" w:color="auto"/>
              <w:right w:val="single" w:sz="4" w:space="0" w:color="auto"/>
            </w:tcBorders>
            <w:shd w:val="clear" w:color="auto" w:fill="auto"/>
            <w:noWrap/>
            <w:vAlign w:val="center"/>
            <w:hideMark/>
          </w:tcPr>
          <w:p w14:paraId="610C47F4"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1</w:t>
            </w:r>
          </w:p>
        </w:tc>
        <w:tc>
          <w:tcPr>
            <w:tcW w:w="833" w:type="dxa"/>
            <w:tcBorders>
              <w:top w:val="nil"/>
              <w:left w:val="nil"/>
              <w:bottom w:val="single" w:sz="4" w:space="0" w:color="auto"/>
              <w:right w:val="single" w:sz="4" w:space="0" w:color="auto"/>
            </w:tcBorders>
            <w:shd w:val="clear" w:color="auto" w:fill="auto"/>
            <w:noWrap/>
            <w:vAlign w:val="center"/>
            <w:hideMark/>
          </w:tcPr>
          <w:p w14:paraId="610C47F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7F6"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7F7"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7F8"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7F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06" w14:textId="77777777" w:rsidTr="005B3E6B">
        <w:trPr>
          <w:trHeight w:val="290"/>
        </w:trPr>
        <w:tc>
          <w:tcPr>
            <w:tcW w:w="11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FB"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A12</w:t>
            </w:r>
          </w:p>
        </w:tc>
        <w:tc>
          <w:tcPr>
            <w:tcW w:w="28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FC"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Mineral Supplements</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7FD"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50</w:t>
            </w:r>
          </w:p>
        </w:tc>
        <w:tc>
          <w:tcPr>
            <w:tcW w:w="810" w:type="dxa"/>
            <w:tcBorders>
              <w:top w:val="nil"/>
              <w:left w:val="nil"/>
              <w:bottom w:val="single" w:sz="4" w:space="0" w:color="auto"/>
              <w:right w:val="single" w:sz="4" w:space="0" w:color="auto"/>
            </w:tcBorders>
            <w:shd w:val="clear" w:color="auto" w:fill="auto"/>
            <w:noWrap/>
            <w:vAlign w:val="center"/>
            <w:hideMark/>
          </w:tcPr>
          <w:p w14:paraId="610C47FE"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A12A</w:t>
            </w:r>
          </w:p>
        </w:tc>
        <w:tc>
          <w:tcPr>
            <w:tcW w:w="1947" w:type="dxa"/>
            <w:tcBorders>
              <w:top w:val="nil"/>
              <w:left w:val="nil"/>
              <w:bottom w:val="single" w:sz="4" w:space="0" w:color="auto"/>
              <w:right w:val="single" w:sz="4" w:space="0" w:color="auto"/>
            </w:tcBorders>
            <w:shd w:val="clear" w:color="auto" w:fill="auto"/>
            <w:noWrap/>
            <w:vAlign w:val="center"/>
            <w:hideMark/>
          </w:tcPr>
          <w:p w14:paraId="610C47FF"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Potassium</w:t>
            </w:r>
          </w:p>
        </w:tc>
        <w:tc>
          <w:tcPr>
            <w:tcW w:w="564" w:type="dxa"/>
            <w:tcBorders>
              <w:top w:val="nil"/>
              <w:left w:val="nil"/>
              <w:bottom w:val="single" w:sz="4" w:space="0" w:color="auto"/>
              <w:right w:val="single" w:sz="4" w:space="0" w:color="auto"/>
            </w:tcBorders>
            <w:shd w:val="clear" w:color="auto" w:fill="auto"/>
            <w:noWrap/>
            <w:vAlign w:val="center"/>
            <w:hideMark/>
          </w:tcPr>
          <w:p w14:paraId="610C4800"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9</w:t>
            </w:r>
          </w:p>
        </w:tc>
        <w:tc>
          <w:tcPr>
            <w:tcW w:w="833" w:type="dxa"/>
            <w:tcBorders>
              <w:top w:val="nil"/>
              <w:left w:val="nil"/>
              <w:bottom w:val="single" w:sz="4" w:space="0" w:color="auto"/>
              <w:right w:val="single" w:sz="4" w:space="0" w:color="auto"/>
            </w:tcBorders>
            <w:shd w:val="clear" w:color="auto" w:fill="auto"/>
            <w:noWrap/>
            <w:vAlign w:val="center"/>
            <w:hideMark/>
          </w:tcPr>
          <w:p w14:paraId="610C480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02"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03"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04"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0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12"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807"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top w:val="nil"/>
              <w:left w:val="single" w:sz="4" w:space="0" w:color="auto"/>
              <w:bottom w:val="single" w:sz="4" w:space="0" w:color="auto"/>
              <w:right w:val="single" w:sz="4" w:space="0" w:color="auto"/>
            </w:tcBorders>
            <w:vAlign w:val="center"/>
            <w:hideMark/>
          </w:tcPr>
          <w:p w14:paraId="610C4808"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top w:val="nil"/>
              <w:left w:val="single" w:sz="4" w:space="0" w:color="auto"/>
              <w:bottom w:val="single" w:sz="4" w:space="0" w:color="auto"/>
              <w:right w:val="single" w:sz="4" w:space="0" w:color="auto"/>
            </w:tcBorders>
            <w:vAlign w:val="center"/>
            <w:hideMark/>
          </w:tcPr>
          <w:p w14:paraId="610C4809"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tcBorders>
              <w:top w:val="nil"/>
              <w:left w:val="nil"/>
              <w:bottom w:val="single" w:sz="4" w:space="0" w:color="auto"/>
              <w:right w:val="single" w:sz="4" w:space="0" w:color="auto"/>
            </w:tcBorders>
            <w:shd w:val="clear" w:color="auto" w:fill="auto"/>
            <w:noWrap/>
            <w:vAlign w:val="center"/>
            <w:hideMark/>
          </w:tcPr>
          <w:p w14:paraId="610C480A"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A12A</w:t>
            </w:r>
          </w:p>
        </w:tc>
        <w:tc>
          <w:tcPr>
            <w:tcW w:w="1947" w:type="dxa"/>
            <w:tcBorders>
              <w:top w:val="nil"/>
              <w:left w:val="nil"/>
              <w:bottom w:val="single" w:sz="4" w:space="0" w:color="auto"/>
              <w:right w:val="single" w:sz="4" w:space="0" w:color="auto"/>
            </w:tcBorders>
            <w:shd w:val="clear" w:color="auto" w:fill="auto"/>
            <w:noWrap/>
            <w:vAlign w:val="center"/>
            <w:hideMark/>
          </w:tcPr>
          <w:p w14:paraId="610C480B"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Calcium</w:t>
            </w:r>
          </w:p>
        </w:tc>
        <w:tc>
          <w:tcPr>
            <w:tcW w:w="564" w:type="dxa"/>
            <w:tcBorders>
              <w:top w:val="nil"/>
              <w:left w:val="nil"/>
              <w:bottom w:val="single" w:sz="4" w:space="0" w:color="auto"/>
              <w:right w:val="single" w:sz="4" w:space="0" w:color="auto"/>
            </w:tcBorders>
            <w:shd w:val="clear" w:color="auto" w:fill="auto"/>
            <w:noWrap/>
            <w:vAlign w:val="center"/>
            <w:hideMark/>
          </w:tcPr>
          <w:p w14:paraId="610C480C"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41</w:t>
            </w:r>
          </w:p>
        </w:tc>
        <w:tc>
          <w:tcPr>
            <w:tcW w:w="833" w:type="dxa"/>
            <w:tcBorders>
              <w:top w:val="nil"/>
              <w:left w:val="nil"/>
              <w:bottom w:val="single" w:sz="4" w:space="0" w:color="auto"/>
              <w:right w:val="single" w:sz="4" w:space="0" w:color="auto"/>
            </w:tcBorders>
            <w:shd w:val="clear" w:color="auto" w:fill="auto"/>
            <w:noWrap/>
            <w:vAlign w:val="center"/>
            <w:hideMark/>
          </w:tcPr>
          <w:p w14:paraId="610C480D"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A12AA</w:t>
            </w:r>
          </w:p>
        </w:tc>
        <w:tc>
          <w:tcPr>
            <w:tcW w:w="2023" w:type="dxa"/>
            <w:tcBorders>
              <w:top w:val="nil"/>
              <w:left w:val="nil"/>
              <w:bottom w:val="single" w:sz="4" w:space="0" w:color="auto"/>
              <w:right w:val="single" w:sz="4" w:space="0" w:color="auto"/>
            </w:tcBorders>
            <w:shd w:val="clear" w:color="auto" w:fill="auto"/>
            <w:noWrap/>
            <w:vAlign w:val="center"/>
            <w:hideMark/>
          </w:tcPr>
          <w:p w14:paraId="610C480E"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Calcium</w:t>
            </w:r>
          </w:p>
        </w:tc>
        <w:tc>
          <w:tcPr>
            <w:tcW w:w="564" w:type="dxa"/>
            <w:tcBorders>
              <w:top w:val="nil"/>
              <w:left w:val="nil"/>
              <w:bottom w:val="single" w:sz="4" w:space="0" w:color="auto"/>
              <w:right w:val="single" w:sz="4" w:space="0" w:color="auto"/>
            </w:tcBorders>
            <w:shd w:val="clear" w:color="auto" w:fill="auto"/>
            <w:noWrap/>
            <w:vAlign w:val="center"/>
            <w:hideMark/>
          </w:tcPr>
          <w:p w14:paraId="610C480F"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41</w:t>
            </w:r>
          </w:p>
        </w:tc>
        <w:tc>
          <w:tcPr>
            <w:tcW w:w="1692" w:type="dxa"/>
            <w:tcBorders>
              <w:top w:val="nil"/>
              <w:left w:val="nil"/>
              <w:bottom w:val="single" w:sz="4" w:space="0" w:color="auto"/>
              <w:right w:val="single" w:sz="4" w:space="0" w:color="auto"/>
            </w:tcBorders>
            <w:shd w:val="clear" w:color="auto" w:fill="auto"/>
            <w:noWrap/>
            <w:vAlign w:val="center"/>
            <w:hideMark/>
          </w:tcPr>
          <w:p w14:paraId="610C4810"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1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1E"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813"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A02</w:t>
            </w:r>
          </w:p>
        </w:tc>
        <w:tc>
          <w:tcPr>
            <w:tcW w:w="2839" w:type="dxa"/>
            <w:tcBorders>
              <w:top w:val="nil"/>
              <w:left w:val="nil"/>
              <w:bottom w:val="single" w:sz="4" w:space="0" w:color="auto"/>
              <w:right w:val="single" w:sz="4" w:space="0" w:color="auto"/>
            </w:tcBorders>
            <w:shd w:val="clear" w:color="auto" w:fill="auto"/>
            <w:noWrap/>
            <w:vAlign w:val="center"/>
            <w:hideMark/>
          </w:tcPr>
          <w:p w14:paraId="610C4814"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 xml:space="preserve">Drugs </w:t>
            </w:r>
            <w:r>
              <w:rPr>
                <w:rFonts w:ascii="Calibri" w:eastAsia="Times New Roman" w:hAnsi="Calibri" w:cs="Calibri"/>
                <w:color w:val="000000"/>
                <w:lang w:eastAsia="en-GB"/>
              </w:rPr>
              <w:t>f</w:t>
            </w:r>
            <w:r w:rsidRPr="00663CB7">
              <w:rPr>
                <w:rFonts w:ascii="Calibri" w:eastAsia="Times New Roman" w:hAnsi="Calibri" w:cs="Calibri"/>
                <w:color w:val="000000"/>
                <w:lang w:eastAsia="en-GB"/>
              </w:rPr>
              <w:t>or Acid Related Disorders</w:t>
            </w:r>
          </w:p>
        </w:tc>
        <w:tc>
          <w:tcPr>
            <w:tcW w:w="564" w:type="dxa"/>
            <w:tcBorders>
              <w:top w:val="nil"/>
              <w:left w:val="nil"/>
              <w:bottom w:val="single" w:sz="4" w:space="0" w:color="auto"/>
              <w:right w:val="single" w:sz="4" w:space="0" w:color="auto"/>
            </w:tcBorders>
            <w:shd w:val="clear" w:color="auto" w:fill="auto"/>
            <w:noWrap/>
            <w:vAlign w:val="center"/>
            <w:hideMark/>
          </w:tcPr>
          <w:p w14:paraId="610C4815"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26</w:t>
            </w:r>
          </w:p>
        </w:tc>
        <w:tc>
          <w:tcPr>
            <w:tcW w:w="810" w:type="dxa"/>
            <w:tcBorders>
              <w:top w:val="nil"/>
              <w:left w:val="nil"/>
              <w:bottom w:val="single" w:sz="4" w:space="0" w:color="auto"/>
              <w:right w:val="single" w:sz="4" w:space="0" w:color="auto"/>
            </w:tcBorders>
            <w:shd w:val="clear" w:color="auto" w:fill="auto"/>
            <w:noWrap/>
            <w:vAlign w:val="center"/>
            <w:hideMark/>
          </w:tcPr>
          <w:p w14:paraId="610C4816"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A02B</w:t>
            </w:r>
          </w:p>
        </w:tc>
        <w:tc>
          <w:tcPr>
            <w:tcW w:w="1947" w:type="dxa"/>
            <w:tcBorders>
              <w:top w:val="nil"/>
              <w:left w:val="nil"/>
              <w:bottom w:val="single" w:sz="4" w:space="0" w:color="auto"/>
              <w:right w:val="single" w:sz="4" w:space="0" w:color="auto"/>
            </w:tcBorders>
            <w:shd w:val="clear" w:color="auto" w:fill="auto"/>
            <w:noWrap/>
            <w:vAlign w:val="center"/>
            <w:hideMark/>
          </w:tcPr>
          <w:p w14:paraId="610C4817"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Drugs for peptic ulcer and gastro-</w:t>
            </w:r>
            <w:r>
              <w:rPr>
                <w:rFonts w:ascii="Calibri" w:eastAsia="Times New Roman" w:hAnsi="Calibri" w:cs="Calibri"/>
                <w:color w:val="000000"/>
                <w:lang w:eastAsia="en-GB"/>
              </w:rPr>
              <w:t>oesophageal reflux disease (GORD</w:t>
            </w:r>
            <w:r w:rsidRPr="00663CB7">
              <w:rPr>
                <w:rFonts w:ascii="Calibri" w:eastAsia="Times New Roman" w:hAnsi="Calibri" w:cs="Calibri"/>
                <w:color w:val="000000"/>
                <w:lang w:eastAsia="en-GB"/>
              </w:rPr>
              <w:t>)</w:t>
            </w:r>
          </w:p>
        </w:tc>
        <w:tc>
          <w:tcPr>
            <w:tcW w:w="564" w:type="dxa"/>
            <w:tcBorders>
              <w:top w:val="nil"/>
              <w:left w:val="nil"/>
              <w:bottom w:val="single" w:sz="4" w:space="0" w:color="auto"/>
              <w:right w:val="single" w:sz="4" w:space="0" w:color="auto"/>
            </w:tcBorders>
            <w:shd w:val="clear" w:color="auto" w:fill="auto"/>
            <w:noWrap/>
            <w:vAlign w:val="center"/>
            <w:hideMark/>
          </w:tcPr>
          <w:p w14:paraId="610C4818"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26</w:t>
            </w:r>
          </w:p>
        </w:tc>
        <w:tc>
          <w:tcPr>
            <w:tcW w:w="833" w:type="dxa"/>
            <w:tcBorders>
              <w:top w:val="nil"/>
              <w:left w:val="nil"/>
              <w:bottom w:val="single" w:sz="4" w:space="0" w:color="auto"/>
              <w:right w:val="single" w:sz="4" w:space="0" w:color="auto"/>
            </w:tcBorders>
            <w:shd w:val="clear" w:color="auto" w:fill="auto"/>
            <w:noWrap/>
            <w:vAlign w:val="center"/>
            <w:hideMark/>
          </w:tcPr>
          <w:p w14:paraId="610C481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1A"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1B"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1C"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1D"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2A" w14:textId="77777777" w:rsidTr="005B3E6B">
        <w:trPr>
          <w:trHeight w:val="290"/>
        </w:trPr>
        <w:tc>
          <w:tcPr>
            <w:tcW w:w="11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1F"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A06</w:t>
            </w:r>
          </w:p>
        </w:tc>
        <w:tc>
          <w:tcPr>
            <w:tcW w:w="28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20"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 xml:space="preserve">Drugs </w:t>
            </w:r>
            <w:r>
              <w:rPr>
                <w:rFonts w:ascii="Calibri" w:eastAsia="Times New Roman" w:hAnsi="Calibri" w:cs="Calibri"/>
                <w:color w:val="000000"/>
                <w:lang w:eastAsia="en-GB"/>
              </w:rPr>
              <w:t>f</w:t>
            </w:r>
            <w:r w:rsidRPr="00663CB7">
              <w:rPr>
                <w:rFonts w:ascii="Calibri" w:eastAsia="Times New Roman" w:hAnsi="Calibri" w:cs="Calibri"/>
                <w:color w:val="000000"/>
                <w:lang w:eastAsia="en-GB"/>
              </w:rPr>
              <w:t>or Constipation</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21"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24</w:t>
            </w: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22"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A06A</w:t>
            </w:r>
          </w:p>
        </w:tc>
        <w:tc>
          <w:tcPr>
            <w:tcW w:w="19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23"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Drugs for constipation</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C4824"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24</w:t>
            </w:r>
          </w:p>
        </w:tc>
        <w:tc>
          <w:tcPr>
            <w:tcW w:w="833" w:type="dxa"/>
            <w:tcBorders>
              <w:top w:val="nil"/>
              <w:left w:val="nil"/>
              <w:bottom w:val="single" w:sz="4" w:space="0" w:color="auto"/>
              <w:right w:val="single" w:sz="4" w:space="0" w:color="auto"/>
            </w:tcBorders>
            <w:shd w:val="clear" w:color="auto" w:fill="auto"/>
            <w:noWrap/>
            <w:vAlign w:val="center"/>
            <w:hideMark/>
          </w:tcPr>
          <w:p w14:paraId="610C482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A06AG</w:t>
            </w:r>
          </w:p>
        </w:tc>
        <w:tc>
          <w:tcPr>
            <w:tcW w:w="2023" w:type="dxa"/>
            <w:tcBorders>
              <w:top w:val="nil"/>
              <w:left w:val="nil"/>
              <w:bottom w:val="single" w:sz="4" w:space="0" w:color="auto"/>
              <w:right w:val="single" w:sz="4" w:space="0" w:color="auto"/>
            </w:tcBorders>
            <w:shd w:val="clear" w:color="auto" w:fill="auto"/>
            <w:noWrap/>
            <w:vAlign w:val="center"/>
            <w:hideMark/>
          </w:tcPr>
          <w:p w14:paraId="610C4826"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Enemas</w:t>
            </w:r>
          </w:p>
        </w:tc>
        <w:tc>
          <w:tcPr>
            <w:tcW w:w="564" w:type="dxa"/>
            <w:tcBorders>
              <w:top w:val="nil"/>
              <w:left w:val="nil"/>
              <w:bottom w:val="single" w:sz="4" w:space="0" w:color="auto"/>
              <w:right w:val="single" w:sz="4" w:space="0" w:color="auto"/>
            </w:tcBorders>
            <w:shd w:val="clear" w:color="auto" w:fill="auto"/>
            <w:noWrap/>
            <w:vAlign w:val="center"/>
            <w:hideMark/>
          </w:tcPr>
          <w:p w14:paraId="610C4827"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10</w:t>
            </w:r>
          </w:p>
        </w:tc>
        <w:tc>
          <w:tcPr>
            <w:tcW w:w="1692" w:type="dxa"/>
            <w:tcBorders>
              <w:top w:val="nil"/>
              <w:left w:val="nil"/>
              <w:bottom w:val="single" w:sz="4" w:space="0" w:color="auto"/>
              <w:right w:val="single" w:sz="4" w:space="0" w:color="auto"/>
            </w:tcBorders>
            <w:shd w:val="clear" w:color="auto" w:fill="auto"/>
            <w:noWrap/>
            <w:vAlign w:val="center"/>
            <w:hideMark/>
          </w:tcPr>
          <w:p w14:paraId="610C4828"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2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36"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82B"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top w:val="nil"/>
              <w:left w:val="single" w:sz="4" w:space="0" w:color="auto"/>
              <w:bottom w:val="single" w:sz="4" w:space="0" w:color="auto"/>
              <w:right w:val="single" w:sz="4" w:space="0" w:color="auto"/>
            </w:tcBorders>
            <w:vAlign w:val="center"/>
            <w:hideMark/>
          </w:tcPr>
          <w:p w14:paraId="610C482C"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top w:val="nil"/>
              <w:left w:val="single" w:sz="4" w:space="0" w:color="auto"/>
              <w:bottom w:val="single" w:sz="4" w:space="0" w:color="auto"/>
              <w:right w:val="single" w:sz="4" w:space="0" w:color="auto"/>
            </w:tcBorders>
            <w:vAlign w:val="center"/>
            <w:hideMark/>
          </w:tcPr>
          <w:p w14:paraId="610C482D"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82E"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1947" w:type="dxa"/>
            <w:vMerge/>
            <w:tcBorders>
              <w:top w:val="nil"/>
              <w:left w:val="single" w:sz="4" w:space="0" w:color="auto"/>
              <w:bottom w:val="single" w:sz="4" w:space="0" w:color="auto"/>
              <w:right w:val="single" w:sz="4" w:space="0" w:color="auto"/>
            </w:tcBorders>
            <w:vAlign w:val="center"/>
            <w:hideMark/>
          </w:tcPr>
          <w:p w14:paraId="610C482F"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top w:val="nil"/>
              <w:left w:val="single" w:sz="4" w:space="0" w:color="auto"/>
              <w:bottom w:val="single" w:sz="4" w:space="0" w:color="auto"/>
              <w:right w:val="single" w:sz="4" w:space="0" w:color="auto"/>
            </w:tcBorders>
            <w:vAlign w:val="center"/>
            <w:hideMark/>
          </w:tcPr>
          <w:p w14:paraId="610C4830"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33" w:type="dxa"/>
            <w:tcBorders>
              <w:top w:val="nil"/>
              <w:left w:val="nil"/>
              <w:bottom w:val="single" w:sz="4" w:space="0" w:color="auto"/>
              <w:right w:val="single" w:sz="4" w:space="0" w:color="auto"/>
            </w:tcBorders>
            <w:shd w:val="clear" w:color="auto" w:fill="auto"/>
            <w:noWrap/>
            <w:vAlign w:val="center"/>
            <w:hideMark/>
          </w:tcPr>
          <w:p w14:paraId="610C4831"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A06AD</w:t>
            </w:r>
          </w:p>
        </w:tc>
        <w:tc>
          <w:tcPr>
            <w:tcW w:w="2023" w:type="dxa"/>
            <w:tcBorders>
              <w:top w:val="nil"/>
              <w:left w:val="nil"/>
              <w:bottom w:val="single" w:sz="4" w:space="0" w:color="auto"/>
              <w:right w:val="single" w:sz="4" w:space="0" w:color="auto"/>
            </w:tcBorders>
            <w:shd w:val="clear" w:color="auto" w:fill="auto"/>
            <w:noWrap/>
            <w:vAlign w:val="center"/>
            <w:hideMark/>
          </w:tcPr>
          <w:p w14:paraId="610C4832"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Osmotically acting laxatives</w:t>
            </w:r>
          </w:p>
        </w:tc>
        <w:tc>
          <w:tcPr>
            <w:tcW w:w="564" w:type="dxa"/>
            <w:tcBorders>
              <w:top w:val="nil"/>
              <w:left w:val="nil"/>
              <w:bottom w:val="single" w:sz="4" w:space="0" w:color="auto"/>
              <w:right w:val="single" w:sz="4" w:space="0" w:color="auto"/>
            </w:tcBorders>
            <w:shd w:val="clear" w:color="auto" w:fill="auto"/>
            <w:noWrap/>
            <w:vAlign w:val="center"/>
            <w:hideMark/>
          </w:tcPr>
          <w:p w14:paraId="610C4833"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9</w:t>
            </w:r>
          </w:p>
        </w:tc>
        <w:tc>
          <w:tcPr>
            <w:tcW w:w="1692" w:type="dxa"/>
            <w:tcBorders>
              <w:top w:val="nil"/>
              <w:left w:val="nil"/>
              <w:bottom w:val="single" w:sz="4" w:space="0" w:color="auto"/>
              <w:right w:val="single" w:sz="4" w:space="0" w:color="auto"/>
            </w:tcBorders>
            <w:shd w:val="clear" w:color="auto" w:fill="auto"/>
            <w:noWrap/>
            <w:vAlign w:val="center"/>
            <w:hideMark/>
          </w:tcPr>
          <w:p w14:paraId="610C4834"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3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42" w14:textId="77777777" w:rsidTr="005B3E6B">
        <w:trPr>
          <w:trHeight w:val="290"/>
        </w:trPr>
        <w:tc>
          <w:tcPr>
            <w:tcW w:w="1158" w:type="dxa"/>
            <w:vMerge/>
            <w:tcBorders>
              <w:top w:val="nil"/>
              <w:left w:val="single" w:sz="4" w:space="0" w:color="auto"/>
              <w:bottom w:val="single" w:sz="4" w:space="0" w:color="auto"/>
              <w:right w:val="single" w:sz="4" w:space="0" w:color="auto"/>
            </w:tcBorders>
            <w:vAlign w:val="center"/>
            <w:hideMark/>
          </w:tcPr>
          <w:p w14:paraId="610C4837"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2839" w:type="dxa"/>
            <w:vMerge/>
            <w:tcBorders>
              <w:top w:val="nil"/>
              <w:left w:val="single" w:sz="4" w:space="0" w:color="auto"/>
              <w:bottom w:val="single" w:sz="4" w:space="0" w:color="auto"/>
              <w:right w:val="single" w:sz="4" w:space="0" w:color="auto"/>
            </w:tcBorders>
            <w:vAlign w:val="center"/>
            <w:hideMark/>
          </w:tcPr>
          <w:p w14:paraId="610C4838"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top w:val="nil"/>
              <w:left w:val="single" w:sz="4" w:space="0" w:color="auto"/>
              <w:bottom w:val="single" w:sz="4" w:space="0" w:color="auto"/>
              <w:right w:val="single" w:sz="4" w:space="0" w:color="auto"/>
            </w:tcBorders>
            <w:vAlign w:val="center"/>
            <w:hideMark/>
          </w:tcPr>
          <w:p w14:paraId="610C4839"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10" w:type="dxa"/>
            <w:vMerge/>
            <w:tcBorders>
              <w:top w:val="nil"/>
              <w:left w:val="single" w:sz="4" w:space="0" w:color="auto"/>
              <w:bottom w:val="single" w:sz="4" w:space="0" w:color="auto"/>
              <w:right w:val="single" w:sz="4" w:space="0" w:color="auto"/>
            </w:tcBorders>
            <w:vAlign w:val="center"/>
            <w:hideMark/>
          </w:tcPr>
          <w:p w14:paraId="610C483A"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1947" w:type="dxa"/>
            <w:vMerge/>
            <w:tcBorders>
              <w:top w:val="nil"/>
              <w:left w:val="single" w:sz="4" w:space="0" w:color="auto"/>
              <w:bottom w:val="single" w:sz="4" w:space="0" w:color="auto"/>
              <w:right w:val="single" w:sz="4" w:space="0" w:color="auto"/>
            </w:tcBorders>
            <w:vAlign w:val="center"/>
            <w:hideMark/>
          </w:tcPr>
          <w:p w14:paraId="610C483B"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564" w:type="dxa"/>
            <w:vMerge/>
            <w:tcBorders>
              <w:top w:val="nil"/>
              <w:left w:val="single" w:sz="4" w:space="0" w:color="auto"/>
              <w:bottom w:val="single" w:sz="4" w:space="0" w:color="auto"/>
              <w:right w:val="single" w:sz="4" w:space="0" w:color="auto"/>
            </w:tcBorders>
            <w:vAlign w:val="center"/>
            <w:hideMark/>
          </w:tcPr>
          <w:p w14:paraId="610C483C" w14:textId="77777777" w:rsidR="007D57FB" w:rsidRPr="00663CB7" w:rsidRDefault="007D57FB" w:rsidP="005B3E6B">
            <w:pPr>
              <w:spacing w:after="0" w:line="240" w:lineRule="auto"/>
              <w:rPr>
                <w:rFonts w:ascii="Calibri" w:eastAsia="Times New Roman" w:hAnsi="Calibri" w:cs="Calibri"/>
                <w:color w:val="000000"/>
                <w:lang w:eastAsia="en-GB"/>
              </w:rPr>
            </w:pPr>
          </w:p>
        </w:tc>
        <w:tc>
          <w:tcPr>
            <w:tcW w:w="833" w:type="dxa"/>
            <w:tcBorders>
              <w:top w:val="nil"/>
              <w:left w:val="nil"/>
              <w:bottom w:val="single" w:sz="4" w:space="0" w:color="auto"/>
              <w:right w:val="single" w:sz="4" w:space="0" w:color="auto"/>
            </w:tcBorders>
            <w:shd w:val="clear" w:color="auto" w:fill="auto"/>
            <w:noWrap/>
            <w:vAlign w:val="center"/>
            <w:hideMark/>
          </w:tcPr>
          <w:p w14:paraId="610C483D"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A06AB</w:t>
            </w:r>
          </w:p>
        </w:tc>
        <w:tc>
          <w:tcPr>
            <w:tcW w:w="2023" w:type="dxa"/>
            <w:tcBorders>
              <w:top w:val="nil"/>
              <w:left w:val="nil"/>
              <w:bottom w:val="single" w:sz="4" w:space="0" w:color="auto"/>
              <w:right w:val="single" w:sz="4" w:space="0" w:color="auto"/>
            </w:tcBorders>
            <w:shd w:val="clear" w:color="auto" w:fill="auto"/>
            <w:noWrap/>
            <w:vAlign w:val="center"/>
            <w:hideMark/>
          </w:tcPr>
          <w:p w14:paraId="610C483E"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Contact laxatives</w:t>
            </w:r>
          </w:p>
        </w:tc>
        <w:tc>
          <w:tcPr>
            <w:tcW w:w="564" w:type="dxa"/>
            <w:tcBorders>
              <w:top w:val="nil"/>
              <w:left w:val="nil"/>
              <w:bottom w:val="single" w:sz="4" w:space="0" w:color="auto"/>
              <w:right w:val="single" w:sz="4" w:space="0" w:color="auto"/>
            </w:tcBorders>
            <w:shd w:val="clear" w:color="auto" w:fill="auto"/>
            <w:noWrap/>
            <w:vAlign w:val="center"/>
            <w:hideMark/>
          </w:tcPr>
          <w:p w14:paraId="610C483F"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4</w:t>
            </w:r>
          </w:p>
        </w:tc>
        <w:tc>
          <w:tcPr>
            <w:tcW w:w="1692" w:type="dxa"/>
            <w:tcBorders>
              <w:top w:val="nil"/>
              <w:left w:val="nil"/>
              <w:bottom w:val="single" w:sz="4" w:space="0" w:color="auto"/>
              <w:right w:val="single" w:sz="4" w:space="0" w:color="auto"/>
            </w:tcBorders>
            <w:shd w:val="clear" w:color="auto" w:fill="auto"/>
            <w:noWrap/>
            <w:vAlign w:val="center"/>
            <w:hideMark/>
          </w:tcPr>
          <w:p w14:paraId="610C4840"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4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4E"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843"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A03</w:t>
            </w:r>
          </w:p>
        </w:tc>
        <w:tc>
          <w:tcPr>
            <w:tcW w:w="2839" w:type="dxa"/>
            <w:tcBorders>
              <w:top w:val="nil"/>
              <w:left w:val="nil"/>
              <w:bottom w:val="single" w:sz="4" w:space="0" w:color="auto"/>
              <w:right w:val="single" w:sz="4" w:space="0" w:color="auto"/>
            </w:tcBorders>
            <w:shd w:val="clear" w:color="auto" w:fill="auto"/>
            <w:noWrap/>
            <w:vAlign w:val="center"/>
            <w:hideMark/>
          </w:tcPr>
          <w:p w14:paraId="610C4844"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 xml:space="preserve">Drugs </w:t>
            </w:r>
            <w:r>
              <w:rPr>
                <w:rFonts w:ascii="Calibri" w:eastAsia="Times New Roman" w:hAnsi="Calibri" w:cs="Calibri"/>
                <w:color w:val="000000"/>
                <w:lang w:eastAsia="en-GB"/>
              </w:rPr>
              <w:t>f</w:t>
            </w:r>
            <w:r w:rsidRPr="00663CB7">
              <w:rPr>
                <w:rFonts w:ascii="Calibri" w:eastAsia="Times New Roman" w:hAnsi="Calibri" w:cs="Calibri"/>
                <w:color w:val="000000"/>
                <w:lang w:eastAsia="en-GB"/>
              </w:rPr>
              <w:t>or Functional Gastrointestinal Disorders</w:t>
            </w:r>
          </w:p>
        </w:tc>
        <w:tc>
          <w:tcPr>
            <w:tcW w:w="564" w:type="dxa"/>
            <w:tcBorders>
              <w:top w:val="nil"/>
              <w:left w:val="nil"/>
              <w:bottom w:val="single" w:sz="4" w:space="0" w:color="auto"/>
              <w:right w:val="single" w:sz="4" w:space="0" w:color="auto"/>
            </w:tcBorders>
            <w:shd w:val="clear" w:color="auto" w:fill="auto"/>
            <w:noWrap/>
            <w:vAlign w:val="center"/>
            <w:hideMark/>
          </w:tcPr>
          <w:p w14:paraId="610C4845"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4</w:t>
            </w:r>
          </w:p>
        </w:tc>
        <w:tc>
          <w:tcPr>
            <w:tcW w:w="810" w:type="dxa"/>
            <w:tcBorders>
              <w:top w:val="nil"/>
              <w:left w:val="nil"/>
              <w:bottom w:val="single" w:sz="4" w:space="0" w:color="auto"/>
              <w:right w:val="single" w:sz="4" w:space="0" w:color="auto"/>
            </w:tcBorders>
            <w:shd w:val="clear" w:color="auto" w:fill="auto"/>
            <w:noWrap/>
            <w:vAlign w:val="center"/>
            <w:hideMark/>
          </w:tcPr>
          <w:p w14:paraId="610C4846"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847"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48"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33" w:type="dxa"/>
            <w:tcBorders>
              <w:top w:val="nil"/>
              <w:left w:val="nil"/>
              <w:bottom w:val="single" w:sz="4" w:space="0" w:color="auto"/>
              <w:right w:val="single" w:sz="4" w:space="0" w:color="auto"/>
            </w:tcBorders>
            <w:shd w:val="clear" w:color="auto" w:fill="auto"/>
            <w:noWrap/>
            <w:vAlign w:val="center"/>
            <w:hideMark/>
          </w:tcPr>
          <w:p w14:paraId="610C484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4A"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4B"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4C"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4D"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5A"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84F"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A07</w:t>
            </w:r>
          </w:p>
        </w:tc>
        <w:tc>
          <w:tcPr>
            <w:tcW w:w="2839" w:type="dxa"/>
            <w:tcBorders>
              <w:top w:val="nil"/>
              <w:left w:val="nil"/>
              <w:bottom w:val="single" w:sz="4" w:space="0" w:color="auto"/>
              <w:right w:val="single" w:sz="4" w:space="0" w:color="auto"/>
            </w:tcBorders>
            <w:shd w:val="clear" w:color="auto" w:fill="auto"/>
            <w:noWrap/>
            <w:vAlign w:val="center"/>
            <w:hideMark/>
          </w:tcPr>
          <w:p w14:paraId="610C4850"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Antidiarrheals, Intestinal Antiinflammatory</w:t>
            </w:r>
            <w:r>
              <w:rPr>
                <w:rFonts w:ascii="Calibri" w:eastAsia="Times New Roman" w:hAnsi="Calibri" w:cs="Calibri"/>
                <w:color w:val="000000"/>
                <w:lang w:eastAsia="en-GB"/>
              </w:rPr>
              <w:t xml:space="preserve"> </w:t>
            </w:r>
            <w:r w:rsidRPr="00663CB7">
              <w:rPr>
                <w:rFonts w:ascii="Calibri" w:eastAsia="Times New Roman" w:hAnsi="Calibri" w:cs="Calibri"/>
                <w:color w:val="000000"/>
                <w:lang w:eastAsia="en-GB"/>
              </w:rPr>
              <w:t>/</w:t>
            </w:r>
            <w:r>
              <w:rPr>
                <w:rFonts w:ascii="Calibri" w:eastAsia="Times New Roman" w:hAnsi="Calibri" w:cs="Calibri"/>
                <w:color w:val="000000"/>
                <w:lang w:eastAsia="en-GB"/>
              </w:rPr>
              <w:t xml:space="preserve"> </w:t>
            </w:r>
            <w:r w:rsidRPr="00663CB7">
              <w:rPr>
                <w:rFonts w:ascii="Calibri" w:eastAsia="Times New Roman" w:hAnsi="Calibri" w:cs="Calibri"/>
                <w:color w:val="000000"/>
                <w:lang w:eastAsia="en-GB"/>
              </w:rPr>
              <w:t>Antiinfective Agents</w:t>
            </w:r>
          </w:p>
        </w:tc>
        <w:tc>
          <w:tcPr>
            <w:tcW w:w="564" w:type="dxa"/>
            <w:tcBorders>
              <w:top w:val="nil"/>
              <w:left w:val="nil"/>
              <w:bottom w:val="single" w:sz="4" w:space="0" w:color="auto"/>
              <w:right w:val="single" w:sz="4" w:space="0" w:color="auto"/>
            </w:tcBorders>
            <w:shd w:val="clear" w:color="auto" w:fill="auto"/>
            <w:noWrap/>
            <w:vAlign w:val="center"/>
            <w:hideMark/>
          </w:tcPr>
          <w:p w14:paraId="610C4851"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2</w:t>
            </w:r>
          </w:p>
        </w:tc>
        <w:tc>
          <w:tcPr>
            <w:tcW w:w="810" w:type="dxa"/>
            <w:tcBorders>
              <w:top w:val="nil"/>
              <w:left w:val="nil"/>
              <w:bottom w:val="single" w:sz="4" w:space="0" w:color="auto"/>
              <w:right w:val="single" w:sz="4" w:space="0" w:color="auto"/>
            </w:tcBorders>
            <w:shd w:val="clear" w:color="auto" w:fill="auto"/>
            <w:noWrap/>
            <w:vAlign w:val="center"/>
            <w:hideMark/>
          </w:tcPr>
          <w:p w14:paraId="610C4852"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853"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54"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33" w:type="dxa"/>
            <w:tcBorders>
              <w:top w:val="nil"/>
              <w:left w:val="nil"/>
              <w:bottom w:val="single" w:sz="4" w:space="0" w:color="auto"/>
              <w:right w:val="single" w:sz="4" w:space="0" w:color="auto"/>
            </w:tcBorders>
            <w:shd w:val="clear" w:color="auto" w:fill="auto"/>
            <w:noWrap/>
            <w:vAlign w:val="center"/>
            <w:hideMark/>
          </w:tcPr>
          <w:p w14:paraId="610C485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56"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57"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58"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59"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66"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85B"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A04</w:t>
            </w:r>
          </w:p>
        </w:tc>
        <w:tc>
          <w:tcPr>
            <w:tcW w:w="2839" w:type="dxa"/>
            <w:tcBorders>
              <w:top w:val="nil"/>
              <w:left w:val="nil"/>
              <w:bottom w:val="single" w:sz="4" w:space="0" w:color="auto"/>
              <w:right w:val="single" w:sz="4" w:space="0" w:color="auto"/>
            </w:tcBorders>
            <w:shd w:val="clear" w:color="auto" w:fill="auto"/>
            <w:noWrap/>
            <w:vAlign w:val="center"/>
            <w:hideMark/>
          </w:tcPr>
          <w:p w14:paraId="610C485C"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Antiemetics a</w:t>
            </w:r>
            <w:r w:rsidRPr="00663CB7">
              <w:rPr>
                <w:rFonts w:ascii="Calibri" w:eastAsia="Times New Roman" w:hAnsi="Calibri" w:cs="Calibri"/>
                <w:color w:val="000000"/>
                <w:lang w:eastAsia="en-GB"/>
              </w:rPr>
              <w:t>nd Antinauseants</w:t>
            </w:r>
          </w:p>
        </w:tc>
        <w:tc>
          <w:tcPr>
            <w:tcW w:w="564" w:type="dxa"/>
            <w:tcBorders>
              <w:top w:val="nil"/>
              <w:left w:val="nil"/>
              <w:bottom w:val="single" w:sz="4" w:space="0" w:color="auto"/>
              <w:right w:val="single" w:sz="4" w:space="0" w:color="auto"/>
            </w:tcBorders>
            <w:shd w:val="clear" w:color="auto" w:fill="auto"/>
            <w:noWrap/>
            <w:vAlign w:val="center"/>
            <w:hideMark/>
          </w:tcPr>
          <w:p w14:paraId="610C485D"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1</w:t>
            </w:r>
          </w:p>
        </w:tc>
        <w:tc>
          <w:tcPr>
            <w:tcW w:w="810" w:type="dxa"/>
            <w:tcBorders>
              <w:top w:val="nil"/>
              <w:left w:val="nil"/>
              <w:bottom w:val="single" w:sz="4" w:space="0" w:color="auto"/>
              <w:right w:val="single" w:sz="4" w:space="0" w:color="auto"/>
            </w:tcBorders>
            <w:shd w:val="clear" w:color="auto" w:fill="auto"/>
            <w:noWrap/>
            <w:vAlign w:val="center"/>
            <w:hideMark/>
          </w:tcPr>
          <w:p w14:paraId="610C485E"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85F"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60"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33" w:type="dxa"/>
            <w:tcBorders>
              <w:top w:val="nil"/>
              <w:left w:val="nil"/>
              <w:bottom w:val="single" w:sz="4" w:space="0" w:color="auto"/>
              <w:right w:val="single" w:sz="4" w:space="0" w:color="auto"/>
            </w:tcBorders>
            <w:shd w:val="clear" w:color="auto" w:fill="auto"/>
            <w:noWrap/>
            <w:vAlign w:val="center"/>
            <w:hideMark/>
          </w:tcPr>
          <w:p w14:paraId="610C486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62"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63"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64"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65"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63CB7" w14:paraId="610C4872" w14:textId="77777777" w:rsidTr="005B3E6B">
        <w:trPr>
          <w:trHeight w:val="290"/>
        </w:trPr>
        <w:tc>
          <w:tcPr>
            <w:tcW w:w="1158" w:type="dxa"/>
            <w:tcBorders>
              <w:top w:val="nil"/>
              <w:left w:val="single" w:sz="4" w:space="0" w:color="auto"/>
              <w:bottom w:val="single" w:sz="4" w:space="0" w:color="auto"/>
              <w:right w:val="single" w:sz="4" w:space="0" w:color="auto"/>
            </w:tcBorders>
            <w:shd w:val="clear" w:color="auto" w:fill="auto"/>
            <w:noWrap/>
            <w:vAlign w:val="center"/>
            <w:hideMark/>
          </w:tcPr>
          <w:p w14:paraId="610C4867"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A11</w:t>
            </w:r>
          </w:p>
        </w:tc>
        <w:tc>
          <w:tcPr>
            <w:tcW w:w="2839" w:type="dxa"/>
            <w:tcBorders>
              <w:top w:val="nil"/>
              <w:left w:val="nil"/>
              <w:bottom w:val="single" w:sz="4" w:space="0" w:color="auto"/>
              <w:right w:val="single" w:sz="4" w:space="0" w:color="auto"/>
            </w:tcBorders>
            <w:shd w:val="clear" w:color="auto" w:fill="auto"/>
            <w:noWrap/>
            <w:vAlign w:val="center"/>
            <w:hideMark/>
          </w:tcPr>
          <w:p w14:paraId="610C4868" w14:textId="77777777" w:rsidR="007D57FB" w:rsidRPr="00663CB7" w:rsidRDefault="007D57FB" w:rsidP="005B3E6B">
            <w:pPr>
              <w:spacing w:after="0" w:line="240" w:lineRule="auto"/>
              <w:rPr>
                <w:rFonts w:ascii="Calibri" w:eastAsia="Times New Roman" w:hAnsi="Calibri" w:cs="Calibri"/>
                <w:color w:val="000000"/>
                <w:lang w:eastAsia="en-GB"/>
              </w:rPr>
            </w:pPr>
            <w:r w:rsidRPr="00663CB7">
              <w:rPr>
                <w:rFonts w:ascii="Calibri" w:eastAsia="Times New Roman" w:hAnsi="Calibri" w:cs="Calibri"/>
                <w:color w:val="000000"/>
                <w:lang w:eastAsia="en-GB"/>
              </w:rPr>
              <w:t>Vitamins</w:t>
            </w:r>
          </w:p>
        </w:tc>
        <w:tc>
          <w:tcPr>
            <w:tcW w:w="564" w:type="dxa"/>
            <w:tcBorders>
              <w:top w:val="nil"/>
              <w:left w:val="nil"/>
              <w:bottom w:val="single" w:sz="4" w:space="0" w:color="auto"/>
              <w:right w:val="single" w:sz="4" w:space="0" w:color="auto"/>
            </w:tcBorders>
            <w:shd w:val="clear" w:color="auto" w:fill="auto"/>
            <w:noWrap/>
            <w:vAlign w:val="center"/>
            <w:hideMark/>
          </w:tcPr>
          <w:p w14:paraId="610C4869" w14:textId="77777777" w:rsidR="007D57FB" w:rsidRPr="00663CB7" w:rsidRDefault="007D57FB" w:rsidP="005B3E6B">
            <w:pPr>
              <w:spacing w:after="0" w:line="240" w:lineRule="auto"/>
              <w:jc w:val="right"/>
              <w:rPr>
                <w:rFonts w:ascii="Calibri" w:eastAsia="Times New Roman" w:hAnsi="Calibri" w:cs="Calibri"/>
                <w:color w:val="000000"/>
                <w:lang w:eastAsia="en-GB"/>
              </w:rPr>
            </w:pPr>
            <w:r w:rsidRPr="00663CB7">
              <w:rPr>
                <w:rFonts w:ascii="Calibri" w:eastAsia="Times New Roman" w:hAnsi="Calibri" w:cs="Calibri"/>
                <w:color w:val="000000"/>
                <w:lang w:eastAsia="en-GB"/>
              </w:rPr>
              <w:t>1</w:t>
            </w:r>
          </w:p>
        </w:tc>
        <w:tc>
          <w:tcPr>
            <w:tcW w:w="810" w:type="dxa"/>
            <w:tcBorders>
              <w:top w:val="nil"/>
              <w:left w:val="nil"/>
              <w:bottom w:val="single" w:sz="4" w:space="0" w:color="auto"/>
              <w:right w:val="single" w:sz="4" w:space="0" w:color="auto"/>
            </w:tcBorders>
            <w:shd w:val="clear" w:color="auto" w:fill="auto"/>
            <w:noWrap/>
            <w:vAlign w:val="center"/>
            <w:hideMark/>
          </w:tcPr>
          <w:p w14:paraId="610C486A"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47" w:type="dxa"/>
            <w:tcBorders>
              <w:top w:val="nil"/>
              <w:left w:val="nil"/>
              <w:bottom w:val="single" w:sz="4" w:space="0" w:color="auto"/>
              <w:right w:val="single" w:sz="4" w:space="0" w:color="auto"/>
            </w:tcBorders>
            <w:shd w:val="clear" w:color="auto" w:fill="auto"/>
            <w:noWrap/>
            <w:vAlign w:val="center"/>
            <w:hideMark/>
          </w:tcPr>
          <w:p w14:paraId="610C486B"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6C"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33" w:type="dxa"/>
            <w:tcBorders>
              <w:top w:val="nil"/>
              <w:left w:val="nil"/>
              <w:bottom w:val="single" w:sz="4" w:space="0" w:color="auto"/>
              <w:right w:val="single" w:sz="4" w:space="0" w:color="auto"/>
            </w:tcBorders>
            <w:shd w:val="clear" w:color="auto" w:fill="auto"/>
            <w:noWrap/>
            <w:vAlign w:val="center"/>
            <w:hideMark/>
          </w:tcPr>
          <w:p w14:paraId="610C486D"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023" w:type="dxa"/>
            <w:tcBorders>
              <w:top w:val="nil"/>
              <w:left w:val="nil"/>
              <w:bottom w:val="single" w:sz="4" w:space="0" w:color="auto"/>
              <w:right w:val="single" w:sz="4" w:space="0" w:color="auto"/>
            </w:tcBorders>
            <w:shd w:val="clear" w:color="auto" w:fill="auto"/>
            <w:noWrap/>
            <w:vAlign w:val="center"/>
            <w:hideMark/>
          </w:tcPr>
          <w:p w14:paraId="610C486E"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4" w:type="dxa"/>
            <w:tcBorders>
              <w:top w:val="nil"/>
              <w:left w:val="nil"/>
              <w:bottom w:val="single" w:sz="4" w:space="0" w:color="auto"/>
              <w:right w:val="single" w:sz="4" w:space="0" w:color="auto"/>
            </w:tcBorders>
            <w:shd w:val="clear" w:color="auto" w:fill="auto"/>
            <w:noWrap/>
            <w:vAlign w:val="center"/>
            <w:hideMark/>
          </w:tcPr>
          <w:p w14:paraId="610C486F"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692" w:type="dxa"/>
            <w:tcBorders>
              <w:top w:val="nil"/>
              <w:left w:val="nil"/>
              <w:bottom w:val="single" w:sz="4" w:space="0" w:color="auto"/>
              <w:right w:val="single" w:sz="4" w:space="0" w:color="auto"/>
            </w:tcBorders>
            <w:shd w:val="clear" w:color="auto" w:fill="auto"/>
            <w:noWrap/>
            <w:vAlign w:val="center"/>
            <w:hideMark/>
          </w:tcPr>
          <w:p w14:paraId="610C4870"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76" w:type="dxa"/>
            <w:tcBorders>
              <w:top w:val="nil"/>
              <w:left w:val="nil"/>
              <w:bottom w:val="single" w:sz="4" w:space="0" w:color="auto"/>
              <w:right w:val="single" w:sz="4" w:space="0" w:color="auto"/>
            </w:tcBorders>
            <w:shd w:val="clear" w:color="auto" w:fill="auto"/>
            <w:noWrap/>
            <w:vAlign w:val="center"/>
            <w:hideMark/>
          </w:tcPr>
          <w:p w14:paraId="610C4871" w14:textId="77777777" w:rsidR="007D57FB" w:rsidRPr="00663CB7"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873" w14:textId="77777777" w:rsidR="007D57FB" w:rsidRDefault="007D57FB" w:rsidP="005B3E6B">
      <w:pPr>
        <w:pStyle w:val="Heading3"/>
      </w:pPr>
      <w:bookmarkStart w:id="58" w:name="_Toc52396377"/>
      <w:r>
        <w:t>Respiratory system</w:t>
      </w:r>
      <w:bookmarkEnd w:id="58"/>
    </w:p>
    <w:tbl>
      <w:tblPr>
        <w:tblW w:w="15230" w:type="dxa"/>
        <w:tblLook w:val="04A0" w:firstRow="1" w:lastRow="0" w:firstColumn="1" w:lastColumn="0" w:noHBand="0" w:noVBand="1"/>
      </w:tblPr>
      <w:tblGrid>
        <w:gridCol w:w="1160"/>
        <w:gridCol w:w="3544"/>
        <w:gridCol w:w="688"/>
        <w:gridCol w:w="946"/>
        <w:gridCol w:w="2304"/>
        <w:gridCol w:w="440"/>
        <w:gridCol w:w="822"/>
        <w:gridCol w:w="1998"/>
        <w:gridCol w:w="457"/>
        <w:gridCol w:w="2287"/>
        <w:gridCol w:w="584"/>
      </w:tblGrid>
      <w:tr w:rsidR="007D57FB" w:rsidRPr="00CB221A" w14:paraId="610C4875" w14:textId="77777777" w:rsidTr="005B3E6B">
        <w:trPr>
          <w:trHeight w:val="290"/>
        </w:trPr>
        <w:tc>
          <w:tcPr>
            <w:tcW w:w="15230" w:type="dxa"/>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4" w14:textId="4FC98493"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Respiratory System 132 (5.5</w:t>
            </w:r>
            <w:r w:rsidR="00AB78B1">
              <w:rPr>
                <w:rFonts w:ascii="Calibri" w:eastAsia="Times New Roman" w:hAnsi="Calibri" w:cs="Calibri"/>
                <w:b/>
                <w:bCs/>
                <w:color w:val="000000"/>
                <w:lang w:eastAsia="en-GB"/>
              </w:rPr>
              <w:t>3</w:t>
            </w:r>
            <w:r w:rsidRPr="00CB221A">
              <w:rPr>
                <w:rFonts w:ascii="Calibri" w:eastAsia="Times New Roman" w:hAnsi="Calibri" w:cs="Calibri"/>
                <w:b/>
                <w:bCs/>
                <w:color w:val="000000"/>
                <w:lang w:eastAsia="en-GB"/>
              </w:rPr>
              <w:t>%)</w:t>
            </w:r>
          </w:p>
        </w:tc>
      </w:tr>
      <w:tr w:rsidR="007D57FB" w:rsidRPr="00CB221A" w14:paraId="610C4881" w14:textId="77777777" w:rsidTr="005B3E6B">
        <w:trPr>
          <w:trHeight w:val="54"/>
        </w:trPr>
        <w:tc>
          <w:tcPr>
            <w:tcW w:w="116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6"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021487">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354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7"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CB221A">
              <w:rPr>
                <w:rFonts w:ascii="Calibri" w:eastAsia="Times New Roman" w:hAnsi="Calibri" w:cs="Calibri"/>
                <w:b/>
                <w:bCs/>
                <w:color w:val="000000"/>
                <w:lang w:eastAsia="en-GB"/>
              </w:rPr>
              <w:t>herapeutic subgroup</w:t>
            </w:r>
          </w:p>
        </w:tc>
        <w:tc>
          <w:tcPr>
            <w:tcW w:w="688"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8"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9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9"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3</w:t>
            </w:r>
            <w:r w:rsidRPr="0002148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3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A"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CB221A">
              <w:rPr>
                <w:rFonts w:ascii="Calibri" w:eastAsia="Times New Roman" w:hAnsi="Calibri" w:cs="Calibri"/>
                <w:b/>
                <w:bCs/>
                <w:color w:val="000000"/>
                <w:lang w:eastAsia="en-GB"/>
              </w:rPr>
              <w:t>ubgroup</w:t>
            </w:r>
          </w:p>
        </w:tc>
        <w:tc>
          <w:tcPr>
            <w:tcW w:w="44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B"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822"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C"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4</w:t>
            </w:r>
            <w:r w:rsidRPr="000214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98"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D"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CB221A">
              <w:rPr>
                <w:rFonts w:ascii="Calibri" w:eastAsia="Times New Roman" w:hAnsi="Calibri" w:cs="Calibri"/>
                <w:b/>
                <w:bCs/>
                <w:color w:val="000000"/>
                <w:lang w:eastAsia="en-GB"/>
              </w:rPr>
              <w:t>hemica</w:t>
            </w:r>
            <w:r>
              <w:rPr>
                <w:rFonts w:ascii="Calibri" w:eastAsia="Times New Roman" w:hAnsi="Calibri" w:cs="Calibri"/>
                <w:b/>
                <w:bCs/>
                <w:color w:val="000000"/>
                <w:lang w:eastAsia="en-GB"/>
              </w:rPr>
              <w:t>l S</w:t>
            </w:r>
            <w:r w:rsidRPr="00CB221A">
              <w:rPr>
                <w:rFonts w:ascii="Calibri" w:eastAsia="Times New Roman" w:hAnsi="Calibri" w:cs="Calibri"/>
                <w:b/>
                <w:bCs/>
                <w:color w:val="000000"/>
                <w:lang w:eastAsia="en-GB"/>
              </w:rPr>
              <w:t>ubgroup</w:t>
            </w:r>
          </w:p>
        </w:tc>
        <w:tc>
          <w:tcPr>
            <w:tcW w:w="45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E"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228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7F"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5</w:t>
            </w:r>
            <w:r w:rsidRPr="00021487">
              <w:rPr>
                <w:rFonts w:ascii="Calibri" w:eastAsia="Times New Roman" w:hAnsi="Calibri" w:cs="Calibri"/>
                <w:b/>
                <w:bCs/>
                <w:color w:val="000000"/>
                <w:vertAlign w:val="superscript"/>
                <w:lang w:eastAsia="en-GB"/>
              </w:rPr>
              <w:t>th</w:t>
            </w:r>
            <w:r w:rsidRPr="00CB221A">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 xml:space="preserve">/ </w:t>
            </w:r>
            <w:r w:rsidRPr="00CB221A">
              <w:rPr>
                <w:rFonts w:ascii="Calibri" w:eastAsia="Times New Roman" w:hAnsi="Calibri" w:cs="Calibri"/>
                <w:b/>
                <w:bCs/>
                <w:color w:val="000000"/>
                <w:lang w:eastAsia="en-GB"/>
              </w:rPr>
              <w:t>drug (when n ≥ 10)</w:t>
            </w:r>
          </w:p>
        </w:tc>
        <w:tc>
          <w:tcPr>
            <w:tcW w:w="58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80"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r>
      <w:tr w:rsidR="007D57FB" w:rsidRPr="00CB221A" w14:paraId="610C488D" w14:textId="77777777" w:rsidTr="005B3E6B">
        <w:trPr>
          <w:trHeight w:val="290"/>
        </w:trPr>
        <w:tc>
          <w:tcPr>
            <w:tcW w:w="1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2"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3"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Drugs For Obstructive Airway Diseases</w:t>
            </w:r>
          </w:p>
        </w:tc>
        <w:tc>
          <w:tcPr>
            <w:tcW w:w="6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4"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113</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5"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R03A</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6"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Adrenergics, inhalants</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7"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78</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8"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R03AC</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9"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Selective beta-2-adrenoreceptor agonists</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A"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62</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B"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Salbutamol</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8C"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60</w:t>
            </w:r>
          </w:p>
        </w:tc>
      </w:tr>
      <w:tr w:rsidR="007D57FB" w:rsidRPr="00CB221A" w14:paraId="610C4899" w14:textId="77777777" w:rsidTr="005B3E6B">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0C488E"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10C488F"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688" w:type="dxa"/>
            <w:vMerge/>
            <w:tcBorders>
              <w:top w:val="single" w:sz="4" w:space="0" w:color="auto"/>
              <w:left w:val="single" w:sz="4" w:space="0" w:color="auto"/>
              <w:bottom w:val="single" w:sz="4" w:space="0" w:color="auto"/>
              <w:right w:val="single" w:sz="4" w:space="0" w:color="auto"/>
            </w:tcBorders>
            <w:vAlign w:val="center"/>
            <w:hideMark/>
          </w:tcPr>
          <w:p w14:paraId="610C4890"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14:paraId="610C4891"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2304" w:type="dxa"/>
            <w:vMerge/>
            <w:tcBorders>
              <w:top w:val="single" w:sz="4" w:space="0" w:color="auto"/>
              <w:left w:val="single" w:sz="4" w:space="0" w:color="auto"/>
              <w:bottom w:val="single" w:sz="4" w:space="0" w:color="auto"/>
              <w:right w:val="single" w:sz="4" w:space="0" w:color="auto"/>
            </w:tcBorders>
            <w:vAlign w:val="center"/>
            <w:hideMark/>
          </w:tcPr>
          <w:p w14:paraId="610C4892"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10C4893"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94"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R03AK</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95"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Adrenergics in combination with corticosteroids or other drugs, excl. anticholinergics</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96"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12</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97"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Salmeterol/Fluticasone</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98"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12</w:t>
            </w:r>
          </w:p>
        </w:tc>
      </w:tr>
      <w:tr w:rsidR="007D57FB" w:rsidRPr="00CB221A" w14:paraId="610C48A5" w14:textId="77777777" w:rsidTr="005B3E6B">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0C489A"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10C489B"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688" w:type="dxa"/>
            <w:vMerge/>
            <w:tcBorders>
              <w:top w:val="single" w:sz="4" w:space="0" w:color="auto"/>
              <w:left w:val="single" w:sz="4" w:space="0" w:color="auto"/>
              <w:bottom w:val="single" w:sz="4" w:space="0" w:color="auto"/>
              <w:right w:val="single" w:sz="4" w:space="0" w:color="auto"/>
            </w:tcBorders>
            <w:vAlign w:val="center"/>
            <w:hideMark/>
          </w:tcPr>
          <w:p w14:paraId="610C489C"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14:paraId="610C489D"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2304" w:type="dxa"/>
            <w:vMerge/>
            <w:tcBorders>
              <w:top w:val="single" w:sz="4" w:space="0" w:color="auto"/>
              <w:left w:val="single" w:sz="4" w:space="0" w:color="auto"/>
              <w:bottom w:val="single" w:sz="4" w:space="0" w:color="auto"/>
              <w:right w:val="single" w:sz="4" w:space="0" w:color="auto"/>
            </w:tcBorders>
            <w:vAlign w:val="center"/>
            <w:hideMark/>
          </w:tcPr>
          <w:p w14:paraId="610C489E"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10C489F"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0"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R03AL</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1"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Adrenergics in combination with anticholinergics incl. triple combinations with corticosteroids</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2"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4</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3"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4"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CB221A" w14:paraId="610C48B1" w14:textId="77777777" w:rsidTr="005B3E6B">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0C48A6"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10C48A7"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688" w:type="dxa"/>
            <w:vMerge/>
            <w:tcBorders>
              <w:top w:val="single" w:sz="4" w:space="0" w:color="auto"/>
              <w:left w:val="single" w:sz="4" w:space="0" w:color="auto"/>
              <w:bottom w:val="single" w:sz="4" w:space="0" w:color="auto"/>
              <w:right w:val="single" w:sz="4" w:space="0" w:color="auto"/>
            </w:tcBorders>
            <w:vAlign w:val="center"/>
            <w:hideMark/>
          </w:tcPr>
          <w:p w14:paraId="610C48A8"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9"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R03D</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A"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Other systemic drugs for obstructive airway diseases</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B"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23</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C"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R03DA</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D"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Xanthines</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E"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23</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AF"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w:t>
            </w:r>
            <w:r w:rsidRPr="00CB221A">
              <w:rPr>
                <w:rFonts w:ascii="Calibri" w:eastAsia="Times New Roman" w:hAnsi="Calibri" w:cs="Calibri"/>
                <w:color w:val="000000"/>
                <w:lang w:eastAsia="en-GB"/>
              </w:rPr>
              <w:t>heophylline</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0"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12</w:t>
            </w:r>
          </w:p>
        </w:tc>
      </w:tr>
      <w:tr w:rsidR="007D57FB" w:rsidRPr="00CB221A" w14:paraId="610C48BD" w14:textId="77777777" w:rsidTr="005B3E6B">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0C48B2"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10C48B3"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688" w:type="dxa"/>
            <w:vMerge/>
            <w:tcBorders>
              <w:top w:val="single" w:sz="4" w:space="0" w:color="auto"/>
              <w:left w:val="single" w:sz="4" w:space="0" w:color="auto"/>
              <w:bottom w:val="single" w:sz="4" w:space="0" w:color="auto"/>
              <w:right w:val="single" w:sz="4" w:space="0" w:color="auto"/>
            </w:tcBorders>
            <w:vAlign w:val="center"/>
            <w:hideMark/>
          </w:tcPr>
          <w:p w14:paraId="610C48B4"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5"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R03B</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6"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Other drugs for obstructive airway diseases, inhalants</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7"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8</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8"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9"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A"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B"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BC"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CB221A" w14:paraId="610C48C9" w14:textId="77777777" w:rsidTr="005B3E6B">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0C48BE"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10C48BF"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688" w:type="dxa"/>
            <w:vMerge/>
            <w:tcBorders>
              <w:top w:val="single" w:sz="4" w:space="0" w:color="auto"/>
              <w:left w:val="single" w:sz="4" w:space="0" w:color="auto"/>
              <w:bottom w:val="single" w:sz="4" w:space="0" w:color="auto"/>
              <w:right w:val="single" w:sz="4" w:space="0" w:color="auto"/>
            </w:tcBorders>
            <w:vAlign w:val="center"/>
            <w:hideMark/>
          </w:tcPr>
          <w:p w14:paraId="610C48C0" w14:textId="77777777" w:rsidR="007D57FB" w:rsidRPr="00CB221A" w:rsidRDefault="007D57FB" w:rsidP="005B3E6B">
            <w:pPr>
              <w:spacing w:after="0" w:line="240" w:lineRule="auto"/>
              <w:rPr>
                <w:rFonts w:ascii="Calibri" w:eastAsia="Times New Roman" w:hAnsi="Calibri" w:cs="Calibri"/>
                <w:color w:val="000000"/>
                <w:lang w:eastAsia="en-GB"/>
              </w:rPr>
            </w:pP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1"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R03*</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2"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Not specified by paper</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3"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4</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4"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5"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6"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7"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8"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CB221A" w14:paraId="610C48D5" w14:textId="77777777" w:rsidTr="005B3E6B">
        <w:trPr>
          <w:trHeight w:val="290"/>
        </w:trPr>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A"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R01</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B"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Nasal Preparations</w:t>
            </w:r>
          </w:p>
        </w:tc>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C"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15</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D"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R01A</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E"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Decongestants and other nasal preparations for topical use</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CF"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0"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R01AD</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1"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Corticosteroids</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2"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14</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3"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w:t>
            </w:r>
            <w:r w:rsidRPr="00CB221A">
              <w:rPr>
                <w:rFonts w:ascii="Calibri" w:eastAsia="Times New Roman" w:hAnsi="Calibri" w:cs="Calibri"/>
                <w:color w:val="000000"/>
                <w:lang w:eastAsia="en-GB"/>
              </w:rPr>
              <w:t>eclomethasone</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4"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14</w:t>
            </w:r>
          </w:p>
        </w:tc>
      </w:tr>
      <w:tr w:rsidR="007D57FB" w:rsidRPr="00CB221A" w14:paraId="610C48E1" w14:textId="77777777" w:rsidTr="005B3E6B">
        <w:trPr>
          <w:trHeight w:val="290"/>
        </w:trPr>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6"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R05</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7"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Cough And Cold Preparations</w:t>
            </w:r>
          </w:p>
        </w:tc>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8"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2</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9"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A"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B"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C"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D"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E"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DF"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0"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CB221A" w14:paraId="610C48ED" w14:textId="77777777" w:rsidTr="005B3E6B">
        <w:trPr>
          <w:trHeight w:val="290"/>
        </w:trPr>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2"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R06</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3" w14:textId="77777777" w:rsidR="007D57FB" w:rsidRPr="00CB221A" w:rsidRDefault="007D57FB" w:rsidP="005B3E6B">
            <w:pPr>
              <w:spacing w:after="0" w:line="240" w:lineRule="auto"/>
              <w:rPr>
                <w:rFonts w:ascii="Calibri" w:eastAsia="Times New Roman" w:hAnsi="Calibri" w:cs="Calibri"/>
                <w:color w:val="000000"/>
                <w:lang w:eastAsia="en-GB"/>
              </w:rPr>
            </w:pPr>
            <w:r w:rsidRPr="00CB221A">
              <w:rPr>
                <w:rFonts w:ascii="Calibri" w:eastAsia="Times New Roman" w:hAnsi="Calibri" w:cs="Calibri"/>
                <w:color w:val="000000"/>
                <w:lang w:eastAsia="en-GB"/>
              </w:rPr>
              <w:t>Antihistamines For Systemic Use</w:t>
            </w:r>
          </w:p>
        </w:tc>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4" w14:textId="77777777" w:rsidR="007D57FB" w:rsidRPr="00CB221A" w:rsidRDefault="007D57FB" w:rsidP="005B3E6B">
            <w:pPr>
              <w:spacing w:after="0" w:line="240" w:lineRule="auto"/>
              <w:jc w:val="right"/>
              <w:rPr>
                <w:rFonts w:ascii="Calibri" w:eastAsia="Times New Roman" w:hAnsi="Calibri" w:cs="Calibri"/>
                <w:color w:val="000000"/>
                <w:lang w:eastAsia="en-GB"/>
              </w:rPr>
            </w:pPr>
            <w:r w:rsidRPr="00CB221A">
              <w:rPr>
                <w:rFonts w:ascii="Calibri" w:eastAsia="Times New Roman" w:hAnsi="Calibri" w:cs="Calibri"/>
                <w:color w:val="000000"/>
                <w:lang w:eastAsia="en-GB"/>
              </w:rPr>
              <w:t>2</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5"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6"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7"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8"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9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9"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A"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B"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EC" w14:textId="77777777" w:rsidR="007D57FB" w:rsidRPr="00CB221A"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8EE" w14:textId="77777777" w:rsidR="007D57FB" w:rsidRDefault="007D57FB">
      <w:pPr>
        <w:rPr>
          <w:b/>
        </w:rPr>
      </w:pPr>
    </w:p>
    <w:p w14:paraId="610C48EF" w14:textId="77777777" w:rsidR="007D57FB" w:rsidRDefault="007D57FB" w:rsidP="005B3E6B">
      <w:pPr>
        <w:pStyle w:val="Heading3"/>
      </w:pPr>
      <w:bookmarkStart w:id="59" w:name="_Toc52396378"/>
      <w:r>
        <w:t>Systemic hormonal preparations, excluding sex hormones</w:t>
      </w:r>
      <w:bookmarkEnd w:id="59"/>
    </w:p>
    <w:tbl>
      <w:tblPr>
        <w:tblW w:w="13792" w:type="dxa"/>
        <w:tblLook w:val="04A0" w:firstRow="1" w:lastRow="0" w:firstColumn="1" w:lastColumn="0" w:noHBand="0" w:noVBand="1"/>
      </w:tblPr>
      <w:tblGrid>
        <w:gridCol w:w="2011"/>
        <w:gridCol w:w="2409"/>
        <w:gridCol w:w="583"/>
        <w:gridCol w:w="704"/>
        <w:gridCol w:w="1897"/>
        <w:gridCol w:w="583"/>
        <w:gridCol w:w="831"/>
        <w:gridCol w:w="1900"/>
        <w:gridCol w:w="583"/>
        <w:gridCol w:w="1708"/>
        <w:gridCol w:w="583"/>
      </w:tblGrid>
      <w:tr w:rsidR="007D57FB" w:rsidRPr="00AE6126" w14:paraId="610C48F1" w14:textId="77777777" w:rsidTr="005B3E6B">
        <w:trPr>
          <w:trHeight w:val="300"/>
        </w:trPr>
        <w:tc>
          <w:tcPr>
            <w:tcW w:w="13792" w:type="dxa"/>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0" w14:textId="77777777" w:rsidR="007D57FB" w:rsidRPr="00AE6126" w:rsidRDefault="007D57FB" w:rsidP="005B3E6B">
            <w:pPr>
              <w:spacing w:after="0" w:line="240" w:lineRule="auto"/>
              <w:rPr>
                <w:rFonts w:ascii="Calibri" w:eastAsia="Times New Roman" w:hAnsi="Calibri" w:cs="Calibri"/>
                <w:b/>
                <w:bCs/>
                <w:color w:val="000000"/>
                <w:lang w:eastAsia="en-GB"/>
              </w:rPr>
            </w:pPr>
            <w:r w:rsidRPr="00AE6126">
              <w:rPr>
                <w:rFonts w:ascii="Calibri" w:eastAsia="Times New Roman" w:hAnsi="Calibri" w:cs="Calibri"/>
                <w:b/>
                <w:bCs/>
                <w:color w:val="000000"/>
                <w:lang w:eastAsia="en-GB"/>
              </w:rPr>
              <w:t>Systemic hormonal preparations, excluding sex hormones 78 (3.27%)</w:t>
            </w:r>
          </w:p>
        </w:tc>
      </w:tr>
      <w:tr w:rsidR="007D57FB" w:rsidRPr="00CB221A" w14:paraId="610C48FD" w14:textId="77777777" w:rsidTr="005B3E6B">
        <w:trPr>
          <w:trHeight w:val="54"/>
        </w:trPr>
        <w:tc>
          <w:tcPr>
            <w:tcW w:w="201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2"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021487">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409"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3"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CB221A">
              <w:rPr>
                <w:rFonts w:ascii="Calibri" w:eastAsia="Times New Roman" w:hAnsi="Calibri" w:cs="Calibri"/>
                <w:b/>
                <w:bCs/>
                <w:color w:val="000000"/>
                <w:lang w:eastAsia="en-GB"/>
              </w:rPr>
              <w:t>herapeutic subgroup</w:t>
            </w:r>
          </w:p>
        </w:tc>
        <w:tc>
          <w:tcPr>
            <w:tcW w:w="58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4"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7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5"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3</w:t>
            </w:r>
            <w:r w:rsidRPr="0002148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89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6"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CB221A">
              <w:rPr>
                <w:rFonts w:ascii="Calibri" w:eastAsia="Times New Roman" w:hAnsi="Calibri" w:cs="Calibri"/>
                <w:b/>
                <w:bCs/>
                <w:color w:val="000000"/>
                <w:lang w:eastAsia="en-GB"/>
              </w:rPr>
              <w:t>ubgroup</w:t>
            </w:r>
          </w:p>
        </w:tc>
        <w:tc>
          <w:tcPr>
            <w:tcW w:w="58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7"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83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8"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4</w:t>
            </w:r>
            <w:r w:rsidRPr="000214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90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9"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CB221A">
              <w:rPr>
                <w:rFonts w:ascii="Calibri" w:eastAsia="Times New Roman" w:hAnsi="Calibri" w:cs="Calibri"/>
                <w:b/>
                <w:bCs/>
                <w:color w:val="000000"/>
                <w:lang w:eastAsia="en-GB"/>
              </w:rPr>
              <w:t>hemica</w:t>
            </w:r>
            <w:r>
              <w:rPr>
                <w:rFonts w:ascii="Calibri" w:eastAsia="Times New Roman" w:hAnsi="Calibri" w:cs="Calibri"/>
                <w:b/>
                <w:bCs/>
                <w:color w:val="000000"/>
                <w:lang w:eastAsia="en-GB"/>
              </w:rPr>
              <w:t>l S</w:t>
            </w:r>
            <w:r w:rsidRPr="00CB221A">
              <w:rPr>
                <w:rFonts w:ascii="Calibri" w:eastAsia="Times New Roman" w:hAnsi="Calibri" w:cs="Calibri"/>
                <w:b/>
                <w:bCs/>
                <w:color w:val="000000"/>
                <w:lang w:eastAsia="en-GB"/>
              </w:rPr>
              <w:t>ubgroup</w:t>
            </w:r>
          </w:p>
        </w:tc>
        <w:tc>
          <w:tcPr>
            <w:tcW w:w="58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A"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1708"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B"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5</w:t>
            </w:r>
            <w:r w:rsidRPr="00021487">
              <w:rPr>
                <w:rFonts w:ascii="Calibri" w:eastAsia="Times New Roman" w:hAnsi="Calibri" w:cs="Calibri"/>
                <w:b/>
                <w:bCs/>
                <w:color w:val="000000"/>
                <w:vertAlign w:val="superscript"/>
                <w:lang w:eastAsia="en-GB"/>
              </w:rPr>
              <w:t>th</w:t>
            </w:r>
            <w:r w:rsidRPr="00CB221A">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 xml:space="preserve">/ </w:t>
            </w:r>
            <w:r w:rsidRPr="00CB221A">
              <w:rPr>
                <w:rFonts w:ascii="Calibri" w:eastAsia="Times New Roman" w:hAnsi="Calibri" w:cs="Calibri"/>
                <w:b/>
                <w:bCs/>
                <w:color w:val="000000"/>
                <w:lang w:eastAsia="en-GB"/>
              </w:rPr>
              <w:t>drug (when n ≥ 10)</w:t>
            </w:r>
          </w:p>
        </w:tc>
        <w:tc>
          <w:tcPr>
            <w:tcW w:w="58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8FC"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r>
      <w:tr w:rsidR="007D57FB" w:rsidRPr="00AE6126" w14:paraId="610C4909" w14:textId="77777777" w:rsidTr="005B3E6B">
        <w:trPr>
          <w:trHeight w:val="290"/>
        </w:trPr>
        <w:tc>
          <w:tcPr>
            <w:tcW w:w="20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FE"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H02</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8FF"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Corticosteroids For Systemic Use</w:t>
            </w:r>
          </w:p>
        </w:tc>
        <w:tc>
          <w:tcPr>
            <w:tcW w:w="5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900"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77</w:t>
            </w:r>
          </w:p>
        </w:tc>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901"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H02A</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902"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Corticosteroids for systemic use, plain</w:t>
            </w:r>
          </w:p>
        </w:tc>
        <w:tc>
          <w:tcPr>
            <w:tcW w:w="5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C4903"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61</w:t>
            </w:r>
          </w:p>
        </w:tc>
        <w:tc>
          <w:tcPr>
            <w:tcW w:w="831" w:type="dxa"/>
            <w:tcBorders>
              <w:top w:val="single" w:sz="4" w:space="0" w:color="auto"/>
              <w:left w:val="nil"/>
              <w:bottom w:val="single" w:sz="4" w:space="0" w:color="auto"/>
              <w:right w:val="single" w:sz="4" w:space="0" w:color="auto"/>
            </w:tcBorders>
            <w:shd w:val="clear" w:color="auto" w:fill="auto"/>
            <w:noWrap/>
            <w:vAlign w:val="center"/>
            <w:hideMark/>
          </w:tcPr>
          <w:p w14:paraId="610C4904"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H02AB</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610C4905"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Glucocorticoids</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06"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60</w:t>
            </w:r>
          </w:p>
        </w:tc>
        <w:tc>
          <w:tcPr>
            <w:tcW w:w="1708" w:type="dxa"/>
            <w:tcBorders>
              <w:top w:val="single" w:sz="4" w:space="0" w:color="auto"/>
              <w:left w:val="nil"/>
              <w:bottom w:val="single" w:sz="4" w:space="0" w:color="auto"/>
              <w:right w:val="single" w:sz="4" w:space="0" w:color="auto"/>
            </w:tcBorders>
            <w:shd w:val="clear" w:color="auto" w:fill="auto"/>
            <w:noWrap/>
            <w:vAlign w:val="center"/>
            <w:hideMark/>
          </w:tcPr>
          <w:p w14:paraId="610C4907"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Prednisolone</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08"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41</w:t>
            </w:r>
          </w:p>
        </w:tc>
      </w:tr>
      <w:tr w:rsidR="007D57FB" w:rsidRPr="00AE6126" w14:paraId="610C4915" w14:textId="77777777" w:rsidTr="005B3E6B">
        <w:trPr>
          <w:trHeight w:val="290"/>
        </w:trPr>
        <w:tc>
          <w:tcPr>
            <w:tcW w:w="2011" w:type="dxa"/>
            <w:vMerge/>
            <w:tcBorders>
              <w:top w:val="single" w:sz="4" w:space="0" w:color="auto"/>
              <w:left w:val="single" w:sz="4" w:space="0" w:color="auto"/>
              <w:bottom w:val="single" w:sz="4" w:space="0" w:color="auto"/>
              <w:right w:val="single" w:sz="4" w:space="0" w:color="auto"/>
            </w:tcBorders>
            <w:vAlign w:val="center"/>
            <w:hideMark/>
          </w:tcPr>
          <w:p w14:paraId="610C490A"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10C490B"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583" w:type="dxa"/>
            <w:vMerge/>
            <w:tcBorders>
              <w:top w:val="single" w:sz="4" w:space="0" w:color="auto"/>
              <w:left w:val="single" w:sz="4" w:space="0" w:color="auto"/>
              <w:bottom w:val="single" w:sz="4" w:space="0" w:color="auto"/>
              <w:right w:val="single" w:sz="4" w:space="0" w:color="auto"/>
            </w:tcBorders>
            <w:vAlign w:val="center"/>
            <w:hideMark/>
          </w:tcPr>
          <w:p w14:paraId="610C490C"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704" w:type="dxa"/>
            <w:vMerge/>
            <w:tcBorders>
              <w:top w:val="single" w:sz="4" w:space="0" w:color="auto"/>
              <w:left w:val="single" w:sz="4" w:space="0" w:color="auto"/>
              <w:bottom w:val="single" w:sz="4" w:space="0" w:color="auto"/>
              <w:right w:val="single" w:sz="4" w:space="0" w:color="auto"/>
            </w:tcBorders>
            <w:vAlign w:val="center"/>
            <w:hideMark/>
          </w:tcPr>
          <w:p w14:paraId="610C490D"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610C490E"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583" w:type="dxa"/>
            <w:vMerge/>
            <w:tcBorders>
              <w:top w:val="single" w:sz="4" w:space="0" w:color="auto"/>
              <w:left w:val="single" w:sz="4" w:space="0" w:color="auto"/>
              <w:bottom w:val="single" w:sz="4" w:space="0" w:color="auto"/>
              <w:right w:val="single" w:sz="4" w:space="0" w:color="auto"/>
            </w:tcBorders>
            <w:vAlign w:val="center"/>
            <w:hideMark/>
          </w:tcPr>
          <w:p w14:paraId="610C490F"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831" w:type="dxa"/>
            <w:tcBorders>
              <w:top w:val="single" w:sz="4" w:space="0" w:color="auto"/>
              <w:left w:val="nil"/>
              <w:bottom w:val="single" w:sz="4" w:space="0" w:color="auto"/>
              <w:right w:val="single" w:sz="4" w:space="0" w:color="auto"/>
            </w:tcBorders>
            <w:shd w:val="clear" w:color="auto" w:fill="auto"/>
            <w:noWrap/>
            <w:vAlign w:val="center"/>
            <w:hideMark/>
          </w:tcPr>
          <w:p w14:paraId="610C4910"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H02AA</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610C4911"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Mineralocorticoids</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12"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1</w:t>
            </w:r>
          </w:p>
        </w:tc>
        <w:tc>
          <w:tcPr>
            <w:tcW w:w="1708" w:type="dxa"/>
            <w:tcBorders>
              <w:top w:val="single" w:sz="4" w:space="0" w:color="auto"/>
              <w:left w:val="nil"/>
              <w:bottom w:val="single" w:sz="4" w:space="0" w:color="auto"/>
              <w:right w:val="single" w:sz="4" w:space="0" w:color="auto"/>
            </w:tcBorders>
            <w:shd w:val="clear" w:color="auto" w:fill="auto"/>
            <w:noWrap/>
            <w:vAlign w:val="center"/>
            <w:hideMark/>
          </w:tcPr>
          <w:p w14:paraId="610C4913"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 </w:t>
            </w:r>
            <w:r>
              <w:rPr>
                <w:rFonts w:ascii="Calibri" w:eastAsia="Times New Roman" w:hAnsi="Calibri" w:cs="Calibri"/>
                <w:color w:val="000000"/>
                <w:lang w:eastAsia="en-GB"/>
              </w:rPr>
              <w:t>-</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14"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AE6126" w14:paraId="610C4921" w14:textId="77777777" w:rsidTr="005B3E6B">
        <w:trPr>
          <w:trHeight w:val="290"/>
        </w:trPr>
        <w:tc>
          <w:tcPr>
            <w:tcW w:w="2011" w:type="dxa"/>
            <w:vMerge/>
            <w:tcBorders>
              <w:top w:val="single" w:sz="4" w:space="0" w:color="auto"/>
              <w:left w:val="single" w:sz="4" w:space="0" w:color="auto"/>
              <w:bottom w:val="single" w:sz="4" w:space="0" w:color="auto"/>
              <w:right w:val="single" w:sz="4" w:space="0" w:color="auto"/>
            </w:tcBorders>
            <w:vAlign w:val="center"/>
            <w:hideMark/>
          </w:tcPr>
          <w:p w14:paraId="610C4916"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10C4917"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583" w:type="dxa"/>
            <w:vMerge/>
            <w:tcBorders>
              <w:top w:val="single" w:sz="4" w:space="0" w:color="auto"/>
              <w:left w:val="single" w:sz="4" w:space="0" w:color="auto"/>
              <w:bottom w:val="single" w:sz="4" w:space="0" w:color="auto"/>
              <w:right w:val="single" w:sz="4" w:space="0" w:color="auto"/>
            </w:tcBorders>
            <w:vAlign w:val="center"/>
            <w:hideMark/>
          </w:tcPr>
          <w:p w14:paraId="610C4918" w14:textId="77777777" w:rsidR="007D57FB" w:rsidRPr="00AE6126" w:rsidRDefault="007D57FB" w:rsidP="005B3E6B">
            <w:pPr>
              <w:spacing w:after="0" w:line="240" w:lineRule="auto"/>
              <w:rPr>
                <w:rFonts w:ascii="Calibri" w:eastAsia="Times New Roman" w:hAnsi="Calibri" w:cs="Calibri"/>
                <w:color w:val="000000"/>
                <w:lang w:eastAsia="en-GB"/>
              </w:rPr>
            </w:pP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14:paraId="610C4919"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H02*</w:t>
            </w:r>
          </w:p>
        </w:tc>
        <w:tc>
          <w:tcPr>
            <w:tcW w:w="1897" w:type="dxa"/>
            <w:tcBorders>
              <w:top w:val="single" w:sz="4" w:space="0" w:color="auto"/>
              <w:left w:val="nil"/>
              <w:bottom w:val="single" w:sz="4" w:space="0" w:color="auto"/>
              <w:right w:val="single" w:sz="4" w:space="0" w:color="auto"/>
            </w:tcBorders>
            <w:shd w:val="clear" w:color="auto" w:fill="auto"/>
            <w:noWrap/>
            <w:vAlign w:val="center"/>
            <w:hideMark/>
          </w:tcPr>
          <w:p w14:paraId="610C491A"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Not specified by paper</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1B" w14:textId="77777777" w:rsidR="007D57FB" w:rsidRPr="00AE6126" w:rsidRDefault="007D57FB" w:rsidP="005B3E6B">
            <w:pPr>
              <w:spacing w:after="0" w:line="240" w:lineRule="auto"/>
              <w:jc w:val="right"/>
              <w:rPr>
                <w:rFonts w:ascii="Calibri" w:eastAsia="Times New Roman" w:hAnsi="Calibri" w:cs="Calibri"/>
                <w:color w:val="000000"/>
                <w:lang w:eastAsia="en-GB"/>
              </w:rPr>
            </w:pPr>
            <w:r w:rsidRPr="00AE6126">
              <w:rPr>
                <w:rFonts w:ascii="Calibri" w:eastAsia="Times New Roman" w:hAnsi="Calibri" w:cs="Calibri"/>
                <w:color w:val="000000"/>
                <w:lang w:eastAsia="en-GB"/>
              </w:rPr>
              <w:t>16</w:t>
            </w:r>
          </w:p>
        </w:tc>
        <w:tc>
          <w:tcPr>
            <w:tcW w:w="831" w:type="dxa"/>
            <w:tcBorders>
              <w:top w:val="single" w:sz="4" w:space="0" w:color="auto"/>
              <w:left w:val="nil"/>
              <w:bottom w:val="single" w:sz="4" w:space="0" w:color="auto"/>
              <w:right w:val="single" w:sz="4" w:space="0" w:color="auto"/>
            </w:tcBorders>
            <w:shd w:val="clear" w:color="auto" w:fill="auto"/>
            <w:noWrap/>
            <w:vAlign w:val="center"/>
            <w:hideMark/>
          </w:tcPr>
          <w:p w14:paraId="610C491C"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 </w:t>
            </w:r>
            <w:r>
              <w:rPr>
                <w:rFonts w:ascii="Calibri" w:eastAsia="Times New Roman" w:hAnsi="Calibri" w:cs="Calibri"/>
                <w:color w:val="000000"/>
                <w:lang w:eastAsia="en-GB"/>
              </w:rPr>
              <w:t>-</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610C491D"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AE6126">
              <w:rPr>
                <w:rFonts w:ascii="Calibri" w:eastAsia="Times New Roman" w:hAnsi="Calibri" w:cs="Calibri"/>
                <w:color w:val="000000"/>
                <w:lang w:eastAsia="en-GB"/>
              </w:rPr>
              <w:t> </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1E"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8" w:type="dxa"/>
            <w:tcBorders>
              <w:top w:val="single" w:sz="4" w:space="0" w:color="auto"/>
              <w:left w:val="nil"/>
              <w:bottom w:val="single" w:sz="4" w:space="0" w:color="auto"/>
              <w:right w:val="single" w:sz="4" w:space="0" w:color="auto"/>
            </w:tcBorders>
            <w:shd w:val="clear" w:color="auto" w:fill="auto"/>
            <w:noWrap/>
            <w:vAlign w:val="center"/>
            <w:hideMark/>
          </w:tcPr>
          <w:p w14:paraId="610C491F"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14:paraId="610C4920"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7D57FB" w:rsidRPr="00AE6126" w14:paraId="610C492D" w14:textId="77777777" w:rsidTr="005B3E6B">
        <w:trPr>
          <w:trHeight w:val="290"/>
        </w:trPr>
        <w:tc>
          <w:tcPr>
            <w:tcW w:w="2011" w:type="dxa"/>
            <w:tcBorders>
              <w:top w:val="single" w:sz="4" w:space="0" w:color="auto"/>
              <w:left w:val="single" w:sz="4" w:space="0" w:color="auto"/>
              <w:bottom w:val="single" w:sz="4" w:space="0" w:color="auto"/>
              <w:right w:val="single" w:sz="4" w:space="0" w:color="auto"/>
            </w:tcBorders>
            <w:vAlign w:val="center"/>
          </w:tcPr>
          <w:p w14:paraId="610C4922"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H01</w:t>
            </w:r>
          </w:p>
        </w:tc>
        <w:tc>
          <w:tcPr>
            <w:tcW w:w="2409" w:type="dxa"/>
            <w:tcBorders>
              <w:top w:val="single" w:sz="4" w:space="0" w:color="auto"/>
              <w:left w:val="single" w:sz="4" w:space="0" w:color="auto"/>
              <w:bottom w:val="single" w:sz="4" w:space="0" w:color="auto"/>
              <w:right w:val="single" w:sz="4" w:space="0" w:color="auto"/>
            </w:tcBorders>
            <w:vAlign w:val="center"/>
          </w:tcPr>
          <w:p w14:paraId="610C4923"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Pituitary And Hypothalamic Hormones And Analogues</w:t>
            </w:r>
          </w:p>
        </w:tc>
        <w:tc>
          <w:tcPr>
            <w:tcW w:w="583" w:type="dxa"/>
            <w:tcBorders>
              <w:top w:val="single" w:sz="4" w:space="0" w:color="auto"/>
              <w:left w:val="single" w:sz="4" w:space="0" w:color="auto"/>
              <w:bottom w:val="single" w:sz="4" w:space="0" w:color="auto"/>
              <w:right w:val="single" w:sz="4" w:space="0" w:color="auto"/>
            </w:tcBorders>
            <w:vAlign w:val="center"/>
          </w:tcPr>
          <w:p w14:paraId="610C4924" w14:textId="77777777" w:rsidR="007D57FB" w:rsidRPr="00AE6126" w:rsidRDefault="007D57FB" w:rsidP="005B3E6B">
            <w:pPr>
              <w:spacing w:after="0" w:line="240" w:lineRule="auto"/>
              <w:rPr>
                <w:rFonts w:ascii="Calibri" w:eastAsia="Times New Roman" w:hAnsi="Calibri" w:cs="Calibri"/>
                <w:color w:val="000000"/>
                <w:lang w:eastAsia="en-GB"/>
              </w:rPr>
            </w:pPr>
            <w:r w:rsidRPr="00AE6126">
              <w:rPr>
                <w:rFonts w:ascii="Calibri" w:eastAsia="Times New Roman" w:hAnsi="Calibri" w:cs="Calibri"/>
                <w:color w:val="000000"/>
                <w:lang w:eastAsia="en-GB"/>
              </w:rPr>
              <w:t>1</w:t>
            </w:r>
          </w:p>
        </w:tc>
        <w:tc>
          <w:tcPr>
            <w:tcW w:w="704" w:type="dxa"/>
            <w:tcBorders>
              <w:top w:val="single" w:sz="4" w:space="0" w:color="auto"/>
              <w:left w:val="nil"/>
              <w:bottom w:val="single" w:sz="4" w:space="0" w:color="auto"/>
              <w:right w:val="single" w:sz="4" w:space="0" w:color="auto"/>
            </w:tcBorders>
            <w:shd w:val="clear" w:color="auto" w:fill="auto"/>
            <w:noWrap/>
            <w:vAlign w:val="center"/>
          </w:tcPr>
          <w:p w14:paraId="610C4925"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897" w:type="dxa"/>
            <w:tcBorders>
              <w:top w:val="single" w:sz="4" w:space="0" w:color="auto"/>
              <w:left w:val="nil"/>
              <w:bottom w:val="single" w:sz="4" w:space="0" w:color="auto"/>
              <w:right w:val="single" w:sz="4" w:space="0" w:color="auto"/>
            </w:tcBorders>
            <w:shd w:val="clear" w:color="auto" w:fill="auto"/>
            <w:noWrap/>
            <w:vAlign w:val="center"/>
          </w:tcPr>
          <w:p w14:paraId="610C4926"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3" w:type="dxa"/>
            <w:tcBorders>
              <w:top w:val="single" w:sz="4" w:space="0" w:color="auto"/>
              <w:left w:val="nil"/>
              <w:bottom w:val="single" w:sz="4" w:space="0" w:color="auto"/>
              <w:right w:val="single" w:sz="4" w:space="0" w:color="auto"/>
            </w:tcBorders>
            <w:shd w:val="clear" w:color="auto" w:fill="auto"/>
            <w:noWrap/>
            <w:vAlign w:val="center"/>
          </w:tcPr>
          <w:p w14:paraId="610C4927" w14:textId="77777777" w:rsidR="007D57FB" w:rsidRPr="00AE6126" w:rsidRDefault="007D57FB" w:rsidP="005B3E6B">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831" w:type="dxa"/>
            <w:tcBorders>
              <w:top w:val="single" w:sz="4" w:space="0" w:color="auto"/>
              <w:left w:val="nil"/>
              <w:bottom w:val="single" w:sz="4" w:space="0" w:color="auto"/>
              <w:right w:val="single" w:sz="4" w:space="0" w:color="auto"/>
            </w:tcBorders>
            <w:shd w:val="clear" w:color="auto" w:fill="auto"/>
            <w:noWrap/>
            <w:vAlign w:val="center"/>
          </w:tcPr>
          <w:p w14:paraId="610C4928"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610C4929"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3" w:type="dxa"/>
            <w:tcBorders>
              <w:top w:val="single" w:sz="4" w:space="0" w:color="auto"/>
              <w:left w:val="nil"/>
              <w:bottom w:val="single" w:sz="4" w:space="0" w:color="auto"/>
              <w:right w:val="single" w:sz="4" w:space="0" w:color="auto"/>
            </w:tcBorders>
            <w:shd w:val="clear" w:color="auto" w:fill="auto"/>
            <w:noWrap/>
            <w:vAlign w:val="center"/>
          </w:tcPr>
          <w:p w14:paraId="610C492A"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8" w:type="dxa"/>
            <w:tcBorders>
              <w:top w:val="single" w:sz="4" w:space="0" w:color="auto"/>
              <w:left w:val="nil"/>
              <w:bottom w:val="single" w:sz="4" w:space="0" w:color="auto"/>
              <w:right w:val="single" w:sz="4" w:space="0" w:color="auto"/>
            </w:tcBorders>
            <w:shd w:val="clear" w:color="auto" w:fill="auto"/>
            <w:noWrap/>
            <w:vAlign w:val="center"/>
          </w:tcPr>
          <w:p w14:paraId="610C492B"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583" w:type="dxa"/>
            <w:tcBorders>
              <w:top w:val="single" w:sz="4" w:space="0" w:color="auto"/>
              <w:left w:val="nil"/>
              <w:bottom w:val="single" w:sz="4" w:space="0" w:color="auto"/>
              <w:right w:val="single" w:sz="4" w:space="0" w:color="auto"/>
            </w:tcBorders>
            <w:shd w:val="clear" w:color="auto" w:fill="auto"/>
            <w:noWrap/>
            <w:vAlign w:val="center"/>
          </w:tcPr>
          <w:p w14:paraId="610C492C" w14:textId="77777777" w:rsidR="007D57FB" w:rsidRPr="00AE6126"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bl>
    <w:p w14:paraId="610C492E" w14:textId="77777777" w:rsidR="007D57FB" w:rsidRDefault="007D57FB">
      <w:pPr>
        <w:rPr>
          <w:b/>
        </w:rPr>
      </w:pPr>
    </w:p>
    <w:p w14:paraId="610C492F" w14:textId="77777777" w:rsidR="007D57FB" w:rsidRDefault="007D57FB" w:rsidP="005B3E6B">
      <w:pPr>
        <w:pStyle w:val="Heading3"/>
      </w:pPr>
      <w:bookmarkStart w:id="60" w:name="_Toc52396379"/>
      <w:r>
        <w:t>Musculoskeletal system</w:t>
      </w:r>
      <w:bookmarkEnd w:id="60"/>
    </w:p>
    <w:tbl>
      <w:tblPr>
        <w:tblW w:w="13827" w:type="dxa"/>
        <w:tblLook w:val="04A0" w:firstRow="1" w:lastRow="0" w:firstColumn="1" w:lastColumn="0" w:noHBand="0" w:noVBand="1"/>
      </w:tblPr>
      <w:tblGrid>
        <w:gridCol w:w="2012"/>
        <w:gridCol w:w="2409"/>
        <w:gridCol w:w="440"/>
        <w:gridCol w:w="827"/>
        <w:gridCol w:w="2150"/>
        <w:gridCol w:w="567"/>
        <w:gridCol w:w="951"/>
        <w:gridCol w:w="1786"/>
        <w:gridCol w:w="477"/>
        <w:gridCol w:w="1814"/>
        <w:gridCol w:w="394"/>
      </w:tblGrid>
      <w:tr w:rsidR="007D57FB" w:rsidRPr="00612CCF" w14:paraId="610C4931" w14:textId="77777777" w:rsidTr="005B3E6B">
        <w:trPr>
          <w:trHeight w:val="300"/>
        </w:trPr>
        <w:tc>
          <w:tcPr>
            <w:tcW w:w="13827"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30" w14:textId="77777777" w:rsidR="007D57FB" w:rsidRPr="00612CCF" w:rsidRDefault="007D57FB" w:rsidP="005B3E6B">
            <w:pPr>
              <w:rPr>
                <w:rFonts w:ascii="Calibri" w:eastAsia="Times New Roman" w:hAnsi="Calibri" w:cs="Calibri"/>
                <w:b/>
                <w:bCs/>
                <w:color w:val="000000"/>
                <w:lang w:eastAsia="en-GB"/>
              </w:rPr>
            </w:pPr>
            <w:r w:rsidRPr="00612CCF">
              <w:rPr>
                <w:rFonts w:ascii="Calibri" w:eastAsia="Times New Roman" w:hAnsi="Calibri" w:cs="Calibri"/>
                <w:b/>
                <w:bCs/>
                <w:color w:val="000000"/>
                <w:lang w:eastAsia="en-GB"/>
              </w:rPr>
              <w:t>Musculo-skeletal system 58 (2.43%)</w:t>
            </w:r>
          </w:p>
        </w:tc>
      </w:tr>
      <w:tr w:rsidR="007D57FB" w:rsidRPr="00CB221A" w14:paraId="610C493D" w14:textId="77777777" w:rsidTr="005B3E6B">
        <w:trPr>
          <w:trHeight w:val="54"/>
        </w:trPr>
        <w:tc>
          <w:tcPr>
            <w:tcW w:w="2012"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2"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021487">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409"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3"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CB221A">
              <w:rPr>
                <w:rFonts w:ascii="Calibri" w:eastAsia="Times New Roman" w:hAnsi="Calibri" w:cs="Calibri"/>
                <w:b/>
                <w:bCs/>
                <w:color w:val="000000"/>
                <w:lang w:eastAsia="en-GB"/>
              </w:rPr>
              <w:t>herapeutic subgroup</w:t>
            </w:r>
          </w:p>
        </w:tc>
        <w:tc>
          <w:tcPr>
            <w:tcW w:w="44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4"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82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5"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3</w:t>
            </w:r>
            <w:r w:rsidRPr="0002148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15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6"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CB221A">
              <w:rPr>
                <w:rFonts w:ascii="Calibri" w:eastAsia="Times New Roman" w:hAnsi="Calibri" w:cs="Calibri"/>
                <w:b/>
                <w:bCs/>
                <w:color w:val="000000"/>
                <w:lang w:eastAsia="en-GB"/>
              </w:rPr>
              <w:t>ubgroup</w:t>
            </w:r>
          </w:p>
        </w:tc>
        <w:tc>
          <w:tcPr>
            <w:tcW w:w="56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7"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95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8"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4</w:t>
            </w:r>
            <w:r w:rsidRPr="000214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78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9" w14:textId="77777777" w:rsidR="007D57FB" w:rsidRPr="00CB221A"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CB221A">
              <w:rPr>
                <w:rFonts w:ascii="Calibri" w:eastAsia="Times New Roman" w:hAnsi="Calibri" w:cs="Calibri"/>
                <w:b/>
                <w:bCs/>
                <w:color w:val="000000"/>
                <w:lang w:eastAsia="en-GB"/>
              </w:rPr>
              <w:t>hemica</w:t>
            </w:r>
            <w:r>
              <w:rPr>
                <w:rFonts w:ascii="Calibri" w:eastAsia="Times New Roman" w:hAnsi="Calibri" w:cs="Calibri"/>
                <w:b/>
                <w:bCs/>
                <w:color w:val="000000"/>
                <w:lang w:eastAsia="en-GB"/>
              </w:rPr>
              <w:t>l S</w:t>
            </w:r>
            <w:r w:rsidRPr="00CB221A">
              <w:rPr>
                <w:rFonts w:ascii="Calibri" w:eastAsia="Times New Roman" w:hAnsi="Calibri" w:cs="Calibri"/>
                <w:b/>
                <w:bCs/>
                <w:color w:val="000000"/>
                <w:lang w:eastAsia="en-GB"/>
              </w:rPr>
              <w:t>ubgroup</w:t>
            </w:r>
          </w:p>
        </w:tc>
        <w:tc>
          <w:tcPr>
            <w:tcW w:w="4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A"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c>
          <w:tcPr>
            <w:tcW w:w="18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B"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ATC 5</w:t>
            </w:r>
            <w:r w:rsidRPr="00021487">
              <w:rPr>
                <w:rFonts w:ascii="Calibri" w:eastAsia="Times New Roman" w:hAnsi="Calibri" w:cs="Calibri"/>
                <w:b/>
                <w:bCs/>
                <w:color w:val="000000"/>
                <w:vertAlign w:val="superscript"/>
                <w:lang w:eastAsia="en-GB"/>
              </w:rPr>
              <w:t>th</w:t>
            </w:r>
            <w:r w:rsidRPr="00CB221A">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 xml:space="preserve">/ </w:t>
            </w:r>
            <w:r w:rsidRPr="00CB221A">
              <w:rPr>
                <w:rFonts w:ascii="Calibri" w:eastAsia="Times New Roman" w:hAnsi="Calibri" w:cs="Calibri"/>
                <w:b/>
                <w:bCs/>
                <w:color w:val="000000"/>
                <w:lang w:eastAsia="en-GB"/>
              </w:rPr>
              <w:t>drug (when n ≥ 10)</w:t>
            </w:r>
          </w:p>
        </w:tc>
        <w:tc>
          <w:tcPr>
            <w:tcW w:w="39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0C493C" w14:textId="77777777" w:rsidR="007D57FB" w:rsidRPr="00CB221A" w:rsidRDefault="007D57FB" w:rsidP="005B3E6B">
            <w:pPr>
              <w:spacing w:after="0" w:line="240" w:lineRule="auto"/>
              <w:rPr>
                <w:rFonts w:ascii="Calibri" w:eastAsia="Times New Roman" w:hAnsi="Calibri" w:cs="Calibri"/>
                <w:b/>
                <w:bCs/>
                <w:color w:val="000000"/>
                <w:lang w:eastAsia="en-GB"/>
              </w:rPr>
            </w:pPr>
            <w:r w:rsidRPr="00CB221A">
              <w:rPr>
                <w:rFonts w:ascii="Calibri" w:eastAsia="Times New Roman" w:hAnsi="Calibri" w:cs="Calibri"/>
                <w:b/>
                <w:bCs/>
                <w:color w:val="000000"/>
                <w:lang w:eastAsia="en-GB"/>
              </w:rPr>
              <w:t>n</w:t>
            </w:r>
          </w:p>
        </w:tc>
      </w:tr>
      <w:tr w:rsidR="007D57FB" w:rsidRPr="00612CCF" w14:paraId="610C4949"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3E"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M01</w:t>
            </w:r>
          </w:p>
        </w:tc>
        <w:tc>
          <w:tcPr>
            <w:tcW w:w="2409" w:type="dxa"/>
            <w:tcBorders>
              <w:top w:val="nil"/>
              <w:left w:val="nil"/>
              <w:bottom w:val="single" w:sz="4" w:space="0" w:color="auto"/>
              <w:right w:val="single" w:sz="4" w:space="0" w:color="auto"/>
            </w:tcBorders>
            <w:shd w:val="clear" w:color="auto" w:fill="auto"/>
            <w:noWrap/>
            <w:vAlign w:val="center"/>
            <w:hideMark/>
          </w:tcPr>
          <w:p w14:paraId="610C493F"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Antiinflammatory a</w:t>
            </w:r>
            <w:r w:rsidRPr="00612CCF">
              <w:rPr>
                <w:rFonts w:ascii="Calibri" w:eastAsia="Times New Roman" w:hAnsi="Calibri" w:cs="Calibri"/>
                <w:color w:val="000000"/>
                <w:lang w:eastAsia="en-GB"/>
              </w:rPr>
              <w:t>nd Antirheumatic Products</w:t>
            </w:r>
          </w:p>
        </w:tc>
        <w:tc>
          <w:tcPr>
            <w:tcW w:w="440" w:type="dxa"/>
            <w:tcBorders>
              <w:top w:val="nil"/>
              <w:left w:val="nil"/>
              <w:bottom w:val="single" w:sz="4" w:space="0" w:color="auto"/>
              <w:right w:val="single" w:sz="4" w:space="0" w:color="auto"/>
            </w:tcBorders>
            <w:shd w:val="clear" w:color="auto" w:fill="auto"/>
            <w:noWrap/>
            <w:vAlign w:val="center"/>
            <w:hideMark/>
          </w:tcPr>
          <w:p w14:paraId="610C4940"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40</w:t>
            </w:r>
          </w:p>
        </w:tc>
        <w:tc>
          <w:tcPr>
            <w:tcW w:w="827" w:type="dxa"/>
            <w:tcBorders>
              <w:top w:val="nil"/>
              <w:left w:val="nil"/>
              <w:bottom w:val="single" w:sz="4" w:space="0" w:color="auto"/>
              <w:right w:val="single" w:sz="4" w:space="0" w:color="auto"/>
            </w:tcBorders>
            <w:shd w:val="clear" w:color="auto" w:fill="auto"/>
            <w:noWrap/>
            <w:vAlign w:val="center"/>
            <w:hideMark/>
          </w:tcPr>
          <w:p w14:paraId="610C4941"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M01A</w:t>
            </w:r>
          </w:p>
        </w:tc>
        <w:tc>
          <w:tcPr>
            <w:tcW w:w="2150" w:type="dxa"/>
            <w:tcBorders>
              <w:top w:val="nil"/>
              <w:left w:val="nil"/>
              <w:bottom w:val="single" w:sz="4" w:space="0" w:color="auto"/>
              <w:right w:val="single" w:sz="4" w:space="0" w:color="auto"/>
            </w:tcBorders>
            <w:shd w:val="clear" w:color="auto" w:fill="auto"/>
            <w:noWrap/>
            <w:vAlign w:val="center"/>
            <w:hideMark/>
          </w:tcPr>
          <w:p w14:paraId="610C4942"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Antiinflammatory and antirheumatic products, non-steroids</w:t>
            </w:r>
          </w:p>
        </w:tc>
        <w:tc>
          <w:tcPr>
            <w:tcW w:w="567" w:type="dxa"/>
            <w:tcBorders>
              <w:top w:val="nil"/>
              <w:left w:val="nil"/>
              <w:bottom w:val="single" w:sz="4" w:space="0" w:color="auto"/>
              <w:right w:val="single" w:sz="4" w:space="0" w:color="auto"/>
            </w:tcBorders>
            <w:shd w:val="clear" w:color="auto" w:fill="auto"/>
            <w:noWrap/>
            <w:vAlign w:val="center"/>
            <w:hideMark/>
          </w:tcPr>
          <w:p w14:paraId="610C4943"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40</w:t>
            </w:r>
          </w:p>
        </w:tc>
        <w:tc>
          <w:tcPr>
            <w:tcW w:w="951" w:type="dxa"/>
            <w:tcBorders>
              <w:top w:val="nil"/>
              <w:left w:val="nil"/>
              <w:bottom w:val="single" w:sz="4" w:space="0" w:color="auto"/>
              <w:right w:val="single" w:sz="4" w:space="0" w:color="auto"/>
            </w:tcBorders>
            <w:shd w:val="clear" w:color="auto" w:fill="auto"/>
            <w:noWrap/>
            <w:vAlign w:val="center"/>
            <w:hideMark/>
          </w:tcPr>
          <w:p w14:paraId="610C4944"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M01A*</w:t>
            </w:r>
          </w:p>
        </w:tc>
        <w:tc>
          <w:tcPr>
            <w:tcW w:w="1786" w:type="dxa"/>
            <w:tcBorders>
              <w:top w:val="nil"/>
              <w:left w:val="nil"/>
              <w:bottom w:val="single" w:sz="4" w:space="0" w:color="auto"/>
              <w:right w:val="single" w:sz="4" w:space="0" w:color="auto"/>
            </w:tcBorders>
            <w:shd w:val="clear" w:color="auto" w:fill="auto"/>
            <w:noWrap/>
            <w:vAlign w:val="center"/>
            <w:hideMark/>
          </w:tcPr>
          <w:p w14:paraId="610C4945"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Not specif</w:t>
            </w:r>
            <w:r>
              <w:rPr>
                <w:rFonts w:ascii="Calibri" w:eastAsia="Times New Roman" w:hAnsi="Calibri" w:cs="Calibri"/>
                <w:color w:val="000000"/>
                <w:lang w:eastAsia="en-GB"/>
              </w:rPr>
              <w:t>i</w:t>
            </w:r>
            <w:r w:rsidRPr="00612CCF">
              <w:rPr>
                <w:rFonts w:ascii="Calibri" w:eastAsia="Times New Roman" w:hAnsi="Calibri" w:cs="Calibri"/>
                <w:color w:val="000000"/>
                <w:lang w:eastAsia="en-GB"/>
              </w:rPr>
              <w:t xml:space="preserve">ed by the paper </w:t>
            </w:r>
          </w:p>
        </w:tc>
        <w:tc>
          <w:tcPr>
            <w:tcW w:w="477" w:type="dxa"/>
            <w:tcBorders>
              <w:top w:val="nil"/>
              <w:left w:val="nil"/>
              <w:bottom w:val="single" w:sz="4" w:space="0" w:color="auto"/>
              <w:right w:val="single" w:sz="4" w:space="0" w:color="auto"/>
            </w:tcBorders>
            <w:shd w:val="clear" w:color="auto" w:fill="auto"/>
            <w:noWrap/>
            <w:vAlign w:val="center"/>
            <w:hideMark/>
          </w:tcPr>
          <w:p w14:paraId="610C4946"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25</w:t>
            </w:r>
          </w:p>
        </w:tc>
        <w:tc>
          <w:tcPr>
            <w:tcW w:w="1814" w:type="dxa"/>
            <w:tcBorders>
              <w:top w:val="nil"/>
              <w:left w:val="nil"/>
              <w:bottom w:val="single" w:sz="4" w:space="0" w:color="auto"/>
              <w:right w:val="single" w:sz="4" w:space="0" w:color="auto"/>
            </w:tcBorders>
            <w:shd w:val="clear" w:color="auto" w:fill="auto"/>
            <w:noWrap/>
            <w:vAlign w:val="center"/>
            <w:hideMark/>
          </w:tcPr>
          <w:p w14:paraId="610C4947"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394" w:type="dxa"/>
            <w:tcBorders>
              <w:top w:val="nil"/>
              <w:left w:val="nil"/>
              <w:bottom w:val="single" w:sz="4" w:space="0" w:color="auto"/>
              <w:right w:val="single" w:sz="4" w:space="0" w:color="auto"/>
            </w:tcBorders>
            <w:shd w:val="clear" w:color="auto" w:fill="auto"/>
            <w:noWrap/>
            <w:vAlign w:val="center"/>
            <w:hideMark/>
          </w:tcPr>
          <w:p w14:paraId="610C4948"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12CCF" w14:paraId="610C4955"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4A"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M04</w:t>
            </w:r>
          </w:p>
        </w:tc>
        <w:tc>
          <w:tcPr>
            <w:tcW w:w="2409" w:type="dxa"/>
            <w:tcBorders>
              <w:top w:val="nil"/>
              <w:left w:val="nil"/>
              <w:bottom w:val="single" w:sz="4" w:space="0" w:color="auto"/>
              <w:right w:val="single" w:sz="4" w:space="0" w:color="auto"/>
            </w:tcBorders>
            <w:shd w:val="clear" w:color="auto" w:fill="auto"/>
            <w:noWrap/>
            <w:vAlign w:val="center"/>
            <w:hideMark/>
          </w:tcPr>
          <w:p w14:paraId="610C494B"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Antigout Preparations</w:t>
            </w:r>
          </w:p>
        </w:tc>
        <w:tc>
          <w:tcPr>
            <w:tcW w:w="440" w:type="dxa"/>
            <w:tcBorders>
              <w:top w:val="nil"/>
              <w:left w:val="nil"/>
              <w:bottom w:val="single" w:sz="4" w:space="0" w:color="auto"/>
              <w:right w:val="single" w:sz="4" w:space="0" w:color="auto"/>
            </w:tcBorders>
            <w:shd w:val="clear" w:color="auto" w:fill="auto"/>
            <w:noWrap/>
            <w:vAlign w:val="center"/>
            <w:hideMark/>
          </w:tcPr>
          <w:p w14:paraId="610C494C"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10</w:t>
            </w:r>
          </w:p>
        </w:tc>
        <w:tc>
          <w:tcPr>
            <w:tcW w:w="827" w:type="dxa"/>
            <w:tcBorders>
              <w:top w:val="nil"/>
              <w:left w:val="nil"/>
              <w:bottom w:val="single" w:sz="4" w:space="0" w:color="auto"/>
              <w:right w:val="single" w:sz="4" w:space="0" w:color="auto"/>
            </w:tcBorders>
            <w:shd w:val="clear" w:color="auto" w:fill="auto"/>
            <w:noWrap/>
            <w:vAlign w:val="center"/>
            <w:hideMark/>
          </w:tcPr>
          <w:p w14:paraId="610C494D"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M04A</w:t>
            </w:r>
          </w:p>
        </w:tc>
        <w:tc>
          <w:tcPr>
            <w:tcW w:w="2150" w:type="dxa"/>
            <w:tcBorders>
              <w:top w:val="nil"/>
              <w:left w:val="nil"/>
              <w:bottom w:val="single" w:sz="4" w:space="0" w:color="auto"/>
              <w:right w:val="single" w:sz="4" w:space="0" w:color="auto"/>
            </w:tcBorders>
            <w:shd w:val="clear" w:color="auto" w:fill="auto"/>
            <w:noWrap/>
            <w:vAlign w:val="center"/>
            <w:hideMark/>
          </w:tcPr>
          <w:p w14:paraId="610C494E"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Antigout preparations</w:t>
            </w:r>
          </w:p>
        </w:tc>
        <w:tc>
          <w:tcPr>
            <w:tcW w:w="567" w:type="dxa"/>
            <w:tcBorders>
              <w:top w:val="nil"/>
              <w:left w:val="nil"/>
              <w:bottom w:val="single" w:sz="4" w:space="0" w:color="auto"/>
              <w:right w:val="single" w:sz="4" w:space="0" w:color="auto"/>
            </w:tcBorders>
            <w:shd w:val="clear" w:color="auto" w:fill="auto"/>
            <w:noWrap/>
            <w:vAlign w:val="center"/>
            <w:hideMark/>
          </w:tcPr>
          <w:p w14:paraId="610C494F"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10</w:t>
            </w:r>
          </w:p>
        </w:tc>
        <w:tc>
          <w:tcPr>
            <w:tcW w:w="951" w:type="dxa"/>
            <w:tcBorders>
              <w:top w:val="nil"/>
              <w:left w:val="nil"/>
              <w:bottom w:val="single" w:sz="4" w:space="0" w:color="auto"/>
              <w:right w:val="single" w:sz="4" w:space="0" w:color="auto"/>
            </w:tcBorders>
            <w:shd w:val="clear" w:color="auto" w:fill="auto"/>
            <w:noWrap/>
            <w:vAlign w:val="center"/>
            <w:hideMark/>
          </w:tcPr>
          <w:p w14:paraId="610C4950"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786" w:type="dxa"/>
            <w:tcBorders>
              <w:top w:val="nil"/>
              <w:left w:val="nil"/>
              <w:bottom w:val="single" w:sz="4" w:space="0" w:color="auto"/>
              <w:right w:val="single" w:sz="4" w:space="0" w:color="auto"/>
            </w:tcBorders>
            <w:shd w:val="clear" w:color="auto" w:fill="auto"/>
            <w:noWrap/>
            <w:vAlign w:val="center"/>
            <w:hideMark/>
          </w:tcPr>
          <w:p w14:paraId="610C4951"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77" w:type="dxa"/>
            <w:tcBorders>
              <w:top w:val="nil"/>
              <w:left w:val="nil"/>
              <w:bottom w:val="single" w:sz="4" w:space="0" w:color="auto"/>
              <w:right w:val="single" w:sz="4" w:space="0" w:color="auto"/>
            </w:tcBorders>
            <w:shd w:val="clear" w:color="auto" w:fill="auto"/>
            <w:noWrap/>
            <w:vAlign w:val="center"/>
            <w:hideMark/>
          </w:tcPr>
          <w:p w14:paraId="610C4952"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14" w:type="dxa"/>
            <w:tcBorders>
              <w:top w:val="nil"/>
              <w:left w:val="nil"/>
              <w:bottom w:val="single" w:sz="4" w:space="0" w:color="auto"/>
              <w:right w:val="single" w:sz="4" w:space="0" w:color="auto"/>
            </w:tcBorders>
            <w:shd w:val="clear" w:color="auto" w:fill="auto"/>
            <w:noWrap/>
            <w:vAlign w:val="center"/>
            <w:hideMark/>
          </w:tcPr>
          <w:p w14:paraId="610C4953"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394" w:type="dxa"/>
            <w:tcBorders>
              <w:top w:val="nil"/>
              <w:left w:val="nil"/>
              <w:bottom w:val="single" w:sz="4" w:space="0" w:color="auto"/>
              <w:right w:val="single" w:sz="4" w:space="0" w:color="auto"/>
            </w:tcBorders>
            <w:shd w:val="clear" w:color="auto" w:fill="auto"/>
            <w:noWrap/>
            <w:vAlign w:val="center"/>
            <w:hideMark/>
          </w:tcPr>
          <w:p w14:paraId="610C4954"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12CCF" w14:paraId="610C4961"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56"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M05</w:t>
            </w:r>
          </w:p>
        </w:tc>
        <w:tc>
          <w:tcPr>
            <w:tcW w:w="2409" w:type="dxa"/>
            <w:tcBorders>
              <w:top w:val="nil"/>
              <w:left w:val="nil"/>
              <w:bottom w:val="single" w:sz="4" w:space="0" w:color="auto"/>
              <w:right w:val="single" w:sz="4" w:space="0" w:color="auto"/>
            </w:tcBorders>
            <w:shd w:val="clear" w:color="auto" w:fill="auto"/>
            <w:noWrap/>
            <w:vAlign w:val="center"/>
            <w:hideMark/>
          </w:tcPr>
          <w:p w14:paraId="610C4957"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Drugs For Treatment o</w:t>
            </w:r>
            <w:r w:rsidRPr="00612CCF">
              <w:rPr>
                <w:rFonts w:ascii="Calibri" w:eastAsia="Times New Roman" w:hAnsi="Calibri" w:cs="Calibri"/>
                <w:color w:val="000000"/>
                <w:lang w:eastAsia="en-GB"/>
              </w:rPr>
              <w:t>f Bone Diseases</w:t>
            </w:r>
          </w:p>
        </w:tc>
        <w:tc>
          <w:tcPr>
            <w:tcW w:w="440" w:type="dxa"/>
            <w:tcBorders>
              <w:top w:val="nil"/>
              <w:left w:val="nil"/>
              <w:bottom w:val="single" w:sz="4" w:space="0" w:color="auto"/>
              <w:right w:val="single" w:sz="4" w:space="0" w:color="auto"/>
            </w:tcBorders>
            <w:shd w:val="clear" w:color="auto" w:fill="auto"/>
            <w:noWrap/>
            <w:vAlign w:val="center"/>
            <w:hideMark/>
          </w:tcPr>
          <w:p w14:paraId="610C4958"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6</w:t>
            </w:r>
          </w:p>
        </w:tc>
        <w:tc>
          <w:tcPr>
            <w:tcW w:w="827" w:type="dxa"/>
            <w:tcBorders>
              <w:top w:val="nil"/>
              <w:left w:val="nil"/>
              <w:bottom w:val="single" w:sz="4" w:space="0" w:color="auto"/>
              <w:right w:val="single" w:sz="4" w:space="0" w:color="auto"/>
            </w:tcBorders>
            <w:shd w:val="clear" w:color="auto" w:fill="auto"/>
            <w:noWrap/>
            <w:vAlign w:val="center"/>
            <w:hideMark/>
          </w:tcPr>
          <w:p w14:paraId="610C4959"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M05B</w:t>
            </w:r>
          </w:p>
        </w:tc>
        <w:tc>
          <w:tcPr>
            <w:tcW w:w="2150" w:type="dxa"/>
            <w:tcBorders>
              <w:top w:val="nil"/>
              <w:left w:val="nil"/>
              <w:bottom w:val="single" w:sz="4" w:space="0" w:color="auto"/>
              <w:right w:val="single" w:sz="4" w:space="0" w:color="auto"/>
            </w:tcBorders>
            <w:shd w:val="clear" w:color="auto" w:fill="auto"/>
            <w:noWrap/>
            <w:vAlign w:val="center"/>
            <w:hideMark/>
          </w:tcPr>
          <w:p w14:paraId="610C495A"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Drugs affecting bone structure and mineralization</w:t>
            </w:r>
          </w:p>
        </w:tc>
        <w:tc>
          <w:tcPr>
            <w:tcW w:w="567" w:type="dxa"/>
            <w:tcBorders>
              <w:top w:val="nil"/>
              <w:left w:val="nil"/>
              <w:bottom w:val="single" w:sz="4" w:space="0" w:color="auto"/>
              <w:right w:val="single" w:sz="4" w:space="0" w:color="auto"/>
            </w:tcBorders>
            <w:shd w:val="clear" w:color="auto" w:fill="auto"/>
            <w:noWrap/>
            <w:vAlign w:val="center"/>
            <w:hideMark/>
          </w:tcPr>
          <w:p w14:paraId="610C495B"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6</w:t>
            </w:r>
          </w:p>
        </w:tc>
        <w:tc>
          <w:tcPr>
            <w:tcW w:w="951" w:type="dxa"/>
            <w:tcBorders>
              <w:top w:val="nil"/>
              <w:left w:val="nil"/>
              <w:bottom w:val="single" w:sz="4" w:space="0" w:color="auto"/>
              <w:right w:val="single" w:sz="4" w:space="0" w:color="auto"/>
            </w:tcBorders>
            <w:shd w:val="clear" w:color="auto" w:fill="auto"/>
            <w:noWrap/>
            <w:vAlign w:val="center"/>
            <w:hideMark/>
          </w:tcPr>
          <w:p w14:paraId="610C495C"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M05BA</w:t>
            </w:r>
          </w:p>
        </w:tc>
        <w:tc>
          <w:tcPr>
            <w:tcW w:w="1786" w:type="dxa"/>
            <w:tcBorders>
              <w:top w:val="nil"/>
              <w:left w:val="nil"/>
              <w:bottom w:val="single" w:sz="4" w:space="0" w:color="auto"/>
              <w:right w:val="single" w:sz="4" w:space="0" w:color="auto"/>
            </w:tcBorders>
            <w:shd w:val="clear" w:color="auto" w:fill="auto"/>
            <w:noWrap/>
            <w:vAlign w:val="center"/>
            <w:hideMark/>
          </w:tcPr>
          <w:p w14:paraId="610C495D"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Bisphosphonates</w:t>
            </w:r>
          </w:p>
        </w:tc>
        <w:tc>
          <w:tcPr>
            <w:tcW w:w="477" w:type="dxa"/>
            <w:tcBorders>
              <w:top w:val="nil"/>
              <w:left w:val="nil"/>
              <w:bottom w:val="single" w:sz="4" w:space="0" w:color="auto"/>
              <w:right w:val="single" w:sz="4" w:space="0" w:color="auto"/>
            </w:tcBorders>
            <w:shd w:val="clear" w:color="auto" w:fill="auto"/>
            <w:noWrap/>
            <w:vAlign w:val="center"/>
            <w:hideMark/>
          </w:tcPr>
          <w:p w14:paraId="610C495E"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6</w:t>
            </w:r>
          </w:p>
        </w:tc>
        <w:tc>
          <w:tcPr>
            <w:tcW w:w="1814" w:type="dxa"/>
            <w:tcBorders>
              <w:top w:val="nil"/>
              <w:left w:val="nil"/>
              <w:bottom w:val="single" w:sz="4" w:space="0" w:color="auto"/>
              <w:right w:val="single" w:sz="4" w:space="0" w:color="auto"/>
            </w:tcBorders>
            <w:shd w:val="clear" w:color="auto" w:fill="auto"/>
            <w:noWrap/>
            <w:vAlign w:val="center"/>
            <w:hideMark/>
          </w:tcPr>
          <w:p w14:paraId="610C495F"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394" w:type="dxa"/>
            <w:tcBorders>
              <w:top w:val="nil"/>
              <w:left w:val="nil"/>
              <w:bottom w:val="single" w:sz="4" w:space="0" w:color="auto"/>
              <w:right w:val="single" w:sz="4" w:space="0" w:color="auto"/>
            </w:tcBorders>
            <w:shd w:val="clear" w:color="auto" w:fill="auto"/>
            <w:noWrap/>
            <w:vAlign w:val="center"/>
            <w:hideMark/>
          </w:tcPr>
          <w:p w14:paraId="610C4960"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r w:rsidR="007D57FB" w:rsidRPr="00612CCF" w14:paraId="610C496D"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tcPr>
          <w:p w14:paraId="610C4962"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M03</w:t>
            </w:r>
          </w:p>
        </w:tc>
        <w:tc>
          <w:tcPr>
            <w:tcW w:w="2409" w:type="dxa"/>
            <w:tcBorders>
              <w:top w:val="nil"/>
              <w:left w:val="nil"/>
              <w:bottom w:val="single" w:sz="4" w:space="0" w:color="auto"/>
              <w:right w:val="single" w:sz="4" w:space="0" w:color="auto"/>
            </w:tcBorders>
            <w:shd w:val="clear" w:color="auto" w:fill="auto"/>
            <w:noWrap/>
            <w:vAlign w:val="center"/>
          </w:tcPr>
          <w:p w14:paraId="610C4963" w14:textId="77777777" w:rsidR="007D57FB" w:rsidRPr="00612CCF" w:rsidRDefault="007D57FB" w:rsidP="005B3E6B">
            <w:pPr>
              <w:spacing w:after="0" w:line="240" w:lineRule="auto"/>
              <w:rPr>
                <w:rFonts w:ascii="Calibri" w:eastAsia="Times New Roman" w:hAnsi="Calibri" w:cs="Calibri"/>
                <w:color w:val="000000"/>
                <w:lang w:eastAsia="en-GB"/>
              </w:rPr>
            </w:pPr>
            <w:r w:rsidRPr="00612CCF">
              <w:rPr>
                <w:rFonts w:ascii="Calibri" w:eastAsia="Times New Roman" w:hAnsi="Calibri" w:cs="Calibri"/>
                <w:color w:val="000000"/>
                <w:lang w:eastAsia="en-GB"/>
              </w:rPr>
              <w:t>Muscle Relaxants</w:t>
            </w:r>
          </w:p>
        </w:tc>
        <w:tc>
          <w:tcPr>
            <w:tcW w:w="440" w:type="dxa"/>
            <w:tcBorders>
              <w:top w:val="nil"/>
              <w:left w:val="nil"/>
              <w:bottom w:val="single" w:sz="4" w:space="0" w:color="auto"/>
              <w:right w:val="single" w:sz="4" w:space="0" w:color="auto"/>
            </w:tcBorders>
            <w:shd w:val="clear" w:color="auto" w:fill="auto"/>
            <w:noWrap/>
            <w:vAlign w:val="center"/>
          </w:tcPr>
          <w:p w14:paraId="610C4964" w14:textId="77777777" w:rsidR="007D57FB" w:rsidRPr="00612CCF" w:rsidRDefault="007D57FB" w:rsidP="005B3E6B">
            <w:pPr>
              <w:spacing w:after="0" w:line="240" w:lineRule="auto"/>
              <w:jc w:val="right"/>
              <w:rPr>
                <w:rFonts w:ascii="Calibri" w:eastAsia="Times New Roman" w:hAnsi="Calibri" w:cs="Calibri"/>
                <w:color w:val="000000"/>
                <w:lang w:eastAsia="en-GB"/>
              </w:rPr>
            </w:pPr>
            <w:r w:rsidRPr="00612CCF">
              <w:rPr>
                <w:rFonts w:ascii="Calibri" w:eastAsia="Times New Roman" w:hAnsi="Calibri" w:cs="Calibri"/>
                <w:color w:val="000000"/>
                <w:lang w:eastAsia="en-GB"/>
              </w:rPr>
              <w:t>2</w:t>
            </w:r>
          </w:p>
        </w:tc>
        <w:tc>
          <w:tcPr>
            <w:tcW w:w="827" w:type="dxa"/>
            <w:tcBorders>
              <w:top w:val="nil"/>
              <w:left w:val="nil"/>
              <w:bottom w:val="single" w:sz="4" w:space="0" w:color="auto"/>
              <w:right w:val="single" w:sz="4" w:space="0" w:color="auto"/>
            </w:tcBorders>
            <w:shd w:val="clear" w:color="auto" w:fill="auto"/>
            <w:noWrap/>
            <w:vAlign w:val="center"/>
          </w:tcPr>
          <w:p w14:paraId="610C4965"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2150" w:type="dxa"/>
            <w:tcBorders>
              <w:top w:val="nil"/>
              <w:left w:val="nil"/>
              <w:bottom w:val="single" w:sz="4" w:space="0" w:color="auto"/>
              <w:right w:val="single" w:sz="4" w:space="0" w:color="auto"/>
            </w:tcBorders>
            <w:shd w:val="clear" w:color="auto" w:fill="auto"/>
            <w:noWrap/>
            <w:vAlign w:val="center"/>
          </w:tcPr>
          <w:p w14:paraId="610C4966"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567" w:type="dxa"/>
            <w:tcBorders>
              <w:top w:val="nil"/>
              <w:left w:val="nil"/>
              <w:bottom w:val="single" w:sz="4" w:space="0" w:color="auto"/>
              <w:right w:val="single" w:sz="4" w:space="0" w:color="auto"/>
            </w:tcBorders>
            <w:shd w:val="clear" w:color="auto" w:fill="auto"/>
            <w:noWrap/>
            <w:vAlign w:val="center"/>
          </w:tcPr>
          <w:p w14:paraId="610C4967" w14:textId="77777777" w:rsidR="007D57FB" w:rsidRPr="00612CCF" w:rsidRDefault="007D57FB" w:rsidP="005B3E6B">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951" w:type="dxa"/>
            <w:tcBorders>
              <w:top w:val="nil"/>
              <w:left w:val="nil"/>
              <w:bottom w:val="single" w:sz="4" w:space="0" w:color="auto"/>
              <w:right w:val="single" w:sz="4" w:space="0" w:color="auto"/>
            </w:tcBorders>
            <w:shd w:val="clear" w:color="auto" w:fill="auto"/>
            <w:noWrap/>
            <w:vAlign w:val="center"/>
          </w:tcPr>
          <w:p w14:paraId="610C4968"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786" w:type="dxa"/>
            <w:tcBorders>
              <w:top w:val="nil"/>
              <w:left w:val="nil"/>
              <w:bottom w:val="single" w:sz="4" w:space="0" w:color="auto"/>
              <w:right w:val="single" w:sz="4" w:space="0" w:color="auto"/>
            </w:tcBorders>
            <w:shd w:val="clear" w:color="auto" w:fill="auto"/>
            <w:noWrap/>
            <w:vAlign w:val="center"/>
          </w:tcPr>
          <w:p w14:paraId="610C4969"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477" w:type="dxa"/>
            <w:tcBorders>
              <w:top w:val="nil"/>
              <w:left w:val="nil"/>
              <w:bottom w:val="single" w:sz="4" w:space="0" w:color="auto"/>
              <w:right w:val="single" w:sz="4" w:space="0" w:color="auto"/>
            </w:tcBorders>
            <w:shd w:val="clear" w:color="auto" w:fill="auto"/>
            <w:noWrap/>
            <w:vAlign w:val="center"/>
          </w:tcPr>
          <w:p w14:paraId="610C496A" w14:textId="77777777" w:rsidR="007D57FB" w:rsidRPr="00612CCF" w:rsidRDefault="007D57FB" w:rsidP="005B3E6B">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1814" w:type="dxa"/>
            <w:tcBorders>
              <w:top w:val="nil"/>
              <w:left w:val="nil"/>
              <w:bottom w:val="single" w:sz="4" w:space="0" w:color="auto"/>
              <w:right w:val="single" w:sz="4" w:space="0" w:color="auto"/>
            </w:tcBorders>
            <w:shd w:val="clear" w:color="auto" w:fill="auto"/>
            <w:noWrap/>
            <w:vAlign w:val="center"/>
          </w:tcPr>
          <w:p w14:paraId="610C496B"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c>
          <w:tcPr>
            <w:tcW w:w="394" w:type="dxa"/>
            <w:tcBorders>
              <w:top w:val="nil"/>
              <w:left w:val="nil"/>
              <w:bottom w:val="single" w:sz="4" w:space="0" w:color="auto"/>
              <w:right w:val="single" w:sz="4" w:space="0" w:color="auto"/>
            </w:tcBorders>
            <w:shd w:val="clear" w:color="auto" w:fill="auto"/>
            <w:noWrap/>
            <w:vAlign w:val="center"/>
          </w:tcPr>
          <w:p w14:paraId="610C496C" w14:textId="77777777" w:rsidR="007D57FB" w:rsidRPr="00612CCF"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r w:rsidRPr="00606AE1">
              <w:rPr>
                <w:rFonts w:ascii="Calibri" w:eastAsia="Times New Roman" w:hAnsi="Calibri" w:cs="Calibri"/>
                <w:color w:val="000000"/>
                <w:lang w:eastAsia="en-GB"/>
              </w:rPr>
              <w:t> </w:t>
            </w:r>
          </w:p>
        </w:tc>
      </w:tr>
    </w:tbl>
    <w:p w14:paraId="610C496E" w14:textId="77777777" w:rsidR="007D57FB" w:rsidRDefault="007D57FB" w:rsidP="005B3E6B">
      <w:pPr>
        <w:pStyle w:val="Heading3"/>
      </w:pPr>
    </w:p>
    <w:p w14:paraId="610C496F" w14:textId="77777777" w:rsidR="007D57FB" w:rsidRDefault="007D57FB" w:rsidP="005B3E6B">
      <w:pPr>
        <w:pStyle w:val="Heading3"/>
      </w:pPr>
      <w:bookmarkStart w:id="61" w:name="_Toc52396380"/>
      <w:r>
        <w:t>Sensory organs</w:t>
      </w:r>
      <w:bookmarkEnd w:id="61"/>
      <w:r>
        <w:t xml:space="preserve"> </w:t>
      </w:r>
    </w:p>
    <w:tbl>
      <w:tblPr>
        <w:tblW w:w="13771" w:type="dxa"/>
        <w:tblLook w:val="04A0" w:firstRow="1" w:lastRow="0" w:firstColumn="1" w:lastColumn="0" w:noHBand="0" w:noVBand="1"/>
      </w:tblPr>
      <w:tblGrid>
        <w:gridCol w:w="2012"/>
        <w:gridCol w:w="2409"/>
        <w:gridCol w:w="584"/>
        <w:gridCol w:w="660"/>
        <w:gridCol w:w="2158"/>
        <w:gridCol w:w="585"/>
        <w:gridCol w:w="788"/>
        <w:gridCol w:w="1746"/>
        <w:gridCol w:w="585"/>
        <w:gridCol w:w="1669"/>
        <w:gridCol w:w="595"/>
      </w:tblGrid>
      <w:tr w:rsidR="007D57FB" w:rsidRPr="00EF5701" w14:paraId="610C4971" w14:textId="77777777" w:rsidTr="005B3E6B">
        <w:trPr>
          <w:trHeight w:val="300"/>
        </w:trPr>
        <w:tc>
          <w:tcPr>
            <w:tcW w:w="13771"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70"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Sensory organs 11 (0.46%)</w:t>
            </w:r>
          </w:p>
        </w:tc>
      </w:tr>
      <w:tr w:rsidR="007D57FB" w:rsidRPr="00EF5701" w14:paraId="610C497D" w14:textId="77777777" w:rsidTr="005B3E6B">
        <w:trPr>
          <w:trHeight w:val="208"/>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972" w14:textId="77777777" w:rsidR="007D57FB" w:rsidRPr="00EF570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FA3F71">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409" w:type="dxa"/>
            <w:tcBorders>
              <w:top w:val="nil"/>
              <w:left w:val="nil"/>
              <w:bottom w:val="single" w:sz="4" w:space="0" w:color="auto"/>
              <w:right w:val="single" w:sz="4" w:space="0" w:color="auto"/>
            </w:tcBorders>
            <w:shd w:val="clear" w:color="000000" w:fill="E7E6E6"/>
            <w:vAlign w:val="center"/>
            <w:hideMark/>
          </w:tcPr>
          <w:p w14:paraId="610C4973" w14:textId="77777777" w:rsidR="007D57FB" w:rsidRPr="00EF570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Therapeutic S</w:t>
            </w:r>
            <w:r w:rsidRPr="00EF5701">
              <w:rPr>
                <w:rFonts w:ascii="Calibri" w:eastAsia="Times New Roman" w:hAnsi="Calibri" w:cs="Calibri"/>
                <w:b/>
                <w:bCs/>
                <w:color w:val="000000"/>
                <w:lang w:eastAsia="en-GB"/>
              </w:rPr>
              <w:t>ubgroup</w:t>
            </w:r>
          </w:p>
        </w:tc>
        <w:tc>
          <w:tcPr>
            <w:tcW w:w="584" w:type="dxa"/>
            <w:tcBorders>
              <w:top w:val="nil"/>
              <w:left w:val="nil"/>
              <w:bottom w:val="single" w:sz="4" w:space="0" w:color="auto"/>
              <w:right w:val="single" w:sz="4" w:space="0" w:color="auto"/>
            </w:tcBorders>
            <w:shd w:val="clear" w:color="000000" w:fill="E7E6E6"/>
            <w:vAlign w:val="center"/>
            <w:hideMark/>
          </w:tcPr>
          <w:p w14:paraId="610C4974"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n</w:t>
            </w:r>
          </w:p>
        </w:tc>
        <w:tc>
          <w:tcPr>
            <w:tcW w:w="660" w:type="dxa"/>
            <w:tcBorders>
              <w:top w:val="nil"/>
              <w:left w:val="nil"/>
              <w:bottom w:val="single" w:sz="4" w:space="0" w:color="auto"/>
              <w:right w:val="single" w:sz="4" w:space="0" w:color="auto"/>
            </w:tcBorders>
            <w:shd w:val="clear" w:color="000000" w:fill="E7E6E6"/>
            <w:vAlign w:val="center"/>
            <w:hideMark/>
          </w:tcPr>
          <w:p w14:paraId="610C4975"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ATC 3</w:t>
            </w:r>
            <w:r w:rsidRPr="00FA3F71">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2158" w:type="dxa"/>
            <w:tcBorders>
              <w:top w:val="nil"/>
              <w:left w:val="nil"/>
              <w:bottom w:val="single" w:sz="4" w:space="0" w:color="auto"/>
              <w:right w:val="single" w:sz="4" w:space="0" w:color="auto"/>
            </w:tcBorders>
            <w:shd w:val="clear" w:color="000000" w:fill="E7E6E6"/>
            <w:vAlign w:val="center"/>
            <w:hideMark/>
          </w:tcPr>
          <w:p w14:paraId="610C4976" w14:textId="77777777" w:rsidR="007D57FB" w:rsidRPr="00EF570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EF5701">
              <w:rPr>
                <w:rFonts w:ascii="Calibri" w:eastAsia="Times New Roman" w:hAnsi="Calibri" w:cs="Calibri"/>
                <w:b/>
                <w:bCs/>
                <w:color w:val="000000"/>
                <w:lang w:eastAsia="en-GB"/>
              </w:rPr>
              <w:t>ubgroup</w:t>
            </w:r>
          </w:p>
        </w:tc>
        <w:tc>
          <w:tcPr>
            <w:tcW w:w="585" w:type="dxa"/>
            <w:tcBorders>
              <w:top w:val="nil"/>
              <w:left w:val="nil"/>
              <w:bottom w:val="single" w:sz="4" w:space="0" w:color="auto"/>
              <w:right w:val="single" w:sz="4" w:space="0" w:color="auto"/>
            </w:tcBorders>
            <w:shd w:val="clear" w:color="000000" w:fill="E7E6E6"/>
            <w:vAlign w:val="center"/>
            <w:hideMark/>
          </w:tcPr>
          <w:p w14:paraId="610C4977"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n</w:t>
            </w:r>
          </w:p>
        </w:tc>
        <w:tc>
          <w:tcPr>
            <w:tcW w:w="788" w:type="dxa"/>
            <w:tcBorders>
              <w:top w:val="nil"/>
              <w:left w:val="nil"/>
              <w:bottom w:val="single" w:sz="4" w:space="0" w:color="auto"/>
              <w:right w:val="single" w:sz="4" w:space="0" w:color="auto"/>
            </w:tcBorders>
            <w:shd w:val="clear" w:color="000000" w:fill="E7E6E6"/>
            <w:vAlign w:val="center"/>
            <w:hideMark/>
          </w:tcPr>
          <w:p w14:paraId="610C4978"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ATC 4</w:t>
            </w:r>
            <w:r w:rsidRPr="00FA3F71">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746" w:type="dxa"/>
            <w:tcBorders>
              <w:top w:val="nil"/>
              <w:left w:val="nil"/>
              <w:bottom w:val="single" w:sz="4" w:space="0" w:color="auto"/>
              <w:right w:val="single" w:sz="4" w:space="0" w:color="auto"/>
            </w:tcBorders>
            <w:shd w:val="clear" w:color="000000" w:fill="E7E6E6"/>
            <w:vAlign w:val="center"/>
            <w:hideMark/>
          </w:tcPr>
          <w:p w14:paraId="610C4979" w14:textId="77777777" w:rsidR="007D57FB" w:rsidRPr="00EF570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EF5701">
              <w:rPr>
                <w:rFonts w:ascii="Calibri" w:eastAsia="Times New Roman" w:hAnsi="Calibri" w:cs="Calibri"/>
                <w:b/>
                <w:bCs/>
                <w:color w:val="000000"/>
                <w:lang w:eastAsia="en-GB"/>
              </w:rPr>
              <w:t>hemic</w:t>
            </w:r>
            <w:r>
              <w:rPr>
                <w:rFonts w:ascii="Calibri" w:eastAsia="Times New Roman" w:hAnsi="Calibri" w:cs="Calibri"/>
                <w:b/>
                <w:bCs/>
                <w:color w:val="000000"/>
                <w:lang w:eastAsia="en-GB"/>
              </w:rPr>
              <w:t>al S</w:t>
            </w:r>
            <w:r w:rsidRPr="00EF5701">
              <w:rPr>
                <w:rFonts w:ascii="Calibri" w:eastAsia="Times New Roman" w:hAnsi="Calibri" w:cs="Calibri"/>
                <w:b/>
                <w:bCs/>
                <w:color w:val="000000"/>
                <w:lang w:eastAsia="en-GB"/>
              </w:rPr>
              <w:t>ubgroup</w:t>
            </w:r>
          </w:p>
        </w:tc>
        <w:tc>
          <w:tcPr>
            <w:tcW w:w="585" w:type="dxa"/>
            <w:tcBorders>
              <w:top w:val="nil"/>
              <w:left w:val="nil"/>
              <w:bottom w:val="single" w:sz="4" w:space="0" w:color="auto"/>
              <w:right w:val="single" w:sz="4" w:space="0" w:color="auto"/>
            </w:tcBorders>
            <w:shd w:val="clear" w:color="000000" w:fill="E7E6E6"/>
            <w:vAlign w:val="center"/>
            <w:hideMark/>
          </w:tcPr>
          <w:p w14:paraId="610C497A"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n</w:t>
            </w:r>
          </w:p>
        </w:tc>
        <w:tc>
          <w:tcPr>
            <w:tcW w:w="1649" w:type="dxa"/>
            <w:tcBorders>
              <w:top w:val="nil"/>
              <w:left w:val="nil"/>
              <w:bottom w:val="single" w:sz="4" w:space="0" w:color="auto"/>
              <w:right w:val="single" w:sz="4" w:space="0" w:color="auto"/>
            </w:tcBorders>
            <w:shd w:val="clear" w:color="000000" w:fill="E7E6E6"/>
            <w:vAlign w:val="center"/>
            <w:hideMark/>
          </w:tcPr>
          <w:p w14:paraId="610C497B"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ATC 5</w:t>
            </w:r>
            <w:r w:rsidRPr="00FA3F71">
              <w:rPr>
                <w:rFonts w:ascii="Calibri" w:eastAsia="Times New Roman" w:hAnsi="Calibri" w:cs="Calibri"/>
                <w:b/>
                <w:bCs/>
                <w:color w:val="000000"/>
                <w:vertAlign w:val="superscript"/>
                <w:lang w:eastAsia="en-GB"/>
              </w:rPr>
              <w:t>th</w:t>
            </w:r>
            <w:r w:rsidRPr="00EF5701">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 xml:space="preserve">/ </w:t>
            </w:r>
            <w:r w:rsidRPr="00EF5701">
              <w:rPr>
                <w:rFonts w:ascii="Calibri" w:eastAsia="Times New Roman" w:hAnsi="Calibri" w:cs="Calibri"/>
                <w:b/>
                <w:bCs/>
                <w:color w:val="000000"/>
                <w:lang w:eastAsia="en-GB"/>
              </w:rPr>
              <w:t>drug (when n ≥ 10)</w:t>
            </w:r>
          </w:p>
        </w:tc>
        <w:tc>
          <w:tcPr>
            <w:tcW w:w="595" w:type="dxa"/>
            <w:tcBorders>
              <w:top w:val="nil"/>
              <w:left w:val="nil"/>
              <w:bottom w:val="single" w:sz="4" w:space="0" w:color="auto"/>
              <w:right w:val="single" w:sz="4" w:space="0" w:color="auto"/>
            </w:tcBorders>
            <w:shd w:val="clear" w:color="000000" w:fill="E7E6E6"/>
            <w:vAlign w:val="center"/>
            <w:hideMark/>
          </w:tcPr>
          <w:p w14:paraId="610C497C" w14:textId="77777777" w:rsidR="007D57FB" w:rsidRPr="00EF5701" w:rsidRDefault="007D57FB" w:rsidP="005B3E6B">
            <w:pPr>
              <w:spacing w:after="0" w:line="240" w:lineRule="auto"/>
              <w:rPr>
                <w:rFonts w:ascii="Calibri" w:eastAsia="Times New Roman" w:hAnsi="Calibri" w:cs="Calibri"/>
                <w:b/>
                <w:bCs/>
                <w:color w:val="000000"/>
                <w:lang w:eastAsia="en-GB"/>
              </w:rPr>
            </w:pPr>
            <w:r w:rsidRPr="00EF5701">
              <w:rPr>
                <w:rFonts w:ascii="Calibri" w:eastAsia="Times New Roman" w:hAnsi="Calibri" w:cs="Calibri"/>
                <w:b/>
                <w:bCs/>
                <w:color w:val="000000"/>
                <w:lang w:eastAsia="en-GB"/>
              </w:rPr>
              <w:t>n</w:t>
            </w:r>
          </w:p>
        </w:tc>
      </w:tr>
      <w:tr w:rsidR="007D57FB" w:rsidRPr="00EF5701" w14:paraId="610C4989"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7E"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S02</w:t>
            </w:r>
          </w:p>
        </w:tc>
        <w:tc>
          <w:tcPr>
            <w:tcW w:w="2409" w:type="dxa"/>
            <w:tcBorders>
              <w:top w:val="nil"/>
              <w:left w:val="nil"/>
              <w:bottom w:val="single" w:sz="4" w:space="0" w:color="auto"/>
              <w:right w:val="single" w:sz="4" w:space="0" w:color="auto"/>
            </w:tcBorders>
            <w:shd w:val="clear" w:color="auto" w:fill="auto"/>
            <w:noWrap/>
            <w:vAlign w:val="center"/>
            <w:hideMark/>
          </w:tcPr>
          <w:p w14:paraId="610C497F"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Otologicals</w:t>
            </w:r>
          </w:p>
        </w:tc>
        <w:tc>
          <w:tcPr>
            <w:tcW w:w="584" w:type="dxa"/>
            <w:tcBorders>
              <w:top w:val="nil"/>
              <w:left w:val="nil"/>
              <w:bottom w:val="single" w:sz="4" w:space="0" w:color="auto"/>
              <w:right w:val="single" w:sz="4" w:space="0" w:color="auto"/>
            </w:tcBorders>
            <w:shd w:val="clear" w:color="auto" w:fill="auto"/>
            <w:noWrap/>
            <w:vAlign w:val="center"/>
            <w:hideMark/>
          </w:tcPr>
          <w:p w14:paraId="610C4980" w14:textId="77777777" w:rsidR="007D57FB" w:rsidRPr="00EF5701" w:rsidRDefault="007D57FB" w:rsidP="005B3E6B">
            <w:pPr>
              <w:spacing w:after="0" w:line="240" w:lineRule="auto"/>
              <w:jc w:val="right"/>
              <w:rPr>
                <w:rFonts w:ascii="Calibri" w:eastAsia="Times New Roman" w:hAnsi="Calibri" w:cs="Calibri"/>
                <w:color w:val="000000"/>
                <w:lang w:eastAsia="en-GB"/>
              </w:rPr>
            </w:pPr>
            <w:r w:rsidRPr="00EF5701">
              <w:rPr>
                <w:rFonts w:ascii="Calibri" w:eastAsia="Times New Roman" w:hAnsi="Calibri" w:cs="Calibri"/>
                <w:color w:val="000000"/>
                <w:lang w:eastAsia="en-GB"/>
              </w:rPr>
              <w:t>11</w:t>
            </w:r>
          </w:p>
        </w:tc>
        <w:tc>
          <w:tcPr>
            <w:tcW w:w="660" w:type="dxa"/>
            <w:tcBorders>
              <w:top w:val="nil"/>
              <w:left w:val="nil"/>
              <w:bottom w:val="single" w:sz="4" w:space="0" w:color="auto"/>
              <w:right w:val="single" w:sz="4" w:space="0" w:color="auto"/>
            </w:tcBorders>
            <w:shd w:val="clear" w:color="auto" w:fill="auto"/>
            <w:noWrap/>
            <w:vAlign w:val="center"/>
            <w:hideMark/>
          </w:tcPr>
          <w:p w14:paraId="610C4981"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S02B</w:t>
            </w:r>
          </w:p>
        </w:tc>
        <w:tc>
          <w:tcPr>
            <w:tcW w:w="2158" w:type="dxa"/>
            <w:tcBorders>
              <w:top w:val="nil"/>
              <w:left w:val="nil"/>
              <w:bottom w:val="single" w:sz="4" w:space="0" w:color="auto"/>
              <w:right w:val="single" w:sz="4" w:space="0" w:color="auto"/>
            </w:tcBorders>
            <w:shd w:val="clear" w:color="auto" w:fill="auto"/>
            <w:noWrap/>
            <w:vAlign w:val="center"/>
            <w:hideMark/>
          </w:tcPr>
          <w:p w14:paraId="610C4982"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Corticosteroids</w:t>
            </w:r>
          </w:p>
        </w:tc>
        <w:tc>
          <w:tcPr>
            <w:tcW w:w="585" w:type="dxa"/>
            <w:tcBorders>
              <w:top w:val="nil"/>
              <w:left w:val="nil"/>
              <w:bottom w:val="single" w:sz="4" w:space="0" w:color="auto"/>
              <w:right w:val="single" w:sz="4" w:space="0" w:color="auto"/>
            </w:tcBorders>
            <w:shd w:val="clear" w:color="auto" w:fill="auto"/>
            <w:noWrap/>
            <w:vAlign w:val="center"/>
            <w:hideMark/>
          </w:tcPr>
          <w:p w14:paraId="610C4983" w14:textId="77777777" w:rsidR="007D57FB" w:rsidRPr="00EF5701" w:rsidRDefault="007D57FB" w:rsidP="005B3E6B">
            <w:pPr>
              <w:spacing w:after="0" w:line="240" w:lineRule="auto"/>
              <w:jc w:val="right"/>
              <w:rPr>
                <w:rFonts w:ascii="Calibri" w:eastAsia="Times New Roman" w:hAnsi="Calibri" w:cs="Calibri"/>
                <w:color w:val="000000"/>
                <w:lang w:eastAsia="en-GB"/>
              </w:rPr>
            </w:pPr>
            <w:r w:rsidRPr="00EF5701">
              <w:rPr>
                <w:rFonts w:ascii="Calibri" w:eastAsia="Times New Roman" w:hAnsi="Calibri" w:cs="Calibri"/>
                <w:color w:val="000000"/>
                <w:lang w:eastAsia="en-GB"/>
              </w:rPr>
              <w:t>11</w:t>
            </w:r>
          </w:p>
        </w:tc>
        <w:tc>
          <w:tcPr>
            <w:tcW w:w="788" w:type="dxa"/>
            <w:tcBorders>
              <w:top w:val="nil"/>
              <w:left w:val="nil"/>
              <w:bottom w:val="single" w:sz="4" w:space="0" w:color="auto"/>
              <w:right w:val="single" w:sz="4" w:space="0" w:color="auto"/>
            </w:tcBorders>
            <w:shd w:val="clear" w:color="auto" w:fill="auto"/>
            <w:noWrap/>
            <w:vAlign w:val="center"/>
            <w:hideMark/>
          </w:tcPr>
          <w:p w14:paraId="610C4984"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S02BA</w:t>
            </w:r>
          </w:p>
        </w:tc>
        <w:tc>
          <w:tcPr>
            <w:tcW w:w="1746" w:type="dxa"/>
            <w:tcBorders>
              <w:top w:val="nil"/>
              <w:left w:val="nil"/>
              <w:bottom w:val="single" w:sz="4" w:space="0" w:color="auto"/>
              <w:right w:val="single" w:sz="4" w:space="0" w:color="auto"/>
            </w:tcBorders>
            <w:shd w:val="clear" w:color="auto" w:fill="auto"/>
            <w:noWrap/>
            <w:vAlign w:val="center"/>
            <w:hideMark/>
          </w:tcPr>
          <w:p w14:paraId="610C4985" w14:textId="77777777" w:rsidR="007D57FB" w:rsidRPr="00EF5701" w:rsidRDefault="007D57FB" w:rsidP="005B3E6B">
            <w:pPr>
              <w:spacing w:after="0" w:line="240" w:lineRule="auto"/>
              <w:rPr>
                <w:rFonts w:ascii="Calibri" w:eastAsia="Times New Roman" w:hAnsi="Calibri" w:cs="Calibri"/>
                <w:color w:val="000000"/>
                <w:lang w:eastAsia="en-GB"/>
              </w:rPr>
            </w:pPr>
            <w:r w:rsidRPr="00EF5701">
              <w:rPr>
                <w:rFonts w:ascii="Calibri" w:eastAsia="Times New Roman" w:hAnsi="Calibri" w:cs="Calibri"/>
                <w:color w:val="000000"/>
                <w:lang w:eastAsia="en-GB"/>
              </w:rPr>
              <w:t>Corticosteroids</w:t>
            </w:r>
          </w:p>
        </w:tc>
        <w:tc>
          <w:tcPr>
            <w:tcW w:w="585" w:type="dxa"/>
            <w:tcBorders>
              <w:top w:val="nil"/>
              <w:left w:val="nil"/>
              <w:bottom w:val="single" w:sz="4" w:space="0" w:color="auto"/>
              <w:right w:val="single" w:sz="4" w:space="0" w:color="auto"/>
            </w:tcBorders>
            <w:shd w:val="clear" w:color="auto" w:fill="auto"/>
            <w:noWrap/>
            <w:vAlign w:val="center"/>
            <w:hideMark/>
          </w:tcPr>
          <w:p w14:paraId="610C4986" w14:textId="77777777" w:rsidR="007D57FB" w:rsidRPr="00EF5701" w:rsidRDefault="007D57FB" w:rsidP="005B3E6B">
            <w:pPr>
              <w:spacing w:after="0" w:line="240" w:lineRule="auto"/>
              <w:jc w:val="right"/>
              <w:rPr>
                <w:rFonts w:ascii="Calibri" w:eastAsia="Times New Roman" w:hAnsi="Calibri" w:cs="Calibri"/>
                <w:color w:val="000000"/>
                <w:lang w:eastAsia="en-GB"/>
              </w:rPr>
            </w:pPr>
            <w:r w:rsidRPr="00EF5701">
              <w:rPr>
                <w:rFonts w:ascii="Calibri" w:eastAsia="Times New Roman" w:hAnsi="Calibri" w:cs="Calibri"/>
                <w:color w:val="000000"/>
                <w:lang w:eastAsia="en-GB"/>
              </w:rPr>
              <w:t>11</w:t>
            </w:r>
          </w:p>
        </w:tc>
        <w:tc>
          <w:tcPr>
            <w:tcW w:w="1649" w:type="dxa"/>
            <w:tcBorders>
              <w:top w:val="nil"/>
              <w:left w:val="nil"/>
              <w:bottom w:val="single" w:sz="4" w:space="0" w:color="auto"/>
              <w:right w:val="single" w:sz="4" w:space="0" w:color="auto"/>
            </w:tcBorders>
            <w:shd w:val="clear" w:color="auto" w:fill="auto"/>
            <w:noWrap/>
            <w:vAlign w:val="center"/>
            <w:hideMark/>
          </w:tcPr>
          <w:p w14:paraId="610C4987" w14:textId="77777777" w:rsidR="007D57FB" w:rsidRPr="00EF5701"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w:t>
            </w:r>
            <w:r w:rsidRPr="00EF5701">
              <w:rPr>
                <w:rFonts w:ascii="Calibri" w:eastAsia="Times New Roman" w:hAnsi="Calibri" w:cs="Calibri"/>
                <w:color w:val="000000"/>
                <w:lang w:eastAsia="en-GB"/>
              </w:rPr>
              <w:t>examethasone</w:t>
            </w:r>
          </w:p>
        </w:tc>
        <w:tc>
          <w:tcPr>
            <w:tcW w:w="595" w:type="dxa"/>
            <w:tcBorders>
              <w:top w:val="nil"/>
              <w:left w:val="nil"/>
              <w:bottom w:val="single" w:sz="4" w:space="0" w:color="auto"/>
              <w:right w:val="single" w:sz="4" w:space="0" w:color="auto"/>
            </w:tcBorders>
            <w:shd w:val="clear" w:color="auto" w:fill="auto"/>
            <w:noWrap/>
            <w:vAlign w:val="center"/>
            <w:hideMark/>
          </w:tcPr>
          <w:p w14:paraId="610C4988" w14:textId="77777777" w:rsidR="007D57FB" w:rsidRPr="00EF5701" w:rsidRDefault="007D57FB" w:rsidP="005B3E6B">
            <w:pPr>
              <w:spacing w:after="0" w:line="240" w:lineRule="auto"/>
              <w:jc w:val="right"/>
              <w:rPr>
                <w:rFonts w:ascii="Calibri" w:eastAsia="Times New Roman" w:hAnsi="Calibri" w:cs="Calibri"/>
                <w:color w:val="000000"/>
                <w:lang w:eastAsia="en-GB"/>
              </w:rPr>
            </w:pPr>
            <w:r w:rsidRPr="00EF5701">
              <w:rPr>
                <w:rFonts w:ascii="Calibri" w:eastAsia="Times New Roman" w:hAnsi="Calibri" w:cs="Calibri"/>
                <w:color w:val="000000"/>
                <w:lang w:eastAsia="en-GB"/>
              </w:rPr>
              <w:t>11</w:t>
            </w:r>
          </w:p>
        </w:tc>
      </w:tr>
    </w:tbl>
    <w:p w14:paraId="610C498A" w14:textId="77777777" w:rsidR="007D57FB" w:rsidRDefault="007D57FB">
      <w:pPr>
        <w:rPr>
          <w:b/>
        </w:rPr>
      </w:pPr>
    </w:p>
    <w:p w14:paraId="610C498B" w14:textId="77777777" w:rsidR="007D57FB" w:rsidRDefault="007D57FB" w:rsidP="005B3E6B">
      <w:pPr>
        <w:pStyle w:val="Heading3"/>
      </w:pPr>
      <w:bookmarkStart w:id="62" w:name="_Toc52396381"/>
      <w:r>
        <w:t>Antineoplastic and immunomodulating agents</w:t>
      </w:r>
      <w:bookmarkEnd w:id="62"/>
    </w:p>
    <w:tbl>
      <w:tblPr>
        <w:tblW w:w="13387" w:type="dxa"/>
        <w:tblLook w:val="04A0" w:firstRow="1" w:lastRow="0" w:firstColumn="1" w:lastColumn="0" w:noHBand="0" w:noVBand="1"/>
      </w:tblPr>
      <w:tblGrid>
        <w:gridCol w:w="2012"/>
        <w:gridCol w:w="2453"/>
        <w:gridCol w:w="523"/>
        <w:gridCol w:w="600"/>
        <w:gridCol w:w="1952"/>
        <w:gridCol w:w="600"/>
        <w:gridCol w:w="817"/>
        <w:gridCol w:w="1560"/>
        <w:gridCol w:w="600"/>
        <w:gridCol w:w="1668"/>
        <w:gridCol w:w="602"/>
      </w:tblGrid>
      <w:tr w:rsidR="007D57FB" w:rsidRPr="00B13DD3" w14:paraId="610C498D" w14:textId="77777777" w:rsidTr="005B3E6B">
        <w:trPr>
          <w:trHeight w:val="300"/>
        </w:trPr>
        <w:tc>
          <w:tcPr>
            <w:tcW w:w="13387"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8C"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Antineoplastic and immunomodulating agents 6 (0.25%)</w:t>
            </w:r>
          </w:p>
        </w:tc>
      </w:tr>
      <w:tr w:rsidR="007D57FB" w:rsidRPr="00B13DD3" w14:paraId="610C4999" w14:textId="77777777" w:rsidTr="005B3E6B">
        <w:trPr>
          <w:trHeight w:val="246"/>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98E" w14:textId="77777777" w:rsidR="007D57FB" w:rsidRPr="00B13DD3"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200E6B">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453" w:type="dxa"/>
            <w:tcBorders>
              <w:top w:val="nil"/>
              <w:left w:val="nil"/>
              <w:bottom w:val="single" w:sz="4" w:space="0" w:color="auto"/>
              <w:right w:val="single" w:sz="4" w:space="0" w:color="auto"/>
            </w:tcBorders>
            <w:shd w:val="clear" w:color="000000" w:fill="E7E6E6"/>
            <w:vAlign w:val="center"/>
            <w:hideMark/>
          </w:tcPr>
          <w:p w14:paraId="610C498F" w14:textId="77777777" w:rsidR="007D57FB" w:rsidRPr="00B13DD3"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B13DD3">
              <w:rPr>
                <w:rFonts w:ascii="Calibri" w:eastAsia="Times New Roman" w:hAnsi="Calibri" w:cs="Calibri"/>
                <w:b/>
                <w:bCs/>
                <w:color w:val="000000"/>
                <w:lang w:eastAsia="en-GB"/>
              </w:rPr>
              <w:t>herapeutic subgroup</w:t>
            </w:r>
          </w:p>
        </w:tc>
        <w:tc>
          <w:tcPr>
            <w:tcW w:w="523" w:type="dxa"/>
            <w:tcBorders>
              <w:top w:val="nil"/>
              <w:left w:val="nil"/>
              <w:bottom w:val="single" w:sz="4" w:space="0" w:color="auto"/>
              <w:right w:val="single" w:sz="4" w:space="0" w:color="auto"/>
            </w:tcBorders>
            <w:shd w:val="clear" w:color="000000" w:fill="E7E6E6"/>
            <w:vAlign w:val="center"/>
            <w:hideMark/>
          </w:tcPr>
          <w:p w14:paraId="610C4990"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n</w:t>
            </w:r>
          </w:p>
        </w:tc>
        <w:tc>
          <w:tcPr>
            <w:tcW w:w="600" w:type="dxa"/>
            <w:tcBorders>
              <w:top w:val="nil"/>
              <w:left w:val="nil"/>
              <w:bottom w:val="single" w:sz="4" w:space="0" w:color="auto"/>
              <w:right w:val="single" w:sz="4" w:space="0" w:color="auto"/>
            </w:tcBorders>
            <w:shd w:val="clear" w:color="000000" w:fill="E7E6E6"/>
            <w:vAlign w:val="center"/>
            <w:hideMark/>
          </w:tcPr>
          <w:p w14:paraId="610C4991"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ATC 3</w:t>
            </w:r>
            <w:r w:rsidRPr="00200E6B">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52" w:type="dxa"/>
            <w:tcBorders>
              <w:top w:val="nil"/>
              <w:left w:val="nil"/>
              <w:bottom w:val="single" w:sz="4" w:space="0" w:color="auto"/>
              <w:right w:val="single" w:sz="4" w:space="0" w:color="auto"/>
            </w:tcBorders>
            <w:shd w:val="clear" w:color="000000" w:fill="E7E6E6"/>
            <w:vAlign w:val="center"/>
            <w:hideMark/>
          </w:tcPr>
          <w:p w14:paraId="610C4992" w14:textId="77777777" w:rsidR="007D57FB" w:rsidRPr="00B13DD3"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B13DD3">
              <w:rPr>
                <w:rFonts w:ascii="Calibri" w:eastAsia="Times New Roman" w:hAnsi="Calibri" w:cs="Calibri"/>
                <w:b/>
                <w:bCs/>
                <w:color w:val="000000"/>
                <w:lang w:eastAsia="en-GB"/>
              </w:rPr>
              <w:t>ubgroup</w:t>
            </w:r>
          </w:p>
        </w:tc>
        <w:tc>
          <w:tcPr>
            <w:tcW w:w="600" w:type="dxa"/>
            <w:tcBorders>
              <w:top w:val="nil"/>
              <w:left w:val="nil"/>
              <w:bottom w:val="single" w:sz="4" w:space="0" w:color="auto"/>
              <w:right w:val="single" w:sz="4" w:space="0" w:color="auto"/>
            </w:tcBorders>
            <w:shd w:val="clear" w:color="000000" w:fill="E7E6E6"/>
            <w:vAlign w:val="center"/>
            <w:hideMark/>
          </w:tcPr>
          <w:p w14:paraId="610C4993"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n</w:t>
            </w:r>
          </w:p>
        </w:tc>
        <w:tc>
          <w:tcPr>
            <w:tcW w:w="817" w:type="dxa"/>
            <w:tcBorders>
              <w:top w:val="nil"/>
              <w:left w:val="nil"/>
              <w:bottom w:val="single" w:sz="4" w:space="0" w:color="auto"/>
              <w:right w:val="single" w:sz="4" w:space="0" w:color="auto"/>
            </w:tcBorders>
            <w:shd w:val="clear" w:color="000000" w:fill="E7E6E6"/>
            <w:vAlign w:val="center"/>
            <w:hideMark/>
          </w:tcPr>
          <w:p w14:paraId="610C4994"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ATC 4</w:t>
            </w:r>
            <w:r w:rsidRPr="00200E6B">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560" w:type="dxa"/>
            <w:tcBorders>
              <w:top w:val="nil"/>
              <w:left w:val="nil"/>
              <w:bottom w:val="single" w:sz="4" w:space="0" w:color="auto"/>
              <w:right w:val="single" w:sz="4" w:space="0" w:color="auto"/>
            </w:tcBorders>
            <w:shd w:val="clear" w:color="000000" w:fill="E7E6E6"/>
            <w:vAlign w:val="center"/>
            <w:hideMark/>
          </w:tcPr>
          <w:p w14:paraId="610C4995" w14:textId="77777777" w:rsidR="007D57FB" w:rsidRPr="00B13DD3"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B13DD3">
              <w:rPr>
                <w:rFonts w:ascii="Calibri" w:eastAsia="Times New Roman" w:hAnsi="Calibri" w:cs="Calibri"/>
                <w:b/>
                <w:bCs/>
                <w:color w:val="000000"/>
                <w:lang w:eastAsia="en-GB"/>
              </w:rPr>
              <w:t>ubgroup</w:t>
            </w:r>
          </w:p>
        </w:tc>
        <w:tc>
          <w:tcPr>
            <w:tcW w:w="600" w:type="dxa"/>
            <w:tcBorders>
              <w:top w:val="nil"/>
              <w:left w:val="nil"/>
              <w:bottom w:val="single" w:sz="4" w:space="0" w:color="auto"/>
              <w:right w:val="single" w:sz="4" w:space="0" w:color="auto"/>
            </w:tcBorders>
            <w:shd w:val="clear" w:color="000000" w:fill="E7E6E6"/>
            <w:vAlign w:val="center"/>
            <w:hideMark/>
          </w:tcPr>
          <w:p w14:paraId="610C4996"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n</w:t>
            </w:r>
          </w:p>
        </w:tc>
        <w:tc>
          <w:tcPr>
            <w:tcW w:w="1668" w:type="dxa"/>
            <w:tcBorders>
              <w:top w:val="nil"/>
              <w:left w:val="nil"/>
              <w:bottom w:val="single" w:sz="4" w:space="0" w:color="auto"/>
              <w:right w:val="single" w:sz="4" w:space="0" w:color="auto"/>
            </w:tcBorders>
            <w:shd w:val="clear" w:color="000000" w:fill="E7E6E6"/>
            <w:vAlign w:val="center"/>
            <w:hideMark/>
          </w:tcPr>
          <w:p w14:paraId="610C4997"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ATC 5</w:t>
            </w:r>
            <w:r w:rsidRPr="00200E6B">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B13DD3">
              <w:rPr>
                <w:rFonts w:ascii="Calibri" w:eastAsia="Times New Roman" w:hAnsi="Calibri" w:cs="Calibri"/>
                <w:b/>
                <w:bCs/>
                <w:color w:val="000000"/>
                <w:lang w:eastAsia="en-GB"/>
              </w:rPr>
              <w:t xml:space="preserve"> drug (when n ≥ 10)</w:t>
            </w:r>
          </w:p>
        </w:tc>
        <w:tc>
          <w:tcPr>
            <w:tcW w:w="602" w:type="dxa"/>
            <w:tcBorders>
              <w:top w:val="nil"/>
              <w:left w:val="nil"/>
              <w:bottom w:val="single" w:sz="4" w:space="0" w:color="auto"/>
              <w:right w:val="single" w:sz="4" w:space="0" w:color="auto"/>
            </w:tcBorders>
            <w:shd w:val="clear" w:color="000000" w:fill="E7E6E6"/>
            <w:vAlign w:val="center"/>
            <w:hideMark/>
          </w:tcPr>
          <w:p w14:paraId="610C4998" w14:textId="77777777" w:rsidR="007D57FB" w:rsidRPr="00B13DD3" w:rsidRDefault="007D57FB" w:rsidP="005B3E6B">
            <w:pPr>
              <w:spacing w:after="0" w:line="240" w:lineRule="auto"/>
              <w:rPr>
                <w:rFonts w:ascii="Calibri" w:eastAsia="Times New Roman" w:hAnsi="Calibri" w:cs="Calibri"/>
                <w:b/>
                <w:bCs/>
                <w:color w:val="000000"/>
                <w:lang w:eastAsia="en-GB"/>
              </w:rPr>
            </w:pPr>
            <w:r w:rsidRPr="00B13DD3">
              <w:rPr>
                <w:rFonts w:ascii="Calibri" w:eastAsia="Times New Roman" w:hAnsi="Calibri" w:cs="Calibri"/>
                <w:b/>
                <w:bCs/>
                <w:color w:val="000000"/>
                <w:lang w:eastAsia="en-GB"/>
              </w:rPr>
              <w:t>n</w:t>
            </w:r>
          </w:p>
        </w:tc>
      </w:tr>
      <w:tr w:rsidR="007D57FB" w:rsidRPr="00B13DD3" w14:paraId="610C49A5"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9A"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L01</w:t>
            </w:r>
          </w:p>
        </w:tc>
        <w:tc>
          <w:tcPr>
            <w:tcW w:w="2453" w:type="dxa"/>
            <w:tcBorders>
              <w:top w:val="nil"/>
              <w:left w:val="nil"/>
              <w:bottom w:val="single" w:sz="4" w:space="0" w:color="auto"/>
              <w:right w:val="single" w:sz="4" w:space="0" w:color="auto"/>
            </w:tcBorders>
            <w:shd w:val="clear" w:color="auto" w:fill="auto"/>
            <w:noWrap/>
            <w:vAlign w:val="center"/>
            <w:hideMark/>
          </w:tcPr>
          <w:p w14:paraId="610C499B"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Antineoplastic Agents</w:t>
            </w:r>
          </w:p>
        </w:tc>
        <w:tc>
          <w:tcPr>
            <w:tcW w:w="523" w:type="dxa"/>
            <w:tcBorders>
              <w:top w:val="nil"/>
              <w:left w:val="nil"/>
              <w:bottom w:val="single" w:sz="4" w:space="0" w:color="auto"/>
              <w:right w:val="single" w:sz="4" w:space="0" w:color="auto"/>
            </w:tcBorders>
            <w:shd w:val="clear" w:color="auto" w:fill="auto"/>
            <w:noWrap/>
            <w:vAlign w:val="center"/>
            <w:hideMark/>
          </w:tcPr>
          <w:p w14:paraId="610C499C" w14:textId="77777777" w:rsidR="007D57FB" w:rsidRPr="00B13DD3" w:rsidRDefault="007D57FB" w:rsidP="005B3E6B">
            <w:pPr>
              <w:spacing w:after="0" w:line="240" w:lineRule="auto"/>
              <w:jc w:val="right"/>
              <w:rPr>
                <w:rFonts w:ascii="Calibri" w:eastAsia="Times New Roman" w:hAnsi="Calibri" w:cs="Calibri"/>
                <w:color w:val="000000"/>
                <w:lang w:eastAsia="en-GB"/>
              </w:rPr>
            </w:pPr>
            <w:r w:rsidRPr="00B13DD3">
              <w:rPr>
                <w:rFonts w:ascii="Calibri" w:eastAsia="Times New Roman" w:hAnsi="Calibri" w:cs="Calibri"/>
                <w:color w:val="000000"/>
                <w:lang w:eastAsia="en-GB"/>
              </w:rPr>
              <w:t>5</w:t>
            </w:r>
          </w:p>
        </w:tc>
        <w:tc>
          <w:tcPr>
            <w:tcW w:w="600" w:type="dxa"/>
            <w:tcBorders>
              <w:top w:val="nil"/>
              <w:left w:val="nil"/>
              <w:bottom w:val="single" w:sz="4" w:space="0" w:color="auto"/>
              <w:right w:val="single" w:sz="4" w:space="0" w:color="auto"/>
            </w:tcBorders>
            <w:shd w:val="clear" w:color="auto" w:fill="auto"/>
            <w:noWrap/>
            <w:vAlign w:val="center"/>
            <w:hideMark/>
          </w:tcPr>
          <w:p w14:paraId="610C499D"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1952" w:type="dxa"/>
            <w:tcBorders>
              <w:top w:val="nil"/>
              <w:left w:val="nil"/>
              <w:bottom w:val="single" w:sz="4" w:space="0" w:color="auto"/>
              <w:right w:val="single" w:sz="4" w:space="0" w:color="auto"/>
            </w:tcBorders>
            <w:shd w:val="clear" w:color="auto" w:fill="auto"/>
            <w:noWrap/>
            <w:vAlign w:val="center"/>
            <w:hideMark/>
          </w:tcPr>
          <w:p w14:paraId="610C499E"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600" w:type="dxa"/>
            <w:tcBorders>
              <w:top w:val="nil"/>
              <w:left w:val="nil"/>
              <w:bottom w:val="single" w:sz="4" w:space="0" w:color="auto"/>
              <w:right w:val="single" w:sz="4" w:space="0" w:color="auto"/>
            </w:tcBorders>
            <w:shd w:val="clear" w:color="auto" w:fill="auto"/>
            <w:noWrap/>
            <w:vAlign w:val="center"/>
            <w:hideMark/>
          </w:tcPr>
          <w:p w14:paraId="610C499F" w14:textId="77777777" w:rsidR="007D57FB" w:rsidRPr="00B13DD3" w:rsidRDefault="007D57FB" w:rsidP="007601F0">
            <w:pPr>
              <w:spacing w:after="0" w:line="240" w:lineRule="auto"/>
              <w:ind w:left="-137" w:firstLine="137"/>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817" w:type="dxa"/>
            <w:tcBorders>
              <w:top w:val="nil"/>
              <w:left w:val="nil"/>
              <w:bottom w:val="single" w:sz="4" w:space="0" w:color="auto"/>
              <w:right w:val="single" w:sz="4" w:space="0" w:color="auto"/>
            </w:tcBorders>
            <w:shd w:val="clear" w:color="auto" w:fill="auto"/>
            <w:noWrap/>
            <w:vAlign w:val="center"/>
            <w:hideMark/>
          </w:tcPr>
          <w:p w14:paraId="610C49A0"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1560" w:type="dxa"/>
            <w:tcBorders>
              <w:top w:val="nil"/>
              <w:left w:val="nil"/>
              <w:bottom w:val="single" w:sz="4" w:space="0" w:color="auto"/>
              <w:right w:val="single" w:sz="4" w:space="0" w:color="auto"/>
            </w:tcBorders>
            <w:shd w:val="clear" w:color="auto" w:fill="auto"/>
            <w:noWrap/>
            <w:vAlign w:val="center"/>
            <w:hideMark/>
          </w:tcPr>
          <w:p w14:paraId="610C49A1"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600" w:type="dxa"/>
            <w:tcBorders>
              <w:top w:val="nil"/>
              <w:left w:val="nil"/>
              <w:bottom w:val="single" w:sz="4" w:space="0" w:color="auto"/>
              <w:right w:val="single" w:sz="4" w:space="0" w:color="auto"/>
            </w:tcBorders>
            <w:shd w:val="clear" w:color="auto" w:fill="auto"/>
            <w:noWrap/>
            <w:vAlign w:val="center"/>
            <w:hideMark/>
          </w:tcPr>
          <w:p w14:paraId="610C49A2"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1668" w:type="dxa"/>
            <w:tcBorders>
              <w:top w:val="nil"/>
              <w:left w:val="nil"/>
              <w:bottom w:val="single" w:sz="4" w:space="0" w:color="auto"/>
              <w:right w:val="single" w:sz="4" w:space="0" w:color="auto"/>
            </w:tcBorders>
            <w:shd w:val="clear" w:color="auto" w:fill="auto"/>
            <w:noWrap/>
            <w:vAlign w:val="center"/>
            <w:hideMark/>
          </w:tcPr>
          <w:p w14:paraId="610C49A3"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602" w:type="dxa"/>
            <w:tcBorders>
              <w:top w:val="nil"/>
              <w:left w:val="nil"/>
              <w:bottom w:val="single" w:sz="4" w:space="0" w:color="auto"/>
              <w:right w:val="single" w:sz="4" w:space="0" w:color="auto"/>
            </w:tcBorders>
            <w:shd w:val="clear" w:color="auto" w:fill="auto"/>
            <w:noWrap/>
            <w:vAlign w:val="center"/>
            <w:hideMark/>
          </w:tcPr>
          <w:p w14:paraId="610C49A4"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r>
      <w:tr w:rsidR="007D57FB" w:rsidRPr="00B13DD3" w14:paraId="610C49B1"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A6"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L04</w:t>
            </w:r>
          </w:p>
        </w:tc>
        <w:tc>
          <w:tcPr>
            <w:tcW w:w="2453" w:type="dxa"/>
            <w:tcBorders>
              <w:top w:val="nil"/>
              <w:left w:val="nil"/>
              <w:bottom w:val="single" w:sz="4" w:space="0" w:color="auto"/>
              <w:right w:val="single" w:sz="4" w:space="0" w:color="auto"/>
            </w:tcBorders>
            <w:shd w:val="clear" w:color="auto" w:fill="auto"/>
            <w:noWrap/>
            <w:vAlign w:val="center"/>
            <w:hideMark/>
          </w:tcPr>
          <w:p w14:paraId="610C49A7"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Immunosuppressants</w:t>
            </w:r>
          </w:p>
        </w:tc>
        <w:tc>
          <w:tcPr>
            <w:tcW w:w="523" w:type="dxa"/>
            <w:tcBorders>
              <w:top w:val="nil"/>
              <w:left w:val="nil"/>
              <w:bottom w:val="single" w:sz="4" w:space="0" w:color="auto"/>
              <w:right w:val="single" w:sz="4" w:space="0" w:color="auto"/>
            </w:tcBorders>
            <w:shd w:val="clear" w:color="auto" w:fill="auto"/>
            <w:noWrap/>
            <w:vAlign w:val="center"/>
            <w:hideMark/>
          </w:tcPr>
          <w:p w14:paraId="610C49A8" w14:textId="77777777" w:rsidR="007D57FB" w:rsidRPr="00B13DD3" w:rsidRDefault="007D57FB" w:rsidP="005B3E6B">
            <w:pPr>
              <w:spacing w:after="0" w:line="240" w:lineRule="auto"/>
              <w:jc w:val="right"/>
              <w:rPr>
                <w:rFonts w:ascii="Calibri" w:eastAsia="Times New Roman" w:hAnsi="Calibri" w:cs="Calibri"/>
                <w:color w:val="000000"/>
                <w:lang w:eastAsia="en-GB"/>
              </w:rPr>
            </w:pPr>
            <w:r w:rsidRPr="00B13DD3">
              <w:rPr>
                <w:rFonts w:ascii="Calibri" w:eastAsia="Times New Roman" w:hAnsi="Calibri" w:cs="Calibri"/>
                <w:color w:val="000000"/>
                <w:lang w:eastAsia="en-GB"/>
              </w:rPr>
              <w:t>1</w:t>
            </w:r>
          </w:p>
        </w:tc>
        <w:tc>
          <w:tcPr>
            <w:tcW w:w="600" w:type="dxa"/>
            <w:tcBorders>
              <w:top w:val="nil"/>
              <w:left w:val="nil"/>
              <w:bottom w:val="single" w:sz="4" w:space="0" w:color="auto"/>
              <w:right w:val="single" w:sz="4" w:space="0" w:color="auto"/>
            </w:tcBorders>
            <w:shd w:val="clear" w:color="auto" w:fill="auto"/>
            <w:noWrap/>
            <w:vAlign w:val="center"/>
            <w:hideMark/>
          </w:tcPr>
          <w:p w14:paraId="610C49A9"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1952" w:type="dxa"/>
            <w:tcBorders>
              <w:top w:val="nil"/>
              <w:left w:val="nil"/>
              <w:bottom w:val="single" w:sz="4" w:space="0" w:color="auto"/>
              <w:right w:val="single" w:sz="4" w:space="0" w:color="auto"/>
            </w:tcBorders>
            <w:shd w:val="clear" w:color="auto" w:fill="auto"/>
            <w:noWrap/>
            <w:vAlign w:val="center"/>
            <w:hideMark/>
          </w:tcPr>
          <w:p w14:paraId="610C49AA"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600" w:type="dxa"/>
            <w:tcBorders>
              <w:top w:val="nil"/>
              <w:left w:val="nil"/>
              <w:bottom w:val="single" w:sz="4" w:space="0" w:color="auto"/>
              <w:right w:val="single" w:sz="4" w:space="0" w:color="auto"/>
            </w:tcBorders>
            <w:shd w:val="clear" w:color="auto" w:fill="auto"/>
            <w:noWrap/>
            <w:vAlign w:val="center"/>
            <w:hideMark/>
          </w:tcPr>
          <w:p w14:paraId="610C49AB"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817" w:type="dxa"/>
            <w:tcBorders>
              <w:top w:val="nil"/>
              <w:left w:val="nil"/>
              <w:bottom w:val="single" w:sz="4" w:space="0" w:color="auto"/>
              <w:right w:val="single" w:sz="4" w:space="0" w:color="auto"/>
            </w:tcBorders>
            <w:shd w:val="clear" w:color="auto" w:fill="auto"/>
            <w:noWrap/>
            <w:vAlign w:val="center"/>
            <w:hideMark/>
          </w:tcPr>
          <w:p w14:paraId="610C49AC"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1560" w:type="dxa"/>
            <w:tcBorders>
              <w:top w:val="nil"/>
              <w:left w:val="nil"/>
              <w:bottom w:val="single" w:sz="4" w:space="0" w:color="auto"/>
              <w:right w:val="single" w:sz="4" w:space="0" w:color="auto"/>
            </w:tcBorders>
            <w:shd w:val="clear" w:color="auto" w:fill="auto"/>
            <w:noWrap/>
            <w:vAlign w:val="center"/>
            <w:hideMark/>
          </w:tcPr>
          <w:p w14:paraId="610C49AD"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 </w:t>
            </w:r>
          </w:p>
        </w:tc>
        <w:tc>
          <w:tcPr>
            <w:tcW w:w="600" w:type="dxa"/>
            <w:tcBorders>
              <w:top w:val="nil"/>
              <w:left w:val="nil"/>
              <w:bottom w:val="single" w:sz="4" w:space="0" w:color="auto"/>
              <w:right w:val="single" w:sz="4" w:space="0" w:color="auto"/>
            </w:tcBorders>
            <w:shd w:val="clear" w:color="auto" w:fill="auto"/>
            <w:noWrap/>
            <w:vAlign w:val="center"/>
            <w:hideMark/>
          </w:tcPr>
          <w:p w14:paraId="610C49AE"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w:t>
            </w:r>
          </w:p>
        </w:tc>
        <w:tc>
          <w:tcPr>
            <w:tcW w:w="1668" w:type="dxa"/>
            <w:tcBorders>
              <w:top w:val="nil"/>
              <w:left w:val="nil"/>
              <w:bottom w:val="single" w:sz="4" w:space="0" w:color="auto"/>
              <w:right w:val="single" w:sz="4" w:space="0" w:color="auto"/>
            </w:tcBorders>
            <w:shd w:val="clear" w:color="auto" w:fill="auto"/>
            <w:noWrap/>
            <w:vAlign w:val="center"/>
            <w:hideMark/>
          </w:tcPr>
          <w:p w14:paraId="610C49AF"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w:t>
            </w:r>
          </w:p>
        </w:tc>
        <w:tc>
          <w:tcPr>
            <w:tcW w:w="602" w:type="dxa"/>
            <w:tcBorders>
              <w:top w:val="nil"/>
              <w:left w:val="nil"/>
              <w:bottom w:val="single" w:sz="4" w:space="0" w:color="auto"/>
              <w:right w:val="single" w:sz="4" w:space="0" w:color="auto"/>
            </w:tcBorders>
            <w:shd w:val="clear" w:color="auto" w:fill="auto"/>
            <w:noWrap/>
            <w:vAlign w:val="center"/>
            <w:hideMark/>
          </w:tcPr>
          <w:p w14:paraId="610C49B0" w14:textId="77777777" w:rsidR="007D57FB" w:rsidRPr="00B13DD3" w:rsidRDefault="007D57FB" w:rsidP="005B3E6B">
            <w:pPr>
              <w:spacing w:after="0" w:line="240" w:lineRule="auto"/>
              <w:rPr>
                <w:rFonts w:ascii="Calibri" w:eastAsia="Times New Roman" w:hAnsi="Calibri" w:cs="Calibri"/>
                <w:color w:val="000000"/>
                <w:lang w:eastAsia="en-GB"/>
              </w:rPr>
            </w:pPr>
            <w:r w:rsidRPr="00B13DD3">
              <w:rPr>
                <w:rFonts w:ascii="Calibri" w:eastAsia="Times New Roman" w:hAnsi="Calibri" w:cs="Calibri"/>
                <w:color w:val="000000"/>
                <w:lang w:eastAsia="en-GB"/>
              </w:rPr>
              <w:t>-</w:t>
            </w:r>
          </w:p>
        </w:tc>
      </w:tr>
    </w:tbl>
    <w:p w14:paraId="610C49B2" w14:textId="77777777" w:rsidR="007D57FB" w:rsidRDefault="007D57FB">
      <w:pPr>
        <w:rPr>
          <w:b/>
        </w:rPr>
      </w:pPr>
    </w:p>
    <w:p w14:paraId="610C49B3" w14:textId="77777777" w:rsidR="007D57FB" w:rsidRDefault="007D57FB" w:rsidP="005B3E6B">
      <w:pPr>
        <w:pStyle w:val="Heading3"/>
      </w:pPr>
      <w:bookmarkStart w:id="63" w:name="_Toc52396382"/>
      <w:r>
        <w:t>Genitourinary system and sex hormones</w:t>
      </w:r>
      <w:bookmarkEnd w:id="63"/>
    </w:p>
    <w:tbl>
      <w:tblPr>
        <w:tblW w:w="12591" w:type="dxa"/>
        <w:tblLook w:val="04A0" w:firstRow="1" w:lastRow="0" w:firstColumn="1" w:lastColumn="0" w:noHBand="0" w:noVBand="1"/>
      </w:tblPr>
      <w:tblGrid>
        <w:gridCol w:w="2012"/>
        <w:gridCol w:w="2409"/>
        <w:gridCol w:w="608"/>
        <w:gridCol w:w="608"/>
        <w:gridCol w:w="1903"/>
        <w:gridCol w:w="608"/>
        <w:gridCol w:w="608"/>
        <w:gridCol w:w="1093"/>
        <w:gridCol w:w="608"/>
        <w:gridCol w:w="1531"/>
        <w:gridCol w:w="613"/>
      </w:tblGrid>
      <w:tr w:rsidR="007D57FB" w:rsidRPr="00245AD6" w14:paraId="610C49B5" w14:textId="77777777" w:rsidTr="005B3E6B">
        <w:trPr>
          <w:trHeight w:val="300"/>
        </w:trPr>
        <w:tc>
          <w:tcPr>
            <w:tcW w:w="12591"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B4"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Genito-urinary system and sex hormones 3 (0.13%)</w:t>
            </w:r>
          </w:p>
        </w:tc>
      </w:tr>
      <w:tr w:rsidR="007D57FB" w:rsidRPr="00245AD6" w14:paraId="610C49C1" w14:textId="77777777" w:rsidTr="005B3E6B">
        <w:trPr>
          <w:trHeight w:val="201"/>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9B6"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 ATC 2</w:t>
            </w:r>
            <w:r w:rsidRPr="007B0049">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245AD6">
              <w:rPr>
                <w:rFonts w:ascii="Calibri" w:eastAsia="Times New Roman" w:hAnsi="Calibri" w:cs="Calibri"/>
                <w:b/>
                <w:bCs/>
                <w:color w:val="000000"/>
                <w:lang w:eastAsia="en-GB"/>
              </w:rPr>
              <w:t xml:space="preserve"> </w:t>
            </w:r>
          </w:p>
        </w:tc>
        <w:tc>
          <w:tcPr>
            <w:tcW w:w="2409" w:type="dxa"/>
            <w:tcBorders>
              <w:top w:val="nil"/>
              <w:left w:val="nil"/>
              <w:bottom w:val="single" w:sz="4" w:space="0" w:color="auto"/>
              <w:right w:val="single" w:sz="4" w:space="0" w:color="auto"/>
            </w:tcBorders>
            <w:shd w:val="clear" w:color="000000" w:fill="E7E6E6"/>
            <w:vAlign w:val="center"/>
            <w:hideMark/>
          </w:tcPr>
          <w:p w14:paraId="610C49B7" w14:textId="77777777" w:rsidR="007D57FB" w:rsidRPr="00245AD6"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Therapeutic S</w:t>
            </w:r>
            <w:r w:rsidRPr="00245AD6">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9B8"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9B9"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ATC 3</w:t>
            </w:r>
            <w:r w:rsidRPr="0090543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903" w:type="dxa"/>
            <w:tcBorders>
              <w:top w:val="nil"/>
              <w:left w:val="nil"/>
              <w:bottom w:val="single" w:sz="4" w:space="0" w:color="auto"/>
              <w:right w:val="single" w:sz="4" w:space="0" w:color="auto"/>
            </w:tcBorders>
            <w:shd w:val="clear" w:color="000000" w:fill="E7E6E6"/>
            <w:vAlign w:val="center"/>
            <w:hideMark/>
          </w:tcPr>
          <w:p w14:paraId="610C49BA" w14:textId="77777777" w:rsidR="007D57FB" w:rsidRPr="00245AD6"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w:t>
            </w:r>
            <w:r w:rsidRPr="00245AD6">
              <w:rPr>
                <w:rFonts w:ascii="Calibri" w:eastAsia="Times New Roman" w:hAnsi="Calibri" w:cs="Calibri"/>
                <w:b/>
                <w:bCs/>
                <w:color w:val="000000"/>
                <w:lang w:eastAsia="en-GB"/>
              </w:rPr>
              <w:t>h</w:t>
            </w:r>
            <w:r>
              <w:rPr>
                <w:rFonts w:ascii="Calibri" w:eastAsia="Times New Roman" w:hAnsi="Calibri" w:cs="Calibri"/>
                <w:b/>
                <w:bCs/>
                <w:color w:val="000000"/>
                <w:lang w:eastAsia="en-GB"/>
              </w:rPr>
              <w:t>armacological S</w:t>
            </w:r>
            <w:r w:rsidRPr="00245AD6">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9BB"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9BC"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ATC 4</w:t>
            </w:r>
            <w:r w:rsidRPr="0090543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077" w:type="dxa"/>
            <w:tcBorders>
              <w:top w:val="nil"/>
              <w:left w:val="nil"/>
              <w:bottom w:val="single" w:sz="4" w:space="0" w:color="auto"/>
              <w:right w:val="single" w:sz="4" w:space="0" w:color="auto"/>
            </w:tcBorders>
            <w:shd w:val="clear" w:color="000000" w:fill="E7E6E6"/>
            <w:vAlign w:val="center"/>
            <w:hideMark/>
          </w:tcPr>
          <w:p w14:paraId="610C49BD" w14:textId="77777777" w:rsidR="007D57FB" w:rsidRPr="00245AD6"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245AD6">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9BE"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n</w:t>
            </w:r>
          </w:p>
        </w:tc>
        <w:tc>
          <w:tcPr>
            <w:tcW w:w="1531" w:type="dxa"/>
            <w:tcBorders>
              <w:top w:val="nil"/>
              <w:left w:val="nil"/>
              <w:bottom w:val="single" w:sz="4" w:space="0" w:color="auto"/>
              <w:right w:val="single" w:sz="4" w:space="0" w:color="auto"/>
            </w:tcBorders>
            <w:shd w:val="clear" w:color="000000" w:fill="E7E6E6"/>
            <w:vAlign w:val="center"/>
            <w:hideMark/>
          </w:tcPr>
          <w:p w14:paraId="610C49BF"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ATC 5</w:t>
            </w:r>
            <w:r w:rsidRPr="0090543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245AD6">
              <w:rPr>
                <w:rFonts w:ascii="Calibri" w:eastAsia="Times New Roman" w:hAnsi="Calibri" w:cs="Calibri"/>
                <w:b/>
                <w:bCs/>
                <w:color w:val="000000"/>
                <w:lang w:eastAsia="en-GB"/>
              </w:rPr>
              <w:t xml:space="preserve"> drug (when n ≥ 10)</w:t>
            </w:r>
          </w:p>
        </w:tc>
        <w:tc>
          <w:tcPr>
            <w:tcW w:w="613" w:type="dxa"/>
            <w:tcBorders>
              <w:top w:val="nil"/>
              <w:left w:val="nil"/>
              <w:bottom w:val="single" w:sz="4" w:space="0" w:color="auto"/>
              <w:right w:val="single" w:sz="4" w:space="0" w:color="auto"/>
            </w:tcBorders>
            <w:shd w:val="clear" w:color="000000" w:fill="E7E6E6"/>
            <w:vAlign w:val="center"/>
            <w:hideMark/>
          </w:tcPr>
          <w:p w14:paraId="610C49C0" w14:textId="77777777" w:rsidR="007D57FB" w:rsidRPr="00245AD6" w:rsidRDefault="007D57FB" w:rsidP="005B3E6B">
            <w:pPr>
              <w:spacing w:after="0" w:line="240" w:lineRule="auto"/>
              <w:rPr>
                <w:rFonts w:ascii="Calibri" w:eastAsia="Times New Roman" w:hAnsi="Calibri" w:cs="Calibri"/>
                <w:b/>
                <w:bCs/>
                <w:color w:val="000000"/>
                <w:lang w:eastAsia="en-GB"/>
              </w:rPr>
            </w:pPr>
            <w:r w:rsidRPr="00245AD6">
              <w:rPr>
                <w:rFonts w:ascii="Calibri" w:eastAsia="Times New Roman" w:hAnsi="Calibri" w:cs="Calibri"/>
                <w:b/>
                <w:bCs/>
                <w:color w:val="000000"/>
                <w:lang w:eastAsia="en-GB"/>
              </w:rPr>
              <w:t>n</w:t>
            </w:r>
          </w:p>
        </w:tc>
      </w:tr>
      <w:tr w:rsidR="007D57FB" w:rsidRPr="00245AD6" w14:paraId="610C49CD"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C2"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G04</w:t>
            </w:r>
          </w:p>
        </w:tc>
        <w:tc>
          <w:tcPr>
            <w:tcW w:w="2409" w:type="dxa"/>
            <w:tcBorders>
              <w:top w:val="nil"/>
              <w:left w:val="nil"/>
              <w:bottom w:val="single" w:sz="4" w:space="0" w:color="auto"/>
              <w:right w:val="single" w:sz="4" w:space="0" w:color="auto"/>
            </w:tcBorders>
            <w:shd w:val="clear" w:color="auto" w:fill="auto"/>
            <w:noWrap/>
            <w:vAlign w:val="center"/>
            <w:hideMark/>
          </w:tcPr>
          <w:p w14:paraId="610C49C3"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Urologicals</w:t>
            </w:r>
          </w:p>
        </w:tc>
        <w:tc>
          <w:tcPr>
            <w:tcW w:w="608" w:type="dxa"/>
            <w:tcBorders>
              <w:top w:val="nil"/>
              <w:left w:val="nil"/>
              <w:bottom w:val="single" w:sz="4" w:space="0" w:color="auto"/>
              <w:right w:val="single" w:sz="4" w:space="0" w:color="auto"/>
            </w:tcBorders>
            <w:shd w:val="clear" w:color="auto" w:fill="auto"/>
            <w:noWrap/>
            <w:vAlign w:val="center"/>
            <w:hideMark/>
          </w:tcPr>
          <w:p w14:paraId="610C49C4" w14:textId="77777777" w:rsidR="007D57FB" w:rsidRPr="00245AD6" w:rsidRDefault="007D57FB" w:rsidP="005B3E6B">
            <w:pPr>
              <w:spacing w:after="0" w:line="240" w:lineRule="auto"/>
              <w:jc w:val="right"/>
              <w:rPr>
                <w:rFonts w:ascii="Calibri" w:eastAsia="Times New Roman" w:hAnsi="Calibri" w:cs="Calibri"/>
                <w:color w:val="000000"/>
                <w:lang w:eastAsia="en-GB"/>
              </w:rPr>
            </w:pPr>
            <w:r w:rsidRPr="00245AD6">
              <w:rPr>
                <w:rFonts w:ascii="Calibri" w:eastAsia="Times New Roman" w:hAnsi="Calibri" w:cs="Calibri"/>
                <w:color w:val="000000"/>
                <w:lang w:eastAsia="en-GB"/>
              </w:rPr>
              <w:t>3</w:t>
            </w:r>
          </w:p>
        </w:tc>
        <w:tc>
          <w:tcPr>
            <w:tcW w:w="608" w:type="dxa"/>
            <w:tcBorders>
              <w:top w:val="nil"/>
              <w:left w:val="nil"/>
              <w:bottom w:val="single" w:sz="4" w:space="0" w:color="auto"/>
              <w:right w:val="single" w:sz="4" w:space="0" w:color="auto"/>
            </w:tcBorders>
            <w:shd w:val="clear" w:color="auto" w:fill="auto"/>
            <w:noWrap/>
            <w:vAlign w:val="center"/>
            <w:hideMark/>
          </w:tcPr>
          <w:p w14:paraId="610C49C5"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 -</w:t>
            </w:r>
          </w:p>
        </w:tc>
        <w:tc>
          <w:tcPr>
            <w:tcW w:w="1903" w:type="dxa"/>
            <w:tcBorders>
              <w:top w:val="nil"/>
              <w:left w:val="nil"/>
              <w:bottom w:val="single" w:sz="4" w:space="0" w:color="auto"/>
              <w:right w:val="single" w:sz="4" w:space="0" w:color="auto"/>
            </w:tcBorders>
            <w:shd w:val="clear" w:color="auto" w:fill="auto"/>
            <w:noWrap/>
            <w:vAlign w:val="center"/>
            <w:hideMark/>
          </w:tcPr>
          <w:p w14:paraId="610C49C6"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9C7"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9C8"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9C9"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9CA"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1531" w:type="dxa"/>
            <w:tcBorders>
              <w:top w:val="nil"/>
              <w:left w:val="nil"/>
              <w:bottom w:val="single" w:sz="4" w:space="0" w:color="auto"/>
              <w:right w:val="single" w:sz="4" w:space="0" w:color="auto"/>
            </w:tcBorders>
            <w:shd w:val="clear" w:color="auto" w:fill="auto"/>
            <w:noWrap/>
            <w:vAlign w:val="center"/>
            <w:hideMark/>
          </w:tcPr>
          <w:p w14:paraId="610C49CB"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c>
          <w:tcPr>
            <w:tcW w:w="613" w:type="dxa"/>
            <w:tcBorders>
              <w:top w:val="nil"/>
              <w:left w:val="nil"/>
              <w:bottom w:val="single" w:sz="4" w:space="0" w:color="auto"/>
              <w:right w:val="single" w:sz="4" w:space="0" w:color="auto"/>
            </w:tcBorders>
            <w:shd w:val="clear" w:color="auto" w:fill="auto"/>
            <w:noWrap/>
            <w:vAlign w:val="center"/>
            <w:hideMark/>
          </w:tcPr>
          <w:p w14:paraId="610C49CC" w14:textId="77777777" w:rsidR="007D57FB" w:rsidRPr="00245AD6" w:rsidRDefault="007D57FB" w:rsidP="005B3E6B">
            <w:pPr>
              <w:spacing w:after="0" w:line="240" w:lineRule="auto"/>
              <w:rPr>
                <w:rFonts w:ascii="Calibri" w:eastAsia="Times New Roman" w:hAnsi="Calibri" w:cs="Calibri"/>
                <w:color w:val="000000"/>
                <w:lang w:eastAsia="en-GB"/>
              </w:rPr>
            </w:pPr>
            <w:r w:rsidRPr="00245AD6">
              <w:rPr>
                <w:rFonts w:ascii="Calibri" w:eastAsia="Times New Roman" w:hAnsi="Calibri" w:cs="Calibri"/>
                <w:color w:val="000000"/>
                <w:lang w:eastAsia="en-GB"/>
              </w:rPr>
              <w:t>-</w:t>
            </w:r>
          </w:p>
        </w:tc>
      </w:tr>
    </w:tbl>
    <w:p w14:paraId="610C49CE" w14:textId="77777777" w:rsidR="007D57FB" w:rsidRDefault="007D57FB" w:rsidP="005B3E6B">
      <w:pPr>
        <w:pStyle w:val="Heading3"/>
        <w:rPr>
          <w:rFonts w:asciiTheme="minorHAnsi" w:eastAsiaTheme="minorHAnsi" w:hAnsiTheme="minorHAnsi" w:cstheme="minorBidi"/>
          <w:b/>
          <w:color w:val="auto"/>
          <w:sz w:val="22"/>
          <w:szCs w:val="22"/>
        </w:rPr>
      </w:pPr>
    </w:p>
    <w:p w14:paraId="610C49CF" w14:textId="77777777" w:rsidR="007D57FB" w:rsidRDefault="007D57FB" w:rsidP="005B3E6B">
      <w:pPr>
        <w:pStyle w:val="Heading3"/>
      </w:pPr>
      <w:bookmarkStart w:id="64" w:name="_Toc52396383"/>
      <w:r>
        <w:t>Dermatologics</w:t>
      </w:r>
      <w:bookmarkEnd w:id="64"/>
    </w:p>
    <w:tbl>
      <w:tblPr>
        <w:tblW w:w="12418" w:type="dxa"/>
        <w:tblLook w:val="04A0" w:firstRow="1" w:lastRow="0" w:firstColumn="1" w:lastColumn="0" w:noHBand="0" w:noVBand="1"/>
      </w:tblPr>
      <w:tblGrid>
        <w:gridCol w:w="2012"/>
        <w:gridCol w:w="2409"/>
        <w:gridCol w:w="604"/>
        <w:gridCol w:w="604"/>
        <w:gridCol w:w="1723"/>
        <w:gridCol w:w="604"/>
        <w:gridCol w:w="604"/>
        <w:gridCol w:w="1093"/>
        <w:gridCol w:w="604"/>
        <w:gridCol w:w="1565"/>
        <w:gridCol w:w="606"/>
      </w:tblGrid>
      <w:tr w:rsidR="007D57FB" w:rsidRPr="00686715" w14:paraId="610C49D1" w14:textId="77777777" w:rsidTr="005B3E6B">
        <w:trPr>
          <w:trHeight w:val="300"/>
        </w:trPr>
        <w:tc>
          <w:tcPr>
            <w:tcW w:w="12418"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D0"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Dermatologics 2 (0.08%)</w:t>
            </w:r>
          </w:p>
        </w:tc>
      </w:tr>
      <w:tr w:rsidR="007D57FB" w:rsidRPr="00686715" w14:paraId="610C49DD" w14:textId="77777777" w:rsidTr="005B3E6B">
        <w:trPr>
          <w:trHeight w:val="406"/>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9D2" w14:textId="77777777" w:rsidR="007D57FB" w:rsidRPr="00686715"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7B0049">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409" w:type="dxa"/>
            <w:tcBorders>
              <w:top w:val="nil"/>
              <w:left w:val="nil"/>
              <w:bottom w:val="single" w:sz="4" w:space="0" w:color="auto"/>
              <w:right w:val="single" w:sz="4" w:space="0" w:color="auto"/>
            </w:tcBorders>
            <w:shd w:val="clear" w:color="000000" w:fill="E7E6E6"/>
            <w:vAlign w:val="center"/>
            <w:hideMark/>
          </w:tcPr>
          <w:p w14:paraId="610C49D3" w14:textId="77777777" w:rsidR="007D57FB" w:rsidRPr="00686715"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w:t>
            </w:r>
            <w:r w:rsidRPr="00686715">
              <w:rPr>
                <w:rFonts w:ascii="Calibri" w:eastAsia="Times New Roman" w:hAnsi="Calibri" w:cs="Calibri"/>
                <w:b/>
                <w:bCs/>
                <w:color w:val="000000"/>
                <w:lang w:eastAsia="en-GB"/>
              </w:rPr>
              <w:t>herapeu</w:t>
            </w:r>
            <w:r>
              <w:rPr>
                <w:rFonts w:ascii="Calibri" w:eastAsia="Times New Roman" w:hAnsi="Calibri" w:cs="Calibri"/>
                <w:b/>
                <w:bCs/>
                <w:color w:val="000000"/>
                <w:lang w:eastAsia="en-GB"/>
              </w:rPr>
              <w:t>tic S</w:t>
            </w:r>
            <w:r w:rsidRPr="00686715">
              <w:rPr>
                <w:rFonts w:ascii="Calibri" w:eastAsia="Times New Roman" w:hAnsi="Calibri" w:cs="Calibri"/>
                <w:b/>
                <w:bCs/>
                <w:color w:val="000000"/>
                <w:lang w:eastAsia="en-GB"/>
              </w:rPr>
              <w:t>ubgroup</w:t>
            </w:r>
          </w:p>
        </w:tc>
        <w:tc>
          <w:tcPr>
            <w:tcW w:w="604" w:type="dxa"/>
            <w:tcBorders>
              <w:top w:val="nil"/>
              <w:left w:val="nil"/>
              <w:bottom w:val="single" w:sz="4" w:space="0" w:color="auto"/>
              <w:right w:val="single" w:sz="4" w:space="0" w:color="auto"/>
            </w:tcBorders>
            <w:shd w:val="clear" w:color="000000" w:fill="E7E6E6"/>
            <w:vAlign w:val="center"/>
            <w:hideMark/>
          </w:tcPr>
          <w:p w14:paraId="610C49D4"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n</w:t>
            </w:r>
          </w:p>
        </w:tc>
        <w:tc>
          <w:tcPr>
            <w:tcW w:w="604" w:type="dxa"/>
            <w:tcBorders>
              <w:top w:val="nil"/>
              <w:left w:val="nil"/>
              <w:bottom w:val="single" w:sz="4" w:space="0" w:color="auto"/>
              <w:right w:val="single" w:sz="4" w:space="0" w:color="auto"/>
            </w:tcBorders>
            <w:shd w:val="clear" w:color="000000" w:fill="E7E6E6"/>
            <w:vAlign w:val="center"/>
            <w:hideMark/>
          </w:tcPr>
          <w:p w14:paraId="610C49D5"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ATC 3</w:t>
            </w:r>
            <w:r w:rsidRPr="007B0049">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723" w:type="dxa"/>
            <w:tcBorders>
              <w:top w:val="nil"/>
              <w:left w:val="nil"/>
              <w:bottom w:val="single" w:sz="4" w:space="0" w:color="auto"/>
              <w:right w:val="single" w:sz="4" w:space="0" w:color="auto"/>
            </w:tcBorders>
            <w:shd w:val="clear" w:color="000000" w:fill="E7E6E6"/>
            <w:vAlign w:val="center"/>
            <w:hideMark/>
          </w:tcPr>
          <w:p w14:paraId="610C49D6" w14:textId="77777777" w:rsidR="007D57FB" w:rsidRPr="00686715"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86715">
              <w:rPr>
                <w:rFonts w:ascii="Calibri" w:eastAsia="Times New Roman" w:hAnsi="Calibri" w:cs="Calibri"/>
                <w:b/>
                <w:bCs/>
                <w:color w:val="000000"/>
                <w:lang w:eastAsia="en-GB"/>
              </w:rPr>
              <w:t>ubgroup</w:t>
            </w:r>
          </w:p>
        </w:tc>
        <w:tc>
          <w:tcPr>
            <w:tcW w:w="604" w:type="dxa"/>
            <w:tcBorders>
              <w:top w:val="nil"/>
              <w:left w:val="nil"/>
              <w:bottom w:val="single" w:sz="4" w:space="0" w:color="auto"/>
              <w:right w:val="single" w:sz="4" w:space="0" w:color="auto"/>
            </w:tcBorders>
            <w:shd w:val="clear" w:color="000000" w:fill="E7E6E6"/>
            <w:vAlign w:val="center"/>
            <w:hideMark/>
          </w:tcPr>
          <w:p w14:paraId="610C49D7"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n</w:t>
            </w:r>
          </w:p>
        </w:tc>
        <w:tc>
          <w:tcPr>
            <w:tcW w:w="604" w:type="dxa"/>
            <w:tcBorders>
              <w:top w:val="nil"/>
              <w:left w:val="nil"/>
              <w:bottom w:val="single" w:sz="4" w:space="0" w:color="auto"/>
              <w:right w:val="single" w:sz="4" w:space="0" w:color="auto"/>
            </w:tcBorders>
            <w:shd w:val="clear" w:color="000000" w:fill="E7E6E6"/>
            <w:vAlign w:val="center"/>
            <w:hideMark/>
          </w:tcPr>
          <w:p w14:paraId="610C49D8"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ATC 4</w:t>
            </w:r>
            <w:r w:rsidRPr="007B0049">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077" w:type="dxa"/>
            <w:tcBorders>
              <w:top w:val="nil"/>
              <w:left w:val="nil"/>
              <w:bottom w:val="single" w:sz="4" w:space="0" w:color="auto"/>
              <w:right w:val="single" w:sz="4" w:space="0" w:color="auto"/>
            </w:tcBorders>
            <w:shd w:val="clear" w:color="000000" w:fill="E7E6E6"/>
            <w:vAlign w:val="center"/>
            <w:hideMark/>
          </w:tcPr>
          <w:p w14:paraId="610C49D9" w14:textId="77777777" w:rsidR="007D57FB" w:rsidRPr="00686715"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86715">
              <w:rPr>
                <w:rFonts w:ascii="Calibri" w:eastAsia="Times New Roman" w:hAnsi="Calibri" w:cs="Calibri"/>
                <w:b/>
                <w:bCs/>
                <w:color w:val="000000"/>
                <w:lang w:eastAsia="en-GB"/>
              </w:rPr>
              <w:t>ubgroup</w:t>
            </w:r>
          </w:p>
        </w:tc>
        <w:tc>
          <w:tcPr>
            <w:tcW w:w="604" w:type="dxa"/>
            <w:tcBorders>
              <w:top w:val="nil"/>
              <w:left w:val="nil"/>
              <w:bottom w:val="single" w:sz="4" w:space="0" w:color="auto"/>
              <w:right w:val="single" w:sz="4" w:space="0" w:color="auto"/>
            </w:tcBorders>
            <w:shd w:val="clear" w:color="000000" w:fill="E7E6E6"/>
            <w:vAlign w:val="center"/>
            <w:hideMark/>
          </w:tcPr>
          <w:p w14:paraId="610C49DA"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n</w:t>
            </w:r>
          </w:p>
        </w:tc>
        <w:tc>
          <w:tcPr>
            <w:tcW w:w="1565" w:type="dxa"/>
            <w:tcBorders>
              <w:top w:val="nil"/>
              <w:left w:val="nil"/>
              <w:bottom w:val="single" w:sz="4" w:space="0" w:color="auto"/>
              <w:right w:val="single" w:sz="4" w:space="0" w:color="auto"/>
            </w:tcBorders>
            <w:shd w:val="clear" w:color="000000" w:fill="E7E6E6"/>
            <w:vAlign w:val="center"/>
            <w:hideMark/>
          </w:tcPr>
          <w:p w14:paraId="610C49DB"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ATC 5</w:t>
            </w:r>
            <w:r w:rsidRPr="007B0049">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86715">
              <w:rPr>
                <w:rFonts w:ascii="Calibri" w:eastAsia="Times New Roman" w:hAnsi="Calibri" w:cs="Calibri"/>
                <w:b/>
                <w:bCs/>
                <w:color w:val="000000"/>
                <w:lang w:eastAsia="en-GB"/>
              </w:rPr>
              <w:t xml:space="preserve"> drug (when n ≥ 10)</w:t>
            </w:r>
          </w:p>
        </w:tc>
        <w:tc>
          <w:tcPr>
            <w:tcW w:w="606" w:type="dxa"/>
            <w:tcBorders>
              <w:top w:val="nil"/>
              <w:left w:val="nil"/>
              <w:bottom w:val="single" w:sz="4" w:space="0" w:color="auto"/>
              <w:right w:val="single" w:sz="4" w:space="0" w:color="auto"/>
            </w:tcBorders>
            <w:shd w:val="clear" w:color="000000" w:fill="E7E6E6"/>
            <w:vAlign w:val="center"/>
            <w:hideMark/>
          </w:tcPr>
          <w:p w14:paraId="610C49DC" w14:textId="77777777" w:rsidR="007D57FB" w:rsidRPr="00686715" w:rsidRDefault="007D57FB" w:rsidP="005B3E6B">
            <w:pPr>
              <w:spacing w:after="0" w:line="240" w:lineRule="auto"/>
              <w:rPr>
                <w:rFonts w:ascii="Calibri" w:eastAsia="Times New Roman" w:hAnsi="Calibri" w:cs="Calibri"/>
                <w:b/>
                <w:bCs/>
                <w:color w:val="000000"/>
                <w:lang w:eastAsia="en-GB"/>
              </w:rPr>
            </w:pPr>
            <w:r w:rsidRPr="00686715">
              <w:rPr>
                <w:rFonts w:ascii="Calibri" w:eastAsia="Times New Roman" w:hAnsi="Calibri" w:cs="Calibri"/>
                <w:b/>
                <w:bCs/>
                <w:color w:val="000000"/>
                <w:lang w:eastAsia="en-GB"/>
              </w:rPr>
              <w:t>n</w:t>
            </w:r>
          </w:p>
        </w:tc>
      </w:tr>
      <w:tr w:rsidR="007D57FB" w:rsidRPr="00686715" w14:paraId="610C49E9"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DE"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D01</w:t>
            </w:r>
          </w:p>
        </w:tc>
        <w:tc>
          <w:tcPr>
            <w:tcW w:w="2409" w:type="dxa"/>
            <w:tcBorders>
              <w:top w:val="nil"/>
              <w:left w:val="nil"/>
              <w:bottom w:val="single" w:sz="4" w:space="0" w:color="auto"/>
              <w:right w:val="single" w:sz="4" w:space="0" w:color="auto"/>
            </w:tcBorders>
            <w:shd w:val="clear" w:color="auto" w:fill="auto"/>
            <w:noWrap/>
            <w:vAlign w:val="center"/>
            <w:hideMark/>
          </w:tcPr>
          <w:p w14:paraId="610C49DF" w14:textId="77777777" w:rsidR="007D57FB" w:rsidRPr="00686715"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Antifungals f</w:t>
            </w:r>
            <w:r w:rsidRPr="00686715">
              <w:rPr>
                <w:rFonts w:ascii="Calibri" w:eastAsia="Times New Roman" w:hAnsi="Calibri" w:cs="Calibri"/>
                <w:color w:val="000000"/>
                <w:lang w:eastAsia="en-GB"/>
              </w:rPr>
              <w:t>or Dermatological Use</w:t>
            </w:r>
          </w:p>
        </w:tc>
        <w:tc>
          <w:tcPr>
            <w:tcW w:w="604" w:type="dxa"/>
            <w:tcBorders>
              <w:top w:val="nil"/>
              <w:left w:val="nil"/>
              <w:bottom w:val="single" w:sz="4" w:space="0" w:color="auto"/>
              <w:right w:val="single" w:sz="4" w:space="0" w:color="auto"/>
            </w:tcBorders>
            <w:shd w:val="clear" w:color="auto" w:fill="auto"/>
            <w:noWrap/>
            <w:vAlign w:val="center"/>
            <w:hideMark/>
          </w:tcPr>
          <w:p w14:paraId="610C49E0" w14:textId="77777777" w:rsidR="007D57FB" w:rsidRPr="00686715" w:rsidRDefault="007D57FB" w:rsidP="005B3E6B">
            <w:pPr>
              <w:spacing w:after="0" w:line="240" w:lineRule="auto"/>
              <w:jc w:val="right"/>
              <w:rPr>
                <w:rFonts w:ascii="Calibri" w:eastAsia="Times New Roman" w:hAnsi="Calibri" w:cs="Calibri"/>
                <w:color w:val="000000"/>
                <w:lang w:eastAsia="en-GB"/>
              </w:rPr>
            </w:pPr>
            <w:r w:rsidRPr="00686715">
              <w:rPr>
                <w:rFonts w:ascii="Calibri" w:eastAsia="Times New Roman" w:hAnsi="Calibri" w:cs="Calibri"/>
                <w:color w:val="000000"/>
                <w:lang w:eastAsia="en-GB"/>
              </w:rPr>
              <w:t>1</w:t>
            </w:r>
          </w:p>
        </w:tc>
        <w:tc>
          <w:tcPr>
            <w:tcW w:w="604" w:type="dxa"/>
            <w:tcBorders>
              <w:top w:val="nil"/>
              <w:left w:val="nil"/>
              <w:bottom w:val="single" w:sz="4" w:space="0" w:color="auto"/>
              <w:right w:val="single" w:sz="4" w:space="0" w:color="auto"/>
            </w:tcBorders>
            <w:shd w:val="clear" w:color="auto" w:fill="auto"/>
            <w:noWrap/>
            <w:vAlign w:val="center"/>
            <w:hideMark/>
          </w:tcPr>
          <w:p w14:paraId="610C49E1"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 -</w:t>
            </w:r>
          </w:p>
        </w:tc>
        <w:tc>
          <w:tcPr>
            <w:tcW w:w="1723" w:type="dxa"/>
            <w:tcBorders>
              <w:top w:val="nil"/>
              <w:left w:val="nil"/>
              <w:bottom w:val="single" w:sz="4" w:space="0" w:color="auto"/>
              <w:right w:val="single" w:sz="4" w:space="0" w:color="auto"/>
            </w:tcBorders>
            <w:shd w:val="clear" w:color="auto" w:fill="auto"/>
            <w:noWrap/>
            <w:vAlign w:val="center"/>
            <w:hideMark/>
          </w:tcPr>
          <w:p w14:paraId="610C49E2"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E3"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E4"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9E5"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E6"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1565" w:type="dxa"/>
            <w:tcBorders>
              <w:top w:val="nil"/>
              <w:left w:val="nil"/>
              <w:bottom w:val="single" w:sz="4" w:space="0" w:color="auto"/>
              <w:right w:val="single" w:sz="4" w:space="0" w:color="auto"/>
            </w:tcBorders>
            <w:shd w:val="clear" w:color="auto" w:fill="auto"/>
            <w:noWrap/>
            <w:vAlign w:val="center"/>
            <w:hideMark/>
          </w:tcPr>
          <w:p w14:paraId="610C49E7"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6" w:type="dxa"/>
            <w:tcBorders>
              <w:top w:val="nil"/>
              <w:left w:val="nil"/>
              <w:bottom w:val="single" w:sz="4" w:space="0" w:color="auto"/>
              <w:right w:val="single" w:sz="4" w:space="0" w:color="auto"/>
            </w:tcBorders>
            <w:shd w:val="clear" w:color="auto" w:fill="auto"/>
            <w:noWrap/>
            <w:vAlign w:val="center"/>
            <w:hideMark/>
          </w:tcPr>
          <w:p w14:paraId="610C49E8"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r>
      <w:tr w:rsidR="007D57FB" w:rsidRPr="00686715" w14:paraId="610C49F5"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9EA"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D06</w:t>
            </w:r>
          </w:p>
        </w:tc>
        <w:tc>
          <w:tcPr>
            <w:tcW w:w="2409" w:type="dxa"/>
            <w:tcBorders>
              <w:top w:val="nil"/>
              <w:left w:val="nil"/>
              <w:bottom w:val="single" w:sz="4" w:space="0" w:color="auto"/>
              <w:right w:val="single" w:sz="4" w:space="0" w:color="auto"/>
            </w:tcBorders>
            <w:shd w:val="clear" w:color="auto" w:fill="auto"/>
            <w:noWrap/>
            <w:vAlign w:val="center"/>
            <w:hideMark/>
          </w:tcPr>
          <w:p w14:paraId="610C49EB" w14:textId="77777777" w:rsidR="007D57FB" w:rsidRPr="00686715"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Antibiotics a</w:t>
            </w:r>
            <w:r w:rsidRPr="00686715">
              <w:rPr>
                <w:rFonts w:ascii="Calibri" w:eastAsia="Times New Roman" w:hAnsi="Calibri" w:cs="Calibri"/>
                <w:color w:val="000000"/>
                <w:lang w:eastAsia="en-GB"/>
              </w:rPr>
              <w:t xml:space="preserve">nd Chemotherapeutics </w:t>
            </w:r>
            <w:r>
              <w:rPr>
                <w:rFonts w:ascii="Calibri" w:eastAsia="Times New Roman" w:hAnsi="Calibri" w:cs="Calibri"/>
                <w:color w:val="000000"/>
                <w:lang w:eastAsia="en-GB"/>
              </w:rPr>
              <w:t>f</w:t>
            </w:r>
            <w:r w:rsidRPr="00686715">
              <w:rPr>
                <w:rFonts w:ascii="Calibri" w:eastAsia="Times New Roman" w:hAnsi="Calibri" w:cs="Calibri"/>
                <w:color w:val="000000"/>
                <w:lang w:eastAsia="en-GB"/>
              </w:rPr>
              <w:t>or Dermatological Use</w:t>
            </w:r>
          </w:p>
        </w:tc>
        <w:tc>
          <w:tcPr>
            <w:tcW w:w="604" w:type="dxa"/>
            <w:tcBorders>
              <w:top w:val="nil"/>
              <w:left w:val="nil"/>
              <w:bottom w:val="single" w:sz="4" w:space="0" w:color="auto"/>
              <w:right w:val="single" w:sz="4" w:space="0" w:color="auto"/>
            </w:tcBorders>
            <w:shd w:val="clear" w:color="auto" w:fill="auto"/>
            <w:noWrap/>
            <w:vAlign w:val="center"/>
            <w:hideMark/>
          </w:tcPr>
          <w:p w14:paraId="610C49EC" w14:textId="77777777" w:rsidR="007D57FB" w:rsidRPr="00686715" w:rsidRDefault="007D57FB" w:rsidP="005B3E6B">
            <w:pPr>
              <w:spacing w:after="0" w:line="240" w:lineRule="auto"/>
              <w:jc w:val="right"/>
              <w:rPr>
                <w:rFonts w:ascii="Calibri" w:eastAsia="Times New Roman" w:hAnsi="Calibri" w:cs="Calibri"/>
                <w:color w:val="000000"/>
                <w:lang w:eastAsia="en-GB"/>
              </w:rPr>
            </w:pPr>
            <w:r w:rsidRPr="00686715">
              <w:rPr>
                <w:rFonts w:ascii="Calibri" w:eastAsia="Times New Roman" w:hAnsi="Calibri" w:cs="Calibri"/>
                <w:color w:val="000000"/>
                <w:lang w:eastAsia="en-GB"/>
              </w:rPr>
              <w:t>1</w:t>
            </w:r>
          </w:p>
        </w:tc>
        <w:tc>
          <w:tcPr>
            <w:tcW w:w="604" w:type="dxa"/>
            <w:tcBorders>
              <w:top w:val="nil"/>
              <w:left w:val="nil"/>
              <w:bottom w:val="single" w:sz="4" w:space="0" w:color="auto"/>
              <w:right w:val="single" w:sz="4" w:space="0" w:color="auto"/>
            </w:tcBorders>
            <w:shd w:val="clear" w:color="auto" w:fill="auto"/>
            <w:noWrap/>
            <w:vAlign w:val="center"/>
            <w:hideMark/>
          </w:tcPr>
          <w:p w14:paraId="610C49ED"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1723" w:type="dxa"/>
            <w:tcBorders>
              <w:top w:val="nil"/>
              <w:left w:val="nil"/>
              <w:bottom w:val="single" w:sz="4" w:space="0" w:color="auto"/>
              <w:right w:val="single" w:sz="4" w:space="0" w:color="auto"/>
            </w:tcBorders>
            <w:shd w:val="clear" w:color="auto" w:fill="auto"/>
            <w:noWrap/>
            <w:vAlign w:val="center"/>
            <w:hideMark/>
          </w:tcPr>
          <w:p w14:paraId="610C49EE"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EF"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F0"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9F1"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4" w:type="dxa"/>
            <w:tcBorders>
              <w:top w:val="nil"/>
              <w:left w:val="nil"/>
              <w:bottom w:val="single" w:sz="4" w:space="0" w:color="auto"/>
              <w:right w:val="single" w:sz="4" w:space="0" w:color="auto"/>
            </w:tcBorders>
            <w:shd w:val="clear" w:color="auto" w:fill="auto"/>
            <w:noWrap/>
            <w:vAlign w:val="center"/>
            <w:hideMark/>
          </w:tcPr>
          <w:p w14:paraId="610C49F2"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1565" w:type="dxa"/>
            <w:tcBorders>
              <w:top w:val="nil"/>
              <w:left w:val="nil"/>
              <w:bottom w:val="single" w:sz="4" w:space="0" w:color="auto"/>
              <w:right w:val="single" w:sz="4" w:space="0" w:color="auto"/>
            </w:tcBorders>
            <w:shd w:val="clear" w:color="auto" w:fill="auto"/>
            <w:noWrap/>
            <w:vAlign w:val="center"/>
            <w:hideMark/>
          </w:tcPr>
          <w:p w14:paraId="610C49F3"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c>
          <w:tcPr>
            <w:tcW w:w="606" w:type="dxa"/>
            <w:tcBorders>
              <w:top w:val="nil"/>
              <w:left w:val="nil"/>
              <w:bottom w:val="single" w:sz="4" w:space="0" w:color="auto"/>
              <w:right w:val="single" w:sz="4" w:space="0" w:color="auto"/>
            </w:tcBorders>
            <w:shd w:val="clear" w:color="auto" w:fill="auto"/>
            <w:noWrap/>
            <w:vAlign w:val="center"/>
            <w:hideMark/>
          </w:tcPr>
          <w:p w14:paraId="610C49F4" w14:textId="77777777" w:rsidR="007D57FB" w:rsidRPr="00686715" w:rsidRDefault="007D57FB" w:rsidP="005B3E6B">
            <w:pPr>
              <w:spacing w:after="0" w:line="240" w:lineRule="auto"/>
              <w:rPr>
                <w:rFonts w:ascii="Calibri" w:eastAsia="Times New Roman" w:hAnsi="Calibri" w:cs="Calibri"/>
                <w:color w:val="000000"/>
                <w:lang w:eastAsia="en-GB"/>
              </w:rPr>
            </w:pPr>
            <w:r w:rsidRPr="00686715">
              <w:rPr>
                <w:rFonts w:ascii="Calibri" w:eastAsia="Times New Roman" w:hAnsi="Calibri" w:cs="Calibri"/>
                <w:color w:val="000000"/>
                <w:lang w:eastAsia="en-GB"/>
              </w:rPr>
              <w:t>-</w:t>
            </w:r>
          </w:p>
        </w:tc>
      </w:tr>
    </w:tbl>
    <w:p w14:paraId="610C49F6" w14:textId="77777777" w:rsidR="007D57FB" w:rsidRDefault="007D57FB"/>
    <w:p w14:paraId="610C49F7" w14:textId="77777777" w:rsidR="007D57FB" w:rsidRDefault="007D57FB" w:rsidP="005B3E6B">
      <w:pPr>
        <w:pStyle w:val="Heading3"/>
      </w:pPr>
      <w:bookmarkStart w:id="65" w:name="_Toc52396384"/>
      <w:r>
        <w:t>Antiparasitic products, insecticides and repellents</w:t>
      </w:r>
      <w:bookmarkEnd w:id="65"/>
    </w:p>
    <w:tbl>
      <w:tblPr>
        <w:tblW w:w="12261" w:type="dxa"/>
        <w:tblLook w:val="04A0" w:firstRow="1" w:lastRow="0" w:firstColumn="1" w:lastColumn="0" w:noHBand="0" w:noVBand="1"/>
      </w:tblPr>
      <w:tblGrid>
        <w:gridCol w:w="2012"/>
        <w:gridCol w:w="2268"/>
        <w:gridCol w:w="608"/>
        <w:gridCol w:w="608"/>
        <w:gridCol w:w="1723"/>
        <w:gridCol w:w="608"/>
        <w:gridCol w:w="608"/>
        <w:gridCol w:w="1093"/>
        <w:gridCol w:w="608"/>
        <w:gridCol w:w="1523"/>
        <w:gridCol w:w="608"/>
      </w:tblGrid>
      <w:tr w:rsidR="007D57FB" w:rsidRPr="00AA1B61" w14:paraId="610C49F9" w14:textId="77777777" w:rsidTr="005B3E6B">
        <w:trPr>
          <w:trHeight w:val="50"/>
        </w:trPr>
        <w:tc>
          <w:tcPr>
            <w:tcW w:w="12261"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9F8" w14:textId="77777777" w:rsidR="007D57FB" w:rsidRPr="00AA1B61" w:rsidRDefault="007D57FB" w:rsidP="005B3E6B">
            <w:pPr>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Antiparasitic products, insecticides and repellents 2 (0.08%)</w:t>
            </w:r>
          </w:p>
        </w:tc>
      </w:tr>
      <w:tr w:rsidR="007D57FB" w:rsidRPr="00AA1B61" w14:paraId="610C4A05" w14:textId="77777777" w:rsidTr="005B3E6B">
        <w:trPr>
          <w:trHeight w:val="128"/>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9FA"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ATC 2</w:t>
            </w:r>
            <w:r w:rsidRPr="00B63787">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p>
        </w:tc>
        <w:tc>
          <w:tcPr>
            <w:tcW w:w="2268" w:type="dxa"/>
            <w:tcBorders>
              <w:top w:val="nil"/>
              <w:left w:val="nil"/>
              <w:bottom w:val="single" w:sz="4" w:space="0" w:color="auto"/>
              <w:right w:val="single" w:sz="4" w:space="0" w:color="auto"/>
            </w:tcBorders>
            <w:shd w:val="clear" w:color="000000" w:fill="E7E6E6"/>
            <w:vAlign w:val="center"/>
            <w:hideMark/>
          </w:tcPr>
          <w:p w14:paraId="610C49FB"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Therapeutic S</w:t>
            </w:r>
            <w:r w:rsidRPr="00AA1B61">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9FC"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9FD" w14:textId="77777777" w:rsidR="007D57FB" w:rsidRPr="00AA1B61" w:rsidRDefault="007D57FB" w:rsidP="005B3E6B">
            <w:pPr>
              <w:spacing w:after="0" w:line="240" w:lineRule="auto"/>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ATC 3</w:t>
            </w:r>
            <w:r w:rsidRPr="00B6378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723" w:type="dxa"/>
            <w:tcBorders>
              <w:top w:val="nil"/>
              <w:left w:val="nil"/>
              <w:bottom w:val="single" w:sz="4" w:space="0" w:color="auto"/>
              <w:right w:val="single" w:sz="4" w:space="0" w:color="auto"/>
            </w:tcBorders>
            <w:shd w:val="clear" w:color="000000" w:fill="E7E6E6"/>
            <w:vAlign w:val="center"/>
            <w:hideMark/>
          </w:tcPr>
          <w:p w14:paraId="610C49FE"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AA1B61">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9FF" w14:textId="77777777" w:rsidR="007D57FB" w:rsidRPr="00AA1B61" w:rsidRDefault="007D57FB" w:rsidP="005B3E6B">
            <w:pPr>
              <w:spacing w:after="0" w:line="240" w:lineRule="auto"/>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A00"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ATC 4</w:t>
            </w:r>
            <w:r w:rsidRPr="00B637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077" w:type="dxa"/>
            <w:tcBorders>
              <w:top w:val="nil"/>
              <w:left w:val="nil"/>
              <w:bottom w:val="single" w:sz="4" w:space="0" w:color="auto"/>
              <w:right w:val="single" w:sz="4" w:space="0" w:color="auto"/>
            </w:tcBorders>
            <w:shd w:val="clear" w:color="000000" w:fill="E7E6E6"/>
            <w:vAlign w:val="center"/>
            <w:hideMark/>
          </w:tcPr>
          <w:p w14:paraId="610C4A01" w14:textId="77777777" w:rsidR="007D57FB" w:rsidRPr="00AA1B61"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AA1B61">
              <w:rPr>
                <w:rFonts w:ascii="Calibri" w:eastAsia="Times New Roman" w:hAnsi="Calibri" w:cs="Calibri"/>
                <w:b/>
                <w:bCs/>
                <w:color w:val="000000"/>
                <w:lang w:eastAsia="en-GB"/>
              </w:rPr>
              <w:t xml:space="preserve">hemical </w:t>
            </w:r>
            <w:r>
              <w:rPr>
                <w:rFonts w:ascii="Calibri" w:eastAsia="Times New Roman" w:hAnsi="Calibri" w:cs="Calibri"/>
                <w:b/>
                <w:bCs/>
                <w:color w:val="000000"/>
                <w:lang w:eastAsia="en-GB"/>
              </w:rPr>
              <w:t>S</w:t>
            </w:r>
            <w:r w:rsidRPr="00AA1B61">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A02" w14:textId="77777777" w:rsidR="007D57FB" w:rsidRPr="00AA1B61" w:rsidRDefault="007D57FB" w:rsidP="005B3E6B">
            <w:pPr>
              <w:spacing w:after="0" w:line="240" w:lineRule="auto"/>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n</w:t>
            </w:r>
          </w:p>
        </w:tc>
        <w:tc>
          <w:tcPr>
            <w:tcW w:w="1523" w:type="dxa"/>
            <w:tcBorders>
              <w:top w:val="nil"/>
              <w:left w:val="nil"/>
              <w:bottom w:val="single" w:sz="4" w:space="0" w:color="auto"/>
              <w:right w:val="single" w:sz="4" w:space="0" w:color="auto"/>
            </w:tcBorders>
            <w:shd w:val="clear" w:color="000000" w:fill="E7E6E6"/>
            <w:vAlign w:val="center"/>
            <w:hideMark/>
          </w:tcPr>
          <w:p w14:paraId="610C4A03" w14:textId="77777777" w:rsidR="007D57FB" w:rsidRPr="00AA1B61" w:rsidRDefault="007D57FB" w:rsidP="005B3E6B">
            <w:pPr>
              <w:spacing w:after="0" w:line="240" w:lineRule="auto"/>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ATC 5</w:t>
            </w:r>
            <w:r w:rsidRPr="00B637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AA1B61">
              <w:rPr>
                <w:rFonts w:ascii="Calibri" w:eastAsia="Times New Roman" w:hAnsi="Calibri" w:cs="Calibri"/>
                <w:b/>
                <w:bCs/>
                <w:color w:val="000000"/>
                <w:lang w:eastAsia="en-GB"/>
              </w:rPr>
              <w:t xml:space="preserve"> drug (when n ≥ 10)</w:t>
            </w:r>
          </w:p>
        </w:tc>
        <w:tc>
          <w:tcPr>
            <w:tcW w:w="608" w:type="dxa"/>
            <w:tcBorders>
              <w:top w:val="nil"/>
              <w:left w:val="nil"/>
              <w:bottom w:val="single" w:sz="4" w:space="0" w:color="auto"/>
              <w:right w:val="single" w:sz="4" w:space="0" w:color="auto"/>
            </w:tcBorders>
            <w:shd w:val="clear" w:color="000000" w:fill="E7E6E6"/>
            <w:vAlign w:val="center"/>
            <w:hideMark/>
          </w:tcPr>
          <w:p w14:paraId="610C4A04" w14:textId="77777777" w:rsidR="007D57FB" w:rsidRPr="00AA1B61" w:rsidRDefault="007D57FB" w:rsidP="005B3E6B">
            <w:pPr>
              <w:spacing w:after="0" w:line="240" w:lineRule="auto"/>
              <w:rPr>
                <w:rFonts w:ascii="Calibri" w:eastAsia="Times New Roman" w:hAnsi="Calibri" w:cs="Calibri"/>
                <w:b/>
                <w:bCs/>
                <w:color w:val="000000"/>
                <w:lang w:eastAsia="en-GB"/>
              </w:rPr>
            </w:pPr>
            <w:r w:rsidRPr="00AA1B61">
              <w:rPr>
                <w:rFonts w:ascii="Calibri" w:eastAsia="Times New Roman" w:hAnsi="Calibri" w:cs="Calibri"/>
                <w:b/>
                <w:bCs/>
                <w:color w:val="000000"/>
                <w:lang w:eastAsia="en-GB"/>
              </w:rPr>
              <w:t>n</w:t>
            </w:r>
          </w:p>
        </w:tc>
      </w:tr>
      <w:tr w:rsidR="007D57FB" w:rsidRPr="00AA1B61" w14:paraId="610C4A11"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A06"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P01</w:t>
            </w:r>
          </w:p>
        </w:tc>
        <w:tc>
          <w:tcPr>
            <w:tcW w:w="2268" w:type="dxa"/>
            <w:tcBorders>
              <w:top w:val="nil"/>
              <w:left w:val="nil"/>
              <w:bottom w:val="single" w:sz="4" w:space="0" w:color="auto"/>
              <w:right w:val="single" w:sz="4" w:space="0" w:color="auto"/>
            </w:tcBorders>
            <w:shd w:val="clear" w:color="auto" w:fill="auto"/>
            <w:noWrap/>
            <w:vAlign w:val="center"/>
            <w:hideMark/>
          </w:tcPr>
          <w:p w14:paraId="610C4A07"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Antiprotozoals</w:t>
            </w:r>
          </w:p>
        </w:tc>
        <w:tc>
          <w:tcPr>
            <w:tcW w:w="608" w:type="dxa"/>
            <w:tcBorders>
              <w:top w:val="nil"/>
              <w:left w:val="nil"/>
              <w:bottom w:val="single" w:sz="4" w:space="0" w:color="auto"/>
              <w:right w:val="single" w:sz="4" w:space="0" w:color="auto"/>
            </w:tcBorders>
            <w:shd w:val="clear" w:color="auto" w:fill="auto"/>
            <w:noWrap/>
            <w:vAlign w:val="center"/>
            <w:hideMark/>
          </w:tcPr>
          <w:p w14:paraId="610C4A08" w14:textId="77777777" w:rsidR="007D57FB" w:rsidRPr="00AA1B61" w:rsidRDefault="007D57FB" w:rsidP="005B3E6B">
            <w:pPr>
              <w:spacing w:after="0" w:line="240" w:lineRule="auto"/>
              <w:jc w:val="right"/>
              <w:rPr>
                <w:rFonts w:ascii="Calibri" w:eastAsia="Times New Roman" w:hAnsi="Calibri" w:cs="Calibri"/>
                <w:color w:val="000000"/>
                <w:lang w:eastAsia="en-GB"/>
              </w:rPr>
            </w:pPr>
            <w:r w:rsidRPr="00AA1B61">
              <w:rPr>
                <w:rFonts w:ascii="Calibri" w:eastAsia="Times New Roman" w:hAnsi="Calibri" w:cs="Calibri"/>
                <w:color w:val="000000"/>
                <w:lang w:eastAsia="en-GB"/>
              </w:rPr>
              <w:t>1</w:t>
            </w:r>
          </w:p>
        </w:tc>
        <w:tc>
          <w:tcPr>
            <w:tcW w:w="608" w:type="dxa"/>
            <w:tcBorders>
              <w:top w:val="nil"/>
              <w:left w:val="nil"/>
              <w:bottom w:val="single" w:sz="4" w:space="0" w:color="auto"/>
              <w:right w:val="single" w:sz="4" w:space="0" w:color="auto"/>
            </w:tcBorders>
            <w:shd w:val="clear" w:color="auto" w:fill="auto"/>
            <w:noWrap/>
            <w:vAlign w:val="center"/>
            <w:hideMark/>
          </w:tcPr>
          <w:p w14:paraId="610C4A09"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723" w:type="dxa"/>
            <w:tcBorders>
              <w:top w:val="nil"/>
              <w:left w:val="nil"/>
              <w:bottom w:val="single" w:sz="4" w:space="0" w:color="auto"/>
              <w:right w:val="single" w:sz="4" w:space="0" w:color="auto"/>
            </w:tcBorders>
            <w:shd w:val="clear" w:color="auto" w:fill="auto"/>
            <w:noWrap/>
            <w:vAlign w:val="center"/>
            <w:hideMark/>
          </w:tcPr>
          <w:p w14:paraId="610C4A0A"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0B"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0C"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A0D"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0E"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523" w:type="dxa"/>
            <w:tcBorders>
              <w:top w:val="nil"/>
              <w:left w:val="nil"/>
              <w:bottom w:val="single" w:sz="4" w:space="0" w:color="auto"/>
              <w:right w:val="single" w:sz="4" w:space="0" w:color="auto"/>
            </w:tcBorders>
            <w:shd w:val="clear" w:color="auto" w:fill="auto"/>
            <w:noWrap/>
            <w:vAlign w:val="center"/>
            <w:hideMark/>
          </w:tcPr>
          <w:p w14:paraId="610C4A0F"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10"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r>
      <w:tr w:rsidR="007D57FB" w:rsidRPr="00AA1B61" w14:paraId="610C4A1D"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A12"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P02</w:t>
            </w:r>
          </w:p>
        </w:tc>
        <w:tc>
          <w:tcPr>
            <w:tcW w:w="2268" w:type="dxa"/>
            <w:tcBorders>
              <w:top w:val="nil"/>
              <w:left w:val="nil"/>
              <w:bottom w:val="single" w:sz="4" w:space="0" w:color="auto"/>
              <w:right w:val="single" w:sz="4" w:space="0" w:color="auto"/>
            </w:tcBorders>
            <w:shd w:val="clear" w:color="auto" w:fill="auto"/>
            <w:noWrap/>
            <w:vAlign w:val="center"/>
            <w:hideMark/>
          </w:tcPr>
          <w:p w14:paraId="610C4A13"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Anthelmintics</w:t>
            </w:r>
          </w:p>
        </w:tc>
        <w:tc>
          <w:tcPr>
            <w:tcW w:w="608" w:type="dxa"/>
            <w:tcBorders>
              <w:top w:val="nil"/>
              <w:left w:val="nil"/>
              <w:bottom w:val="single" w:sz="4" w:space="0" w:color="auto"/>
              <w:right w:val="single" w:sz="4" w:space="0" w:color="auto"/>
            </w:tcBorders>
            <w:shd w:val="clear" w:color="auto" w:fill="auto"/>
            <w:noWrap/>
            <w:vAlign w:val="center"/>
            <w:hideMark/>
          </w:tcPr>
          <w:p w14:paraId="610C4A14" w14:textId="77777777" w:rsidR="007D57FB" w:rsidRPr="00AA1B61" w:rsidRDefault="007D57FB" w:rsidP="005B3E6B">
            <w:pPr>
              <w:spacing w:after="0" w:line="240" w:lineRule="auto"/>
              <w:jc w:val="right"/>
              <w:rPr>
                <w:rFonts w:ascii="Calibri" w:eastAsia="Times New Roman" w:hAnsi="Calibri" w:cs="Calibri"/>
                <w:color w:val="000000"/>
                <w:lang w:eastAsia="en-GB"/>
              </w:rPr>
            </w:pPr>
            <w:r w:rsidRPr="00AA1B61">
              <w:rPr>
                <w:rFonts w:ascii="Calibri" w:eastAsia="Times New Roman" w:hAnsi="Calibri" w:cs="Calibri"/>
                <w:color w:val="000000"/>
                <w:lang w:eastAsia="en-GB"/>
              </w:rPr>
              <w:t>1</w:t>
            </w:r>
          </w:p>
        </w:tc>
        <w:tc>
          <w:tcPr>
            <w:tcW w:w="608" w:type="dxa"/>
            <w:tcBorders>
              <w:top w:val="nil"/>
              <w:left w:val="nil"/>
              <w:bottom w:val="single" w:sz="4" w:space="0" w:color="auto"/>
              <w:right w:val="single" w:sz="4" w:space="0" w:color="auto"/>
            </w:tcBorders>
            <w:shd w:val="clear" w:color="auto" w:fill="auto"/>
            <w:noWrap/>
            <w:vAlign w:val="center"/>
            <w:hideMark/>
          </w:tcPr>
          <w:p w14:paraId="610C4A15"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723" w:type="dxa"/>
            <w:tcBorders>
              <w:top w:val="nil"/>
              <w:left w:val="nil"/>
              <w:bottom w:val="single" w:sz="4" w:space="0" w:color="auto"/>
              <w:right w:val="single" w:sz="4" w:space="0" w:color="auto"/>
            </w:tcBorders>
            <w:shd w:val="clear" w:color="auto" w:fill="auto"/>
            <w:noWrap/>
            <w:vAlign w:val="center"/>
            <w:hideMark/>
          </w:tcPr>
          <w:p w14:paraId="610C4A16"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17"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18"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A19"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1A"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1523" w:type="dxa"/>
            <w:tcBorders>
              <w:top w:val="nil"/>
              <w:left w:val="nil"/>
              <w:bottom w:val="single" w:sz="4" w:space="0" w:color="auto"/>
              <w:right w:val="single" w:sz="4" w:space="0" w:color="auto"/>
            </w:tcBorders>
            <w:shd w:val="clear" w:color="auto" w:fill="auto"/>
            <w:noWrap/>
            <w:vAlign w:val="center"/>
            <w:hideMark/>
          </w:tcPr>
          <w:p w14:paraId="610C4A1B"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1C" w14:textId="77777777" w:rsidR="007D57FB" w:rsidRPr="00AA1B61" w:rsidRDefault="007D57FB" w:rsidP="005B3E6B">
            <w:pPr>
              <w:spacing w:after="0" w:line="240" w:lineRule="auto"/>
              <w:rPr>
                <w:rFonts w:ascii="Calibri" w:eastAsia="Times New Roman" w:hAnsi="Calibri" w:cs="Calibri"/>
                <w:color w:val="000000"/>
                <w:lang w:eastAsia="en-GB"/>
              </w:rPr>
            </w:pPr>
            <w:r w:rsidRPr="00AA1B61">
              <w:rPr>
                <w:rFonts w:ascii="Calibri" w:eastAsia="Times New Roman" w:hAnsi="Calibri" w:cs="Calibri"/>
                <w:color w:val="000000"/>
                <w:lang w:eastAsia="en-GB"/>
              </w:rPr>
              <w:t>-</w:t>
            </w:r>
          </w:p>
        </w:tc>
      </w:tr>
    </w:tbl>
    <w:p w14:paraId="610C4A1E" w14:textId="77777777" w:rsidR="007D57FB" w:rsidRDefault="007D57FB"/>
    <w:p w14:paraId="610C4A1F" w14:textId="77777777" w:rsidR="007D57FB" w:rsidRDefault="007D57FB" w:rsidP="005B3E6B">
      <w:pPr>
        <w:pStyle w:val="Heading3"/>
      </w:pPr>
      <w:bookmarkStart w:id="66" w:name="_Toc52396385"/>
      <w:r>
        <w:t>Various</w:t>
      </w:r>
      <w:bookmarkEnd w:id="66"/>
    </w:p>
    <w:tbl>
      <w:tblPr>
        <w:tblW w:w="12342" w:type="dxa"/>
        <w:tblLook w:val="04A0" w:firstRow="1" w:lastRow="0" w:firstColumn="1" w:lastColumn="0" w:noHBand="0" w:noVBand="1"/>
      </w:tblPr>
      <w:tblGrid>
        <w:gridCol w:w="2012"/>
        <w:gridCol w:w="2268"/>
        <w:gridCol w:w="608"/>
        <w:gridCol w:w="608"/>
        <w:gridCol w:w="1723"/>
        <w:gridCol w:w="608"/>
        <w:gridCol w:w="608"/>
        <w:gridCol w:w="1093"/>
        <w:gridCol w:w="608"/>
        <w:gridCol w:w="1606"/>
        <w:gridCol w:w="612"/>
      </w:tblGrid>
      <w:tr w:rsidR="007D57FB" w:rsidRPr="00675804" w14:paraId="610C4A21" w14:textId="77777777" w:rsidTr="005B3E6B">
        <w:trPr>
          <w:trHeight w:val="290"/>
        </w:trPr>
        <w:tc>
          <w:tcPr>
            <w:tcW w:w="12342" w:type="dxa"/>
            <w:gridSpan w:val="11"/>
            <w:tcBorders>
              <w:top w:val="single" w:sz="4" w:space="0" w:color="auto"/>
              <w:left w:val="single" w:sz="4" w:space="0" w:color="auto"/>
              <w:bottom w:val="single" w:sz="4" w:space="0" w:color="auto"/>
              <w:right w:val="single" w:sz="4" w:space="0" w:color="000000"/>
            </w:tcBorders>
            <w:shd w:val="clear" w:color="000000" w:fill="E7E6E6"/>
            <w:vAlign w:val="center"/>
            <w:hideMark/>
          </w:tcPr>
          <w:p w14:paraId="610C4A20"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Various</w:t>
            </w:r>
            <w:r>
              <w:rPr>
                <w:rFonts w:ascii="Calibri" w:eastAsia="Times New Roman" w:hAnsi="Calibri" w:cs="Calibri"/>
                <w:b/>
                <w:bCs/>
                <w:color w:val="000000"/>
                <w:lang w:eastAsia="en-GB"/>
              </w:rPr>
              <w:t>:</w:t>
            </w:r>
            <w:r w:rsidRPr="00675804">
              <w:rPr>
                <w:rFonts w:ascii="Calibri" w:eastAsia="Times New Roman" w:hAnsi="Calibri" w:cs="Calibri"/>
                <w:b/>
                <w:bCs/>
                <w:color w:val="000000"/>
                <w:lang w:eastAsia="en-GB"/>
              </w:rPr>
              <w:t xml:space="preserve"> 1 (0.04%)</w:t>
            </w:r>
          </w:p>
        </w:tc>
      </w:tr>
      <w:tr w:rsidR="007D57FB" w:rsidRPr="00675804" w14:paraId="610C4A2D" w14:textId="77777777" w:rsidTr="005B3E6B">
        <w:trPr>
          <w:trHeight w:val="144"/>
        </w:trPr>
        <w:tc>
          <w:tcPr>
            <w:tcW w:w="2012" w:type="dxa"/>
            <w:tcBorders>
              <w:top w:val="nil"/>
              <w:left w:val="single" w:sz="4" w:space="0" w:color="auto"/>
              <w:bottom w:val="single" w:sz="4" w:space="0" w:color="auto"/>
              <w:right w:val="single" w:sz="4" w:space="0" w:color="auto"/>
            </w:tcBorders>
            <w:shd w:val="clear" w:color="000000" w:fill="E7E6E6"/>
            <w:vAlign w:val="center"/>
            <w:hideMark/>
          </w:tcPr>
          <w:p w14:paraId="610C4A22"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 ATC 2</w:t>
            </w:r>
            <w:r w:rsidRPr="00B63787">
              <w:rPr>
                <w:rFonts w:ascii="Calibri" w:eastAsia="Times New Roman" w:hAnsi="Calibri" w:cs="Calibri"/>
                <w:b/>
                <w:bCs/>
                <w:color w:val="000000"/>
                <w:vertAlign w:val="superscript"/>
                <w:lang w:eastAsia="en-GB"/>
              </w:rPr>
              <w:t>nd</w:t>
            </w:r>
            <w:r>
              <w:rPr>
                <w:rFonts w:ascii="Calibri" w:eastAsia="Times New Roman" w:hAnsi="Calibri" w:cs="Calibri"/>
                <w:b/>
                <w:bCs/>
                <w:color w:val="000000"/>
                <w:lang w:eastAsia="en-GB"/>
              </w:rPr>
              <w:t xml:space="preserve"> </w:t>
            </w:r>
            <w:r w:rsidRPr="00675804">
              <w:rPr>
                <w:rFonts w:ascii="Calibri" w:eastAsia="Times New Roman" w:hAnsi="Calibri" w:cs="Calibri"/>
                <w:b/>
                <w:bCs/>
                <w:color w:val="000000"/>
                <w:lang w:eastAsia="en-GB"/>
              </w:rPr>
              <w:t xml:space="preserve"> </w:t>
            </w:r>
          </w:p>
        </w:tc>
        <w:tc>
          <w:tcPr>
            <w:tcW w:w="2268" w:type="dxa"/>
            <w:tcBorders>
              <w:top w:val="nil"/>
              <w:left w:val="nil"/>
              <w:bottom w:val="single" w:sz="4" w:space="0" w:color="auto"/>
              <w:right w:val="single" w:sz="4" w:space="0" w:color="auto"/>
            </w:tcBorders>
            <w:shd w:val="clear" w:color="000000" w:fill="E7E6E6"/>
            <w:vAlign w:val="center"/>
            <w:hideMark/>
          </w:tcPr>
          <w:p w14:paraId="610C4A23" w14:textId="77777777" w:rsidR="007D57FB" w:rsidRPr="00675804"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Therapeutic S</w:t>
            </w:r>
            <w:r w:rsidRPr="00675804">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A24"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A25"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ATC 3</w:t>
            </w:r>
            <w:r w:rsidRPr="00B63787">
              <w:rPr>
                <w:rFonts w:ascii="Calibri" w:eastAsia="Times New Roman" w:hAnsi="Calibri" w:cs="Calibri"/>
                <w:b/>
                <w:bCs/>
                <w:color w:val="000000"/>
                <w:vertAlign w:val="superscript"/>
                <w:lang w:eastAsia="en-GB"/>
              </w:rPr>
              <w:t>rd</w:t>
            </w:r>
            <w:r>
              <w:rPr>
                <w:rFonts w:ascii="Calibri" w:eastAsia="Times New Roman" w:hAnsi="Calibri" w:cs="Calibri"/>
                <w:b/>
                <w:bCs/>
                <w:color w:val="000000"/>
                <w:lang w:eastAsia="en-GB"/>
              </w:rPr>
              <w:t xml:space="preserve"> </w:t>
            </w:r>
          </w:p>
        </w:tc>
        <w:tc>
          <w:tcPr>
            <w:tcW w:w="1723" w:type="dxa"/>
            <w:tcBorders>
              <w:top w:val="nil"/>
              <w:left w:val="nil"/>
              <w:bottom w:val="single" w:sz="4" w:space="0" w:color="auto"/>
              <w:right w:val="single" w:sz="4" w:space="0" w:color="auto"/>
            </w:tcBorders>
            <w:shd w:val="clear" w:color="000000" w:fill="E7E6E6"/>
            <w:vAlign w:val="center"/>
            <w:hideMark/>
          </w:tcPr>
          <w:p w14:paraId="610C4A26" w14:textId="77777777" w:rsidR="007D57FB" w:rsidRPr="00675804"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Pharmacological S</w:t>
            </w:r>
            <w:r w:rsidRPr="00675804">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A27"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n</w:t>
            </w:r>
          </w:p>
        </w:tc>
        <w:tc>
          <w:tcPr>
            <w:tcW w:w="608" w:type="dxa"/>
            <w:tcBorders>
              <w:top w:val="nil"/>
              <w:left w:val="nil"/>
              <w:bottom w:val="single" w:sz="4" w:space="0" w:color="auto"/>
              <w:right w:val="single" w:sz="4" w:space="0" w:color="auto"/>
            </w:tcBorders>
            <w:shd w:val="clear" w:color="000000" w:fill="E7E6E6"/>
            <w:vAlign w:val="center"/>
            <w:hideMark/>
          </w:tcPr>
          <w:p w14:paraId="610C4A28"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ATC 4</w:t>
            </w:r>
            <w:r w:rsidRPr="00B637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p>
        </w:tc>
        <w:tc>
          <w:tcPr>
            <w:tcW w:w="1077" w:type="dxa"/>
            <w:tcBorders>
              <w:top w:val="nil"/>
              <w:left w:val="nil"/>
              <w:bottom w:val="single" w:sz="4" w:space="0" w:color="auto"/>
              <w:right w:val="single" w:sz="4" w:space="0" w:color="auto"/>
            </w:tcBorders>
            <w:shd w:val="clear" w:color="000000" w:fill="E7E6E6"/>
            <w:vAlign w:val="center"/>
            <w:hideMark/>
          </w:tcPr>
          <w:p w14:paraId="610C4A29" w14:textId="77777777" w:rsidR="007D57FB" w:rsidRPr="00675804" w:rsidRDefault="007D57FB" w:rsidP="005B3E6B">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Chemical S</w:t>
            </w:r>
            <w:r w:rsidRPr="00675804">
              <w:rPr>
                <w:rFonts w:ascii="Calibri" w:eastAsia="Times New Roman" w:hAnsi="Calibri" w:cs="Calibri"/>
                <w:b/>
                <w:bCs/>
                <w:color w:val="000000"/>
                <w:lang w:eastAsia="en-GB"/>
              </w:rPr>
              <w:t>ubgroup</w:t>
            </w:r>
          </w:p>
        </w:tc>
        <w:tc>
          <w:tcPr>
            <w:tcW w:w="608" w:type="dxa"/>
            <w:tcBorders>
              <w:top w:val="nil"/>
              <w:left w:val="nil"/>
              <w:bottom w:val="single" w:sz="4" w:space="0" w:color="auto"/>
              <w:right w:val="single" w:sz="4" w:space="0" w:color="auto"/>
            </w:tcBorders>
            <w:shd w:val="clear" w:color="000000" w:fill="E7E6E6"/>
            <w:vAlign w:val="center"/>
            <w:hideMark/>
          </w:tcPr>
          <w:p w14:paraId="610C4A2A"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n</w:t>
            </w:r>
          </w:p>
        </w:tc>
        <w:tc>
          <w:tcPr>
            <w:tcW w:w="1606" w:type="dxa"/>
            <w:tcBorders>
              <w:top w:val="nil"/>
              <w:left w:val="nil"/>
              <w:bottom w:val="single" w:sz="4" w:space="0" w:color="auto"/>
              <w:right w:val="single" w:sz="4" w:space="0" w:color="auto"/>
            </w:tcBorders>
            <w:shd w:val="clear" w:color="000000" w:fill="E7E6E6"/>
            <w:vAlign w:val="center"/>
            <w:hideMark/>
          </w:tcPr>
          <w:p w14:paraId="610C4A2B"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ATC 5</w:t>
            </w:r>
            <w:r w:rsidRPr="00B63787">
              <w:rPr>
                <w:rFonts w:ascii="Calibri" w:eastAsia="Times New Roman" w:hAnsi="Calibri" w:cs="Calibri"/>
                <w:b/>
                <w:bCs/>
                <w:color w:val="000000"/>
                <w:vertAlign w:val="superscript"/>
                <w:lang w:eastAsia="en-GB"/>
              </w:rPr>
              <w:t>th</w:t>
            </w:r>
            <w:r>
              <w:rPr>
                <w:rFonts w:ascii="Calibri" w:eastAsia="Times New Roman" w:hAnsi="Calibri" w:cs="Calibri"/>
                <w:b/>
                <w:bCs/>
                <w:color w:val="000000"/>
                <w:lang w:eastAsia="en-GB"/>
              </w:rPr>
              <w:t xml:space="preserve"> /</w:t>
            </w:r>
            <w:r w:rsidRPr="00675804">
              <w:rPr>
                <w:rFonts w:ascii="Calibri" w:eastAsia="Times New Roman" w:hAnsi="Calibri" w:cs="Calibri"/>
                <w:b/>
                <w:bCs/>
                <w:color w:val="000000"/>
                <w:lang w:eastAsia="en-GB"/>
              </w:rPr>
              <w:t xml:space="preserve"> drug (when n ≥ 10)</w:t>
            </w:r>
          </w:p>
        </w:tc>
        <w:tc>
          <w:tcPr>
            <w:tcW w:w="612" w:type="dxa"/>
            <w:tcBorders>
              <w:top w:val="nil"/>
              <w:left w:val="nil"/>
              <w:bottom w:val="single" w:sz="4" w:space="0" w:color="auto"/>
              <w:right w:val="single" w:sz="4" w:space="0" w:color="auto"/>
            </w:tcBorders>
            <w:shd w:val="clear" w:color="000000" w:fill="E7E6E6"/>
            <w:vAlign w:val="center"/>
            <w:hideMark/>
          </w:tcPr>
          <w:p w14:paraId="610C4A2C" w14:textId="77777777" w:rsidR="007D57FB" w:rsidRPr="00675804" w:rsidRDefault="007D57FB" w:rsidP="005B3E6B">
            <w:pPr>
              <w:spacing w:after="0" w:line="240" w:lineRule="auto"/>
              <w:rPr>
                <w:rFonts w:ascii="Calibri" w:eastAsia="Times New Roman" w:hAnsi="Calibri" w:cs="Calibri"/>
                <w:b/>
                <w:bCs/>
                <w:color w:val="000000"/>
                <w:lang w:eastAsia="en-GB"/>
              </w:rPr>
            </w:pPr>
            <w:r w:rsidRPr="00675804">
              <w:rPr>
                <w:rFonts w:ascii="Calibri" w:eastAsia="Times New Roman" w:hAnsi="Calibri" w:cs="Calibri"/>
                <w:b/>
                <w:bCs/>
                <w:color w:val="000000"/>
                <w:lang w:eastAsia="en-GB"/>
              </w:rPr>
              <w:t>n</w:t>
            </w:r>
          </w:p>
        </w:tc>
      </w:tr>
      <w:tr w:rsidR="007D57FB" w:rsidRPr="00675804" w14:paraId="610C4A39" w14:textId="77777777" w:rsidTr="005B3E6B">
        <w:trPr>
          <w:trHeight w:val="290"/>
        </w:trPr>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10C4A2E"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V04</w:t>
            </w:r>
          </w:p>
        </w:tc>
        <w:tc>
          <w:tcPr>
            <w:tcW w:w="2268" w:type="dxa"/>
            <w:tcBorders>
              <w:top w:val="nil"/>
              <w:left w:val="nil"/>
              <w:bottom w:val="single" w:sz="4" w:space="0" w:color="auto"/>
              <w:right w:val="single" w:sz="4" w:space="0" w:color="auto"/>
            </w:tcBorders>
            <w:shd w:val="clear" w:color="auto" w:fill="auto"/>
            <w:noWrap/>
            <w:vAlign w:val="center"/>
            <w:hideMark/>
          </w:tcPr>
          <w:p w14:paraId="610C4A2F"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Diagnostic Agents</w:t>
            </w:r>
          </w:p>
        </w:tc>
        <w:tc>
          <w:tcPr>
            <w:tcW w:w="608" w:type="dxa"/>
            <w:tcBorders>
              <w:top w:val="nil"/>
              <w:left w:val="nil"/>
              <w:bottom w:val="single" w:sz="4" w:space="0" w:color="auto"/>
              <w:right w:val="single" w:sz="4" w:space="0" w:color="auto"/>
            </w:tcBorders>
            <w:shd w:val="clear" w:color="auto" w:fill="auto"/>
            <w:noWrap/>
            <w:vAlign w:val="center"/>
            <w:hideMark/>
          </w:tcPr>
          <w:p w14:paraId="610C4A30" w14:textId="77777777" w:rsidR="007D57FB" w:rsidRPr="00675804" w:rsidRDefault="007D57FB" w:rsidP="005B3E6B">
            <w:pPr>
              <w:spacing w:after="0" w:line="240" w:lineRule="auto"/>
              <w:jc w:val="right"/>
              <w:rPr>
                <w:rFonts w:ascii="Calibri" w:eastAsia="Times New Roman" w:hAnsi="Calibri" w:cs="Calibri"/>
                <w:color w:val="000000"/>
                <w:lang w:eastAsia="en-GB"/>
              </w:rPr>
            </w:pPr>
            <w:r w:rsidRPr="00675804">
              <w:rPr>
                <w:rFonts w:ascii="Calibri" w:eastAsia="Times New Roman" w:hAnsi="Calibri" w:cs="Calibri"/>
                <w:color w:val="000000"/>
                <w:lang w:eastAsia="en-GB"/>
              </w:rPr>
              <w:t>1</w:t>
            </w:r>
          </w:p>
        </w:tc>
        <w:tc>
          <w:tcPr>
            <w:tcW w:w="608" w:type="dxa"/>
            <w:tcBorders>
              <w:top w:val="nil"/>
              <w:left w:val="nil"/>
              <w:bottom w:val="single" w:sz="4" w:space="0" w:color="auto"/>
              <w:right w:val="single" w:sz="4" w:space="0" w:color="auto"/>
            </w:tcBorders>
            <w:shd w:val="clear" w:color="auto" w:fill="auto"/>
            <w:noWrap/>
            <w:vAlign w:val="center"/>
            <w:hideMark/>
          </w:tcPr>
          <w:p w14:paraId="610C4A31"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1723" w:type="dxa"/>
            <w:tcBorders>
              <w:top w:val="nil"/>
              <w:left w:val="nil"/>
              <w:bottom w:val="single" w:sz="4" w:space="0" w:color="auto"/>
              <w:right w:val="single" w:sz="4" w:space="0" w:color="auto"/>
            </w:tcBorders>
            <w:shd w:val="clear" w:color="auto" w:fill="auto"/>
            <w:noWrap/>
            <w:vAlign w:val="center"/>
            <w:hideMark/>
          </w:tcPr>
          <w:p w14:paraId="610C4A32"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33"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34"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1077" w:type="dxa"/>
            <w:tcBorders>
              <w:top w:val="nil"/>
              <w:left w:val="nil"/>
              <w:bottom w:val="single" w:sz="4" w:space="0" w:color="auto"/>
              <w:right w:val="single" w:sz="4" w:space="0" w:color="auto"/>
            </w:tcBorders>
            <w:shd w:val="clear" w:color="auto" w:fill="auto"/>
            <w:noWrap/>
            <w:vAlign w:val="center"/>
            <w:hideMark/>
          </w:tcPr>
          <w:p w14:paraId="610C4A35"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608" w:type="dxa"/>
            <w:tcBorders>
              <w:top w:val="nil"/>
              <w:left w:val="nil"/>
              <w:bottom w:val="single" w:sz="4" w:space="0" w:color="auto"/>
              <w:right w:val="single" w:sz="4" w:space="0" w:color="auto"/>
            </w:tcBorders>
            <w:shd w:val="clear" w:color="auto" w:fill="auto"/>
            <w:noWrap/>
            <w:vAlign w:val="center"/>
            <w:hideMark/>
          </w:tcPr>
          <w:p w14:paraId="610C4A36"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1606" w:type="dxa"/>
            <w:tcBorders>
              <w:top w:val="nil"/>
              <w:left w:val="nil"/>
              <w:bottom w:val="single" w:sz="4" w:space="0" w:color="auto"/>
              <w:right w:val="single" w:sz="4" w:space="0" w:color="auto"/>
            </w:tcBorders>
            <w:shd w:val="clear" w:color="auto" w:fill="auto"/>
            <w:noWrap/>
            <w:vAlign w:val="center"/>
            <w:hideMark/>
          </w:tcPr>
          <w:p w14:paraId="610C4A37"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c>
          <w:tcPr>
            <w:tcW w:w="612" w:type="dxa"/>
            <w:tcBorders>
              <w:top w:val="nil"/>
              <w:left w:val="nil"/>
              <w:bottom w:val="single" w:sz="4" w:space="0" w:color="auto"/>
              <w:right w:val="single" w:sz="4" w:space="0" w:color="auto"/>
            </w:tcBorders>
            <w:shd w:val="clear" w:color="auto" w:fill="auto"/>
            <w:noWrap/>
            <w:vAlign w:val="center"/>
            <w:hideMark/>
          </w:tcPr>
          <w:p w14:paraId="610C4A38" w14:textId="77777777" w:rsidR="007D57FB" w:rsidRPr="00675804" w:rsidRDefault="007D57FB" w:rsidP="005B3E6B">
            <w:pPr>
              <w:spacing w:after="0" w:line="240" w:lineRule="auto"/>
              <w:rPr>
                <w:rFonts w:ascii="Calibri" w:eastAsia="Times New Roman" w:hAnsi="Calibri" w:cs="Calibri"/>
                <w:color w:val="000000"/>
                <w:lang w:eastAsia="en-GB"/>
              </w:rPr>
            </w:pPr>
            <w:r w:rsidRPr="00675804">
              <w:rPr>
                <w:rFonts w:ascii="Calibri" w:eastAsia="Times New Roman" w:hAnsi="Calibri" w:cs="Calibri"/>
                <w:color w:val="000000"/>
                <w:lang w:eastAsia="en-GB"/>
              </w:rPr>
              <w:t>-</w:t>
            </w:r>
          </w:p>
        </w:tc>
      </w:tr>
    </w:tbl>
    <w:p w14:paraId="610C4A3A" w14:textId="77777777" w:rsidR="007D57FB" w:rsidRDefault="007D57FB"/>
    <w:p w14:paraId="610C4A3B" w14:textId="77777777" w:rsidR="007D57FB" w:rsidRDefault="007D57FB">
      <w:pPr>
        <w:sectPr w:rsidR="007D57FB" w:rsidSect="005B3E6B">
          <w:pgSz w:w="16838" w:h="11906" w:orient="landscape"/>
          <w:pgMar w:top="1440" w:right="1440" w:bottom="1440" w:left="1440" w:header="709" w:footer="709" w:gutter="0"/>
          <w:cols w:space="708"/>
          <w:docGrid w:linePitch="360"/>
        </w:sectPr>
      </w:pPr>
    </w:p>
    <w:p w14:paraId="610C4A3C" w14:textId="1BE0FFEF" w:rsidR="007D57FB" w:rsidRDefault="00DA5224" w:rsidP="005B3E6B">
      <w:pPr>
        <w:pStyle w:val="Heading1"/>
      </w:pPr>
      <w:bookmarkStart w:id="67" w:name="_Toc52396386"/>
      <w:r>
        <w:t>Appendix 22</w:t>
      </w:r>
      <w:r w:rsidR="00737863">
        <w:t>.</w:t>
      </w:r>
      <w:r w:rsidR="005E36E5">
        <w:t xml:space="preserve"> </w:t>
      </w:r>
      <w:r w:rsidR="007D57FB">
        <w:t>ADR Reported Severity.</w:t>
      </w:r>
      <w:bookmarkEnd w:id="67"/>
    </w:p>
    <w:p w14:paraId="3587E251" w14:textId="22B5BD06" w:rsidR="006D490D" w:rsidRPr="006D490D" w:rsidRDefault="006D490D" w:rsidP="008937F3">
      <w:r>
        <w:t>Eighteen studies reported details pertaining to ADR severity.</w:t>
      </w:r>
      <w:r w:rsidRPr="005138C7">
        <w:rPr>
          <w:noProof/>
          <w:vertAlign w:val="superscript"/>
        </w:rPr>
        <w:t>8,9,12-17,19-26,31,34</w:t>
      </w:r>
    </w:p>
    <w:tbl>
      <w:tblPr>
        <w:tblW w:w="9611" w:type="dxa"/>
        <w:tblLook w:val="04A0" w:firstRow="1" w:lastRow="0" w:firstColumn="1" w:lastColumn="0" w:noHBand="0" w:noVBand="1"/>
      </w:tblPr>
      <w:tblGrid>
        <w:gridCol w:w="2016"/>
        <w:gridCol w:w="1879"/>
        <w:gridCol w:w="886"/>
        <w:gridCol w:w="1076"/>
        <w:gridCol w:w="1786"/>
        <w:gridCol w:w="1023"/>
        <w:gridCol w:w="945"/>
      </w:tblGrid>
      <w:tr w:rsidR="007D57FB" w:rsidRPr="00FA1DB2" w14:paraId="610C4A44" w14:textId="77777777" w:rsidTr="008937F3">
        <w:trPr>
          <w:trHeight w:val="458"/>
        </w:trPr>
        <w:tc>
          <w:tcPr>
            <w:tcW w:w="2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4A3D" w14:textId="26CF7C09" w:rsidR="007D57FB" w:rsidRPr="00FA1DB2" w:rsidRDefault="007D57FB" w:rsidP="005B3E6B">
            <w:pPr>
              <w:spacing w:after="0" w:line="240" w:lineRule="auto"/>
              <w:rPr>
                <w:rFonts w:ascii="Calibri" w:eastAsia="Times New Roman" w:hAnsi="Calibri" w:cs="Calibri"/>
                <w:b/>
                <w:bCs/>
                <w:color w:val="000000"/>
                <w:u w:val="single"/>
                <w:lang w:eastAsia="en-GB"/>
              </w:rPr>
            </w:pPr>
            <w:r w:rsidRPr="00FA1DB2">
              <w:rPr>
                <w:rFonts w:ascii="Calibri" w:eastAsia="Times New Roman" w:hAnsi="Calibri" w:cs="Calibri"/>
                <w:b/>
                <w:bCs/>
                <w:color w:val="000000"/>
                <w:u w:val="single"/>
                <w:lang w:eastAsia="en-GB"/>
              </w:rPr>
              <w:t>Author</w:t>
            </w:r>
          </w:p>
        </w:tc>
        <w:tc>
          <w:tcPr>
            <w:tcW w:w="1879" w:type="dxa"/>
            <w:tcBorders>
              <w:top w:val="single" w:sz="4" w:space="0" w:color="auto"/>
              <w:left w:val="nil"/>
              <w:bottom w:val="single" w:sz="4" w:space="0" w:color="auto"/>
              <w:right w:val="single" w:sz="4" w:space="0" w:color="auto"/>
            </w:tcBorders>
            <w:shd w:val="clear" w:color="auto" w:fill="auto"/>
            <w:vAlign w:val="center"/>
          </w:tcPr>
          <w:p w14:paraId="610C4A3E"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Pr>
                <w:rFonts w:ascii="Calibri" w:eastAsia="Times New Roman" w:hAnsi="Calibri" w:cs="Calibri"/>
                <w:b/>
                <w:bCs/>
                <w:color w:val="000000"/>
                <w:u w:val="single"/>
                <w:lang w:eastAsia="en-GB"/>
              </w:rPr>
              <w:t>Population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10C4A3F"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sidRPr="00FA1DB2">
              <w:rPr>
                <w:rFonts w:ascii="Calibri" w:eastAsia="Times New Roman" w:hAnsi="Calibri" w:cs="Calibri"/>
                <w:b/>
                <w:bCs/>
                <w:color w:val="000000"/>
                <w:u w:val="single"/>
                <w:lang w:eastAsia="en-GB"/>
              </w:rPr>
              <w:t>n ≥ 65</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610C4A40"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sidRPr="00FA1DB2">
              <w:rPr>
                <w:rFonts w:ascii="Calibri" w:eastAsia="Times New Roman" w:hAnsi="Calibri" w:cs="Calibri"/>
                <w:b/>
                <w:bCs/>
                <w:color w:val="000000"/>
                <w:u w:val="single"/>
                <w:lang w:eastAsia="en-GB"/>
              </w:rPr>
              <w:t># ≥ 65 ADRs</w:t>
            </w:r>
          </w:p>
        </w:tc>
        <w:tc>
          <w:tcPr>
            <w:tcW w:w="1786" w:type="dxa"/>
            <w:tcBorders>
              <w:top w:val="single" w:sz="4" w:space="0" w:color="auto"/>
              <w:left w:val="nil"/>
              <w:bottom w:val="single" w:sz="4" w:space="0" w:color="auto"/>
              <w:right w:val="single" w:sz="4" w:space="0" w:color="auto"/>
            </w:tcBorders>
            <w:shd w:val="clear" w:color="auto" w:fill="auto"/>
            <w:vAlign w:val="center"/>
            <w:hideMark/>
          </w:tcPr>
          <w:p w14:paraId="610C4A41"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Pr>
                <w:rFonts w:ascii="Calibri" w:eastAsia="Times New Roman" w:hAnsi="Calibri" w:cs="Calibri"/>
                <w:b/>
                <w:bCs/>
                <w:color w:val="000000"/>
                <w:u w:val="single"/>
                <w:lang w:eastAsia="en-GB"/>
              </w:rPr>
              <w:t>Severity Tool</w:t>
            </w:r>
          </w:p>
        </w:tc>
        <w:tc>
          <w:tcPr>
            <w:tcW w:w="1023" w:type="dxa"/>
            <w:tcBorders>
              <w:top w:val="single" w:sz="4" w:space="0" w:color="auto"/>
              <w:left w:val="nil"/>
              <w:bottom w:val="single" w:sz="4" w:space="0" w:color="auto"/>
              <w:right w:val="single" w:sz="4" w:space="0" w:color="auto"/>
            </w:tcBorders>
            <w:shd w:val="clear" w:color="auto" w:fill="auto"/>
            <w:vAlign w:val="center"/>
            <w:hideMark/>
          </w:tcPr>
          <w:p w14:paraId="610C4A42"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Pr>
                <w:rFonts w:ascii="Calibri" w:eastAsia="Times New Roman" w:hAnsi="Calibri" w:cs="Calibri"/>
                <w:b/>
                <w:bCs/>
                <w:color w:val="000000"/>
                <w:u w:val="single"/>
                <w:lang w:eastAsia="en-GB"/>
              </w:rPr>
              <w:t>n ADRs*</w:t>
            </w:r>
          </w:p>
        </w:tc>
        <w:tc>
          <w:tcPr>
            <w:tcW w:w="945" w:type="dxa"/>
            <w:tcBorders>
              <w:top w:val="single" w:sz="4" w:space="0" w:color="auto"/>
              <w:left w:val="nil"/>
              <w:bottom w:val="single" w:sz="4" w:space="0" w:color="auto"/>
              <w:right w:val="single" w:sz="4" w:space="0" w:color="auto"/>
            </w:tcBorders>
            <w:shd w:val="clear" w:color="auto" w:fill="auto"/>
            <w:vAlign w:val="center"/>
            <w:hideMark/>
          </w:tcPr>
          <w:p w14:paraId="610C4A43" w14:textId="77777777" w:rsidR="007D57FB" w:rsidRPr="00FA1DB2" w:rsidRDefault="007D57FB" w:rsidP="005B3E6B">
            <w:pPr>
              <w:spacing w:after="0" w:line="240" w:lineRule="auto"/>
              <w:rPr>
                <w:rFonts w:ascii="Calibri" w:eastAsia="Times New Roman" w:hAnsi="Calibri" w:cs="Calibri"/>
                <w:b/>
                <w:bCs/>
                <w:color w:val="000000"/>
                <w:u w:val="single"/>
                <w:lang w:eastAsia="en-GB"/>
              </w:rPr>
            </w:pPr>
            <w:r>
              <w:rPr>
                <w:rFonts w:ascii="Calibri" w:eastAsia="Times New Roman" w:hAnsi="Calibri" w:cs="Calibri"/>
                <w:b/>
                <w:bCs/>
                <w:color w:val="000000"/>
                <w:u w:val="single"/>
                <w:lang w:eastAsia="en-GB"/>
              </w:rPr>
              <w:t>% Severe*</w:t>
            </w:r>
          </w:p>
        </w:tc>
      </w:tr>
      <w:tr w:rsidR="007D57FB" w:rsidRPr="00FA1DB2" w14:paraId="610C4A4C" w14:textId="77777777" w:rsidTr="008937F3">
        <w:trPr>
          <w:trHeight w:val="46"/>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45" w14:textId="2868464C" w:rsidR="007D57FB" w:rsidRPr="00FA1DB2" w:rsidRDefault="007D57FB"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Conforti</w:t>
            </w:r>
            <w:r>
              <w:rPr>
                <w:rFonts w:ascii="Calibri" w:eastAsia="Times New Roman" w:hAnsi="Calibri" w:cs="Calibri"/>
                <w:color w:val="000000"/>
                <w:lang w:eastAsia="en-GB"/>
              </w:rPr>
              <w:t xml:space="preserve"> (2012)</w:t>
            </w:r>
            <w:r w:rsidR="005138C7" w:rsidRPr="005138C7">
              <w:rPr>
                <w:rFonts w:ascii="Calibri" w:eastAsia="Times New Roman" w:hAnsi="Calibri" w:cs="Calibri"/>
                <w:noProof/>
                <w:color w:val="000000"/>
                <w:vertAlign w:val="superscript"/>
                <w:lang w:eastAsia="en-GB"/>
              </w:rPr>
              <w:t>12</w:t>
            </w:r>
          </w:p>
        </w:tc>
        <w:tc>
          <w:tcPr>
            <w:tcW w:w="1879" w:type="dxa"/>
            <w:tcBorders>
              <w:top w:val="nil"/>
              <w:left w:val="nil"/>
              <w:bottom w:val="single" w:sz="4" w:space="0" w:color="auto"/>
              <w:right w:val="single" w:sz="4" w:space="0" w:color="auto"/>
            </w:tcBorders>
            <w:shd w:val="clear" w:color="auto" w:fill="auto"/>
            <w:vAlign w:val="center"/>
          </w:tcPr>
          <w:p w14:paraId="610C4A46" w14:textId="77777777" w:rsidR="007D57FB" w:rsidRPr="00FA1DB2" w:rsidRDefault="007D57FB" w:rsidP="005B3E6B">
            <w:pPr>
              <w:spacing w:after="0" w:line="240" w:lineRule="auto"/>
              <w:rPr>
                <w:rFonts w:ascii="Calibri" w:eastAsia="Times New Roman" w:hAnsi="Calibri" w:cs="Calibri"/>
                <w:color w:val="000000"/>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47"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1023</w:t>
            </w:r>
          </w:p>
        </w:tc>
        <w:tc>
          <w:tcPr>
            <w:tcW w:w="1076" w:type="dxa"/>
            <w:tcBorders>
              <w:top w:val="nil"/>
              <w:left w:val="nil"/>
              <w:bottom w:val="single" w:sz="4" w:space="0" w:color="auto"/>
              <w:right w:val="single" w:sz="4" w:space="0" w:color="auto"/>
            </w:tcBorders>
            <w:shd w:val="clear" w:color="auto" w:fill="auto"/>
            <w:vAlign w:val="center"/>
            <w:hideMark/>
          </w:tcPr>
          <w:p w14:paraId="610C4A48"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245</w:t>
            </w:r>
          </w:p>
        </w:tc>
        <w:tc>
          <w:tcPr>
            <w:tcW w:w="1786" w:type="dxa"/>
            <w:tcBorders>
              <w:top w:val="nil"/>
              <w:left w:val="nil"/>
              <w:bottom w:val="single" w:sz="4" w:space="0" w:color="auto"/>
              <w:right w:val="single" w:sz="4" w:space="0" w:color="auto"/>
            </w:tcBorders>
            <w:shd w:val="clear" w:color="auto" w:fill="auto"/>
            <w:noWrap/>
            <w:vAlign w:val="center"/>
            <w:hideMark/>
          </w:tcPr>
          <w:p w14:paraId="610C4A49" w14:textId="77777777" w:rsidR="007D57FB" w:rsidRPr="00FA1DB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Not described</w:t>
            </w:r>
          </w:p>
        </w:tc>
        <w:tc>
          <w:tcPr>
            <w:tcW w:w="1023" w:type="dxa"/>
            <w:tcBorders>
              <w:top w:val="nil"/>
              <w:left w:val="nil"/>
              <w:bottom w:val="single" w:sz="4" w:space="0" w:color="auto"/>
              <w:right w:val="single" w:sz="4" w:space="0" w:color="auto"/>
            </w:tcBorders>
            <w:shd w:val="clear" w:color="auto" w:fill="auto"/>
            <w:noWrap/>
            <w:vAlign w:val="center"/>
            <w:hideMark/>
          </w:tcPr>
          <w:p w14:paraId="610C4A4A"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130</w:t>
            </w:r>
          </w:p>
        </w:tc>
        <w:tc>
          <w:tcPr>
            <w:tcW w:w="945" w:type="dxa"/>
            <w:tcBorders>
              <w:top w:val="nil"/>
              <w:left w:val="nil"/>
              <w:bottom w:val="single" w:sz="4" w:space="0" w:color="auto"/>
              <w:right w:val="single" w:sz="4" w:space="0" w:color="auto"/>
            </w:tcBorders>
            <w:shd w:val="clear" w:color="auto" w:fill="auto"/>
            <w:noWrap/>
            <w:vAlign w:val="center"/>
            <w:hideMark/>
          </w:tcPr>
          <w:p w14:paraId="610C4A4B"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53.30</w:t>
            </w:r>
          </w:p>
        </w:tc>
      </w:tr>
      <w:tr w:rsidR="007D57FB" w:rsidRPr="00FA1DB2" w14:paraId="610C4A54" w14:textId="77777777" w:rsidTr="008937F3">
        <w:trPr>
          <w:trHeight w:val="181"/>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4D" w14:textId="194387BA" w:rsidR="007D57FB" w:rsidRPr="00FA1DB2" w:rsidRDefault="007D57FB"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Corsonello</w:t>
            </w:r>
            <w:r>
              <w:rPr>
                <w:rFonts w:ascii="Calibri" w:eastAsia="Times New Roman" w:hAnsi="Calibri" w:cs="Calibri"/>
                <w:color w:val="000000"/>
                <w:lang w:eastAsia="en-GB"/>
              </w:rPr>
              <w:t xml:space="preserve"> (2009)</w:t>
            </w:r>
            <w:r w:rsidR="005138C7" w:rsidRPr="005138C7">
              <w:rPr>
                <w:rFonts w:ascii="Calibri" w:eastAsia="Times New Roman" w:hAnsi="Calibri" w:cs="Calibri"/>
                <w:noProof/>
                <w:color w:val="000000"/>
                <w:vertAlign w:val="superscript"/>
                <w:lang w:eastAsia="en-GB"/>
              </w:rPr>
              <w:t>13</w:t>
            </w:r>
          </w:p>
        </w:tc>
        <w:tc>
          <w:tcPr>
            <w:tcW w:w="1879" w:type="dxa"/>
            <w:tcBorders>
              <w:top w:val="nil"/>
              <w:left w:val="nil"/>
              <w:bottom w:val="single" w:sz="4" w:space="0" w:color="auto"/>
              <w:right w:val="single" w:sz="4" w:space="0" w:color="auto"/>
            </w:tcBorders>
            <w:shd w:val="clear" w:color="auto" w:fill="auto"/>
            <w:vAlign w:val="center"/>
          </w:tcPr>
          <w:p w14:paraId="610C4A4E" w14:textId="77777777" w:rsidR="007D57FB" w:rsidRPr="00FA1DB2" w:rsidRDefault="007D57FB" w:rsidP="005B3E6B">
            <w:pPr>
              <w:spacing w:after="0" w:line="240" w:lineRule="auto"/>
              <w:rPr>
                <w:rFonts w:ascii="Calibri" w:eastAsia="Times New Roman" w:hAnsi="Calibri" w:cs="Calibri"/>
                <w:color w:val="000000"/>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4F"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506</w:t>
            </w:r>
          </w:p>
        </w:tc>
        <w:tc>
          <w:tcPr>
            <w:tcW w:w="1076" w:type="dxa"/>
            <w:tcBorders>
              <w:top w:val="nil"/>
              <w:left w:val="nil"/>
              <w:bottom w:val="single" w:sz="4" w:space="0" w:color="auto"/>
              <w:right w:val="single" w:sz="4" w:space="0" w:color="auto"/>
            </w:tcBorders>
            <w:shd w:val="clear" w:color="auto" w:fill="auto"/>
            <w:vAlign w:val="center"/>
            <w:hideMark/>
          </w:tcPr>
          <w:p w14:paraId="610C4A50"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99</w:t>
            </w:r>
          </w:p>
        </w:tc>
        <w:tc>
          <w:tcPr>
            <w:tcW w:w="1786" w:type="dxa"/>
            <w:tcBorders>
              <w:top w:val="nil"/>
              <w:left w:val="nil"/>
              <w:bottom w:val="single" w:sz="4" w:space="0" w:color="auto"/>
              <w:right w:val="single" w:sz="4" w:space="0" w:color="auto"/>
            </w:tcBorders>
            <w:shd w:val="clear" w:color="auto" w:fill="auto"/>
            <w:noWrap/>
            <w:vAlign w:val="center"/>
            <w:hideMark/>
          </w:tcPr>
          <w:p w14:paraId="610C4A51" w14:textId="77777777" w:rsidR="007D57FB" w:rsidRPr="00FA1DB2" w:rsidRDefault="007D57FB" w:rsidP="005B3E6B">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Not described</w:t>
            </w:r>
          </w:p>
        </w:tc>
        <w:tc>
          <w:tcPr>
            <w:tcW w:w="1023" w:type="dxa"/>
            <w:tcBorders>
              <w:top w:val="nil"/>
              <w:left w:val="nil"/>
              <w:bottom w:val="single" w:sz="4" w:space="0" w:color="auto"/>
              <w:right w:val="single" w:sz="4" w:space="0" w:color="auto"/>
            </w:tcBorders>
            <w:shd w:val="clear" w:color="auto" w:fill="auto"/>
            <w:noWrap/>
            <w:vAlign w:val="center"/>
            <w:hideMark/>
          </w:tcPr>
          <w:p w14:paraId="610C4A52"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22/58pts</w:t>
            </w:r>
          </w:p>
        </w:tc>
        <w:tc>
          <w:tcPr>
            <w:tcW w:w="945" w:type="dxa"/>
            <w:tcBorders>
              <w:top w:val="nil"/>
              <w:left w:val="nil"/>
              <w:bottom w:val="single" w:sz="4" w:space="0" w:color="auto"/>
              <w:right w:val="single" w:sz="4" w:space="0" w:color="auto"/>
            </w:tcBorders>
            <w:shd w:val="clear" w:color="auto" w:fill="auto"/>
            <w:noWrap/>
            <w:vAlign w:val="center"/>
            <w:hideMark/>
          </w:tcPr>
          <w:p w14:paraId="610C4A53"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37.93</w:t>
            </w:r>
          </w:p>
        </w:tc>
      </w:tr>
      <w:tr w:rsidR="007D57FB" w:rsidRPr="00FA1DB2" w14:paraId="610C4A5C" w14:textId="77777777" w:rsidTr="008937F3">
        <w:trPr>
          <w:trHeight w:val="203"/>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55" w14:textId="524931DE" w:rsidR="007D57FB" w:rsidRPr="00FA1DB2" w:rsidRDefault="007D57FB"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Leach</w:t>
            </w:r>
            <w:r>
              <w:rPr>
                <w:rFonts w:ascii="Calibri" w:eastAsia="Times New Roman" w:hAnsi="Calibri" w:cs="Calibri"/>
                <w:color w:val="000000"/>
                <w:lang w:eastAsia="en-GB"/>
              </w:rPr>
              <w:t xml:space="preserve"> (1986)</w:t>
            </w:r>
            <w:r w:rsidR="005138C7" w:rsidRPr="005138C7">
              <w:rPr>
                <w:rFonts w:ascii="Calibri" w:eastAsia="Times New Roman" w:hAnsi="Calibri" w:cs="Calibri"/>
                <w:noProof/>
                <w:color w:val="000000"/>
                <w:vertAlign w:val="superscript"/>
                <w:lang w:eastAsia="en-GB"/>
              </w:rPr>
              <w:t>21</w:t>
            </w:r>
          </w:p>
        </w:tc>
        <w:tc>
          <w:tcPr>
            <w:tcW w:w="1879" w:type="dxa"/>
            <w:tcBorders>
              <w:top w:val="nil"/>
              <w:left w:val="nil"/>
              <w:bottom w:val="single" w:sz="4" w:space="0" w:color="auto"/>
              <w:right w:val="single" w:sz="4" w:space="0" w:color="auto"/>
            </w:tcBorders>
            <w:shd w:val="clear" w:color="auto" w:fill="auto"/>
            <w:vAlign w:val="center"/>
          </w:tcPr>
          <w:p w14:paraId="610C4A56" w14:textId="77777777" w:rsidR="007D57FB" w:rsidRPr="00AA3A6E"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57"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500</w:t>
            </w:r>
          </w:p>
        </w:tc>
        <w:tc>
          <w:tcPr>
            <w:tcW w:w="1076" w:type="dxa"/>
            <w:tcBorders>
              <w:top w:val="nil"/>
              <w:left w:val="nil"/>
              <w:bottom w:val="single" w:sz="4" w:space="0" w:color="auto"/>
              <w:right w:val="single" w:sz="4" w:space="0" w:color="auto"/>
            </w:tcBorders>
            <w:shd w:val="clear" w:color="auto" w:fill="auto"/>
            <w:vAlign w:val="center"/>
            <w:hideMark/>
          </w:tcPr>
          <w:p w14:paraId="610C4A58"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117</w:t>
            </w:r>
          </w:p>
        </w:tc>
        <w:tc>
          <w:tcPr>
            <w:tcW w:w="1786" w:type="dxa"/>
            <w:tcBorders>
              <w:top w:val="nil"/>
              <w:left w:val="nil"/>
              <w:bottom w:val="single" w:sz="4" w:space="0" w:color="auto"/>
              <w:right w:val="single" w:sz="4" w:space="0" w:color="auto"/>
            </w:tcBorders>
            <w:shd w:val="clear" w:color="auto" w:fill="auto"/>
            <w:noWrap/>
            <w:vAlign w:val="center"/>
            <w:hideMark/>
          </w:tcPr>
          <w:p w14:paraId="610C4A59"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Hurwitz</w:t>
            </w:r>
          </w:p>
        </w:tc>
        <w:tc>
          <w:tcPr>
            <w:tcW w:w="1023" w:type="dxa"/>
            <w:tcBorders>
              <w:top w:val="nil"/>
              <w:left w:val="nil"/>
              <w:bottom w:val="single" w:sz="4" w:space="0" w:color="auto"/>
              <w:right w:val="single" w:sz="4" w:space="0" w:color="auto"/>
            </w:tcBorders>
            <w:shd w:val="clear" w:color="auto" w:fill="auto"/>
            <w:noWrap/>
            <w:vAlign w:val="center"/>
            <w:hideMark/>
          </w:tcPr>
          <w:p w14:paraId="610C4A5A"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70</w:t>
            </w:r>
          </w:p>
        </w:tc>
        <w:tc>
          <w:tcPr>
            <w:tcW w:w="945" w:type="dxa"/>
            <w:tcBorders>
              <w:top w:val="nil"/>
              <w:left w:val="nil"/>
              <w:bottom w:val="single" w:sz="4" w:space="0" w:color="auto"/>
              <w:right w:val="single" w:sz="4" w:space="0" w:color="auto"/>
            </w:tcBorders>
            <w:shd w:val="clear" w:color="auto" w:fill="auto"/>
            <w:noWrap/>
            <w:vAlign w:val="center"/>
            <w:hideMark/>
          </w:tcPr>
          <w:p w14:paraId="610C4A5B" w14:textId="77777777" w:rsidR="007D57FB" w:rsidRPr="00FA1DB2" w:rsidRDefault="007D57FB" w:rsidP="005B3E6B">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59.83</w:t>
            </w:r>
          </w:p>
        </w:tc>
      </w:tr>
      <w:tr w:rsidR="0029159D" w:rsidRPr="00FA1DB2" w14:paraId="6A4D1AAC" w14:textId="77777777" w:rsidTr="008937F3">
        <w:trPr>
          <w:trHeight w:val="203"/>
        </w:trPr>
        <w:tc>
          <w:tcPr>
            <w:tcW w:w="2016" w:type="dxa"/>
            <w:tcBorders>
              <w:top w:val="nil"/>
              <w:left w:val="single" w:sz="4" w:space="0" w:color="auto"/>
              <w:bottom w:val="single" w:sz="4" w:space="0" w:color="auto"/>
              <w:right w:val="single" w:sz="4" w:space="0" w:color="auto"/>
            </w:tcBorders>
            <w:shd w:val="clear" w:color="auto" w:fill="auto"/>
            <w:vAlign w:val="center"/>
          </w:tcPr>
          <w:p w14:paraId="121E9C70" w14:textId="316A0FDC" w:rsidR="0029159D" w:rsidRPr="00FA1DB2" w:rsidRDefault="0029159D" w:rsidP="005138C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Liao</w:t>
            </w:r>
            <w:r w:rsidR="00846232">
              <w:rPr>
                <w:rFonts w:ascii="Calibri" w:eastAsia="Times New Roman" w:hAnsi="Calibri" w:cs="Calibri"/>
                <w:color w:val="000000"/>
                <w:lang w:eastAsia="en-GB"/>
              </w:rPr>
              <w:t xml:space="preserve"> (2020)</w:t>
            </w:r>
            <w:r w:rsidR="005138C7" w:rsidRPr="005138C7">
              <w:rPr>
                <w:rFonts w:ascii="Calibri" w:eastAsia="Times New Roman" w:hAnsi="Calibri" w:cs="Calibri"/>
                <w:noProof/>
                <w:color w:val="000000"/>
                <w:vertAlign w:val="superscript"/>
                <w:lang w:eastAsia="en-GB"/>
              </w:rPr>
              <w:t>31</w:t>
            </w:r>
          </w:p>
        </w:tc>
        <w:tc>
          <w:tcPr>
            <w:tcW w:w="1879" w:type="dxa"/>
            <w:tcBorders>
              <w:top w:val="nil"/>
              <w:left w:val="nil"/>
              <w:bottom w:val="single" w:sz="4" w:space="0" w:color="auto"/>
              <w:right w:val="single" w:sz="4" w:space="0" w:color="auto"/>
            </w:tcBorders>
            <w:shd w:val="clear" w:color="auto" w:fill="auto"/>
            <w:vAlign w:val="center"/>
          </w:tcPr>
          <w:p w14:paraId="3B642B29" w14:textId="6E7CC5D1" w:rsidR="0029159D"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tcPr>
          <w:p w14:paraId="0CD89FC3" w14:textId="178C549E" w:rsidR="0029159D" w:rsidRPr="00FA1DB2" w:rsidRDefault="0029159D"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108548</w:t>
            </w:r>
          </w:p>
        </w:tc>
        <w:tc>
          <w:tcPr>
            <w:tcW w:w="1076" w:type="dxa"/>
            <w:tcBorders>
              <w:top w:val="nil"/>
              <w:left w:val="nil"/>
              <w:bottom w:val="single" w:sz="4" w:space="0" w:color="auto"/>
              <w:right w:val="single" w:sz="4" w:space="0" w:color="auto"/>
            </w:tcBorders>
            <w:shd w:val="clear" w:color="auto" w:fill="auto"/>
            <w:vAlign w:val="center"/>
          </w:tcPr>
          <w:p w14:paraId="6D75A379" w14:textId="31041EA6" w:rsidR="0029159D" w:rsidRPr="00FA1DB2" w:rsidRDefault="0029159D"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670 (539 reported)</w:t>
            </w:r>
          </w:p>
        </w:tc>
        <w:tc>
          <w:tcPr>
            <w:tcW w:w="1786" w:type="dxa"/>
            <w:tcBorders>
              <w:top w:val="nil"/>
              <w:left w:val="nil"/>
              <w:bottom w:val="single" w:sz="4" w:space="0" w:color="auto"/>
              <w:right w:val="single" w:sz="4" w:space="0" w:color="auto"/>
            </w:tcBorders>
            <w:shd w:val="clear" w:color="auto" w:fill="auto"/>
            <w:noWrap/>
            <w:vAlign w:val="center"/>
          </w:tcPr>
          <w:p w14:paraId="550D5C88" w14:textId="148E53E8" w:rsidR="0029159D" w:rsidRPr="00FA1DB2" w:rsidRDefault="0029159D"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Not described</w:t>
            </w:r>
          </w:p>
        </w:tc>
        <w:tc>
          <w:tcPr>
            <w:tcW w:w="1023" w:type="dxa"/>
            <w:tcBorders>
              <w:top w:val="nil"/>
              <w:left w:val="nil"/>
              <w:bottom w:val="single" w:sz="4" w:space="0" w:color="auto"/>
              <w:right w:val="single" w:sz="4" w:space="0" w:color="auto"/>
            </w:tcBorders>
            <w:shd w:val="clear" w:color="auto" w:fill="auto"/>
            <w:noWrap/>
            <w:vAlign w:val="center"/>
          </w:tcPr>
          <w:p w14:paraId="7CA3A5BE" w14:textId="17ED7A14" w:rsidR="0029159D" w:rsidRPr="00FA1DB2" w:rsidRDefault="0029159D"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347</w:t>
            </w:r>
          </w:p>
        </w:tc>
        <w:tc>
          <w:tcPr>
            <w:tcW w:w="945" w:type="dxa"/>
            <w:tcBorders>
              <w:top w:val="nil"/>
              <w:left w:val="nil"/>
              <w:bottom w:val="single" w:sz="4" w:space="0" w:color="auto"/>
              <w:right w:val="single" w:sz="4" w:space="0" w:color="auto"/>
            </w:tcBorders>
            <w:shd w:val="clear" w:color="auto" w:fill="auto"/>
            <w:noWrap/>
            <w:vAlign w:val="center"/>
          </w:tcPr>
          <w:p w14:paraId="2D1A7026" w14:textId="285EAFA9" w:rsidR="0029159D" w:rsidRPr="00FA1DB2" w:rsidRDefault="0029159D"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64.38</w:t>
            </w:r>
          </w:p>
        </w:tc>
      </w:tr>
      <w:tr w:rsidR="0029159D" w:rsidRPr="00FA1DB2" w14:paraId="610C4A64"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5D" w14:textId="15248C8F"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O'Connor</w:t>
            </w:r>
            <w:r>
              <w:rPr>
                <w:rFonts w:ascii="Calibri" w:eastAsia="Times New Roman" w:hAnsi="Calibri" w:cs="Calibri"/>
                <w:color w:val="000000"/>
                <w:lang w:eastAsia="en-GB"/>
              </w:rPr>
              <w:t xml:space="preserve"> (2016)</w:t>
            </w:r>
            <w:r w:rsidR="005138C7" w:rsidRPr="005138C7">
              <w:rPr>
                <w:rFonts w:ascii="Calibri" w:eastAsia="Times New Roman" w:hAnsi="Calibri" w:cs="Calibri"/>
                <w:noProof/>
                <w:color w:val="000000"/>
                <w:vertAlign w:val="superscript"/>
                <w:lang w:eastAsia="en-GB"/>
              </w:rPr>
              <w:t>23</w:t>
            </w:r>
          </w:p>
        </w:tc>
        <w:tc>
          <w:tcPr>
            <w:tcW w:w="1879" w:type="dxa"/>
            <w:tcBorders>
              <w:top w:val="nil"/>
              <w:left w:val="nil"/>
              <w:bottom w:val="single" w:sz="4" w:space="0" w:color="auto"/>
              <w:right w:val="single" w:sz="4" w:space="0" w:color="auto"/>
            </w:tcBorders>
            <w:shd w:val="clear" w:color="auto" w:fill="auto"/>
            <w:vAlign w:val="center"/>
          </w:tcPr>
          <w:p w14:paraId="610C4A5E" w14:textId="77777777" w:rsidR="0029159D" w:rsidRPr="00AA3A6E"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5F"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513</w:t>
            </w:r>
          </w:p>
        </w:tc>
        <w:tc>
          <w:tcPr>
            <w:tcW w:w="1076" w:type="dxa"/>
            <w:tcBorders>
              <w:top w:val="nil"/>
              <w:left w:val="nil"/>
              <w:bottom w:val="single" w:sz="4" w:space="0" w:color="auto"/>
              <w:right w:val="single" w:sz="4" w:space="0" w:color="auto"/>
            </w:tcBorders>
            <w:shd w:val="clear" w:color="auto" w:fill="auto"/>
            <w:vAlign w:val="center"/>
            <w:hideMark/>
          </w:tcPr>
          <w:p w14:paraId="610C4A6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89</w:t>
            </w:r>
          </w:p>
        </w:tc>
        <w:tc>
          <w:tcPr>
            <w:tcW w:w="1786" w:type="dxa"/>
            <w:tcBorders>
              <w:top w:val="nil"/>
              <w:left w:val="nil"/>
              <w:bottom w:val="single" w:sz="4" w:space="0" w:color="auto"/>
              <w:right w:val="single" w:sz="4" w:space="0" w:color="auto"/>
            </w:tcBorders>
            <w:shd w:val="clear" w:color="auto" w:fill="auto"/>
            <w:vAlign w:val="center"/>
            <w:hideMark/>
          </w:tcPr>
          <w:p w14:paraId="610C4A61"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w:t>
            </w:r>
          </w:p>
        </w:tc>
        <w:tc>
          <w:tcPr>
            <w:tcW w:w="1023" w:type="dxa"/>
            <w:tcBorders>
              <w:top w:val="nil"/>
              <w:left w:val="nil"/>
              <w:bottom w:val="single" w:sz="4" w:space="0" w:color="auto"/>
              <w:right w:val="single" w:sz="4" w:space="0" w:color="auto"/>
            </w:tcBorders>
            <w:shd w:val="clear" w:color="auto" w:fill="auto"/>
            <w:noWrap/>
            <w:vAlign w:val="center"/>
            <w:hideMark/>
          </w:tcPr>
          <w:p w14:paraId="610C4A6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71</w:t>
            </w:r>
          </w:p>
        </w:tc>
        <w:tc>
          <w:tcPr>
            <w:tcW w:w="945" w:type="dxa"/>
            <w:tcBorders>
              <w:top w:val="nil"/>
              <w:left w:val="nil"/>
              <w:bottom w:val="single" w:sz="4" w:space="0" w:color="auto"/>
              <w:right w:val="single" w:sz="4" w:space="0" w:color="auto"/>
            </w:tcBorders>
            <w:shd w:val="clear" w:color="auto" w:fill="auto"/>
            <w:noWrap/>
            <w:vAlign w:val="center"/>
            <w:hideMark/>
          </w:tcPr>
          <w:p w14:paraId="610C4A6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79.78</w:t>
            </w:r>
          </w:p>
        </w:tc>
      </w:tr>
      <w:tr w:rsidR="0029159D" w:rsidRPr="00FA1DB2" w14:paraId="610C4A6C"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65" w14:textId="6CA8BD7D"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O'Connor</w:t>
            </w:r>
            <w:r>
              <w:rPr>
                <w:rFonts w:ascii="Calibri" w:eastAsia="Times New Roman" w:hAnsi="Calibri" w:cs="Calibri"/>
                <w:color w:val="000000"/>
                <w:lang w:eastAsia="en-GB"/>
              </w:rPr>
              <w:t xml:space="preserve"> (2012)</w:t>
            </w:r>
            <w:r w:rsidR="005138C7" w:rsidRPr="005138C7">
              <w:rPr>
                <w:rFonts w:ascii="Calibri" w:eastAsia="Times New Roman" w:hAnsi="Calibri" w:cs="Calibri"/>
                <w:noProof/>
                <w:color w:val="000000"/>
                <w:vertAlign w:val="superscript"/>
                <w:lang w:eastAsia="en-GB"/>
              </w:rPr>
              <w:t>22</w:t>
            </w:r>
          </w:p>
        </w:tc>
        <w:tc>
          <w:tcPr>
            <w:tcW w:w="1879" w:type="dxa"/>
            <w:tcBorders>
              <w:top w:val="nil"/>
              <w:left w:val="nil"/>
              <w:bottom w:val="single" w:sz="4" w:space="0" w:color="auto"/>
              <w:right w:val="single" w:sz="4" w:space="0" w:color="auto"/>
            </w:tcBorders>
            <w:shd w:val="clear" w:color="auto" w:fill="auto"/>
            <w:vAlign w:val="center"/>
          </w:tcPr>
          <w:p w14:paraId="610C4A66" w14:textId="77777777" w:rsidR="0029159D" w:rsidRPr="00AA3A6E"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67"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372</w:t>
            </w:r>
          </w:p>
        </w:tc>
        <w:tc>
          <w:tcPr>
            <w:tcW w:w="1076" w:type="dxa"/>
            <w:tcBorders>
              <w:top w:val="nil"/>
              <w:left w:val="nil"/>
              <w:bottom w:val="single" w:sz="4" w:space="0" w:color="auto"/>
              <w:right w:val="single" w:sz="4" w:space="0" w:color="auto"/>
            </w:tcBorders>
            <w:shd w:val="clear" w:color="auto" w:fill="auto"/>
            <w:vAlign w:val="center"/>
            <w:hideMark/>
          </w:tcPr>
          <w:p w14:paraId="610C4A68"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178</w:t>
            </w:r>
          </w:p>
        </w:tc>
        <w:tc>
          <w:tcPr>
            <w:tcW w:w="1786" w:type="dxa"/>
            <w:tcBorders>
              <w:top w:val="nil"/>
              <w:left w:val="nil"/>
              <w:bottom w:val="single" w:sz="4" w:space="0" w:color="auto"/>
              <w:right w:val="single" w:sz="4" w:space="0" w:color="auto"/>
            </w:tcBorders>
            <w:shd w:val="clear" w:color="auto" w:fill="auto"/>
            <w:vAlign w:val="center"/>
            <w:hideMark/>
          </w:tcPr>
          <w:p w14:paraId="610C4A6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w:t>
            </w:r>
          </w:p>
        </w:tc>
        <w:tc>
          <w:tcPr>
            <w:tcW w:w="1023" w:type="dxa"/>
            <w:tcBorders>
              <w:top w:val="nil"/>
              <w:left w:val="nil"/>
              <w:bottom w:val="single" w:sz="4" w:space="0" w:color="auto"/>
              <w:right w:val="single" w:sz="4" w:space="0" w:color="auto"/>
            </w:tcBorders>
            <w:shd w:val="clear" w:color="auto" w:fill="auto"/>
            <w:noWrap/>
            <w:vAlign w:val="center"/>
            <w:hideMark/>
          </w:tcPr>
          <w:p w14:paraId="610C4A6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43</w:t>
            </w:r>
          </w:p>
        </w:tc>
        <w:tc>
          <w:tcPr>
            <w:tcW w:w="945" w:type="dxa"/>
            <w:tcBorders>
              <w:top w:val="nil"/>
              <w:left w:val="nil"/>
              <w:bottom w:val="single" w:sz="4" w:space="0" w:color="auto"/>
              <w:right w:val="single" w:sz="4" w:space="0" w:color="auto"/>
            </w:tcBorders>
            <w:shd w:val="clear" w:color="auto" w:fill="auto"/>
            <w:noWrap/>
            <w:vAlign w:val="center"/>
            <w:hideMark/>
          </w:tcPr>
          <w:p w14:paraId="610C4A6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24.00</w:t>
            </w:r>
          </w:p>
        </w:tc>
      </w:tr>
      <w:tr w:rsidR="0029159D" w:rsidRPr="00FA1DB2" w14:paraId="610C4A74"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6D" w14:textId="42CA2A0C"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Onder</w:t>
            </w:r>
            <w:r>
              <w:rPr>
                <w:rFonts w:ascii="Calibri" w:eastAsia="Times New Roman" w:hAnsi="Calibri" w:cs="Calibri"/>
                <w:color w:val="000000"/>
                <w:lang w:eastAsia="en-GB"/>
              </w:rPr>
              <w:t xml:space="preserve"> (2010)</w:t>
            </w:r>
            <w:r w:rsidR="005138C7" w:rsidRPr="005138C7">
              <w:rPr>
                <w:rFonts w:ascii="Calibri" w:eastAsia="Times New Roman" w:hAnsi="Calibri" w:cs="Calibri"/>
                <w:noProof/>
                <w:color w:val="000000"/>
                <w:vertAlign w:val="superscript"/>
                <w:lang w:eastAsia="en-GB"/>
              </w:rPr>
              <w:t>24</w:t>
            </w:r>
          </w:p>
        </w:tc>
        <w:tc>
          <w:tcPr>
            <w:tcW w:w="1879" w:type="dxa"/>
            <w:tcBorders>
              <w:top w:val="nil"/>
              <w:left w:val="nil"/>
              <w:bottom w:val="single" w:sz="4" w:space="0" w:color="auto"/>
              <w:right w:val="single" w:sz="4" w:space="0" w:color="auto"/>
            </w:tcBorders>
            <w:shd w:val="clear" w:color="auto" w:fill="auto"/>
            <w:vAlign w:val="center"/>
          </w:tcPr>
          <w:p w14:paraId="610C4A6E" w14:textId="77777777" w:rsidR="0029159D" w:rsidRPr="00AA3A6E"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6F"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6419</w:t>
            </w:r>
          </w:p>
        </w:tc>
        <w:tc>
          <w:tcPr>
            <w:tcW w:w="1076" w:type="dxa"/>
            <w:tcBorders>
              <w:top w:val="nil"/>
              <w:left w:val="nil"/>
              <w:bottom w:val="single" w:sz="4" w:space="0" w:color="auto"/>
              <w:right w:val="single" w:sz="4" w:space="0" w:color="auto"/>
            </w:tcBorders>
            <w:shd w:val="clear" w:color="auto" w:fill="auto"/>
            <w:vAlign w:val="center"/>
            <w:hideMark/>
          </w:tcPr>
          <w:p w14:paraId="610C4A7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383</w:t>
            </w:r>
          </w:p>
        </w:tc>
        <w:tc>
          <w:tcPr>
            <w:tcW w:w="1786" w:type="dxa"/>
            <w:tcBorders>
              <w:top w:val="nil"/>
              <w:left w:val="nil"/>
              <w:bottom w:val="single" w:sz="4" w:space="0" w:color="auto"/>
              <w:right w:val="single" w:sz="4" w:space="0" w:color="auto"/>
            </w:tcBorders>
            <w:shd w:val="clear" w:color="auto" w:fill="auto"/>
            <w:vAlign w:val="center"/>
            <w:hideMark/>
          </w:tcPr>
          <w:p w14:paraId="610C4A71"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w:t>
            </w:r>
          </w:p>
        </w:tc>
        <w:tc>
          <w:tcPr>
            <w:tcW w:w="1023" w:type="dxa"/>
            <w:tcBorders>
              <w:top w:val="nil"/>
              <w:left w:val="nil"/>
              <w:bottom w:val="single" w:sz="4" w:space="0" w:color="auto"/>
              <w:right w:val="single" w:sz="4" w:space="0" w:color="auto"/>
            </w:tcBorders>
            <w:shd w:val="clear" w:color="auto" w:fill="auto"/>
            <w:noWrap/>
            <w:vAlign w:val="center"/>
            <w:hideMark/>
          </w:tcPr>
          <w:p w14:paraId="610C4A7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221</w:t>
            </w:r>
          </w:p>
        </w:tc>
        <w:tc>
          <w:tcPr>
            <w:tcW w:w="945" w:type="dxa"/>
            <w:tcBorders>
              <w:top w:val="nil"/>
              <w:left w:val="nil"/>
              <w:bottom w:val="single" w:sz="4" w:space="0" w:color="auto"/>
              <w:right w:val="single" w:sz="4" w:space="0" w:color="auto"/>
            </w:tcBorders>
            <w:shd w:val="clear" w:color="auto" w:fill="auto"/>
            <w:noWrap/>
            <w:vAlign w:val="center"/>
            <w:hideMark/>
          </w:tcPr>
          <w:p w14:paraId="610C4A7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64.00</w:t>
            </w:r>
          </w:p>
        </w:tc>
      </w:tr>
      <w:tr w:rsidR="0029159D" w:rsidRPr="00FA1DB2" w14:paraId="610C4A7C"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75" w14:textId="1C23D22F"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O'Sullivan</w:t>
            </w:r>
            <w:r>
              <w:rPr>
                <w:rFonts w:ascii="Calibri" w:eastAsia="Times New Roman" w:hAnsi="Calibri" w:cs="Calibri"/>
                <w:color w:val="000000"/>
                <w:lang w:eastAsia="en-GB"/>
              </w:rPr>
              <w:t xml:space="preserve"> (2016)</w:t>
            </w:r>
            <w:r w:rsidR="005138C7" w:rsidRPr="005138C7">
              <w:rPr>
                <w:rFonts w:ascii="Calibri" w:eastAsia="Times New Roman" w:hAnsi="Calibri" w:cs="Calibri"/>
                <w:noProof/>
                <w:color w:val="000000"/>
                <w:vertAlign w:val="superscript"/>
                <w:lang w:eastAsia="en-GB"/>
              </w:rPr>
              <w:t>25</w:t>
            </w:r>
          </w:p>
        </w:tc>
        <w:tc>
          <w:tcPr>
            <w:tcW w:w="1879" w:type="dxa"/>
            <w:tcBorders>
              <w:top w:val="nil"/>
              <w:left w:val="nil"/>
              <w:bottom w:val="single" w:sz="4" w:space="0" w:color="auto"/>
              <w:right w:val="single" w:sz="4" w:space="0" w:color="auto"/>
            </w:tcBorders>
            <w:shd w:val="clear" w:color="auto" w:fill="auto"/>
            <w:vAlign w:val="center"/>
          </w:tcPr>
          <w:p w14:paraId="610C4A76" w14:textId="77777777" w:rsidR="0029159D" w:rsidRPr="00AA3A6E"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77"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376</w:t>
            </w:r>
          </w:p>
        </w:tc>
        <w:tc>
          <w:tcPr>
            <w:tcW w:w="1076" w:type="dxa"/>
            <w:tcBorders>
              <w:top w:val="nil"/>
              <w:left w:val="nil"/>
              <w:bottom w:val="single" w:sz="4" w:space="0" w:color="auto"/>
              <w:right w:val="single" w:sz="4" w:space="0" w:color="auto"/>
            </w:tcBorders>
            <w:shd w:val="clear" w:color="auto" w:fill="auto"/>
            <w:vAlign w:val="center"/>
            <w:hideMark/>
          </w:tcPr>
          <w:p w14:paraId="610C4A78"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91</w:t>
            </w:r>
          </w:p>
        </w:tc>
        <w:tc>
          <w:tcPr>
            <w:tcW w:w="1786" w:type="dxa"/>
            <w:tcBorders>
              <w:top w:val="nil"/>
              <w:left w:val="nil"/>
              <w:bottom w:val="single" w:sz="4" w:space="0" w:color="auto"/>
              <w:right w:val="single" w:sz="4" w:space="0" w:color="auto"/>
            </w:tcBorders>
            <w:shd w:val="clear" w:color="auto" w:fill="auto"/>
            <w:vAlign w:val="center"/>
            <w:hideMark/>
          </w:tcPr>
          <w:p w14:paraId="610C4A7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Hartwig Scale</w:t>
            </w:r>
          </w:p>
        </w:tc>
        <w:tc>
          <w:tcPr>
            <w:tcW w:w="1023" w:type="dxa"/>
            <w:tcBorders>
              <w:top w:val="nil"/>
              <w:left w:val="nil"/>
              <w:bottom w:val="single" w:sz="4" w:space="0" w:color="auto"/>
              <w:right w:val="single" w:sz="4" w:space="0" w:color="auto"/>
            </w:tcBorders>
            <w:shd w:val="clear" w:color="auto" w:fill="auto"/>
            <w:noWrap/>
            <w:vAlign w:val="center"/>
            <w:hideMark/>
          </w:tcPr>
          <w:p w14:paraId="610C4A7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76</w:t>
            </w:r>
          </w:p>
        </w:tc>
        <w:tc>
          <w:tcPr>
            <w:tcW w:w="945" w:type="dxa"/>
            <w:tcBorders>
              <w:top w:val="nil"/>
              <w:left w:val="nil"/>
              <w:bottom w:val="single" w:sz="4" w:space="0" w:color="auto"/>
              <w:right w:val="single" w:sz="4" w:space="0" w:color="auto"/>
            </w:tcBorders>
            <w:shd w:val="clear" w:color="auto" w:fill="auto"/>
            <w:noWrap/>
            <w:vAlign w:val="center"/>
            <w:hideMark/>
          </w:tcPr>
          <w:p w14:paraId="610C4A7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83.52</w:t>
            </w:r>
          </w:p>
        </w:tc>
      </w:tr>
      <w:tr w:rsidR="0029159D" w:rsidRPr="00FA1DB2" w14:paraId="610C4A84"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7D" w14:textId="79C81A21"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Tangiisuran</w:t>
            </w:r>
            <w:r>
              <w:rPr>
                <w:rFonts w:ascii="Calibri" w:eastAsia="Times New Roman" w:hAnsi="Calibri" w:cs="Calibri"/>
                <w:color w:val="000000"/>
                <w:lang w:eastAsia="en-GB"/>
              </w:rPr>
              <w:t xml:space="preserve"> (2012)</w:t>
            </w:r>
            <w:r w:rsidR="005138C7" w:rsidRPr="005138C7">
              <w:rPr>
                <w:rFonts w:ascii="Calibri" w:eastAsia="Times New Roman" w:hAnsi="Calibri" w:cs="Calibri"/>
                <w:noProof/>
                <w:color w:val="000000"/>
                <w:vertAlign w:val="superscript"/>
                <w:lang w:eastAsia="en-GB"/>
              </w:rPr>
              <w:t>34</w:t>
            </w:r>
          </w:p>
        </w:tc>
        <w:tc>
          <w:tcPr>
            <w:tcW w:w="1879" w:type="dxa"/>
            <w:tcBorders>
              <w:top w:val="nil"/>
              <w:left w:val="nil"/>
              <w:bottom w:val="single" w:sz="4" w:space="0" w:color="auto"/>
              <w:right w:val="single" w:sz="4" w:space="0" w:color="auto"/>
            </w:tcBorders>
            <w:shd w:val="clear" w:color="auto" w:fill="auto"/>
            <w:vAlign w:val="center"/>
          </w:tcPr>
          <w:p w14:paraId="610C4A7E" w14:textId="77777777" w:rsidR="0029159D" w:rsidRPr="00AA3A6E" w:rsidRDefault="0029159D" w:rsidP="0029159D">
            <w:pPr>
              <w:rPr>
                <w:lang w:eastAsia="en-GB"/>
              </w:rPr>
            </w:pPr>
            <w:r>
              <w:rPr>
                <w:lang w:eastAsia="en-GB"/>
              </w:rPr>
              <w:t xml:space="preserve">Population </w:t>
            </w:r>
            <w:r>
              <w:rPr>
                <w:rFonts w:cstheme="minorHAnsi"/>
                <w:lang w:eastAsia="en-GB"/>
              </w:rPr>
              <w:t>≥</w:t>
            </w:r>
            <w:r>
              <w:rPr>
                <w:lang w:eastAsia="en-GB"/>
              </w:rPr>
              <w:t xml:space="preserve"> 65 years</w:t>
            </w:r>
          </w:p>
        </w:tc>
        <w:tc>
          <w:tcPr>
            <w:tcW w:w="886" w:type="dxa"/>
            <w:tcBorders>
              <w:top w:val="nil"/>
              <w:left w:val="nil"/>
              <w:bottom w:val="single" w:sz="4" w:space="0" w:color="auto"/>
              <w:right w:val="single" w:sz="4" w:space="0" w:color="auto"/>
            </w:tcBorders>
            <w:shd w:val="clear" w:color="auto" w:fill="auto"/>
            <w:vAlign w:val="center"/>
            <w:hideMark/>
          </w:tcPr>
          <w:p w14:paraId="610C4A7F"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560</w:t>
            </w:r>
          </w:p>
        </w:tc>
        <w:tc>
          <w:tcPr>
            <w:tcW w:w="1076" w:type="dxa"/>
            <w:tcBorders>
              <w:top w:val="nil"/>
              <w:left w:val="nil"/>
              <w:bottom w:val="single" w:sz="4" w:space="0" w:color="auto"/>
              <w:right w:val="single" w:sz="4" w:space="0" w:color="auto"/>
            </w:tcBorders>
            <w:shd w:val="clear" w:color="auto" w:fill="auto"/>
            <w:vAlign w:val="center"/>
            <w:hideMark/>
          </w:tcPr>
          <w:p w14:paraId="610C4A8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83</w:t>
            </w:r>
          </w:p>
        </w:tc>
        <w:tc>
          <w:tcPr>
            <w:tcW w:w="1786" w:type="dxa"/>
            <w:tcBorders>
              <w:top w:val="nil"/>
              <w:left w:val="nil"/>
              <w:bottom w:val="single" w:sz="4" w:space="0" w:color="auto"/>
              <w:right w:val="single" w:sz="4" w:space="0" w:color="auto"/>
            </w:tcBorders>
            <w:shd w:val="clear" w:color="auto" w:fill="auto"/>
            <w:vAlign w:val="center"/>
            <w:hideMark/>
          </w:tcPr>
          <w:p w14:paraId="610C4A81"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Hallas</w:t>
            </w:r>
          </w:p>
        </w:tc>
        <w:tc>
          <w:tcPr>
            <w:tcW w:w="1023" w:type="dxa"/>
            <w:tcBorders>
              <w:top w:val="nil"/>
              <w:left w:val="nil"/>
              <w:bottom w:val="single" w:sz="4" w:space="0" w:color="auto"/>
              <w:right w:val="single" w:sz="4" w:space="0" w:color="auto"/>
            </w:tcBorders>
            <w:shd w:val="clear" w:color="auto" w:fill="auto"/>
            <w:noWrap/>
            <w:vAlign w:val="center"/>
            <w:hideMark/>
          </w:tcPr>
          <w:p w14:paraId="610C4A8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60</w:t>
            </w:r>
          </w:p>
        </w:tc>
        <w:tc>
          <w:tcPr>
            <w:tcW w:w="945" w:type="dxa"/>
            <w:tcBorders>
              <w:top w:val="nil"/>
              <w:left w:val="nil"/>
              <w:bottom w:val="single" w:sz="4" w:space="0" w:color="auto"/>
              <w:right w:val="single" w:sz="4" w:space="0" w:color="auto"/>
            </w:tcBorders>
            <w:shd w:val="clear" w:color="auto" w:fill="auto"/>
            <w:noWrap/>
            <w:vAlign w:val="center"/>
            <w:hideMark/>
          </w:tcPr>
          <w:p w14:paraId="610C4A8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72.29</w:t>
            </w:r>
          </w:p>
        </w:tc>
      </w:tr>
      <w:tr w:rsidR="0029159D" w:rsidRPr="00FA1DB2" w14:paraId="610C4A8C"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85" w14:textId="0A9D3ABC"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Kaur</w:t>
            </w:r>
            <w:r>
              <w:rPr>
                <w:rFonts w:ascii="Calibri" w:eastAsia="Times New Roman" w:hAnsi="Calibri" w:cs="Calibri"/>
                <w:color w:val="000000"/>
                <w:lang w:eastAsia="en-GB"/>
              </w:rPr>
              <w:t xml:space="preserve"> (2018)</w:t>
            </w:r>
            <w:r w:rsidR="005138C7" w:rsidRPr="005138C7">
              <w:rPr>
                <w:rFonts w:ascii="Calibri" w:eastAsia="Times New Roman" w:hAnsi="Calibri" w:cs="Calibri"/>
                <w:noProof/>
                <w:color w:val="000000"/>
                <w:vertAlign w:val="superscript"/>
                <w:lang w:eastAsia="en-GB"/>
              </w:rPr>
              <w:t>20</w:t>
            </w:r>
          </w:p>
        </w:tc>
        <w:tc>
          <w:tcPr>
            <w:tcW w:w="1879" w:type="dxa"/>
            <w:tcBorders>
              <w:top w:val="nil"/>
              <w:left w:val="nil"/>
              <w:bottom w:val="single" w:sz="4" w:space="0" w:color="auto"/>
              <w:right w:val="single" w:sz="4" w:space="0" w:color="auto"/>
            </w:tcBorders>
            <w:shd w:val="clear" w:color="auto" w:fill="auto"/>
            <w:vAlign w:val="center"/>
          </w:tcPr>
          <w:p w14:paraId="610C4A86" w14:textId="77777777" w:rsidR="0029159D" w:rsidRPr="00FA1DB2" w:rsidRDefault="0029159D" w:rsidP="0029159D">
            <w:pPr>
              <w:spacing w:after="0" w:line="240" w:lineRule="auto"/>
              <w:rPr>
                <w:rFonts w:ascii="Calibri" w:eastAsia="Times New Roman" w:hAnsi="Calibri" w:cs="Calibri"/>
                <w:color w:val="000000"/>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hideMark/>
          </w:tcPr>
          <w:p w14:paraId="610C4A87"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467</w:t>
            </w:r>
          </w:p>
        </w:tc>
        <w:tc>
          <w:tcPr>
            <w:tcW w:w="1076" w:type="dxa"/>
            <w:tcBorders>
              <w:top w:val="nil"/>
              <w:left w:val="nil"/>
              <w:bottom w:val="single" w:sz="4" w:space="0" w:color="auto"/>
              <w:right w:val="single" w:sz="4" w:space="0" w:color="auto"/>
            </w:tcBorders>
            <w:shd w:val="clear" w:color="auto" w:fill="auto"/>
            <w:vAlign w:val="center"/>
            <w:hideMark/>
          </w:tcPr>
          <w:p w14:paraId="610C4A88"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106</w:t>
            </w:r>
          </w:p>
        </w:tc>
        <w:tc>
          <w:tcPr>
            <w:tcW w:w="1786" w:type="dxa"/>
            <w:tcBorders>
              <w:top w:val="nil"/>
              <w:left w:val="nil"/>
              <w:bottom w:val="single" w:sz="4" w:space="0" w:color="auto"/>
              <w:right w:val="single" w:sz="4" w:space="0" w:color="auto"/>
            </w:tcBorders>
            <w:shd w:val="clear" w:color="auto" w:fill="auto"/>
            <w:vAlign w:val="center"/>
            <w:hideMark/>
          </w:tcPr>
          <w:p w14:paraId="610C4A8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Hartwig Scale</w:t>
            </w:r>
          </w:p>
        </w:tc>
        <w:tc>
          <w:tcPr>
            <w:tcW w:w="1023" w:type="dxa"/>
            <w:tcBorders>
              <w:top w:val="nil"/>
              <w:left w:val="nil"/>
              <w:bottom w:val="single" w:sz="4" w:space="0" w:color="auto"/>
              <w:right w:val="single" w:sz="4" w:space="0" w:color="auto"/>
            </w:tcBorders>
            <w:shd w:val="clear" w:color="auto" w:fill="auto"/>
            <w:noWrap/>
            <w:vAlign w:val="center"/>
            <w:hideMark/>
          </w:tcPr>
          <w:p w14:paraId="610C4A8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70</w:t>
            </w:r>
          </w:p>
        </w:tc>
        <w:tc>
          <w:tcPr>
            <w:tcW w:w="945" w:type="dxa"/>
            <w:tcBorders>
              <w:top w:val="nil"/>
              <w:left w:val="nil"/>
              <w:bottom w:val="single" w:sz="4" w:space="0" w:color="auto"/>
              <w:right w:val="single" w:sz="4" w:space="0" w:color="auto"/>
            </w:tcBorders>
            <w:shd w:val="clear" w:color="auto" w:fill="auto"/>
            <w:noWrap/>
            <w:vAlign w:val="center"/>
            <w:hideMark/>
          </w:tcPr>
          <w:p w14:paraId="610C4A8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66.06</w:t>
            </w:r>
          </w:p>
        </w:tc>
      </w:tr>
      <w:tr w:rsidR="0029159D" w:rsidRPr="00FA1DB2" w14:paraId="610C4A94"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8D" w14:textId="253E7721"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Davies</w:t>
            </w:r>
            <w:r>
              <w:rPr>
                <w:rFonts w:ascii="Calibri" w:eastAsia="Times New Roman" w:hAnsi="Calibri" w:cs="Calibri"/>
                <w:color w:val="000000"/>
                <w:lang w:eastAsia="en-GB"/>
              </w:rPr>
              <w:t xml:space="preserve"> (2009)</w:t>
            </w:r>
            <w:r w:rsidR="005138C7" w:rsidRPr="005138C7">
              <w:rPr>
                <w:rFonts w:ascii="Calibri" w:eastAsia="Times New Roman" w:hAnsi="Calibri" w:cs="Calibri"/>
                <w:noProof/>
                <w:color w:val="000000"/>
                <w:vertAlign w:val="superscript"/>
                <w:lang w:eastAsia="en-GB"/>
              </w:rPr>
              <w:t>14</w:t>
            </w:r>
          </w:p>
        </w:tc>
        <w:tc>
          <w:tcPr>
            <w:tcW w:w="1879" w:type="dxa"/>
            <w:tcBorders>
              <w:top w:val="nil"/>
              <w:left w:val="nil"/>
              <w:bottom w:val="single" w:sz="4" w:space="0" w:color="auto"/>
              <w:right w:val="single" w:sz="4" w:space="0" w:color="auto"/>
            </w:tcBorders>
            <w:shd w:val="clear" w:color="auto" w:fill="auto"/>
            <w:vAlign w:val="center"/>
          </w:tcPr>
          <w:p w14:paraId="610C4A8E" w14:textId="77777777" w:rsidR="0029159D" w:rsidRPr="00FA1DB2" w:rsidRDefault="0029159D" w:rsidP="0029159D">
            <w:pPr>
              <w:spacing w:after="0" w:line="240" w:lineRule="auto"/>
              <w:rPr>
                <w:rFonts w:ascii="Calibri" w:eastAsia="Times New Roman" w:hAnsi="Calibri" w:cs="Calibri"/>
                <w:color w:val="000000"/>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hideMark/>
          </w:tcPr>
          <w:p w14:paraId="610C4A8F"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1787</w:t>
            </w:r>
          </w:p>
        </w:tc>
        <w:tc>
          <w:tcPr>
            <w:tcW w:w="1076" w:type="dxa"/>
            <w:tcBorders>
              <w:top w:val="nil"/>
              <w:left w:val="nil"/>
              <w:bottom w:val="single" w:sz="4" w:space="0" w:color="auto"/>
              <w:right w:val="single" w:sz="4" w:space="0" w:color="auto"/>
            </w:tcBorders>
            <w:shd w:val="clear" w:color="auto" w:fill="auto"/>
            <w:vAlign w:val="center"/>
            <w:hideMark/>
          </w:tcPr>
          <w:p w14:paraId="610C4A9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476</w:t>
            </w:r>
          </w:p>
        </w:tc>
        <w:tc>
          <w:tcPr>
            <w:tcW w:w="1786" w:type="dxa"/>
            <w:tcBorders>
              <w:top w:val="nil"/>
              <w:left w:val="nil"/>
              <w:bottom w:val="single" w:sz="4" w:space="0" w:color="auto"/>
              <w:right w:val="single" w:sz="4" w:space="0" w:color="auto"/>
            </w:tcBorders>
            <w:shd w:val="clear" w:color="auto" w:fill="auto"/>
            <w:noWrap/>
            <w:vAlign w:val="center"/>
            <w:hideMark/>
          </w:tcPr>
          <w:p w14:paraId="610C4A91"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Hartwig Scale</w:t>
            </w:r>
          </w:p>
        </w:tc>
        <w:tc>
          <w:tcPr>
            <w:tcW w:w="1023" w:type="dxa"/>
            <w:tcBorders>
              <w:top w:val="nil"/>
              <w:left w:val="nil"/>
              <w:bottom w:val="single" w:sz="4" w:space="0" w:color="auto"/>
              <w:right w:val="single" w:sz="4" w:space="0" w:color="auto"/>
            </w:tcBorders>
            <w:shd w:val="clear" w:color="auto" w:fill="auto"/>
            <w:noWrap/>
            <w:vAlign w:val="center"/>
            <w:hideMark/>
          </w:tcPr>
          <w:p w14:paraId="610C4A9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385</w:t>
            </w:r>
          </w:p>
        </w:tc>
        <w:tc>
          <w:tcPr>
            <w:tcW w:w="945" w:type="dxa"/>
            <w:tcBorders>
              <w:top w:val="nil"/>
              <w:left w:val="nil"/>
              <w:bottom w:val="single" w:sz="4" w:space="0" w:color="auto"/>
              <w:right w:val="single" w:sz="4" w:space="0" w:color="auto"/>
            </w:tcBorders>
            <w:shd w:val="clear" w:color="auto" w:fill="auto"/>
            <w:noWrap/>
            <w:vAlign w:val="center"/>
            <w:hideMark/>
          </w:tcPr>
          <w:p w14:paraId="610C4A9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80.88</w:t>
            </w:r>
          </w:p>
        </w:tc>
      </w:tr>
      <w:tr w:rsidR="0029159D" w:rsidRPr="00FA1DB2" w14:paraId="610C4A9C" w14:textId="77777777" w:rsidTr="008937F3">
        <w:trPr>
          <w:trHeight w:val="46"/>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95" w14:textId="7850882D"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Ganeva</w:t>
            </w:r>
            <w:r>
              <w:rPr>
                <w:rFonts w:ascii="Calibri" w:eastAsia="Times New Roman" w:hAnsi="Calibri" w:cs="Calibri"/>
                <w:color w:val="000000"/>
                <w:lang w:eastAsia="en-GB"/>
              </w:rPr>
              <w:t xml:space="preserve"> (2016)</w:t>
            </w:r>
            <w:r w:rsidR="005138C7" w:rsidRPr="005138C7">
              <w:rPr>
                <w:rFonts w:ascii="Calibri" w:eastAsia="Times New Roman" w:hAnsi="Calibri" w:cs="Calibri"/>
                <w:noProof/>
                <w:color w:val="000000"/>
                <w:vertAlign w:val="superscript"/>
                <w:lang w:eastAsia="en-GB"/>
              </w:rPr>
              <w:t>16</w:t>
            </w:r>
          </w:p>
        </w:tc>
        <w:tc>
          <w:tcPr>
            <w:tcW w:w="1879" w:type="dxa"/>
            <w:tcBorders>
              <w:top w:val="nil"/>
              <w:left w:val="nil"/>
              <w:bottom w:val="single" w:sz="4" w:space="0" w:color="auto"/>
              <w:right w:val="single" w:sz="4" w:space="0" w:color="auto"/>
            </w:tcBorders>
            <w:shd w:val="clear" w:color="auto" w:fill="auto"/>
            <w:vAlign w:val="center"/>
          </w:tcPr>
          <w:p w14:paraId="610C4A96" w14:textId="77777777" w:rsidR="0029159D" w:rsidRPr="00FA1DB2" w:rsidRDefault="0029159D" w:rsidP="0029159D">
            <w:pPr>
              <w:spacing w:after="0" w:line="240" w:lineRule="auto"/>
              <w:rPr>
                <w:rFonts w:ascii="Calibri" w:eastAsia="Times New Roman" w:hAnsi="Calibri" w:cs="Calibri"/>
                <w:color w:val="000000"/>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hideMark/>
          </w:tcPr>
          <w:p w14:paraId="610C4A97"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97</w:t>
            </w:r>
          </w:p>
        </w:tc>
        <w:tc>
          <w:tcPr>
            <w:tcW w:w="1076" w:type="dxa"/>
            <w:tcBorders>
              <w:top w:val="nil"/>
              <w:left w:val="nil"/>
              <w:bottom w:val="single" w:sz="4" w:space="0" w:color="auto"/>
              <w:right w:val="single" w:sz="4" w:space="0" w:color="auto"/>
            </w:tcBorders>
            <w:shd w:val="clear" w:color="auto" w:fill="auto"/>
            <w:vAlign w:val="center"/>
            <w:hideMark/>
          </w:tcPr>
          <w:p w14:paraId="610C4A98"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13</w:t>
            </w:r>
          </w:p>
        </w:tc>
        <w:tc>
          <w:tcPr>
            <w:tcW w:w="1786" w:type="dxa"/>
            <w:tcBorders>
              <w:top w:val="nil"/>
              <w:left w:val="nil"/>
              <w:bottom w:val="single" w:sz="4" w:space="0" w:color="auto"/>
              <w:right w:val="single" w:sz="4" w:space="0" w:color="auto"/>
            </w:tcBorders>
            <w:shd w:val="clear" w:color="auto" w:fill="auto"/>
            <w:noWrap/>
            <w:vAlign w:val="center"/>
            <w:hideMark/>
          </w:tcPr>
          <w:p w14:paraId="610C4A9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Hartwig Scale</w:t>
            </w:r>
          </w:p>
        </w:tc>
        <w:tc>
          <w:tcPr>
            <w:tcW w:w="1023" w:type="dxa"/>
            <w:tcBorders>
              <w:top w:val="nil"/>
              <w:left w:val="nil"/>
              <w:bottom w:val="single" w:sz="4" w:space="0" w:color="auto"/>
              <w:right w:val="single" w:sz="4" w:space="0" w:color="auto"/>
            </w:tcBorders>
            <w:shd w:val="clear" w:color="auto" w:fill="auto"/>
            <w:noWrap/>
            <w:vAlign w:val="center"/>
            <w:hideMark/>
          </w:tcPr>
          <w:p w14:paraId="610C4A9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10</w:t>
            </w:r>
          </w:p>
        </w:tc>
        <w:tc>
          <w:tcPr>
            <w:tcW w:w="945" w:type="dxa"/>
            <w:tcBorders>
              <w:top w:val="nil"/>
              <w:left w:val="nil"/>
              <w:bottom w:val="single" w:sz="4" w:space="0" w:color="auto"/>
              <w:right w:val="single" w:sz="4" w:space="0" w:color="auto"/>
            </w:tcBorders>
            <w:shd w:val="clear" w:color="auto" w:fill="auto"/>
            <w:noWrap/>
            <w:vAlign w:val="center"/>
            <w:hideMark/>
          </w:tcPr>
          <w:p w14:paraId="610C4A9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76.92</w:t>
            </w:r>
          </w:p>
        </w:tc>
      </w:tr>
      <w:tr w:rsidR="0029159D" w:rsidRPr="00FA1DB2" w14:paraId="610C4AA4"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9D" w14:textId="2EFC3E84"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Ganeva</w:t>
            </w:r>
            <w:r>
              <w:rPr>
                <w:rFonts w:ascii="Calibri" w:eastAsia="Times New Roman" w:hAnsi="Calibri" w:cs="Calibri"/>
                <w:color w:val="000000"/>
                <w:lang w:eastAsia="en-GB"/>
              </w:rPr>
              <w:t xml:space="preserve"> (2013)</w:t>
            </w:r>
            <w:r w:rsidR="005138C7" w:rsidRPr="005138C7">
              <w:rPr>
                <w:rFonts w:ascii="Calibri" w:eastAsia="Times New Roman" w:hAnsi="Calibri" w:cs="Calibri"/>
                <w:noProof/>
                <w:color w:val="000000"/>
                <w:vertAlign w:val="superscript"/>
                <w:lang w:eastAsia="en-GB"/>
              </w:rPr>
              <w:t>17</w:t>
            </w:r>
          </w:p>
        </w:tc>
        <w:tc>
          <w:tcPr>
            <w:tcW w:w="1879" w:type="dxa"/>
            <w:tcBorders>
              <w:top w:val="nil"/>
              <w:left w:val="nil"/>
              <w:bottom w:val="single" w:sz="4" w:space="0" w:color="auto"/>
              <w:right w:val="single" w:sz="4" w:space="0" w:color="auto"/>
            </w:tcBorders>
            <w:shd w:val="clear" w:color="auto" w:fill="auto"/>
            <w:vAlign w:val="center"/>
          </w:tcPr>
          <w:p w14:paraId="610C4A9E" w14:textId="77777777" w:rsidR="0029159D" w:rsidRPr="00FA1DB2" w:rsidRDefault="0029159D" w:rsidP="0029159D">
            <w:pPr>
              <w:spacing w:after="0" w:line="240" w:lineRule="auto"/>
              <w:rPr>
                <w:rFonts w:ascii="Calibri" w:eastAsia="Times New Roman" w:hAnsi="Calibri" w:cs="Calibri"/>
                <w:color w:val="000000"/>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hideMark/>
          </w:tcPr>
          <w:p w14:paraId="610C4A9F"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203</w:t>
            </w:r>
          </w:p>
        </w:tc>
        <w:tc>
          <w:tcPr>
            <w:tcW w:w="1076" w:type="dxa"/>
            <w:tcBorders>
              <w:top w:val="nil"/>
              <w:left w:val="nil"/>
              <w:bottom w:val="single" w:sz="4" w:space="0" w:color="auto"/>
              <w:right w:val="single" w:sz="4" w:space="0" w:color="auto"/>
            </w:tcBorders>
            <w:shd w:val="clear" w:color="auto" w:fill="auto"/>
            <w:vAlign w:val="center"/>
            <w:hideMark/>
          </w:tcPr>
          <w:p w14:paraId="610C4AA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19</w:t>
            </w:r>
          </w:p>
        </w:tc>
        <w:tc>
          <w:tcPr>
            <w:tcW w:w="1786" w:type="dxa"/>
            <w:tcBorders>
              <w:top w:val="nil"/>
              <w:left w:val="nil"/>
              <w:bottom w:val="single" w:sz="4" w:space="0" w:color="auto"/>
              <w:right w:val="single" w:sz="4" w:space="0" w:color="auto"/>
            </w:tcBorders>
            <w:shd w:val="clear" w:color="auto" w:fill="auto"/>
            <w:noWrap/>
            <w:vAlign w:val="center"/>
            <w:hideMark/>
          </w:tcPr>
          <w:p w14:paraId="610C4AA1" w14:textId="7F33441D" w:rsidR="0029159D" w:rsidRPr="00FA1DB2" w:rsidRDefault="006D490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Self-described</w:t>
            </w:r>
            <w:r w:rsidR="0029159D" w:rsidRPr="00FA1DB2">
              <w:rPr>
                <w:rFonts w:ascii="Calibri" w:eastAsia="Times New Roman" w:hAnsi="Calibri" w:cs="Calibri"/>
                <w:color w:val="000000"/>
                <w:lang w:eastAsia="en-GB"/>
              </w:rPr>
              <w:t xml:space="preserve"> clinical judgement</w:t>
            </w:r>
          </w:p>
        </w:tc>
        <w:tc>
          <w:tcPr>
            <w:tcW w:w="1023" w:type="dxa"/>
            <w:tcBorders>
              <w:top w:val="nil"/>
              <w:left w:val="nil"/>
              <w:bottom w:val="single" w:sz="4" w:space="0" w:color="auto"/>
              <w:right w:val="single" w:sz="4" w:space="0" w:color="auto"/>
            </w:tcBorders>
            <w:shd w:val="clear" w:color="auto" w:fill="auto"/>
            <w:noWrap/>
            <w:vAlign w:val="center"/>
            <w:hideMark/>
          </w:tcPr>
          <w:p w14:paraId="610C4AA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16</w:t>
            </w:r>
          </w:p>
        </w:tc>
        <w:tc>
          <w:tcPr>
            <w:tcW w:w="945" w:type="dxa"/>
            <w:tcBorders>
              <w:top w:val="nil"/>
              <w:left w:val="nil"/>
              <w:bottom w:val="single" w:sz="4" w:space="0" w:color="auto"/>
              <w:right w:val="single" w:sz="4" w:space="0" w:color="auto"/>
            </w:tcBorders>
            <w:shd w:val="clear" w:color="auto" w:fill="auto"/>
            <w:noWrap/>
            <w:vAlign w:val="center"/>
            <w:hideMark/>
          </w:tcPr>
          <w:p w14:paraId="610C4AA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84.21</w:t>
            </w:r>
          </w:p>
        </w:tc>
      </w:tr>
      <w:tr w:rsidR="0029159D" w:rsidRPr="00FA1DB2" w14:paraId="610C4AAC"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A5" w14:textId="04E91EAD"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 xml:space="preserve">Ganeva </w:t>
            </w:r>
            <w:r>
              <w:rPr>
                <w:rFonts w:ascii="Calibri" w:eastAsia="Times New Roman" w:hAnsi="Calibri" w:cs="Calibri"/>
                <w:color w:val="000000"/>
                <w:lang w:eastAsia="en-GB"/>
              </w:rPr>
              <w:t>(2007)</w:t>
            </w:r>
            <w:r w:rsidR="005138C7" w:rsidRPr="005138C7">
              <w:rPr>
                <w:rFonts w:ascii="Calibri" w:eastAsia="Times New Roman" w:hAnsi="Calibri" w:cs="Calibri"/>
                <w:noProof/>
                <w:color w:val="000000"/>
                <w:vertAlign w:val="superscript"/>
                <w:lang w:eastAsia="en-GB"/>
              </w:rPr>
              <w:t>15</w:t>
            </w:r>
          </w:p>
        </w:tc>
        <w:tc>
          <w:tcPr>
            <w:tcW w:w="1879" w:type="dxa"/>
            <w:tcBorders>
              <w:top w:val="nil"/>
              <w:left w:val="nil"/>
              <w:bottom w:val="single" w:sz="4" w:space="0" w:color="auto"/>
              <w:right w:val="single" w:sz="4" w:space="0" w:color="auto"/>
            </w:tcBorders>
            <w:shd w:val="clear" w:color="auto" w:fill="auto"/>
            <w:vAlign w:val="center"/>
          </w:tcPr>
          <w:p w14:paraId="610C4AA6" w14:textId="77777777" w:rsidR="0029159D" w:rsidRPr="00FA1DB2" w:rsidRDefault="0029159D" w:rsidP="0029159D">
            <w:pPr>
              <w:spacing w:after="0" w:line="240" w:lineRule="auto"/>
              <w:rPr>
                <w:rFonts w:ascii="Calibri" w:eastAsia="Times New Roman" w:hAnsi="Calibri" w:cs="Calibri"/>
                <w:color w:val="000000"/>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hideMark/>
          </w:tcPr>
          <w:p w14:paraId="610C4AA7"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222</w:t>
            </w:r>
          </w:p>
        </w:tc>
        <w:tc>
          <w:tcPr>
            <w:tcW w:w="1076" w:type="dxa"/>
            <w:tcBorders>
              <w:top w:val="nil"/>
              <w:left w:val="nil"/>
              <w:bottom w:val="single" w:sz="4" w:space="0" w:color="auto"/>
              <w:right w:val="single" w:sz="4" w:space="0" w:color="auto"/>
            </w:tcBorders>
            <w:shd w:val="clear" w:color="auto" w:fill="auto"/>
            <w:vAlign w:val="center"/>
            <w:hideMark/>
          </w:tcPr>
          <w:p w14:paraId="610C4AA8"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17</w:t>
            </w:r>
          </w:p>
        </w:tc>
        <w:tc>
          <w:tcPr>
            <w:tcW w:w="1786" w:type="dxa"/>
            <w:tcBorders>
              <w:top w:val="nil"/>
              <w:left w:val="nil"/>
              <w:bottom w:val="single" w:sz="4" w:space="0" w:color="auto"/>
              <w:right w:val="single" w:sz="4" w:space="0" w:color="auto"/>
            </w:tcBorders>
            <w:shd w:val="clear" w:color="auto" w:fill="auto"/>
            <w:vAlign w:val="center"/>
            <w:hideMark/>
          </w:tcPr>
          <w:p w14:paraId="610C4AA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w:t>
            </w:r>
          </w:p>
        </w:tc>
        <w:tc>
          <w:tcPr>
            <w:tcW w:w="1023" w:type="dxa"/>
            <w:tcBorders>
              <w:top w:val="nil"/>
              <w:left w:val="nil"/>
              <w:bottom w:val="single" w:sz="4" w:space="0" w:color="auto"/>
              <w:right w:val="single" w:sz="4" w:space="0" w:color="auto"/>
            </w:tcBorders>
            <w:shd w:val="clear" w:color="auto" w:fill="auto"/>
            <w:noWrap/>
            <w:vAlign w:val="center"/>
            <w:hideMark/>
          </w:tcPr>
          <w:p w14:paraId="610C4AA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w:t>
            </w:r>
          </w:p>
        </w:tc>
        <w:tc>
          <w:tcPr>
            <w:tcW w:w="945" w:type="dxa"/>
            <w:tcBorders>
              <w:top w:val="nil"/>
              <w:left w:val="nil"/>
              <w:bottom w:val="single" w:sz="4" w:space="0" w:color="auto"/>
              <w:right w:val="single" w:sz="4" w:space="0" w:color="auto"/>
            </w:tcBorders>
            <w:shd w:val="clear" w:color="auto" w:fill="auto"/>
            <w:noWrap/>
            <w:vAlign w:val="center"/>
            <w:hideMark/>
          </w:tcPr>
          <w:p w14:paraId="610C4AA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54.55</w:t>
            </w:r>
          </w:p>
        </w:tc>
      </w:tr>
      <w:tr w:rsidR="00B4557B" w:rsidRPr="00FA1DB2" w14:paraId="61301F0F"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tcPr>
          <w:p w14:paraId="289EC8DD" w14:textId="5E1F95FA" w:rsidR="00B4557B" w:rsidRPr="00FA1DB2" w:rsidRDefault="00B4557B" w:rsidP="005138C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Hailu</w:t>
            </w:r>
            <w:r w:rsidR="005138C7" w:rsidRPr="005138C7">
              <w:rPr>
                <w:rFonts w:ascii="Calibri" w:eastAsia="Times New Roman" w:hAnsi="Calibri" w:cs="Calibri"/>
                <w:noProof/>
                <w:color w:val="000000"/>
                <w:vertAlign w:val="superscript"/>
                <w:lang w:eastAsia="en-GB"/>
              </w:rPr>
              <w:t>19</w:t>
            </w:r>
          </w:p>
        </w:tc>
        <w:tc>
          <w:tcPr>
            <w:tcW w:w="1879" w:type="dxa"/>
            <w:tcBorders>
              <w:top w:val="nil"/>
              <w:left w:val="nil"/>
              <w:bottom w:val="single" w:sz="4" w:space="0" w:color="auto"/>
              <w:right w:val="single" w:sz="4" w:space="0" w:color="auto"/>
            </w:tcBorders>
            <w:shd w:val="clear" w:color="auto" w:fill="auto"/>
            <w:vAlign w:val="center"/>
          </w:tcPr>
          <w:p w14:paraId="6E8C8ED0" w14:textId="1FCC53F5" w:rsidR="00B4557B" w:rsidRDefault="00B4557B" w:rsidP="0029159D">
            <w:pPr>
              <w:spacing w:after="0" w:line="240" w:lineRule="auto"/>
              <w:rPr>
                <w:lang w:eastAsia="en-GB"/>
              </w:rPr>
            </w:pPr>
            <w:r>
              <w:rPr>
                <w:lang w:eastAsia="en-GB"/>
              </w:rPr>
              <w:t>All ages author supplied</w:t>
            </w:r>
          </w:p>
        </w:tc>
        <w:tc>
          <w:tcPr>
            <w:tcW w:w="886" w:type="dxa"/>
            <w:tcBorders>
              <w:top w:val="nil"/>
              <w:left w:val="nil"/>
              <w:bottom w:val="single" w:sz="4" w:space="0" w:color="auto"/>
              <w:right w:val="single" w:sz="4" w:space="0" w:color="auto"/>
            </w:tcBorders>
            <w:shd w:val="clear" w:color="auto" w:fill="auto"/>
            <w:vAlign w:val="center"/>
          </w:tcPr>
          <w:p w14:paraId="214FBB2C" w14:textId="13842A29" w:rsidR="00B4557B" w:rsidRPr="00FA1DB2" w:rsidRDefault="00B4557B"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121</w:t>
            </w:r>
          </w:p>
        </w:tc>
        <w:tc>
          <w:tcPr>
            <w:tcW w:w="1076" w:type="dxa"/>
            <w:tcBorders>
              <w:top w:val="nil"/>
              <w:left w:val="nil"/>
              <w:bottom w:val="single" w:sz="4" w:space="0" w:color="auto"/>
              <w:right w:val="single" w:sz="4" w:space="0" w:color="auto"/>
            </w:tcBorders>
            <w:shd w:val="clear" w:color="auto" w:fill="auto"/>
            <w:vAlign w:val="center"/>
          </w:tcPr>
          <w:p w14:paraId="0ACC5956" w14:textId="440ADFF7" w:rsidR="00B4557B" w:rsidRPr="00FA1DB2" w:rsidRDefault="00B4557B"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1786" w:type="dxa"/>
            <w:tcBorders>
              <w:top w:val="nil"/>
              <w:left w:val="nil"/>
              <w:bottom w:val="single" w:sz="4" w:space="0" w:color="auto"/>
              <w:right w:val="single" w:sz="4" w:space="0" w:color="auto"/>
            </w:tcBorders>
            <w:shd w:val="clear" w:color="auto" w:fill="auto"/>
            <w:vAlign w:val="center"/>
          </w:tcPr>
          <w:p w14:paraId="5C8BDD41" w14:textId="79522BC1" w:rsidR="00B4557B" w:rsidRPr="00FA1DB2" w:rsidRDefault="002C3836"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Hartwig Scale</w:t>
            </w:r>
          </w:p>
        </w:tc>
        <w:tc>
          <w:tcPr>
            <w:tcW w:w="1023" w:type="dxa"/>
            <w:tcBorders>
              <w:top w:val="nil"/>
              <w:left w:val="nil"/>
              <w:bottom w:val="single" w:sz="4" w:space="0" w:color="auto"/>
              <w:right w:val="single" w:sz="4" w:space="0" w:color="auto"/>
            </w:tcBorders>
            <w:shd w:val="clear" w:color="auto" w:fill="auto"/>
            <w:noWrap/>
            <w:vAlign w:val="center"/>
          </w:tcPr>
          <w:p w14:paraId="7CB3FC79" w14:textId="27181F09" w:rsidR="00B4557B" w:rsidRPr="00FA1DB2" w:rsidRDefault="00B4557B"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945" w:type="dxa"/>
            <w:tcBorders>
              <w:top w:val="nil"/>
              <w:left w:val="nil"/>
              <w:bottom w:val="single" w:sz="4" w:space="0" w:color="auto"/>
              <w:right w:val="single" w:sz="4" w:space="0" w:color="auto"/>
            </w:tcBorders>
            <w:shd w:val="clear" w:color="auto" w:fill="auto"/>
            <w:noWrap/>
            <w:vAlign w:val="center"/>
          </w:tcPr>
          <w:p w14:paraId="1FE9A372" w14:textId="59D382DF" w:rsidR="00B4557B" w:rsidRPr="00FA1DB2" w:rsidRDefault="00B4557B" w:rsidP="002915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100</w:t>
            </w:r>
          </w:p>
        </w:tc>
      </w:tr>
      <w:tr w:rsidR="0029159D" w:rsidRPr="00FA1DB2" w14:paraId="610C4AB5"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AD" w14:textId="02D2A3A7" w:rsidR="0029159D" w:rsidRPr="00FA1DB2" w:rsidRDefault="0029159D" w:rsidP="005138C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Bowman (1996)</w:t>
            </w:r>
            <w:r w:rsidR="005138C7" w:rsidRPr="005138C7">
              <w:rPr>
                <w:rFonts w:ascii="Calibri" w:eastAsia="Times New Roman" w:hAnsi="Calibri" w:cs="Calibri"/>
                <w:noProof/>
                <w:color w:val="000000"/>
                <w:vertAlign w:val="superscript"/>
                <w:lang w:eastAsia="en-GB"/>
              </w:rPr>
              <w:t>8</w:t>
            </w:r>
          </w:p>
        </w:tc>
        <w:tc>
          <w:tcPr>
            <w:tcW w:w="1879" w:type="dxa"/>
            <w:tcBorders>
              <w:top w:val="nil"/>
              <w:left w:val="nil"/>
              <w:bottom w:val="single" w:sz="4" w:space="0" w:color="auto"/>
              <w:right w:val="single" w:sz="4" w:space="0" w:color="auto"/>
            </w:tcBorders>
            <w:shd w:val="clear" w:color="auto" w:fill="auto"/>
            <w:vAlign w:val="center"/>
          </w:tcPr>
          <w:p w14:paraId="610C4AAE" w14:textId="77777777" w:rsidR="0029159D" w:rsidRDefault="0029159D" w:rsidP="0029159D">
            <w:pPr>
              <w:spacing w:after="0" w:line="240" w:lineRule="auto"/>
              <w:rPr>
                <w:rFonts w:ascii="Calibri" w:eastAsia="Times New Roman" w:hAnsi="Calibri" w:cs="Calibri"/>
                <w:i/>
                <w:color w:val="000000"/>
                <w:lang w:eastAsia="en-GB"/>
              </w:rPr>
            </w:pPr>
            <w:r w:rsidRPr="005B4916">
              <w:rPr>
                <w:rFonts w:ascii="Calibri" w:eastAsia="Times New Roman" w:hAnsi="Calibri" w:cs="Calibri"/>
                <w:i/>
                <w:color w:val="000000"/>
                <w:lang w:eastAsia="en-GB"/>
              </w:rPr>
              <w:t>All ages</w:t>
            </w:r>
          </w:p>
          <w:p w14:paraId="610C4AAF" w14:textId="77777777" w:rsidR="0029159D" w:rsidRPr="005B4916" w:rsidRDefault="0029159D" w:rsidP="0029159D">
            <w:pPr>
              <w:spacing w:after="0" w:line="240" w:lineRule="auto"/>
              <w:rPr>
                <w:rFonts w:ascii="Calibri" w:eastAsia="Times New Roman" w:hAnsi="Calibri" w:cs="Calibri"/>
                <w:i/>
                <w:color w:val="000000"/>
                <w:lang w:eastAsia="en-GB"/>
              </w:rPr>
            </w:pPr>
            <w:r>
              <w:rPr>
                <w:rFonts w:ascii="Calibri" w:eastAsia="Times New Roman" w:hAnsi="Calibri" w:cs="Calibri"/>
                <w:i/>
                <w:color w:val="000000"/>
                <w:lang w:eastAsia="en-GB"/>
              </w:rPr>
              <w:t>(29.39% ≥ 65 years)</w:t>
            </w:r>
          </w:p>
        </w:tc>
        <w:tc>
          <w:tcPr>
            <w:tcW w:w="886" w:type="dxa"/>
            <w:tcBorders>
              <w:top w:val="nil"/>
              <w:left w:val="nil"/>
              <w:bottom w:val="single" w:sz="4" w:space="0" w:color="auto"/>
              <w:right w:val="single" w:sz="4" w:space="0" w:color="auto"/>
            </w:tcBorders>
            <w:shd w:val="clear" w:color="auto" w:fill="auto"/>
            <w:vAlign w:val="center"/>
            <w:hideMark/>
          </w:tcPr>
          <w:p w14:paraId="610C4AB0"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301</w:t>
            </w:r>
          </w:p>
        </w:tc>
        <w:tc>
          <w:tcPr>
            <w:tcW w:w="1076" w:type="dxa"/>
            <w:tcBorders>
              <w:top w:val="nil"/>
              <w:left w:val="nil"/>
              <w:bottom w:val="single" w:sz="4" w:space="0" w:color="auto"/>
              <w:right w:val="single" w:sz="4" w:space="0" w:color="auto"/>
            </w:tcBorders>
            <w:shd w:val="clear" w:color="auto" w:fill="auto"/>
            <w:vAlign w:val="center"/>
            <w:hideMark/>
          </w:tcPr>
          <w:p w14:paraId="610C4AB1"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89</w:t>
            </w:r>
          </w:p>
        </w:tc>
        <w:tc>
          <w:tcPr>
            <w:tcW w:w="1786" w:type="dxa"/>
            <w:tcBorders>
              <w:top w:val="nil"/>
              <w:left w:val="nil"/>
              <w:bottom w:val="single" w:sz="4" w:space="0" w:color="auto"/>
              <w:right w:val="single" w:sz="4" w:space="0" w:color="auto"/>
            </w:tcBorders>
            <w:shd w:val="clear" w:color="auto" w:fill="auto"/>
            <w:noWrap/>
            <w:vAlign w:val="center"/>
            <w:hideMark/>
          </w:tcPr>
          <w:p w14:paraId="610C4AB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Venulet</w:t>
            </w:r>
          </w:p>
        </w:tc>
        <w:tc>
          <w:tcPr>
            <w:tcW w:w="1023" w:type="dxa"/>
            <w:tcBorders>
              <w:top w:val="nil"/>
              <w:left w:val="nil"/>
              <w:bottom w:val="single" w:sz="4" w:space="0" w:color="auto"/>
              <w:right w:val="single" w:sz="4" w:space="0" w:color="auto"/>
            </w:tcBorders>
            <w:shd w:val="clear" w:color="auto" w:fill="auto"/>
            <w:noWrap/>
            <w:vAlign w:val="center"/>
            <w:hideMark/>
          </w:tcPr>
          <w:p w14:paraId="610C4AB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64</w:t>
            </w:r>
          </w:p>
        </w:tc>
        <w:tc>
          <w:tcPr>
            <w:tcW w:w="945" w:type="dxa"/>
            <w:tcBorders>
              <w:top w:val="nil"/>
              <w:left w:val="nil"/>
              <w:bottom w:val="single" w:sz="4" w:space="0" w:color="auto"/>
              <w:right w:val="single" w:sz="4" w:space="0" w:color="auto"/>
            </w:tcBorders>
            <w:shd w:val="clear" w:color="auto" w:fill="auto"/>
            <w:noWrap/>
            <w:vAlign w:val="center"/>
            <w:hideMark/>
          </w:tcPr>
          <w:p w14:paraId="610C4AB4"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72.00</w:t>
            </w:r>
          </w:p>
        </w:tc>
      </w:tr>
      <w:tr w:rsidR="0029159D" w:rsidRPr="00FA1DB2" w14:paraId="610C4ABE" w14:textId="77777777" w:rsidTr="008937F3">
        <w:trPr>
          <w:trHeight w:val="29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B6" w14:textId="6CC905EB" w:rsidR="0029159D" w:rsidRPr="00FA1DB2" w:rsidRDefault="00A66CD2" w:rsidP="005138C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Calderon</w:t>
            </w:r>
            <w:r w:rsidR="0029159D" w:rsidRPr="00FA1DB2">
              <w:rPr>
                <w:rFonts w:ascii="Calibri" w:eastAsia="Times New Roman" w:hAnsi="Calibri" w:cs="Calibri"/>
                <w:color w:val="000000"/>
                <w:lang w:eastAsia="en-GB"/>
              </w:rPr>
              <w:t>-Ospina</w:t>
            </w:r>
            <w:r w:rsidR="0029159D">
              <w:rPr>
                <w:rFonts w:ascii="Calibri" w:eastAsia="Times New Roman" w:hAnsi="Calibri" w:cs="Calibri"/>
                <w:color w:val="000000"/>
                <w:lang w:eastAsia="en-GB"/>
              </w:rPr>
              <w:t xml:space="preserve"> (2010)</w:t>
            </w:r>
            <w:r w:rsidR="005138C7" w:rsidRPr="005138C7">
              <w:rPr>
                <w:rFonts w:ascii="Calibri" w:eastAsia="Times New Roman" w:hAnsi="Calibri" w:cs="Calibri"/>
                <w:noProof/>
                <w:color w:val="000000"/>
                <w:vertAlign w:val="superscript"/>
                <w:lang w:eastAsia="en-GB"/>
              </w:rPr>
              <w:t>9</w:t>
            </w:r>
          </w:p>
        </w:tc>
        <w:tc>
          <w:tcPr>
            <w:tcW w:w="1879" w:type="dxa"/>
            <w:tcBorders>
              <w:top w:val="nil"/>
              <w:left w:val="nil"/>
              <w:bottom w:val="single" w:sz="4" w:space="0" w:color="auto"/>
              <w:right w:val="single" w:sz="4" w:space="0" w:color="auto"/>
            </w:tcBorders>
            <w:shd w:val="clear" w:color="auto" w:fill="auto"/>
            <w:vAlign w:val="center"/>
          </w:tcPr>
          <w:p w14:paraId="610C4AB7" w14:textId="77777777" w:rsidR="0029159D" w:rsidRPr="00117DEB" w:rsidRDefault="0029159D" w:rsidP="0029159D">
            <w:pPr>
              <w:spacing w:after="0" w:line="240" w:lineRule="auto"/>
              <w:rPr>
                <w:rFonts w:ascii="Calibri" w:eastAsia="Times New Roman" w:hAnsi="Calibri" w:cs="Calibri"/>
                <w:i/>
                <w:color w:val="000000"/>
                <w:lang w:eastAsia="en-GB"/>
              </w:rPr>
            </w:pPr>
            <w:r w:rsidRPr="00117DEB">
              <w:rPr>
                <w:rFonts w:ascii="Calibri" w:eastAsia="Times New Roman" w:hAnsi="Calibri" w:cs="Calibri"/>
                <w:i/>
                <w:color w:val="000000"/>
                <w:lang w:eastAsia="en-GB"/>
              </w:rPr>
              <w:t xml:space="preserve">All ages </w:t>
            </w:r>
          </w:p>
          <w:p w14:paraId="610C4AB8" w14:textId="77777777" w:rsidR="0029159D" w:rsidRPr="00FA1DB2" w:rsidRDefault="0029159D" w:rsidP="0029159D">
            <w:pPr>
              <w:spacing w:after="0" w:line="240" w:lineRule="auto"/>
              <w:rPr>
                <w:rFonts w:ascii="Calibri" w:eastAsia="Times New Roman" w:hAnsi="Calibri" w:cs="Calibri"/>
                <w:color w:val="000000"/>
                <w:lang w:eastAsia="en-GB"/>
              </w:rPr>
            </w:pPr>
            <w:r w:rsidRPr="00117DEB">
              <w:rPr>
                <w:rFonts w:ascii="Calibri" w:eastAsia="Times New Roman" w:hAnsi="Calibri" w:cs="Calibri"/>
                <w:i/>
                <w:color w:val="000000"/>
                <w:lang w:eastAsia="en-GB"/>
              </w:rPr>
              <w:t>(48.15% ≥ 65 years)</w:t>
            </w:r>
          </w:p>
        </w:tc>
        <w:tc>
          <w:tcPr>
            <w:tcW w:w="886" w:type="dxa"/>
            <w:tcBorders>
              <w:top w:val="nil"/>
              <w:left w:val="nil"/>
              <w:bottom w:val="single" w:sz="4" w:space="0" w:color="auto"/>
              <w:right w:val="single" w:sz="4" w:space="0" w:color="auto"/>
            </w:tcBorders>
            <w:shd w:val="clear" w:color="auto" w:fill="auto"/>
            <w:vAlign w:val="center"/>
            <w:hideMark/>
          </w:tcPr>
          <w:p w14:paraId="610C4AB9"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48</w:t>
            </w:r>
          </w:p>
        </w:tc>
        <w:tc>
          <w:tcPr>
            <w:tcW w:w="1076" w:type="dxa"/>
            <w:tcBorders>
              <w:top w:val="nil"/>
              <w:left w:val="nil"/>
              <w:bottom w:val="single" w:sz="4" w:space="0" w:color="auto"/>
              <w:right w:val="single" w:sz="4" w:space="0" w:color="auto"/>
            </w:tcBorders>
            <w:shd w:val="clear" w:color="auto" w:fill="auto"/>
            <w:vAlign w:val="center"/>
            <w:hideMark/>
          </w:tcPr>
          <w:p w14:paraId="610C4ABA"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13</w:t>
            </w:r>
          </w:p>
        </w:tc>
        <w:tc>
          <w:tcPr>
            <w:tcW w:w="1786" w:type="dxa"/>
            <w:tcBorders>
              <w:top w:val="nil"/>
              <w:left w:val="nil"/>
              <w:bottom w:val="single" w:sz="4" w:space="0" w:color="auto"/>
              <w:right w:val="single" w:sz="4" w:space="0" w:color="auto"/>
            </w:tcBorders>
            <w:shd w:val="clear" w:color="auto" w:fill="auto"/>
            <w:noWrap/>
            <w:vAlign w:val="center"/>
            <w:hideMark/>
          </w:tcPr>
          <w:p w14:paraId="610C4ABB"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w:t>
            </w:r>
          </w:p>
        </w:tc>
        <w:tc>
          <w:tcPr>
            <w:tcW w:w="1023" w:type="dxa"/>
            <w:tcBorders>
              <w:top w:val="nil"/>
              <w:left w:val="nil"/>
              <w:bottom w:val="single" w:sz="4" w:space="0" w:color="auto"/>
              <w:right w:val="single" w:sz="4" w:space="0" w:color="auto"/>
            </w:tcBorders>
            <w:shd w:val="clear" w:color="auto" w:fill="auto"/>
            <w:noWrap/>
            <w:vAlign w:val="center"/>
            <w:hideMark/>
          </w:tcPr>
          <w:p w14:paraId="610C4ABC"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13</w:t>
            </w:r>
          </w:p>
        </w:tc>
        <w:tc>
          <w:tcPr>
            <w:tcW w:w="945" w:type="dxa"/>
            <w:tcBorders>
              <w:top w:val="nil"/>
              <w:left w:val="nil"/>
              <w:bottom w:val="single" w:sz="4" w:space="0" w:color="auto"/>
              <w:right w:val="single" w:sz="4" w:space="0" w:color="auto"/>
            </w:tcBorders>
            <w:shd w:val="clear" w:color="auto" w:fill="auto"/>
            <w:noWrap/>
            <w:vAlign w:val="center"/>
            <w:hideMark/>
          </w:tcPr>
          <w:p w14:paraId="610C4ABD"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100.00</w:t>
            </w:r>
          </w:p>
        </w:tc>
      </w:tr>
      <w:tr w:rsidR="0029159D" w:rsidRPr="00FA1DB2" w14:paraId="610C4AC7" w14:textId="77777777" w:rsidTr="008937F3">
        <w:trPr>
          <w:trHeight w:val="580"/>
        </w:trPr>
        <w:tc>
          <w:tcPr>
            <w:tcW w:w="2016" w:type="dxa"/>
            <w:tcBorders>
              <w:top w:val="nil"/>
              <w:left w:val="single" w:sz="4" w:space="0" w:color="auto"/>
              <w:bottom w:val="single" w:sz="4" w:space="0" w:color="auto"/>
              <w:right w:val="single" w:sz="4" w:space="0" w:color="auto"/>
            </w:tcBorders>
            <w:shd w:val="clear" w:color="auto" w:fill="auto"/>
            <w:vAlign w:val="center"/>
            <w:hideMark/>
          </w:tcPr>
          <w:p w14:paraId="610C4ABF" w14:textId="34D7C691" w:rsidR="0029159D" w:rsidRPr="00FA1DB2" w:rsidRDefault="0029159D" w:rsidP="005138C7">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Gonzalez-Martin</w:t>
            </w:r>
            <w:r>
              <w:rPr>
                <w:rFonts w:ascii="Calibri" w:eastAsia="Times New Roman" w:hAnsi="Calibri" w:cs="Calibri"/>
                <w:color w:val="000000"/>
                <w:lang w:eastAsia="en-GB"/>
              </w:rPr>
              <w:t xml:space="preserve"> (1997)</w:t>
            </w:r>
            <w:r w:rsidR="005138C7" w:rsidRPr="005138C7">
              <w:rPr>
                <w:rFonts w:ascii="Calibri" w:eastAsia="Times New Roman" w:hAnsi="Calibri" w:cs="Calibri"/>
                <w:noProof/>
                <w:color w:val="000000"/>
                <w:vertAlign w:val="superscript"/>
                <w:lang w:eastAsia="en-GB"/>
              </w:rPr>
              <w:t>18</w:t>
            </w:r>
          </w:p>
        </w:tc>
        <w:tc>
          <w:tcPr>
            <w:tcW w:w="1879" w:type="dxa"/>
            <w:tcBorders>
              <w:top w:val="nil"/>
              <w:left w:val="nil"/>
              <w:bottom w:val="single" w:sz="4" w:space="0" w:color="auto"/>
              <w:right w:val="single" w:sz="4" w:space="0" w:color="auto"/>
            </w:tcBorders>
            <w:shd w:val="clear" w:color="auto" w:fill="auto"/>
            <w:vAlign w:val="center"/>
          </w:tcPr>
          <w:p w14:paraId="610C4AC0" w14:textId="77777777" w:rsidR="0029159D" w:rsidRPr="005062DF" w:rsidRDefault="0029159D" w:rsidP="0029159D">
            <w:pPr>
              <w:spacing w:after="0" w:line="240" w:lineRule="auto"/>
              <w:rPr>
                <w:rFonts w:ascii="Calibri" w:eastAsia="Times New Roman" w:hAnsi="Calibri" w:cs="Calibri"/>
                <w:i/>
                <w:color w:val="000000"/>
                <w:lang w:eastAsia="en-GB"/>
              </w:rPr>
            </w:pPr>
            <w:r w:rsidRPr="005062DF">
              <w:rPr>
                <w:rFonts w:ascii="Calibri" w:eastAsia="Times New Roman" w:hAnsi="Calibri" w:cs="Calibri"/>
                <w:i/>
                <w:color w:val="000000"/>
                <w:lang w:eastAsia="en-GB"/>
              </w:rPr>
              <w:t>All ages</w:t>
            </w:r>
          </w:p>
          <w:p w14:paraId="610C4AC1" w14:textId="77777777" w:rsidR="0029159D" w:rsidRPr="00FA1DB2" w:rsidRDefault="0029159D" w:rsidP="0029159D">
            <w:pPr>
              <w:spacing w:after="0" w:line="240" w:lineRule="auto"/>
              <w:rPr>
                <w:rFonts w:ascii="Calibri" w:eastAsia="Times New Roman" w:hAnsi="Calibri" w:cs="Calibri"/>
                <w:color w:val="000000"/>
                <w:lang w:eastAsia="en-GB"/>
              </w:rPr>
            </w:pPr>
            <w:r w:rsidRPr="005062DF">
              <w:rPr>
                <w:rFonts w:ascii="Calibri" w:eastAsia="Times New Roman" w:hAnsi="Calibri" w:cs="Calibri"/>
                <w:i/>
                <w:color w:val="000000"/>
                <w:lang w:eastAsia="en-GB"/>
              </w:rPr>
              <w:t>(52.74% ≥ 65 years)</w:t>
            </w:r>
          </w:p>
        </w:tc>
        <w:tc>
          <w:tcPr>
            <w:tcW w:w="886" w:type="dxa"/>
            <w:tcBorders>
              <w:top w:val="nil"/>
              <w:left w:val="nil"/>
              <w:bottom w:val="single" w:sz="4" w:space="0" w:color="auto"/>
              <w:right w:val="single" w:sz="4" w:space="0" w:color="auto"/>
            </w:tcBorders>
            <w:shd w:val="clear" w:color="auto" w:fill="auto"/>
            <w:vAlign w:val="center"/>
            <w:hideMark/>
          </w:tcPr>
          <w:p w14:paraId="610C4AC2"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244</w:t>
            </w:r>
          </w:p>
        </w:tc>
        <w:tc>
          <w:tcPr>
            <w:tcW w:w="1076" w:type="dxa"/>
            <w:tcBorders>
              <w:top w:val="nil"/>
              <w:left w:val="nil"/>
              <w:bottom w:val="single" w:sz="4" w:space="0" w:color="auto"/>
              <w:right w:val="single" w:sz="4" w:space="0" w:color="auto"/>
            </w:tcBorders>
            <w:shd w:val="clear" w:color="auto" w:fill="auto"/>
            <w:vAlign w:val="center"/>
            <w:hideMark/>
          </w:tcPr>
          <w:p w14:paraId="610C4AC3"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35</w:t>
            </w:r>
          </w:p>
        </w:tc>
        <w:tc>
          <w:tcPr>
            <w:tcW w:w="1786" w:type="dxa"/>
            <w:tcBorders>
              <w:top w:val="nil"/>
              <w:left w:val="nil"/>
              <w:bottom w:val="single" w:sz="4" w:space="0" w:color="auto"/>
              <w:right w:val="single" w:sz="4" w:space="0" w:color="auto"/>
            </w:tcBorders>
            <w:shd w:val="clear" w:color="auto" w:fill="auto"/>
            <w:vAlign w:val="center"/>
            <w:hideMark/>
          </w:tcPr>
          <w:p w14:paraId="610C4AC4"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Author defined - lethal, severe, moderate</w:t>
            </w:r>
          </w:p>
        </w:tc>
        <w:tc>
          <w:tcPr>
            <w:tcW w:w="1023" w:type="dxa"/>
            <w:tcBorders>
              <w:top w:val="nil"/>
              <w:left w:val="nil"/>
              <w:bottom w:val="single" w:sz="4" w:space="0" w:color="auto"/>
              <w:right w:val="single" w:sz="4" w:space="0" w:color="auto"/>
            </w:tcBorders>
            <w:shd w:val="clear" w:color="auto" w:fill="auto"/>
            <w:noWrap/>
            <w:vAlign w:val="center"/>
            <w:hideMark/>
          </w:tcPr>
          <w:p w14:paraId="610C4AC5"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9</w:t>
            </w:r>
          </w:p>
        </w:tc>
        <w:tc>
          <w:tcPr>
            <w:tcW w:w="945" w:type="dxa"/>
            <w:tcBorders>
              <w:top w:val="nil"/>
              <w:left w:val="nil"/>
              <w:bottom w:val="single" w:sz="4" w:space="0" w:color="auto"/>
              <w:right w:val="single" w:sz="4" w:space="0" w:color="auto"/>
            </w:tcBorders>
            <w:shd w:val="clear" w:color="auto" w:fill="auto"/>
            <w:noWrap/>
            <w:vAlign w:val="center"/>
            <w:hideMark/>
          </w:tcPr>
          <w:p w14:paraId="610C4AC6" w14:textId="77777777" w:rsidR="0029159D" w:rsidRPr="00FA1DB2" w:rsidRDefault="0029159D" w:rsidP="0029159D">
            <w:pPr>
              <w:spacing w:after="0" w:line="240" w:lineRule="auto"/>
              <w:rPr>
                <w:rFonts w:ascii="Calibri" w:eastAsia="Times New Roman" w:hAnsi="Calibri" w:cs="Calibri"/>
                <w:color w:val="000000"/>
                <w:lang w:eastAsia="en-GB"/>
              </w:rPr>
            </w:pPr>
            <w:r w:rsidRPr="00FA1DB2">
              <w:rPr>
                <w:rFonts w:ascii="Calibri" w:eastAsia="Times New Roman" w:hAnsi="Calibri" w:cs="Calibri"/>
                <w:color w:val="000000"/>
                <w:lang w:eastAsia="en-GB"/>
              </w:rPr>
              <w:t>25.71</w:t>
            </w:r>
          </w:p>
        </w:tc>
      </w:tr>
    </w:tbl>
    <w:p w14:paraId="610C4AC8" w14:textId="7B2D0516" w:rsidR="007D57FB" w:rsidRDefault="007D57FB">
      <w:pPr>
        <w:rPr>
          <w:rFonts w:ascii="Calibri" w:eastAsia="Times New Roman" w:hAnsi="Calibri" w:cs="Calibri"/>
          <w:bCs/>
          <w:i/>
          <w:color w:val="000000"/>
          <w:lang w:eastAsia="en-GB"/>
        </w:rPr>
      </w:pPr>
      <w:r>
        <w:rPr>
          <w:rFonts w:ascii="Calibri" w:eastAsia="Times New Roman" w:hAnsi="Calibri" w:cs="Calibri"/>
          <w:bCs/>
          <w:i/>
          <w:color w:val="000000"/>
          <w:lang w:eastAsia="en-GB"/>
        </w:rPr>
        <w:t>*</w:t>
      </w:r>
      <w:r w:rsidRPr="00D032F5">
        <w:rPr>
          <w:rFonts w:ascii="Calibri" w:eastAsia="Times New Roman" w:hAnsi="Calibri" w:cs="Calibri"/>
          <w:bCs/>
          <w:i/>
          <w:color w:val="000000"/>
          <w:lang w:eastAsia="en-GB"/>
        </w:rPr>
        <w:t xml:space="preserve">Reporting ADRs that are </w:t>
      </w:r>
      <w:r w:rsidRPr="00FA1DB2">
        <w:rPr>
          <w:rFonts w:ascii="Calibri" w:eastAsia="Times New Roman" w:hAnsi="Calibri" w:cs="Calibri"/>
          <w:bCs/>
          <w:i/>
          <w:color w:val="000000"/>
          <w:lang w:eastAsia="en-GB"/>
        </w:rPr>
        <w:t>moderate, sever</w:t>
      </w:r>
      <w:r w:rsidRPr="00D032F5">
        <w:rPr>
          <w:rFonts w:ascii="Calibri" w:eastAsia="Times New Roman" w:hAnsi="Calibri" w:cs="Calibri"/>
          <w:bCs/>
          <w:i/>
          <w:color w:val="000000"/>
          <w:lang w:eastAsia="en-GB"/>
        </w:rPr>
        <w:t>e, serious or life threatening</w:t>
      </w:r>
    </w:p>
    <w:p w14:paraId="3519CCB4" w14:textId="77777777" w:rsidR="00324ED5" w:rsidRPr="004B3DF9" w:rsidRDefault="00324ED5">
      <w:pPr>
        <w:rPr>
          <w:rFonts w:ascii="Calibri" w:eastAsia="Times New Roman" w:hAnsi="Calibri" w:cs="Calibri"/>
          <w:bCs/>
          <w:color w:val="000000"/>
          <w:lang w:eastAsia="en-GB"/>
        </w:rPr>
      </w:pPr>
    </w:p>
    <w:p w14:paraId="34BB12B0" w14:textId="30A40E93" w:rsidR="00AE5F22" w:rsidRDefault="00DA5224" w:rsidP="008937F3">
      <w:pPr>
        <w:pStyle w:val="Heading2"/>
      </w:pPr>
      <w:bookmarkStart w:id="68" w:name="_Toc52396387"/>
      <w:r>
        <w:t>Appendix 23</w:t>
      </w:r>
      <w:r w:rsidR="005E36E5">
        <w:t xml:space="preserve">. </w:t>
      </w:r>
      <w:r w:rsidR="00AE5F22">
        <w:t>Meta-analysis ADR Reported Severity</w:t>
      </w:r>
      <w:bookmarkEnd w:id="68"/>
    </w:p>
    <w:p w14:paraId="16572F09" w14:textId="77777777" w:rsidR="005138C7" w:rsidRDefault="00EB0190">
      <w:r w:rsidRPr="00EB0190">
        <w:rPr>
          <w:noProof/>
          <w:lang w:eastAsia="en-GB"/>
        </w:rPr>
        <w:drawing>
          <wp:inline distT="0" distB="0" distL="0" distR="0" wp14:anchorId="0CAED306" wp14:editId="659BEB78">
            <wp:extent cx="5731510" cy="343535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3435350"/>
                    </a:xfrm>
                    <a:prstGeom prst="rect">
                      <a:avLst/>
                    </a:prstGeom>
                  </pic:spPr>
                </pic:pic>
              </a:graphicData>
            </a:graphic>
          </wp:inline>
        </w:drawing>
      </w:r>
    </w:p>
    <w:p w14:paraId="5B4518F9" w14:textId="7428C0C6" w:rsidR="007801AB" w:rsidRDefault="00737863">
      <w:r>
        <w:rPr>
          <w:b/>
          <w:u w:val="single"/>
        </w:rPr>
        <w:t xml:space="preserve">Appendix </w:t>
      </w:r>
      <w:r w:rsidR="00DA5224">
        <w:rPr>
          <w:b/>
          <w:u w:val="single"/>
        </w:rPr>
        <w:t>23</w:t>
      </w:r>
      <w:r>
        <w:rPr>
          <w:b/>
          <w:u w:val="single"/>
        </w:rPr>
        <w:t>.</w:t>
      </w:r>
      <w:r w:rsidR="005138C7" w:rsidRPr="008937F3">
        <w:rPr>
          <w:u w:val="single"/>
        </w:rPr>
        <w:t xml:space="preserve"> Forest plot of pooled estimate </w:t>
      </w:r>
      <w:r w:rsidR="00BB5BCB">
        <w:rPr>
          <w:u w:val="single"/>
        </w:rPr>
        <w:t>(b</w:t>
      </w:r>
      <w:r w:rsidR="00BB5BCB" w:rsidRPr="00BB5BCB">
        <w:rPr>
          <w:u w:val="single"/>
        </w:rPr>
        <w:t>inomial-normal random effects model</w:t>
      </w:r>
      <w:r w:rsidR="00BB5BCB">
        <w:rPr>
          <w:u w:val="single"/>
        </w:rPr>
        <w:t xml:space="preserve">) </w:t>
      </w:r>
      <w:r w:rsidR="005138C7" w:rsidRPr="008937F3">
        <w:rPr>
          <w:u w:val="single"/>
        </w:rPr>
        <w:t>of proportion of severe ADRs across eighteen studies.</w:t>
      </w:r>
      <w:r w:rsidR="005138C7" w:rsidRPr="005138C7">
        <w:rPr>
          <w:noProof/>
          <w:vertAlign w:val="superscript"/>
        </w:rPr>
        <w:t>8,9,12-17,19-26,31,34</w:t>
      </w:r>
      <w:r w:rsidR="005138C7">
        <w:t xml:space="preserve"> </w:t>
      </w:r>
    </w:p>
    <w:p w14:paraId="610C4AC9" w14:textId="354D5EB8" w:rsidR="007D57FB" w:rsidRPr="008937F3" w:rsidRDefault="007801AB">
      <w:pPr>
        <w:rPr>
          <w:i/>
        </w:rPr>
      </w:pPr>
      <w:r w:rsidRPr="008937F3">
        <w:rPr>
          <w:i/>
        </w:rPr>
        <w:t>T</w:t>
      </w:r>
      <w:r w:rsidRPr="00497714">
        <w:rPr>
          <w:i/>
        </w:rPr>
        <w:t>h</w:t>
      </w:r>
      <w:r>
        <w:rPr>
          <w:i/>
        </w:rPr>
        <w:t>is</w:t>
      </w:r>
      <w:r w:rsidRPr="00497714">
        <w:rPr>
          <w:i/>
        </w:rPr>
        <w:t xml:space="preserve"> estimate</w:t>
      </w:r>
      <w:r w:rsidRPr="008937F3">
        <w:rPr>
          <w:i/>
        </w:rPr>
        <w:t xml:space="preserve"> </w:t>
      </w:r>
      <w:r>
        <w:rPr>
          <w:i/>
        </w:rPr>
        <w:t xml:space="preserve">is </w:t>
      </w:r>
      <w:r w:rsidRPr="008937F3">
        <w:rPr>
          <w:i/>
        </w:rPr>
        <w:t>limited by the high level of heterogeneity</w:t>
      </w:r>
      <w:r>
        <w:rPr>
          <w:i/>
        </w:rPr>
        <w:t xml:space="preserve"> </w:t>
      </w:r>
      <w:r w:rsidRPr="008937F3">
        <w:rPr>
          <w:i/>
        </w:rPr>
        <w:t xml:space="preserve">and substantial variability </w:t>
      </w:r>
      <w:r>
        <w:rPr>
          <w:i/>
        </w:rPr>
        <w:t xml:space="preserve">across included studies </w:t>
      </w:r>
      <w:r w:rsidRPr="008937F3">
        <w:rPr>
          <w:i/>
        </w:rPr>
        <w:t xml:space="preserve">(as evidenced by </w:t>
      </w:r>
      <w:r>
        <w:rPr>
          <w:i/>
        </w:rPr>
        <w:t>I</w:t>
      </w:r>
      <w:r w:rsidRPr="008937F3">
        <w:rPr>
          <w:i/>
          <w:vertAlign w:val="superscript"/>
        </w:rPr>
        <w:t>2</w:t>
      </w:r>
      <w:r w:rsidRPr="008937F3">
        <w:rPr>
          <w:i/>
        </w:rPr>
        <w:t xml:space="preserve"> </w:t>
      </w:r>
      <w:r>
        <w:rPr>
          <w:i/>
        </w:rPr>
        <w:t xml:space="preserve">and </w:t>
      </w:r>
      <w:r w:rsidRPr="008937F3">
        <w:rPr>
          <w:rFonts w:ascii="Symbol" w:hAnsi="Symbol"/>
          <w:i/>
        </w:rPr>
        <w:t></w:t>
      </w:r>
      <w:r w:rsidRPr="008937F3">
        <w:rPr>
          <w:i/>
          <w:vertAlign w:val="superscript"/>
        </w:rPr>
        <w:t>2</w:t>
      </w:r>
      <w:r w:rsidRPr="008937F3">
        <w:rPr>
          <w:i/>
        </w:rPr>
        <w:t xml:space="preserve"> value).</w:t>
      </w:r>
      <w:r>
        <w:rPr>
          <w:i/>
        </w:rPr>
        <w:t xml:space="preserve"> Hence, the estimate should be interpreted with caution as rather than considered as a “true” estimate.</w:t>
      </w:r>
      <w:r w:rsidR="007D57FB" w:rsidRPr="008937F3">
        <w:rPr>
          <w:i/>
        </w:rPr>
        <w:br w:type="page"/>
      </w:r>
    </w:p>
    <w:p w14:paraId="610C4ACA" w14:textId="580B8237" w:rsidR="007D57FB" w:rsidRDefault="00DA5224" w:rsidP="005B3E6B">
      <w:pPr>
        <w:pStyle w:val="Heading1"/>
      </w:pPr>
      <w:bookmarkStart w:id="69" w:name="_Toc52396388"/>
      <w:r>
        <w:t>Appendix 24</w:t>
      </w:r>
      <w:r w:rsidR="00737863">
        <w:t>.</w:t>
      </w:r>
      <w:r w:rsidR="005E36E5">
        <w:t xml:space="preserve"> </w:t>
      </w:r>
      <w:r w:rsidR="007D57FB">
        <w:t>Preventability</w:t>
      </w:r>
      <w:bookmarkEnd w:id="69"/>
    </w:p>
    <w:p w14:paraId="6715AA1F" w14:textId="04F3F21D" w:rsidR="006D490D" w:rsidRPr="006D490D" w:rsidRDefault="006D490D" w:rsidP="008937F3">
      <w:r w:rsidRPr="00053D56">
        <w:t xml:space="preserve">ADRs </w:t>
      </w:r>
      <w:r>
        <w:t>preventability was assessed in 7 studies.</w:t>
      </w:r>
      <w:r w:rsidRPr="0021040A">
        <w:rPr>
          <w:noProof/>
          <w:vertAlign w:val="superscript"/>
        </w:rPr>
        <w:t>9,14,16,19,23,28,34</w:t>
      </w:r>
      <w:r>
        <w:t xml:space="preserve"> Preventable in this instance is as defined by the various study methodologies. Studies did not report on the details of which ADR presentations or ADR-Drug pairs were “preventable”. Four studies</w:t>
      </w:r>
      <w:r w:rsidRPr="0021040A">
        <w:rPr>
          <w:noProof/>
          <w:vertAlign w:val="superscript"/>
        </w:rPr>
        <w:t>14,16,23,28,34</w:t>
      </w:r>
      <w:r>
        <w:t xml:space="preserve"> had extractable data and used the same tool (Hallas). </w:t>
      </w:r>
    </w:p>
    <w:tbl>
      <w:tblPr>
        <w:tblStyle w:val="TableGrid"/>
        <w:tblW w:w="9776" w:type="dxa"/>
        <w:tblLook w:val="04A0" w:firstRow="1" w:lastRow="0" w:firstColumn="1" w:lastColumn="0" w:noHBand="0" w:noVBand="1"/>
      </w:tblPr>
      <w:tblGrid>
        <w:gridCol w:w="2254"/>
        <w:gridCol w:w="2561"/>
        <w:gridCol w:w="2254"/>
        <w:gridCol w:w="2707"/>
      </w:tblGrid>
      <w:tr w:rsidR="007D57FB" w:rsidRPr="00337D34" w14:paraId="610C4ACF" w14:textId="77777777" w:rsidTr="005B3E6B">
        <w:tc>
          <w:tcPr>
            <w:tcW w:w="2254" w:type="dxa"/>
          </w:tcPr>
          <w:p w14:paraId="610C4ACB" w14:textId="77777777" w:rsidR="007D57FB" w:rsidRPr="00337D34" w:rsidRDefault="007D57FB" w:rsidP="005B3E6B">
            <w:pPr>
              <w:rPr>
                <w:b/>
                <w:lang w:eastAsia="en-GB"/>
              </w:rPr>
            </w:pPr>
            <w:r w:rsidRPr="00337D34">
              <w:rPr>
                <w:b/>
                <w:lang w:eastAsia="en-GB"/>
              </w:rPr>
              <w:t>Source</w:t>
            </w:r>
          </w:p>
        </w:tc>
        <w:tc>
          <w:tcPr>
            <w:tcW w:w="2561" w:type="dxa"/>
          </w:tcPr>
          <w:p w14:paraId="610C4ACC" w14:textId="77777777" w:rsidR="007D57FB" w:rsidRPr="00337D34" w:rsidRDefault="007D57FB" w:rsidP="005B3E6B">
            <w:pPr>
              <w:rPr>
                <w:b/>
                <w:lang w:eastAsia="en-GB"/>
              </w:rPr>
            </w:pPr>
            <w:r w:rsidRPr="00337D34">
              <w:rPr>
                <w:b/>
                <w:lang w:eastAsia="en-GB"/>
              </w:rPr>
              <w:t>Population</w:t>
            </w:r>
          </w:p>
        </w:tc>
        <w:tc>
          <w:tcPr>
            <w:tcW w:w="2254" w:type="dxa"/>
          </w:tcPr>
          <w:p w14:paraId="610C4ACD" w14:textId="77777777" w:rsidR="007D57FB" w:rsidRPr="00337D34" w:rsidRDefault="007D57FB" w:rsidP="005B3E6B">
            <w:pPr>
              <w:rPr>
                <w:b/>
                <w:lang w:eastAsia="en-GB"/>
              </w:rPr>
            </w:pPr>
            <w:r>
              <w:rPr>
                <w:b/>
                <w:lang w:eastAsia="en-GB"/>
              </w:rPr>
              <w:t>Tool</w:t>
            </w:r>
          </w:p>
        </w:tc>
        <w:tc>
          <w:tcPr>
            <w:tcW w:w="2707" w:type="dxa"/>
          </w:tcPr>
          <w:p w14:paraId="610C4ACE" w14:textId="77777777" w:rsidR="007D57FB" w:rsidRPr="00337D34" w:rsidRDefault="007D57FB" w:rsidP="005B3E6B">
            <w:pPr>
              <w:rPr>
                <w:b/>
                <w:lang w:eastAsia="en-GB"/>
              </w:rPr>
            </w:pPr>
            <w:r>
              <w:rPr>
                <w:b/>
                <w:lang w:eastAsia="en-GB"/>
              </w:rPr>
              <w:t>Details of Preventability</w:t>
            </w:r>
          </w:p>
        </w:tc>
      </w:tr>
      <w:tr w:rsidR="007D57FB" w14:paraId="610C4AD5" w14:textId="77777777" w:rsidTr="005B3E6B">
        <w:tc>
          <w:tcPr>
            <w:tcW w:w="2254" w:type="dxa"/>
          </w:tcPr>
          <w:p w14:paraId="610C4AD0" w14:textId="465AA68F" w:rsidR="007D57FB" w:rsidRDefault="007D57FB" w:rsidP="0021040A">
            <w:pPr>
              <w:rPr>
                <w:lang w:eastAsia="en-GB"/>
              </w:rPr>
            </w:pPr>
            <w:r>
              <w:rPr>
                <w:lang w:eastAsia="en-GB"/>
              </w:rPr>
              <w:t>O’Connor (2016)</w:t>
            </w:r>
            <w:r w:rsidR="0021040A" w:rsidRPr="0021040A">
              <w:rPr>
                <w:noProof/>
                <w:vertAlign w:val="superscript"/>
                <w:lang w:eastAsia="en-GB"/>
              </w:rPr>
              <w:t>23</w:t>
            </w:r>
          </w:p>
        </w:tc>
        <w:tc>
          <w:tcPr>
            <w:tcW w:w="2561" w:type="dxa"/>
          </w:tcPr>
          <w:p w14:paraId="610C4AD1"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AD2" w14:textId="77777777" w:rsidR="007D57FB" w:rsidRDefault="007D57FB" w:rsidP="005B3E6B">
            <w:pPr>
              <w:rPr>
                <w:lang w:eastAsia="en-GB"/>
              </w:rPr>
            </w:pPr>
            <w:r>
              <w:rPr>
                <w:lang w:eastAsia="en-GB"/>
              </w:rPr>
              <w:t>Hallas</w:t>
            </w:r>
          </w:p>
        </w:tc>
        <w:tc>
          <w:tcPr>
            <w:tcW w:w="2707" w:type="dxa"/>
          </w:tcPr>
          <w:p w14:paraId="610C4AD3" w14:textId="77777777" w:rsidR="007D57FB" w:rsidRDefault="007D57FB" w:rsidP="005B3E6B">
            <w:pPr>
              <w:rPr>
                <w:lang w:eastAsia="en-GB"/>
              </w:rPr>
            </w:pPr>
            <w:r>
              <w:rPr>
                <w:lang w:eastAsia="en-GB"/>
              </w:rPr>
              <w:t>78 patients 89 ADRs</w:t>
            </w:r>
          </w:p>
          <w:p w14:paraId="610C4AD4" w14:textId="77777777" w:rsidR="007D57FB" w:rsidRDefault="007D57FB" w:rsidP="005B3E6B">
            <w:pPr>
              <w:rPr>
                <w:lang w:eastAsia="en-GB"/>
              </w:rPr>
            </w:pPr>
            <w:r>
              <w:rPr>
                <w:lang w:eastAsia="en-GB"/>
              </w:rPr>
              <w:t xml:space="preserve">85 ADRs (95.5%) definitely or possibly avoidable </w:t>
            </w:r>
          </w:p>
        </w:tc>
      </w:tr>
      <w:tr w:rsidR="007D57FB" w14:paraId="610C4ADE" w14:textId="77777777" w:rsidTr="005B3E6B">
        <w:tc>
          <w:tcPr>
            <w:tcW w:w="2254" w:type="dxa"/>
          </w:tcPr>
          <w:p w14:paraId="610C4AD6" w14:textId="1FDA8C5D" w:rsidR="007D57FB" w:rsidRDefault="007D57FB" w:rsidP="0021040A">
            <w:pPr>
              <w:rPr>
                <w:lang w:eastAsia="en-GB"/>
              </w:rPr>
            </w:pPr>
            <w:r>
              <w:rPr>
                <w:lang w:eastAsia="en-GB"/>
              </w:rPr>
              <w:t>Tangiisuran (2012)</w:t>
            </w:r>
            <w:r w:rsidR="0021040A" w:rsidRPr="0021040A">
              <w:rPr>
                <w:noProof/>
                <w:vertAlign w:val="superscript"/>
                <w:lang w:eastAsia="en-GB"/>
              </w:rPr>
              <w:t>34</w:t>
            </w:r>
          </w:p>
        </w:tc>
        <w:tc>
          <w:tcPr>
            <w:tcW w:w="2561" w:type="dxa"/>
          </w:tcPr>
          <w:p w14:paraId="610C4AD7"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AD8" w14:textId="77777777" w:rsidR="007D57FB" w:rsidRDefault="007D57FB" w:rsidP="005B3E6B">
            <w:pPr>
              <w:rPr>
                <w:lang w:eastAsia="en-GB"/>
              </w:rPr>
            </w:pPr>
            <w:r>
              <w:rPr>
                <w:lang w:eastAsia="en-GB"/>
              </w:rPr>
              <w:t>Hallas</w:t>
            </w:r>
          </w:p>
        </w:tc>
        <w:tc>
          <w:tcPr>
            <w:tcW w:w="2707" w:type="dxa"/>
          </w:tcPr>
          <w:p w14:paraId="610C4AD9" w14:textId="77777777" w:rsidR="007D57FB" w:rsidRDefault="007D57FB" w:rsidP="005B3E6B">
            <w:pPr>
              <w:rPr>
                <w:lang w:eastAsia="en-GB"/>
              </w:rPr>
            </w:pPr>
            <w:r>
              <w:rPr>
                <w:lang w:eastAsia="en-GB"/>
              </w:rPr>
              <w:t xml:space="preserve">74 patients 83 ADR </w:t>
            </w:r>
          </w:p>
          <w:p w14:paraId="610C4ADA" w14:textId="77777777" w:rsidR="007D57FB" w:rsidRPr="00864325" w:rsidRDefault="007D57FB" w:rsidP="005B3E6B">
            <w:pPr>
              <w:rPr>
                <w:i/>
                <w:lang w:eastAsia="en-GB"/>
              </w:rPr>
            </w:pPr>
            <w:r>
              <w:rPr>
                <w:i/>
                <w:lang w:eastAsia="en-GB"/>
              </w:rPr>
              <w:t>“</w:t>
            </w:r>
            <w:r w:rsidRPr="00864325">
              <w:rPr>
                <w:i/>
                <w:lang w:eastAsia="en-GB"/>
              </w:rPr>
              <w:t>69% of life-threatening or serious deemed preventable</w:t>
            </w:r>
            <w:r>
              <w:rPr>
                <w:i/>
                <w:lang w:eastAsia="en-GB"/>
              </w:rPr>
              <w:t>”</w:t>
            </w:r>
          </w:p>
          <w:p w14:paraId="610C4ADB" w14:textId="77777777" w:rsidR="007D57FB" w:rsidRDefault="007D57FB" w:rsidP="005B3E6B">
            <w:pPr>
              <w:rPr>
                <w:lang w:eastAsia="en-GB"/>
              </w:rPr>
            </w:pPr>
            <w:r>
              <w:rPr>
                <w:lang w:eastAsia="en-GB"/>
              </w:rPr>
              <w:t>Life-threatening = 3</w:t>
            </w:r>
          </w:p>
          <w:p w14:paraId="610C4ADC" w14:textId="77777777" w:rsidR="007D57FB" w:rsidRDefault="007D57FB" w:rsidP="005B3E6B">
            <w:pPr>
              <w:rPr>
                <w:lang w:eastAsia="en-GB"/>
              </w:rPr>
            </w:pPr>
            <w:r>
              <w:rPr>
                <w:lang w:eastAsia="en-GB"/>
              </w:rPr>
              <w:t>Serious = 57</w:t>
            </w:r>
          </w:p>
          <w:p w14:paraId="610C4ADD" w14:textId="77777777" w:rsidR="007D57FB" w:rsidRDefault="007D57FB" w:rsidP="005B3E6B">
            <w:pPr>
              <w:rPr>
                <w:lang w:eastAsia="en-GB"/>
              </w:rPr>
            </w:pPr>
            <w:r>
              <w:rPr>
                <w:lang w:eastAsia="en-GB"/>
              </w:rPr>
              <w:t xml:space="preserve">41 (59%) ADRs preventable </w:t>
            </w:r>
          </w:p>
        </w:tc>
      </w:tr>
      <w:tr w:rsidR="007D57FB" w14:paraId="610C4AE7" w14:textId="77777777" w:rsidTr="005B3E6B">
        <w:tc>
          <w:tcPr>
            <w:tcW w:w="2254" w:type="dxa"/>
          </w:tcPr>
          <w:p w14:paraId="610C4ADF" w14:textId="5493FB87" w:rsidR="007D57FB" w:rsidRDefault="007D57FB" w:rsidP="0021040A">
            <w:pPr>
              <w:rPr>
                <w:lang w:eastAsia="en-GB"/>
              </w:rPr>
            </w:pPr>
            <w:r>
              <w:rPr>
                <w:lang w:eastAsia="en-GB"/>
              </w:rPr>
              <w:t>Davies (2009)</w:t>
            </w:r>
            <w:r w:rsidR="0021040A" w:rsidRPr="0021040A">
              <w:rPr>
                <w:noProof/>
                <w:vertAlign w:val="superscript"/>
                <w:lang w:eastAsia="en-GB"/>
              </w:rPr>
              <w:t>14</w:t>
            </w:r>
          </w:p>
        </w:tc>
        <w:tc>
          <w:tcPr>
            <w:tcW w:w="2561" w:type="dxa"/>
          </w:tcPr>
          <w:p w14:paraId="610C4AE0" w14:textId="77777777" w:rsidR="007D57FB" w:rsidRDefault="007D57FB" w:rsidP="005B3E6B">
            <w:pPr>
              <w:rPr>
                <w:lang w:eastAsia="en-GB"/>
              </w:rPr>
            </w:pPr>
            <w:r>
              <w:rPr>
                <w:lang w:eastAsia="en-GB"/>
              </w:rPr>
              <w:t>All ages author supplied</w:t>
            </w:r>
          </w:p>
        </w:tc>
        <w:tc>
          <w:tcPr>
            <w:tcW w:w="2254" w:type="dxa"/>
          </w:tcPr>
          <w:p w14:paraId="610C4AE1" w14:textId="77777777" w:rsidR="007D57FB" w:rsidRDefault="007D57FB" w:rsidP="005B3E6B">
            <w:pPr>
              <w:rPr>
                <w:lang w:eastAsia="en-GB"/>
              </w:rPr>
            </w:pPr>
            <w:r>
              <w:rPr>
                <w:lang w:eastAsia="en-GB"/>
              </w:rPr>
              <w:t xml:space="preserve">Hallas </w:t>
            </w:r>
          </w:p>
        </w:tc>
        <w:tc>
          <w:tcPr>
            <w:tcW w:w="2707" w:type="dxa"/>
          </w:tcPr>
          <w:p w14:paraId="610C4AE2" w14:textId="77777777" w:rsidR="007D57FB" w:rsidRDefault="007D57FB" w:rsidP="005B3E6B">
            <w:pPr>
              <w:rPr>
                <w:rFonts w:ascii="Calibri" w:hAnsi="Calibri" w:cs="Calibri"/>
                <w:color w:val="000000"/>
              </w:rPr>
            </w:pPr>
            <w:r>
              <w:rPr>
                <w:rFonts w:ascii="Calibri" w:hAnsi="Calibri" w:cs="Calibri"/>
                <w:color w:val="000000"/>
              </w:rPr>
              <w:t>328 patients 476 ADRs</w:t>
            </w:r>
          </w:p>
          <w:p w14:paraId="610C4AE3" w14:textId="77777777" w:rsidR="007D57FB" w:rsidRDefault="007D57FB" w:rsidP="005B3E6B">
            <w:pPr>
              <w:rPr>
                <w:rFonts w:ascii="Calibri" w:hAnsi="Calibri" w:cs="Calibri"/>
                <w:color w:val="000000"/>
              </w:rPr>
            </w:pPr>
            <w:r>
              <w:rPr>
                <w:rFonts w:ascii="Calibri" w:hAnsi="Calibri" w:cs="Calibri"/>
                <w:color w:val="000000"/>
              </w:rPr>
              <w:t>262 (55.04%) preventable</w:t>
            </w:r>
          </w:p>
          <w:p w14:paraId="610C4AE4" w14:textId="77777777" w:rsidR="007D57FB" w:rsidRDefault="007D57FB" w:rsidP="005B3E6B">
            <w:pPr>
              <w:rPr>
                <w:rFonts w:ascii="Calibri" w:hAnsi="Calibri" w:cs="Calibri"/>
                <w:color w:val="000000"/>
              </w:rPr>
            </w:pPr>
            <w:r>
              <w:rPr>
                <w:rFonts w:ascii="Calibri" w:hAnsi="Calibri" w:cs="Calibri"/>
                <w:color w:val="000000"/>
              </w:rPr>
              <w:t>25 definitely</w:t>
            </w:r>
          </w:p>
          <w:p w14:paraId="610C4AE5" w14:textId="77777777" w:rsidR="007D57FB" w:rsidRDefault="007D57FB" w:rsidP="005B3E6B">
            <w:pPr>
              <w:rPr>
                <w:rFonts w:ascii="Calibri" w:hAnsi="Calibri" w:cs="Calibri"/>
                <w:color w:val="000000"/>
              </w:rPr>
            </w:pPr>
            <w:r>
              <w:rPr>
                <w:rFonts w:ascii="Calibri" w:hAnsi="Calibri" w:cs="Calibri"/>
                <w:color w:val="000000"/>
              </w:rPr>
              <w:t>237 possibly</w:t>
            </w:r>
          </w:p>
          <w:p w14:paraId="610C4AE6" w14:textId="77777777" w:rsidR="007D57FB" w:rsidRPr="002F1375" w:rsidRDefault="007D57FB" w:rsidP="005B3E6B">
            <w:pPr>
              <w:rPr>
                <w:rFonts w:ascii="Calibri" w:hAnsi="Calibri" w:cs="Calibri"/>
                <w:color w:val="000000"/>
              </w:rPr>
            </w:pPr>
            <w:r>
              <w:rPr>
                <w:rFonts w:ascii="Calibri" w:hAnsi="Calibri" w:cs="Calibri"/>
                <w:color w:val="000000"/>
              </w:rPr>
              <w:t xml:space="preserve">214 unavoidable </w:t>
            </w:r>
          </w:p>
        </w:tc>
      </w:tr>
      <w:tr w:rsidR="007D57FB" w14:paraId="610C4AF0" w14:textId="77777777" w:rsidTr="005B3E6B">
        <w:tc>
          <w:tcPr>
            <w:tcW w:w="2254" w:type="dxa"/>
          </w:tcPr>
          <w:p w14:paraId="610C4AE8" w14:textId="690B59DD" w:rsidR="007D57FB" w:rsidRDefault="007D57FB" w:rsidP="0021040A">
            <w:pPr>
              <w:rPr>
                <w:lang w:eastAsia="en-GB"/>
              </w:rPr>
            </w:pPr>
            <w:r>
              <w:rPr>
                <w:lang w:eastAsia="en-GB"/>
              </w:rPr>
              <w:t>Ganeva (2016)</w:t>
            </w:r>
            <w:r w:rsidR="0021040A" w:rsidRPr="0021040A">
              <w:rPr>
                <w:noProof/>
                <w:vertAlign w:val="superscript"/>
                <w:lang w:eastAsia="en-GB"/>
              </w:rPr>
              <w:t>16</w:t>
            </w:r>
          </w:p>
        </w:tc>
        <w:tc>
          <w:tcPr>
            <w:tcW w:w="2561" w:type="dxa"/>
          </w:tcPr>
          <w:p w14:paraId="610C4AE9" w14:textId="77777777" w:rsidR="007D57FB" w:rsidRDefault="007D57FB" w:rsidP="005B3E6B">
            <w:pPr>
              <w:rPr>
                <w:lang w:eastAsia="en-GB"/>
              </w:rPr>
            </w:pPr>
            <w:r>
              <w:rPr>
                <w:lang w:eastAsia="en-GB"/>
              </w:rPr>
              <w:t>All ages author supplied</w:t>
            </w:r>
          </w:p>
        </w:tc>
        <w:tc>
          <w:tcPr>
            <w:tcW w:w="2254" w:type="dxa"/>
          </w:tcPr>
          <w:p w14:paraId="610C4AEA" w14:textId="77777777" w:rsidR="007D57FB" w:rsidRDefault="007D57FB" w:rsidP="005B3E6B">
            <w:pPr>
              <w:rPr>
                <w:lang w:eastAsia="en-GB"/>
              </w:rPr>
            </w:pPr>
            <w:r>
              <w:rPr>
                <w:lang w:eastAsia="en-GB"/>
              </w:rPr>
              <w:t>Hallas</w:t>
            </w:r>
          </w:p>
        </w:tc>
        <w:tc>
          <w:tcPr>
            <w:tcW w:w="2707" w:type="dxa"/>
          </w:tcPr>
          <w:p w14:paraId="610C4AEB" w14:textId="77777777" w:rsidR="007D57FB" w:rsidRDefault="007D57FB" w:rsidP="005B3E6B">
            <w:pPr>
              <w:rPr>
                <w:lang w:eastAsia="en-GB"/>
              </w:rPr>
            </w:pPr>
            <w:r>
              <w:rPr>
                <w:lang w:eastAsia="en-GB"/>
              </w:rPr>
              <w:t>11 patients ADRs</w:t>
            </w:r>
          </w:p>
          <w:p w14:paraId="610C4AEC" w14:textId="77777777" w:rsidR="007D57FB" w:rsidRDefault="007D57FB" w:rsidP="005B3E6B">
            <w:pPr>
              <w:rPr>
                <w:rFonts w:ascii="Calibri" w:hAnsi="Calibri" w:cs="Calibri"/>
                <w:color w:val="000000"/>
              </w:rPr>
            </w:pPr>
            <w:r>
              <w:rPr>
                <w:rFonts w:ascii="Calibri" w:hAnsi="Calibri" w:cs="Calibri"/>
                <w:color w:val="000000"/>
              </w:rPr>
              <w:t xml:space="preserve">7 (63.63%) preventable </w:t>
            </w:r>
          </w:p>
          <w:p w14:paraId="610C4AED" w14:textId="77777777" w:rsidR="007D57FB" w:rsidRDefault="007D57FB" w:rsidP="005B3E6B">
            <w:pPr>
              <w:rPr>
                <w:rFonts w:ascii="Calibri" w:hAnsi="Calibri" w:cs="Calibri"/>
                <w:color w:val="000000"/>
              </w:rPr>
            </w:pPr>
            <w:r>
              <w:rPr>
                <w:rFonts w:ascii="Calibri" w:hAnsi="Calibri" w:cs="Calibri"/>
                <w:color w:val="000000"/>
              </w:rPr>
              <w:t>1 definitely</w:t>
            </w:r>
          </w:p>
          <w:p w14:paraId="610C4AEE" w14:textId="77777777" w:rsidR="007D57FB" w:rsidRDefault="007D57FB" w:rsidP="005B3E6B">
            <w:pPr>
              <w:rPr>
                <w:rFonts w:ascii="Calibri" w:hAnsi="Calibri" w:cs="Calibri"/>
                <w:color w:val="000000"/>
              </w:rPr>
            </w:pPr>
            <w:r>
              <w:rPr>
                <w:rFonts w:ascii="Calibri" w:hAnsi="Calibri" w:cs="Calibri"/>
                <w:color w:val="000000"/>
              </w:rPr>
              <w:t>6 possibly</w:t>
            </w:r>
          </w:p>
          <w:p w14:paraId="610C4AEF" w14:textId="77777777" w:rsidR="007D57FB" w:rsidRDefault="007D57FB" w:rsidP="005B3E6B">
            <w:pPr>
              <w:rPr>
                <w:lang w:eastAsia="en-GB"/>
              </w:rPr>
            </w:pPr>
            <w:r>
              <w:rPr>
                <w:rFonts w:ascii="Calibri" w:hAnsi="Calibri" w:cs="Calibri"/>
                <w:color w:val="000000"/>
              </w:rPr>
              <w:t>4 unavoidable</w:t>
            </w:r>
          </w:p>
        </w:tc>
      </w:tr>
      <w:tr w:rsidR="00B7194A" w14:paraId="411D8AFE" w14:textId="77777777" w:rsidTr="005B3E6B">
        <w:tc>
          <w:tcPr>
            <w:tcW w:w="2254" w:type="dxa"/>
          </w:tcPr>
          <w:p w14:paraId="2E57B321" w14:textId="48227218" w:rsidR="00B7194A" w:rsidRDefault="00B7194A" w:rsidP="0021040A">
            <w:pPr>
              <w:rPr>
                <w:lang w:eastAsia="en-GB"/>
              </w:rPr>
            </w:pPr>
            <w:r>
              <w:rPr>
                <w:lang w:eastAsia="en-GB"/>
              </w:rPr>
              <w:t>Hailu</w:t>
            </w:r>
            <w:r w:rsidR="004E4AD1">
              <w:rPr>
                <w:lang w:eastAsia="en-GB"/>
              </w:rPr>
              <w:t xml:space="preserve"> (2020)</w:t>
            </w:r>
            <w:r w:rsidR="0021040A" w:rsidRPr="0021040A">
              <w:rPr>
                <w:noProof/>
                <w:vertAlign w:val="superscript"/>
                <w:lang w:eastAsia="en-GB"/>
              </w:rPr>
              <w:t>19</w:t>
            </w:r>
          </w:p>
        </w:tc>
        <w:tc>
          <w:tcPr>
            <w:tcW w:w="2561" w:type="dxa"/>
          </w:tcPr>
          <w:p w14:paraId="757FC783" w14:textId="32E3632F" w:rsidR="00B7194A" w:rsidRPr="00AB78B1" w:rsidRDefault="00B7194A" w:rsidP="005B3E6B">
            <w:pPr>
              <w:rPr>
                <w:lang w:eastAsia="en-GB"/>
              </w:rPr>
            </w:pPr>
            <w:r>
              <w:rPr>
                <w:lang w:eastAsia="en-GB"/>
              </w:rPr>
              <w:t>All ages author supplied</w:t>
            </w:r>
          </w:p>
        </w:tc>
        <w:tc>
          <w:tcPr>
            <w:tcW w:w="2254" w:type="dxa"/>
          </w:tcPr>
          <w:p w14:paraId="4215D437" w14:textId="0B9C35CD" w:rsidR="00B7194A" w:rsidRDefault="00B7194A" w:rsidP="005B3E6B">
            <w:pPr>
              <w:rPr>
                <w:lang w:eastAsia="en-GB"/>
              </w:rPr>
            </w:pPr>
            <w:r>
              <w:rPr>
                <w:lang w:eastAsia="en-GB"/>
              </w:rPr>
              <w:t xml:space="preserve">Not specified </w:t>
            </w:r>
          </w:p>
        </w:tc>
        <w:tc>
          <w:tcPr>
            <w:tcW w:w="2707" w:type="dxa"/>
          </w:tcPr>
          <w:p w14:paraId="7077A429" w14:textId="77777777" w:rsidR="00B7194A" w:rsidRDefault="00B7194A" w:rsidP="005B3E6B">
            <w:pPr>
              <w:rPr>
                <w:lang w:eastAsia="en-GB"/>
              </w:rPr>
            </w:pPr>
            <w:r>
              <w:rPr>
                <w:lang w:eastAsia="en-GB"/>
              </w:rPr>
              <w:t>3 patients ADRs</w:t>
            </w:r>
          </w:p>
          <w:p w14:paraId="5A7B23E9" w14:textId="40A14B93" w:rsidR="00B7194A" w:rsidRDefault="00B7194A" w:rsidP="005B3E6B">
            <w:pPr>
              <w:rPr>
                <w:lang w:eastAsia="en-GB"/>
              </w:rPr>
            </w:pPr>
            <w:r>
              <w:rPr>
                <w:lang w:eastAsia="en-GB"/>
              </w:rPr>
              <w:t xml:space="preserve">2 preventable </w:t>
            </w:r>
          </w:p>
        </w:tc>
      </w:tr>
      <w:tr w:rsidR="007D57FB" w14:paraId="610C4AF6" w14:textId="77777777" w:rsidTr="005B3E6B">
        <w:tc>
          <w:tcPr>
            <w:tcW w:w="2254" w:type="dxa"/>
          </w:tcPr>
          <w:p w14:paraId="610C4AF1" w14:textId="08802A0C" w:rsidR="007D57FB" w:rsidRPr="00093F75" w:rsidRDefault="007D57FB" w:rsidP="0021040A">
            <w:pPr>
              <w:rPr>
                <w:lang w:eastAsia="en-GB"/>
              </w:rPr>
            </w:pPr>
            <w:r w:rsidRPr="00093F75">
              <w:rPr>
                <w:lang w:eastAsia="en-GB"/>
              </w:rPr>
              <w:t>Calderon-Ospina (2010)</w:t>
            </w:r>
            <w:r w:rsidR="0021040A" w:rsidRPr="0021040A">
              <w:rPr>
                <w:noProof/>
                <w:vertAlign w:val="superscript"/>
                <w:lang w:eastAsia="en-GB"/>
              </w:rPr>
              <w:t>9</w:t>
            </w:r>
          </w:p>
        </w:tc>
        <w:tc>
          <w:tcPr>
            <w:tcW w:w="2561" w:type="dxa"/>
          </w:tcPr>
          <w:p w14:paraId="610C4AF2" w14:textId="77777777" w:rsidR="007D57FB" w:rsidRDefault="007D57FB" w:rsidP="005B3E6B">
            <w:pPr>
              <w:rPr>
                <w:i/>
                <w:lang w:eastAsia="en-GB"/>
              </w:rPr>
            </w:pPr>
            <w:r w:rsidRPr="00093F75">
              <w:rPr>
                <w:i/>
                <w:lang w:eastAsia="en-GB"/>
              </w:rPr>
              <w:t xml:space="preserve">All ages </w:t>
            </w:r>
          </w:p>
          <w:p w14:paraId="610C4AF3" w14:textId="77777777" w:rsidR="007D57FB" w:rsidRPr="00093F75" w:rsidRDefault="007D57FB" w:rsidP="005B3E6B">
            <w:pPr>
              <w:rPr>
                <w:i/>
                <w:lang w:eastAsia="en-GB"/>
              </w:rPr>
            </w:pPr>
            <w:r>
              <w:rPr>
                <w:i/>
                <w:lang w:eastAsia="en-GB"/>
              </w:rPr>
              <w:t xml:space="preserve">(48.15% </w:t>
            </w:r>
            <w:r>
              <w:rPr>
                <w:rFonts w:cstheme="minorHAnsi"/>
                <w:i/>
                <w:lang w:eastAsia="en-GB"/>
              </w:rPr>
              <w:t>≥</w:t>
            </w:r>
            <w:r>
              <w:rPr>
                <w:i/>
                <w:lang w:eastAsia="en-GB"/>
              </w:rPr>
              <w:t xml:space="preserve"> 65 years)</w:t>
            </w:r>
          </w:p>
        </w:tc>
        <w:tc>
          <w:tcPr>
            <w:tcW w:w="2254" w:type="dxa"/>
          </w:tcPr>
          <w:p w14:paraId="610C4AF4" w14:textId="77777777" w:rsidR="007D57FB" w:rsidRDefault="007D57FB" w:rsidP="005B3E6B">
            <w:pPr>
              <w:rPr>
                <w:lang w:eastAsia="en-GB"/>
              </w:rPr>
            </w:pPr>
            <w:r>
              <w:rPr>
                <w:lang w:eastAsia="en-GB"/>
              </w:rPr>
              <w:t>Schumock &amp; Thornton</w:t>
            </w:r>
          </w:p>
        </w:tc>
        <w:tc>
          <w:tcPr>
            <w:tcW w:w="2707" w:type="dxa"/>
          </w:tcPr>
          <w:p w14:paraId="610C4AF5" w14:textId="77777777" w:rsidR="007D57FB" w:rsidRDefault="007D57FB" w:rsidP="005B3E6B">
            <w:pPr>
              <w:rPr>
                <w:lang w:eastAsia="en-GB"/>
              </w:rPr>
            </w:pPr>
            <w:r>
              <w:rPr>
                <w:lang w:eastAsia="en-GB"/>
              </w:rPr>
              <w:t>50% (33.1-66.9%) of ADRs were considered preventable (all ages)</w:t>
            </w:r>
          </w:p>
        </w:tc>
      </w:tr>
      <w:tr w:rsidR="007D57FB" w14:paraId="610C4AFE" w14:textId="77777777" w:rsidTr="005B3E6B">
        <w:tc>
          <w:tcPr>
            <w:tcW w:w="2254" w:type="dxa"/>
          </w:tcPr>
          <w:p w14:paraId="610C4AF7" w14:textId="2C99E02C" w:rsidR="007D57FB" w:rsidRPr="00093F75" w:rsidRDefault="007D57FB" w:rsidP="0021040A">
            <w:pPr>
              <w:rPr>
                <w:lang w:eastAsia="en-GB"/>
              </w:rPr>
            </w:pPr>
            <w:r w:rsidRPr="00093F75">
              <w:rPr>
                <w:lang w:eastAsia="en-GB"/>
              </w:rPr>
              <w:t>Giardina</w:t>
            </w:r>
            <w:r w:rsidR="0021040A" w:rsidRPr="0021040A">
              <w:rPr>
                <w:noProof/>
                <w:vertAlign w:val="superscript"/>
                <w:lang w:eastAsia="en-GB"/>
              </w:rPr>
              <w:t>28</w:t>
            </w:r>
          </w:p>
        </w:tc>
        <w:tc>
          <w:tcPr>
            <w:tcW w:w="2561" w:type="dxa"/>
          </w:tcPr>
          <w:p w14:paraId="610C4AF8" w14:textId="77777777" w:rsidR="007D57FB" w:rsidRDefault="007D57FB" w:rsidP="005B3E6B">
            <w:pPr>
              <w:rPr>
                <w:i/>
                <w:lang w:eastAsia="en-GB"/>
              </w:rPr>
            </w:pPr>
            <w:r w:rsidRPr="00093F75">
              <w:rPr>
                <w:i/>
                <w:lang w:eastAsia="en-GB"/>
              </w:rPr>
              <w:t>All ages</w:t>
            </w:r>
          </w:p>
          <w:p w14:paraId="610C4AF9" w14:textId="77777777" w:rsidR="007D57FB" w:rsidRPr="00093F75" w:rsidRDefault="007D57FB" w:rsidP="005B3E6B">
            <w:pPr>
              <w:rPr>
                <w:i/>
                <w:lang w:eastAsia="en-GB"/>
              </w:rPr>
            </w:pPr>
            <w:r>
              <w:rPr>
                <w:i/>
                <w:lang w:eastAsia="en-GB"/>
              </w:rPr>
              <w:t>(75.93%</w:t>
            </w:r>
            <w:r>
              <w:rPr>
                <w:rFonts w:cstheme="minorHAnsi"/>
                <w:i/>
                <w:lang w:eastAsia="en-GB"/>
              </w:rPr>
              <w:t>≥</w:t>
            </w:r>
            <w:r>
              <w:rPr>
                <w:i/>
                <w:lang w:eastAsia="en-GB"/>
              </w:rPr>
              <w:t xml:space="preserve"> 65 years)</w:t>
            </w:r>
          </w:p>
        </w:tc>
        <w:tc>
          <w:tcPr>
            <w:tcW w:w="2254" w:type="dxa"/>
          </w:tcPr>
          <w:p w14:paraId="610C4AFA" w14:textId="77777777" w:rsidR="007D57FB" w:rsidRDefault="007D57FB" w:rsidP="005B3E6B">
            <w:pPr>
              <w:rPr>
                <w:lang w:eastAsia="en-GB"/>
              </w:rPr>
            </w:pPr>
            <w:r>
              <w:rPr>
                <w:lang w:eastAsia="en-GB"/>
              </w:rPr>
              <w:t>Schumock &amp; Thornton</w:t>
            </w:r>
          </w:p>
        </w:tc>
        <w:tc>
          <w:tcPr>
            <w:tcW w:w="2707" w:type="dxa"/>
          </w:tcPr>
          <w:p w14:paraId="610C4AFB" w14:textId="77777777" w:rsidR="007D57FB" w:rsidRDefault="007D57FB" w:rsidP="005B3E6B">
            <w:pPr>
              <w:rPr>
                <w:lang w:eastAsia="en-GB"/>
              </w:rPr>
            </w:pPr>
            <w:r>
              <w:rPr>
                <w:lang w:eastAsia="en-GB"/>
              </w:rPr>
              <w:t>Pr</w:t>
            </w:r>
            <w:r w:rsidRPr="00D743C1">
              <w:rPr>
                <w:lang w:eastAsia="en-GB"/>
              </w:rPr>
              <w:t>obably preventable in 69.4%</w:t>
            </w:r>
            <w:r>
              <w:rPr>
                <w:lang w:eastAsia="en-GB"/>
              </w:rPr>
              <w:t xml:space="preserve"> (all ages)</w:t>
            </w:r>
          </w:p>
          <w:p w14:paraId="610C4AFC" w14:textId="77777777" w:rsidR="007D57FB" w:rsidRDefault="007D57FB" w:rsidP="005B3E6B">
            <w:pPr>
              <w:rPr>
                <w:lang w:eastAsia="en-GB"/>
              </w:rPr>
            </w:pPr>
            <w:r>
              <w:rPr>
                <w:lang w:eastAsia="en-GB"/>
              </w:rPr>
              <w:t>unavoidable 24.2%</w:t>
            </w:r>
          </w:p>
          <w:p w14:paraId="610C4AFD" w14:textId="77777777" w:rsidR="007D57FB" w:rsidRDefault="007D57FB" w:rsidP="005B3E6B">
            <w:pPr>
              <w:rPr>
                <w:lang w:eastAsia="en-GB"/>
              </w:rPr>
            </w:pPr>
            <w:r>
              <w:rPr>
                <w:lang w:eastAsia="en-GB"/>
              </w:rPr>
              <w:t xml:space="preserve">6.4% certainly preventable </w:t>
            </w:r>
          </w:p>
        </w:tc>
      </w:tr>
    </w:tbl>
    <w:p w14:paraId="3049AF3D" w14:textId="10091E18" w:rsidR="001E3C62" w:rsidRPr="008937F3" w:rsidRDefault="00DA5224" w:rsidP="005B3E6B">
      <w:pPr>
        <w:rPr>
          <w:rStyle w:val="Heading2Char"/>
          <w:rFonts w:asciiTheme="minorHAnsi" w:eastAsiaTheme="minorHAnsi" w:hAnsiTheme="minorHAnsi" w:cstheme="minorBidi"/>
          <w:color w:val="auto"/>
          <w:sz w:val="22"/>
          <w:szCs w:val="22"/>
        </w:rPr>
      </w:pPr>
      <w:bookmarkStart w:id="70" w:name="_Toc52396389"/>
      <w:r>
        <w:rPr>
          <w:rStyle w:val="Heading2Char"/>
        </w:rPr>
        <w:t>Appendix 25</w:t>
      </w:r>
      <w:r w:rsidR="005E36E5">
        <w:rPr>
          <w:rStyle w:val="Heading2Char"/>
        </w:rPr>
        <w:t>. M</w:t>
      </w:r>
      <w:r w:rsidR="000E7845">
        <w:rPr>
          <w:rStyle w:val="Heading2Char"/>
        </w:rPr>
        <w:t xml:space="preserve">eta-analysis of </w:t>
      </w:r>
      <w:r w:rsidR="00292A5A">
        <w:rPr>
          <w:rStyle w:val="Heading2Char"/>
        </w:rPr>
        <w:t xml:space="preserve">pooled estimate of “preventable” </w:t>
      </w:r>
      <w:r w:rsidR="000E7845">
        <w:rPr>
          <w:rStyle w:val="Heading2Char"/>
        </w:rPr>
        <w:t>ADR</w:t>
      </w:r>
      <w:r w:rsidR="00292A5A">
        <w:rPr>
          <w:rStyle w:val="Heading2Char"/>
        </w:rPr>
        <w:t>s</w:t>
      </w:r>
      <w:r w:rsidR="000E7845">
        <w:rPr>
          <w:rStyle w:val="Heading2Char"/>
        </w:rPr>
        <w:t xml:space="preserve"> </w:t>
      </w:r>
      <w:r w:rsidR="00292A5A">
        <w:rPr>
          <w:rStyle w:val="Heading2Char"/>
        </w:rPr>
        <w:t>in studies (n=4) using Hallas tool</w:t>
      </w:r>
      <w:bookmarkEnd w:id="70"/>
      <w:r w:rsidR="00292A5A">
        <w:rPr>
          <w:rStyle w:val="Heading2Char"/>
        </w:rPr>
        <w:t xml:space="preserve"> </w:t>
      </w:r>
      <w:r w:rsidR="001E3C62" w:rsidRPr="001E3C62">
        <w:rPr>
          <w:noProof/>
          <w:lang w:eastAsia="en-GB"/>
        </w:rPr>
        <w:drawing>
          <wp:inline distT="0" distB="0" distL="0" distR="0" wp14:anchorId="216EC75D" wp14:editId="63452601">
            <wp:extent cx="5731510" cy="343535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3435350"/>
                    </a:xfrm>
                    <a:prstGeom prst="rect">
                      <a:avLst/>
                    </a:prstGeom>
                  </pic:spPr>
                </pic:pic>
              </a:graphicData>
            </a:graphic>
          </wp:inline>
        </w:drawing>
      </w:r>
    </w:p>
    <w:p w14:paraId="79A3DC47" w14:textId="3E0CA3D0" w:rsidR="0021040A" w:rsidRDefault="00DA5224" w:rsidP="005B3E6B">
      <w:r>
        <w:rPr>
          <w:b/>
          <w:u w:val="single"/>
        </w:rPr>
        <w:t>Appendix 25</w:t>
      </w:r>
      <w:r w:rsidR="0021040A" w:rsidRPr="008937F3">
        <w:rPr>
          <w:b/>
          <w:u w:val="single"/>
        </w:rPr>
        <w:t>.</w:t>
      </w:r>
      <w:r w:rsidR="0021040A">
        <w:t xml:space="preserve"> </w:t>
      </w:r>
      <w:r w:rsidR="0021040A" w:rsidRPr="0008615D">
        <w:rPr>
          <w:u w:val="single"/>
        </w:rPr>
        <w:t xml:space="preserve">Forest plot of pooled estimate </w:t>
      </w:r>
      <w:r w:rsidR="0021040A">
        <w:rPr>
          <w:u w:val="single"/>
        </w:rPr>
        <w:t>(b</w:t>
      </w:r>
      <w:r w:rsidR="0021040A" w:rsidRPr="00BB5BCB">
        <w:rPr>
          <w:u w:val="single"/>
        </w:rPr>
        <w:t>inomial-normal random effects model</w:t>
      </w:r>
      <w:r w:rsidR="0021040A">
        <w:rPr>
          <w:u w:val="single"/>
        </w:rPr>
        <w:t xml:space="preserve">) </w:t>
      </w:r>
      <w:r w:rsidR="0021040A" w:rsidRPr="0008615D">
        <w:rPr>
          <w:u w:val="single"/>
        </w:rPr>
        <w:t xml:space="preserve">of proportion of </w:t>
      </w:r>
      <w:r w:rsidR="0021040A">
        <w:rPr>
          <w:u w:val="single"/>
        </w:rPr>
        <w:t xml:space="preserve">preventable </w:t>
      </w:r>
      <w:r w:rsidR="0021040A" w:rsidRPr="0008615D">
        <w:rPr>
          <w:u w:val="single"/>
        </w:rPr>
        <w:t xml:space="preserve">ADRs across </w:t>
      </w:r>
      <w:r w:rsidR="0021040A">
        <w:rPr>
          <w:u w:val="single"/>
        </w:rPr>
        <w:t xml:space="preserve">four </w:t>
      </w:r>
      <w:r w:rsidR="0021040A" w:rsidRPr="0008615D">
        <w:rPr>
          <w:u w:val="single"/>
        </w:rPr>
        <w:t>studies</w:t>
      </w:r>
      <w:r w:rsidR="0021040A">
        <w:rPr>
          <w:u w:val="single"/>
        </w:rPr>
        <w:t xml:space="preserve"> using comparable reporting.</w:t>
      </w:r>
      <w:r w:rsidR="0021040A" w:rsidRPr="0021040A">
        <w:t xml:space="preserve"> </w:t>
      </w:r>
      <w:r w:rsidR="0021040A" w:rsidRPr="0021040A">
        <w:rPr>
          <w:noProof/>
          <w:vertAlign w:val="superscript"/>
        </w:rPr>
        <w:t>14,16,23,28,34</w:t>
      </w:r>
    </w:p>
    <w:p w14:paraId="056B793F" w14:textId="58B78458" w:rsidR="0069542D" w:rsidRPr="00D2112B" w:rsidRDefault="0069542D" w:rsidP="005B3E6B">
      <w:r w:rsidRPr="008937F3">
        <w:rPr>
          <w:i/>
        </w:rPr>
        <w:t>In ad</w:t>
      </w:r>
      <w:r w:rsidRPr="00497714">
        <w:rPr>
          <w:i/>
        </w:rPr>
        <w:t>dition to being a s</w:t>
      </w:r>
      <w:r>
        <w:rPr>
          <w:i/>
        </w:rPr>
        <w:t>mall</w:t>
      </w:r>
      <w:r w:rsidRPr="00497714">
        <w:rPr>
          <w:i/>
        </w:rPr>
        <w:t xml:space="preserve"> sample</w:t>
      </w:r>
      <w:r>
        <w:rPr>
          <w:i/>
        </w:rPr>
        <w:t>-</w:t>
      </w:r>
      <w:r w:rsidRPr="008937F3">
        <w:rPr>
          <w:i/>
        </w:rPr>
        <w:t>size</w:t>
      </w:r>
      <w:r>
        <w:rPr>
          <w:i/>
        </w:rPr>
        <w:t xml:space="preserve"> in context of overall pooled population, t</w:t>
      </w:r>
      <w:r w:rsidRPr="0008615D">
        <w:rPr>
          <w:i/>
        </w:rPr>
        <w:t>h</w:t>
      </w:r>
      <w:r>
        <w:rPr>
          <w:i/>
        </w:rPr>
        <w:t>is</w:t>
      </w:r>
      <w:r w:rsidRPr="0008615D">
        <w:rPr>
          <w:i/>
        </w:rPr>
        <w:t xml:space="preserve"> estimate </w:t>
      </w:r>
      <w:r>
        <w:rPr>
          <w:i/>
        </w:rPr>
        <w:t xml:space="preserve">is </w:t>
      </w:r>
      <w:r w:rsidRPr="0008615D">
        <w:rPr>
          <w:i/>
        </w:rPr>
        <w:t>limited by the high level of heterogeneity</w:t>
      </w:r>
      <w:r>
        <w:rPr>
          <w:i/>
        </w:rPr>
        <w:t xml:space="preserve"> </w:t>
      </w:r>
      <w:r w:rsidRPr="0008615D">
        <w:rPr>
          <w:i/>
        </w:rPr>
        <w:t xml:space="preserve">and substantial variability </w:t>
      </w:r>
      <w:r>
        <w:rPr>
          <w:i/>
        </w:rPr>
        <w:t xml:space="preserve">across included studies </w:t>
      </w:r>
      <w:r w:rsidRPr="0008615D">
        <w:rPr>
          <w:i/>
        </w:rPr>
        <w:t xml:space="preserve">(as evidenced by </w:t>
      </w:r>
      <w:r>
        <w:rPr>
          <w:i/>
        </w:rPr>
        <w:t>I</w:t>
      </w:r>
      <w:r w:rsidRPr="0008615D">
        <w:rPr>
          <w:i/>
          <w:vertAlign w:val="superscript"/>
        </w:rPr>
        <w:t>2</w:t>
      </w:r>
      <w:r w:rsidRPr="0008615D">
        <w:rPr>
          <w:i/>
        </w:rPr>
        <w:t xml:space="preserve"> </w:t>
      </w:r>
      <w:r>
        <w:rPr>
          <w:i/>
        </w:rPr>
        <w:t xml:space="preserve">and </w:t>
      </w:r>
      <w:r w:rsidRPr="0008615D">
        <w:rPr>
          <w:rFonts w:ascii="Symbol" w:hAnsi="Symbol"/>
          <w:i/>
        </w:rPr>
        <w:t></w:t>
      </w:r>
      <w:r w:rsidRPr="0008615D">
        <w:rPr>
          <w:i/>
          <w:vertAlign w:val="superscript"/>
        </w:rPr>
        <w:t>2</w:t>
      </w:r>
      <w:r w:rsidRPr="0008615D">
        <w:rPr>
          <w:i/>
        </w:rPr>
        <w:t xml:space="preserve"> value).</w:t>
      </w:r>
      <w:r>
        <w:rPr>
          <w:i/>
        </w:rPr>
        <w:t xml:space="preserve"> Hence, the estimate should be interpreted with caution as rather than considered as a “true” estimate.</w:t>
      </w:r>
    </w:p>
    <w:p w14:paraId="610C4B00" w14:textId="0A519676" w:rsidR="007D57FB" w:rsidRDefault="00DA5224" w:rsidP="005B3E6B">
      <w:pPr>
        <w:pStyle w:val="Heading1"/>
      </w:pPr>
      <w:bookmarkStart w:id="71" w:name="_Toc52396390"/>
      <w:r>
        <w:t>Appendix 26</w:t>
      </w:r>
      <w:r w:rsidR="00737863">
        <w:t>.</w:t>
      </w:r>
      <w:r w:rsidR="007D57FB">
        <w:t xml:space="preserve"> Reported Polypharmacy</w:t>
      </w:r>
      <w:bookmarkEnd w:id="71"/>
    </w:p>
    <w:p w14:paraId="4BAB767E" w14:textId="6E9A0A84" w:rsidR="009647B0" w:rsidRDefault="007C2916" w:rsidP="005B3E6B">
      <w:r>
        <w:t>Details pertaining to medication-burden were reported in 18 studies.</w:t>
      </w:r>
      <w:r w:rsidR="009647B0" w:rsidRPr="009647B0">
        <w:rPr>
          <w:noProof/>
          <w:vertAlign w:val="superscript"/>
        </w:rPr>
        <w:t>7,13,17-25,27-31,34,35</w:t>
      </w:r>
      <w:r>
        <w:rPr>
          <w:noProof/>
          <w:vertAlign w:val="superscript"/>
        </w:rPr>
        <w:t xml:space="preserve"> </w:t>
      </w:r>
      <w:r w:rsidR="009647B0">
        <w:rPr>
          <w:lang w:eastAsia="en-GB"/>
        </w:rPr>
        <w:t>(11</w:t>
      </w:r>
      <w:r>
        <w:rPr>
          <w:lang w:eastAsia="en-GB"/>
        </w:rPr>
        <w:t xml:space="preserve"> whose population was </w:t>
      </w:r>
      <w:r>
        <w:rPr>
          <w:rFonts w:cstheme="minorHAnsi"/>
          <w:lang w:eastAsia="en-GB"/>
        </w:rPr>
        <w:t>≥</w:t>
      </w:r>
      <w:r w:rsidR="009647B0">
        <w:rPr>
          <w:lang w:eastAsia="en-GB"/>
        </w:rPr>
        <w:t>65 years, 6</w:t>
      </w:r>
      <w:r>
        <w:rPr>
          <w:lang w:eastAsia="en-GB"/>
        </w:rPr>
        <w:t xml:space="preserve"> whose population was </w:t>
      </w:r>
      <w:r w:rsidR="009647B0">
        <w:rPr>
          <w:lang w:eastAsia="en-GB"/>
        </w:rPr>
        <w:t xml:space="preserve">all ages </w:t>
      </w:r>
      <w:r>
        <w:rPr>
          <w:lang w:eastAsia="en-GB"/>
        </w:rPr>
        <w:t>author supplied data</w:t>
      </w:r>
      <w:r w:rsidR="009647B0">
        <w:rPr>
          <w:lang w:eastAsia="en-GB"/>
        </w:rPr>
        <w:t xml:space="preserve"> for cohort of interest and 4 studies reported data for all ages</w:t>
      </w:r>
      <w:r>
        <w:rPr>
          <w:lang w:eastAsia="en-GB"/>
        </w:rPr>
        <w:t xml:space="preserve">). </w:t>
      </w:r>
      <w:r>
        <w:t>P</w:t>
      </w:r>
      <w:r w:rsidRPr="00053D56">
        <w:t>olypharmacy (</w:t>
      </w:r>
      <w:r>
        <w:t xml:space="preserve">i.e. </w:t>
      </w:r>
      <w:r w:rsidRPr="00053D56">
        <w:t>≥</w:t>
      </w:r>
      <w:r>
        <w:t xml:space="preserve"> </w:t>
      </w:r>
      <w:r w:rsidRPr="00053D56">
        <w:t>5</w:t>
      </w:r>
      <w:r>
        <w:t xml:space="preserve"> daily</w:t>
      </w:r>
      <w:r w:rsidRPr="00053D56">
        <w:t xml:space="preserve"> medications at baseline</w:t>
      </w:r>
      <w:r>
        <w:t xml:space="preserve"> reported as a mean/median</w:t>
      </w:r>
      <w:r w:rsidRPr="00053D56">
        <w:t>) was present in 1</w:t>
      </w:r>
      <w:r>
        <w:t>1</w:t>
      </w:r>
      <w:r w:rsidRPr="00053D56">
        <w:t xml:space="preserve"> studies</w:t>
      </w:r>
      <w:r w:rsidR="005E36E5">
        <w:t>.</w:t>
      </w:r>
      <w:r w:rsidR="009647B0" w:rsidRPr="009647B0">
        <w:rPr>
          <w:noProof/>
          <w:vertAlign w:val="superscript"/>
        </w:rPr>
        <w:t>7,13,17,21-25,27,30,34,35</w:t>
      </w:r>
    </w:p>
    <w:p w14:paraId="610C4B01" w14:textId="0763C466" w:rsidR="007D57FB" w:rsidRDefault="007D57FB" w:rsidP="005B3E6B">
      <w:pPr>
        <w:rPr>
          <w:lang w:eastAsia="en-GB"/>
        </w:rPr>
      </w:pPr>
    </w:p>
    <w:tbl>
      <w:tblPr>
        <w:tblStyle w:val="TableGrid"/>
        <w:tblW w:w="9776" w:type="dxa"/>
        <w:tblLook w:val="04A0" w:firstRow="1" w:lastRow="0" w:firstColumn="1" w:lastColumn="0" w:noHBand="0" w:noVBand="1"/>
      </w:tblPr>
      <w:tblGrid>
        <w:gridCol w:w="2254"/>
        <w:gridCol w:w="2561"/>
        <w:gridCol w:w="2254"/>
        <w:gridCol w:w="2707"/>
      </w:tblGrid>
      <w:tr w:rsidR="007D57FB" w14:paraId="610C4B06" w14:textId="77777777" w:rsidTr="005B3E6B">
        <w:tc>
          <w:tcPr>
            <w:tcW w:w="2254" w:type="dxa"/>
          </w:tcPr>
          <w:p w14:paraId="610C4B02" w14:textId="77777777" w:rsidR="007D57FB" w:rsidRPr="00337D34" w:rsidRDefault="007D57FB" w:rsidP="005B3E6B">
            <w:pPr>
              <w:rPr>
                <w:b/>
                <w:lang w:eastAsia="en-GB"/>
              </w:rPr>
            </w:pPr>
            <w:r w:rsidRPr="00337D34">
              <w:rPr>
                <w:b/>
                <w:lang w:eastAsia="en-GB"/>
              </w:rPr>
              <w:t>Source</w:t>
            </w:r>
          </w:p>
        </w:tc>
        <w:tc>
          <w:tcPr>
            <w:tcW w:w="2561" w:type="dxa"/>
          </w:tcPr>
          <w:p w14:paraId="610C4B03" w14:textId="77777777" w:rsidR="007D57FB" w:rsidRPr="00337D34" w:rsidRDefault="007D57FB" w:rsidP="005B3E6B">
            <w:pPr>
              <w:rPr>
                <w:b/>
                <w:lang w:eastAsia="en-GB"/>
              </w:rPr>
            </w:pPr>
            <w:r w:rsidRPr="00337D34">
              <w:rPr>
                <w:b/>
                <w:lang w:eastAsia="en-GB"/>
              </w:rPr>
              <w:t>Population</w:t>
            </w:r>
          </w:p>
        </w:tc>
        <w:tc>
          <w:tcPr>
            <w:tcW w:w="2254" w:type="dxa"/>
          </w:tcPr>
          <w:p w14:paraId="610C4B04" w14:textId="77777777" w:rsidR="007D57FB" w:rsidRPr="00337D34" w:rsidRDefault="007D57FB" w:rsidP="005B3E6B">
            <w:pPr>
              <w:rPr>
                <w:b/>
                <w:lang w:eastAsia="en-GB"/>
              </w:rPr>
            </w:pPr>
            <w:r>
              <w:rPr>
                <w:b/>
                <w:lang w:eastAsia="en-GB"/>
              </w:rPr>
              <w:t>Medication burden</w:t>
            </w:r>
          </w:p>
        </w:tc>
        <w:tc>
          <w:tcPr>
            <w:tcW w:w="2707" w:type="dxa"/>
          </w:tcPr>
          <w:p w14:paraId="610C4B05" w14:textId="77777777" w:rsidR="007D57FB" w:rsidRPr="00337D34" w:rsidRDefault="007D57FB" w:rsidP="005B3E6B">
            <w:pPr>
              <w:rPr>
                <w:b/>
                <w:lang w:eastAsia="en-GB"/>
              </w:rPr>
            </w:pPr>
            <w:r w:rsidRPr="00337D34">
              <w:rPr>
                <w:b/>
                <w:lang w:eastAsia="en-GB"/>
              </w:rPr>
              <w:t>Comments</w:t>
            </w:r>
            <w:r>
              <w:rPr>
                <w:b/>
                <w:lang w:eastAsia="en-GB"/>
              </w:rPr>
              <w:t>/further details</w:t>
            </w:r>
          </w:p>
        </w:tc>
      </w:tr>
      <w:tr w:rsidR="007D57FB" w14:paraId="610C4B0C" w14:textId="77777777" w:rsidTr="005B3E6B">
        <w:tc>
          <w:tcPr>
            <w:tcW w:w="2254" w:type="dxa"/>
          </w:tcPr>
          <w:p w14:paraId="610C4B07" w14:textId="493D9D10" w:rsidR="007D57FB" w:rsidRDefault="007D57FB" w:rsidP="00A51E14">
            <w:pPr>
              <w:rPr>
                <w:lang w:eastAsia="en-GB"/>
              </w:rPr>
            </w:pPr>
            <w:r>
              <w:rPr>
                <w:lang w:eastAsia="en-GB"/>
              </w:rPr>
              <w:t>Corsonello</w:t>
            </w:r>
            <w:r w:rsidR="00A51E14" w:rsidRPr="00A51E14">
              <w:rPr>
                <w:noProof/>
                <w:vertAlign w:val="superscript"/>
                <w:lang w:eastAsia="en-GB"/>
              </w:rPr>
              <w:t>13</w:t>
            </w:r>
          </w:p>
        </w:tc>
        <w:tc>
          <w:tcPr>
            <w:tcW w:w="2561" w:type="dxa"/>
          </w:tcPr>
          <w:p w14:paraId="610C4B08"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09" w14:textId="77777777" w:rsidR="007D57FB" w:rsidRDefault="007D57FB" w:rsidP="005B3E6B">
            <w:pPr>
              <w:rPr>
                <w:lang w:eastAsia="en-GB"/>
              </w:rPr>
            </w:pPr>
            <w:r>
              <w:rPr>
                <w:lang w:eastAsia="en-GB"/>
              </w:rPr>
              <w:t xml:space="preserve">10.6 </w:t>
            </w:r>
            <w:r>
              <w:rPr>
                <w:rFonts w:cstheme="minorHAnsi"/>
                <w:lang w:eastAsia="en-GB"/>
              </w:rPr>
              <w:t>± 5.5</w:t>
            </w:r>
            <w:r w:rsidRPr="00A35C77">
              <w:rPr>
                <w:vertAlign w:val="superscript"/>
                <w:lang w:eastAsia="en-GB"/>
              </w:rPr>
              <w:t xml:space="preserve"> a</w:t>
            </w:r>
          </w:p>
        </w:tc>
        <w:tc>
          <w:tcPr>
            <w:tcW w:w="2707" w:type="dxa"/>
          </w:tcPr>
          <w:p w14:paraId="610C4B0A" w14:textId="77777777" w:rsidR="007D57FB" w:rsidRDefault="007D57FB" w:rsidP="005B3E6B">
            <w:pPr>
              <w:rPr>
                <w:lang w:eastAsia="en-GB"/>
              </w:rPr>
            </w:pPr>
            <w:r>
              <w:rPr>
                <w:lang w:eastAsia="en-GB"/>
              </w:rPr>
              <w:t># drugs per stay (excl. PIMs)</w:t>
            </w:r>
          </w:p>
          <w:p w14:paraId="610C4B0B" w14:textId="197236AD" w:rsidR="007D57FB" w:rsidRDefault="007D57FB" w:rsidP="005B3E6B">
            <w:pPr>
              <w:rPr>
                <w:lang w:eastAsia="en-GB"/>
              </w:rPr>
            </w:pPr>
            <w:r>
              <w:rPr>
                <w:lang w:eastAsia="en-GB"/>
              </w:rPr>
              <w:t>ADR group vs non-ADR 15.2</w:t>
            </w:r>
            <w:r>
              <w:rPr>
                <w:rFonts w:cstheme="minorHAnsi"/>
                <w:lang w:eastAsia="en-GB"/>
              </w:rPr>
              <w:t>±</w:t>
            </w:r>
            <w:r>
              <w:rPr>
                <w:lang w:eastAsia="en-GB"/>
              </w:rPr>
              <w:t>7.9</w:t>
            </w:r>
            <w:r w:rsidR="00425DB4" w:rsidRPr="0008615D">
              <w:rPr>
                <w:rFonts w:cstheme="minorHAnsi"/>
                <w:vertAlign w:val="superscript"/>
                <w:lang w:eastAsia="en-GB"/>
              </w:rPr>
              <w:t xml:space="preserve"> a</w:t>
            </w:r>
            <w:r>
              <w:rPr>
                <w:lang w:eastAsia="en-GB"/>
              </w:rPr>
              <w:t xml:space="preserve"> vs 9.9</w:t>
            </w:r>
            <w:r>
              <w:rPr>
                <w:rFonts w:cstheme="minorHAnsi"/>
                <w:lang w:eastAsia="en-GB"/>
              </w:rPr>
              <w:t>±</w:t>
            </w:r>
            <w:r>
              <w:rPr>
                <w:lang w:eastAsia="en-GB"/>
              </w:rPr>
              <w:t>4.8</w:t>
            </w:r>
            <w:r w:rsidR="00425DB4" w:rsidRPr="0008615D">
              <w:rPr>
                <w:rFonts w:cstheme="minorHAnsi"/>
                <w:vertAlign w:val="superscript"/>
                <w:lang w:eastAsia="en-GB"/>
              </w:rPr>
              <w:t xml:space="preserve"> a</w:t>
            </w:r>
            <w:r>
              <w:rPr>
                <w:lang w:eastAsia="en-GB"/>
              </w:rPr>
              <w:t>p=0.001</w:t>
            </w:r>
          </w:p>
        </w:tc>
      </w:tr>
      <w:tr w:rsidR="007D57FB" w14:paraId="610C4B11" w14:textId="77777777" w:rsidTr="005B3E6B">
        <w:tc>
          <w:tcPr>
            <w:tcW w:w="2254" w:type="dxa"/>
          </w:tcPr>
          <w:p w14:paraId="610C4B0D" w14:textId="7145D05E" w:rsidR="007D57FB" w:rsidRDefault="007D57FB" w:rsidP="00A51E14">
            <w:pPr>
              <w:rPr>
                <w:lang w:eastAsia="en-GB"/>
              </w:rPr>
            </w:pPr>
            <w:r>
              <w:rPr>
                <w:lang w:eastAsia="en-GB"/>
              </w:rPr>
              <w:t>Fernandez – Regueiro</w:t>
            </w:r>
            <w:r w:rsidR="00A51E14" w:rsidRPr="00A51E14">
              <w:rPr>
                <w:noProof/>
                <w:vertAlign w:val="superscript"/>
                <w:lang w:eastAsia="en-GB"/>
              </w:rPr>
              <w:t>27</w:t>
            </w:r>
          </w:p>
        </w:tc>
        <w:tc>
          <w:tcPr>
            <w:tcW w:w="2561" w:type="dxa"/>
          </w:tcPr>
          <w:p w14:paraId="610C4B0E"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0F" w14:textId="77777777" w:rsidR="007D57FB" w:rsidRDefault="007D57FB" w:rsidP="005B3E6B">
            <w:pPr>
              <w:rPr>
                <w:lang w:eastAsia="en-GB"/>
              </w:rPr>
            </w:pPr>
            <w:r>
              <w:rPr>
                <w:lang w:eastAsia="en-GB"/>
              </w:rPr>
              <w:t>9 IQR 3-16</w:t>
            </w:r>
            <w:r w:rsidRPr="00A35C77">
              <w:rPr>
                <w:vertAlign w:val="superscript"/>
                <w:lang w:eastAsia="en-GB"/>
              </w:rPr>
              <w:t>b</w:t>
            </w:r>
          </w:p>
        </w:tc>
        <w:tc>
          <w:tcPr>
            <w:tcW w:w="2707" w:type="dxa"/>
          </w:tcPr>
          <w:p w14:paraId="610C4B10" w14:textId="77777777" w:rsidR="007D57FB" w:rsidRDefault="007D57FB" w:rsidP="005B3E6B">
            <w:pPr>
              <w:rPr>
                <w:lang w:eastAsia="en-GB"/>
              </w:rPr>
            </w:pPr>
            <w:r>
              <w:rPr>
                <w:lang w:eastAsia="en-GB"/>
              </w:rPr>
              <w:t xml:space="preserve">81 patients (84%) </w:t>
            </w:r>
            <w:r>
              <w:rPr>
                <w:rFonts w:cstheme="minorHAnsi"/>
                <w:lang w:eastAsia="en-GB"/>
              </w:rPr>
              <w:t xml:space="preserve">≥ </w:t>
            </w:r>
            <w:r>
              <w:rPr>
                <w:lang w:eastAsia="en-GB"/>
              </w:rPr>
              <w:t>6 drugs</w:t>
            </w:r>
          </w:p>
        </w:tc>
      </w:tr>
      <w:tr w:rsidR="007D57FB" w14:paraId="610C4B16" w14:textId="77777777" w:rsidTr="005B3E6B">
        <w:tc>
          <w:tcPr>
            <w:tcW w:w="2254" w:type="dxa"/>
          </w:tcPr>
          <w:p w14:paraId="610C4B12" w14:textId="51BF501B" w:rsidR="007D57FB" w:rsidRDefault="007D57FB" w:rsidP="00A51E14">
            <w:pPr>
              <w:rPr>
                <w:lang w:eastAsia="en-GB"/>
              </w:rPr>
            </w:pPr>
            <w:r>
              <w:rPr>
                <w:lang w:eastAsia="en-GB"/>
              </w:rPr>
              <w:t>Lavan</w:t>
            </w:r>
            <w:r w:rsidR="00A51E14" w:rsidRPr="00A51E14">
              <w:rPr>
                <w:noProof/>
                <w:vertAlign w:val="superscript"/>
                <w:lang w:eastAsia="en-GB"/>
              </w:rPr>
              <w:t>30</w:t>
            </w:r>
          </w:p>
        </w:tc>
        <w:tc>
          <w:tcPr>
            <w:tcW w:w="2561" w:type="dxa"/>
          </w:tcPr>
          <w:p w14:paraId="610C4B13"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14" w14:textId="77777777" w:rsidR="007D57FB" w:rsidRDefault="007D57FB" w:rsidP="005B3E6B">
            <w:pPr>
              <w:rPr>
                <w:lang w:eastAsia="en-GB"/>
              </w:rPr>
            </w:pPr>
            <w:r>
              <w:rPr>
                <w:lang w:eastAsia="en-GB"/>
              </w:rPr>
              <w:t xml:space="preserve">9.9 </w:t>
            </w:r>
            <w:r>
              <w:rPr>
                <w:rFonts w:cstheme="minorHAnsi"/>
                <w:lang w:eastAsia="en-GB"/>
              </w:rPr>
              <w:t>± 3.8</w:t>
            </w:r>
            <w:r w:rsidRPr="00A35C77">
              <w:rPr>
                <w:vertAlign w:val="superscript"/>
                <w:lang w:eastAsia="en-GB"/>
              </w:rPr>
              <w:t xml:space="preserve"> a</w:t>
            </w:r>
          </w:p>
        </w:tc>
        <w:tc>
          <w:tcPr>
            <w:tcW w:w="2707" w:type="dxa"/>
          </w:tcPr>
          <w:p w14:paraId="610C4B15" w14:textId="77777777" w:rsidR="007D57FB" w:rsidRDefault="007D57FB" w:rsidP="005B3E6B">
            <w:pPr>
              <w:rPr>
                <w:lang w:eastAsia="en-GB"/>
              </w:rPr>
            </w:pPr>
            <w:r>
              <w:rPr>
                <w:lang w:eastAsia="en-GB"/>
              </w:rPr>
              <w:t>-</w:t>
            </w:r>
          </w:p>
        </w:tc>
      </w:tr>
      <w:tr w:rsidR="007D57FB" w14:paraId="610C4B1C" w14:textId="77777777" w:rsidTr="005B3E6B">
        <w:tc>
          <w:tcPr>
            <w:tcW w:w="2254" w:type="dxa"/>
          </w:tcPr>
          <w:p w14:paraId="610C4B17" w14:textId="63951F41" w:rsidR="007D57FB" w:rsidRDefault="007D57FB" w:rsidP="00A51E14">
            <w:pPr>
              <w:rPr>
                <w:lang w:eastAsia="en-GB"/>
              </w:rPr>
            </w:pPr>
            <w:r>
              <w:rPr>
                <w:lang w:eastAsia="en-GB"/>
              </w:rPr>
              <w:t>Leach</w:t>
            </w:r>
            <w:r w:rsidR="00A51E14" w:rsidRPr="00A51E14">
              <w:rPr>
                <w:noProof/>
                <w:vertAlign w:val="superscript"/>
                <w:lang w:eastAsia="en-GB"/>
              </w:rPr>
              <w:t>21</w:t>
            </w:r>
          </w:p>
        </w:tc>
        <w:tc>
          <w:tcPr>
            <w:tcW w:w="2561" w:type="dxa"/>
          </w:tcPr>
          <w:p w14:paraId="610C4B18"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p w14:paraId="610C4B19" w14:textId="77777777" w:rsidR="007D57FB" w:rsidRPr="005729F5" w:rsidRDefault="007D57FB" w:rsidP="005B3E6B">
            <w:pPr>
              <w:ind w:firstLine="720"/>
              <w:rPr>
                <w:lang w:eastAsia="en-GB"/>
              </w:rPr>
            </w:pPr>
          </w:p>
        </w:tc>
        <w:tc>
          <w:tcPr>
            <w:tcW w:w="2254" w:type="dxa"/>
          </w:tcPr>
          <w:p w14:paraId="610C4B1A" w14:textId="77777777" w:rsidR="007D57FB" w:rsidRDefault="007D57FB" w:rsidP="005B3E6B">
            <w:pPr>
              <w:rPr>
                <w:lang w:eastAsia="en-GB"/>
              </w:rPr>
            </w:pPr>
            <w:r>
              <w:rPr>
                <w:lang w:eastAsia="en-GB"/>
              </w:rPr>
              <w:t>Mean 6.1 mode 4</w:t>
            </w:r>
          </w:p>
        </w:tc>
        <w:tc>
          <w:tcPr>
            <w:tcW w:w="2707" w:type="dxa"/>
          </w:tcPr>
          <w:p w14:paraId="610C4B1B" w14:textId="77777777" w:rsidR="007D57FB" w:rsidRDefault="007D57FB" w:rsidP="005B3E6B">
            <w:pPr>
              <w:rPr>
                <w:lang w:eastAsia="en-GB"/>
              </w:rPr>
            </w:pPr>
            <w:r>
              <w:rPr>
                <w:lang w:eastAsia="en-GB"/>
              </w:rPr>
              <w:t>Incidence ADRs increased with number of drugs 6% 1-3 drugs to 52% &gt;8 drugs p&lt;0.001</w:t>
            </w:r>
          </w:p>
        </w:tc>
      </w:tr>
      <w:tr w:rsidR="00F478FC" w14:paraId="6EB311C4" w14:textId="77777777" w:rsidTr="00737863">
        <w:tc>
          <w:tcPr>
            <w:tcW w:w="2254" w:type="dxa"/>
          </w:tcPr>
          <w:p w14:paraId="30C8BD6B" w14:textId="59AC9F43" w:rsidR="00F478FC" w:rsidRDefault="00F478FC" w:rsidP="00737863">
            <w:pPr>
              <w:rPr>
                <w:b/>
                <w:lang w:eastAsia="en-GB"/>
              </w:rPr>
            </w:pPr>
            <w:r>
              <w:rPr>
                <w:b/>
                <w:lang w:eastAsia="en-GB"/>
              </w:rPr>
              <w:t xml:space="preserve">Contd. </w:t>
            </w:r>
          </w:p>
          <w:p w14:paraId="18080AE5" w14:textId="517280EC" w:rsidR="00F478FC" w:rsidRPr="00337D34" w:rsidRDefault="00F478FC" w:rsidP="00737863">
            <w:pPr>
              <w:rPr>
                <w:b/>
                <w:lang w:eastAsia="en-GB"/>
              </w:rPr>
            </w:pPr>
            <w:r w:rsidRPr="00337D34">
              <w:rPr>
                <w:b/>
                <w:lang w:eastAsia="en-GB"/>
              </w:rPr>
              <w:t>Source</w:t>
            </w:r>
          </w:p>
        </w:tc>
        <w:tc>
          <w:tcPr>
            <w:tcW w:w="2561" w:type="dxa"/>
          </w:tcPr>
          <w:p w14:paraId="0796BD26" w14:textId="77777777" w:rsidR="00F478FC" w:rsidRPr="00337D34" w:rsidRDefault="00F478FC" w:rsidP="00737863">
            <w:pPr>
              <w:rPr>
                <w:b/>
                <w:lang w:eastAsia="en-GB"/>
              </w:rPr>
            </w:pPr>
            <w:r w:rsidRPr="00337D34">
              <w:rPr>
                <w:b/>
                <w:lang w:eastAsia="en-GB"/>
              </w:rPr>
              <w:t>Population</w:t>
            </w:r>
          </w:p>
        </w:tc>
        <w:tc>
          <w:tcPr>
            <w:tcW w:w="2254" w:type="dxa"/>
          </w:tcPr>
          <w:p w14:paraId="3CE318FF" w14:textId="77777777" w:rsidR="00F478FC" w:rsidRPr="00337D34" w:rsidRDefault="00F478FC" w:rsidP="00737863">
            <w:pPr>
              <w:rPr>
                <w:b/>
                <w:lang w:eastAsia="en-GB"/>
              </w:rPr>
            </w:pPr>
            <w:r>
              <w:rPr>
                <w:b/>
                <w:lang w:eastAsia="en-GB"/>
              </w:rPr>
              <w:t>Medication burden</w:t>
            </w:r>
          </w:p>
        </w:tc>
        <w:tc>
          <w:tcPr>
            <w:tcW w:w="2707" w:type="dxa"/>
          </w:tcPr>
          <w:p w14:paraId="6F42BF55" w14:textId="77777777" w:rsidR="00F478FC" w:rsidRPr="00337D34" w:rsidRDefault="00F478FC" w:rsidP="00737863">
            <w:pPr>
              <w:rPr>
                <w:b/>
                <w:lang w:eastAsia="en-GB"/>
              </w:rPr>
            </w:pPr>
            <w:r w:rsidRPr="00337D34">
              <w:rPr>
                <w:b/>
                <w:lang w:eastAsia="en-GB"/>
              </w:rPr>
              <w:t>Comments</w:t>
            </w:r>
            <w:r>
              <w:rPr>
                <w:b/>
                <w:lang w:eastAsia="en-GB"/>
              </w:rPr>
              <w:t>/further details</w:t>
            </w:r>
          </w:p>
        </w:tc>
      </w:tr>
      <w:tr w:rsidR="00CA669F" w14:paraId="24C7D7C5" w14:textId="77777777" w:rsidTr="005B3E6B">
        <w:tc>
          <w:tcPr>
            <w:tcW w:w="2254" w:type="dxa"/>
          </w:tcPr>
          <w:p w14:paraId="7BD13F7D" w14:textId="18CDF426" w:rsidR="00CA669F" w:rsidRDefault="00CA669F" w:rsidP="00A51E14">
            <w:pPr>
              <w:rPr>
                <w:lang w:eastAsia="en-GB"/>
              </w:rPr>
            </w:pPr>
            <w:r>
              <w:rPr>
                <w:lang w:eastAsia="en-GB"/>
              </w:rPr>
              <w:t>Liao</w:t>
            </w:r>
            <w:r w:rsidR="00A51E14" w:rsidRPr="00A51E14">
              <w:rPr>
                <w:noProof/>
                <w:vertAlign w:val="superscript"/>
                <w:lang w:eastAsia="en-GB"/>
              </w:rPr>
              <w:t>31</w:t>
            </w:r>
          </w:p>
        </w:tc>
        <w:tc>
          <w:tcPr>
            <w:tcW w:w="2561" w:type="dxa"/>
          </w:tcPr>
          <w:p w14:paraId="257DA73B" w14:textId="7CEC1DF4" w:rsidR="00CA669F" w:rsidRDefault="00CA669F"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0854FFC" w14:textId="4EBDC5E2" w:rsidR="00CA669F" w:rsidRDefault="00CA669F" w:rsidP="005B3E6B">
            <w:pPr>
              <w:rPr>
                <w:lang w:eastAsia="en-GB"/>
              </w:rPr>
            </w:pPr>
            <w:r>
              <w:rPr>
                <w:lang w:eastAsia="en-GB"/>
              </w:rPr>
              <w:t xml:space="preserve">Medications measured by number of </w:t>
            </w:r>
            <w:r w:rsidR="00D45150">
              <w:rPr>
                <w:lang w:eastAsia="en-GB"/>
              </w:rPr>
              <w:t xml:space="preserve">drug </w:t>
            </w:r>
            <w:r>
              <w:rPr>
                <w:lang w:eastAsia="en-GB"/>
              </w:rPr>
              <w:t>classes during whole hospital stay</w:t>
            </w:r>
          </w:p>
        </w:tc>
        <w:tc>
          <w:tcPr>
            <w:tcW w:w="2707" w:type="dxa"/>
          </w:tcPr>
          <w:p w14:paraId="12F7A4CC" w14:textId="7FD573AF" w:rsidR="00CA669F" w:rsidRDefault="00425DB4" w:rsidP="005B3E6B">
            <w:pPr>
              <w:rPr>
                <w:rFonts w:cstheme="minorHAnsi"/>
                <w:lang w:eastAsia="en-GB"/>
              </w:rPr>
            </w:pPr>
            <w:r>
              <w:rPr>
                <w:lang w:eastAsia="en-GB"/>
              </w:rPr>
              <w:t xml:space="preserve">ADR </w:t>
            </w:r>
            <w:r w:rsidR="00CA669F">
              <w:rPr>
                <w:lang w:eastAsia="en-GB"/>
              </w:rPr>
              <w:t xml:space="preserve">14.98 </w:t>
            </w:r>
            <w:r w:rsidR="00CA669F">
              <w:rPr>
                <w:rFonts w:cstheme="minorHAnsi"/>
                <w:lang w:eastAsia="en-GB"/>
              </w:rPr>
              <w:t>±</w:t>
            </w:r>
            <w:r w:rsidR="00D45150">
              <w:rPr>
                <w:rFonts w:cstheme="minorHAnsi"/>
                <w:lang w:eastAsia="en-GB"/>
              </w:rPr>
              <w:t xml:space="preserve"> 0.43</w:t>
            </w:r>
            <w:r w:rsidRPr="0008615D">
              <w:rPr>
                <w:rFonts w:cstheme="minorHAnsi"/>
                <w:vertAlign w:val="superscript"/>
                <w:lang w:eastAsia="en-GB"/>
              </w:rPr>
              <w:t xml:space="preserve"> a</w:t>
            </w:r>
          </w:p>
          <w:p w14:paraId="3FB7DCD1" w14:textId="1156C6AA" w:rsidR="00327C03" w:rsidRDefault="00CA669F" w:rsidP="00AB78B1">
            <w:pPr>
              <w:rPr>
                <w:rFonts w:cstheme="minorHAnsi"/>
                <w:lang w:eastAsia="en-GB"/>
              </w:rPr>
            </w:pPr>
            <w:r>
              <w:rPr>
                <w:rFonts w:cstheme="minorHAnsi"/>
                <w:lang w:eastAsia="en-GB"/>
              </w:rPr>
              <w:t xml:space="preserve">Non-ADR </w:t>
            </w:r>
            <w:r w:rsidR="00425DB4">
              <w:rPr>
                <w:rFonts w:cstheme="minorHAnsi"/>
                <w:lang w:eastAsia="en-GB"/>
              </w:rPr>
              <w:t>14.95 ± 0.22</w:t>
            </w:r>
            <w:r w:rsidR="00425DB4" w:rsidRPr="0008615D">
              <w:rPr>
                <w:rFonts w:cstheme="minorHAnsi"/>
                <w:vertAlign w:val="superscript"/>
                <w:lang w:eastAsia="en-GB"/>
              </w:rPr>
              <w:t>a</w:t>
            </w:r>
          </w:p>
          <w:p w14:paraId="755A504F" w14:textId="718E4B61" w:rsidR="00CA669F" w:rsidRDefault="00327C03" w:rsidP="007071BD">
            <w:pPr>
              <w:rPr>
                <w:lang w:eastAsia="en-GB"/>
              </w:rPr>
            </w:pPr>
            <w:r>
              <w:rPr>
                <w:rFonts w:cstheme="minorHAnsi"/>
                <w:lang w:eastAsia="en-GB"/>
              </w:rPr>
              <w:t>P = &lt;0.01</w:t>
            </w:r>
          </w:p>
        </w:tc>
      </w:tr>
      <w:tr w:rsidR="007D57FB" w14:paraId="610C4B26" w14:textId="77777777" w:rsidTr="005B3E6B">
        <w:tc>
          <w:tcPr>
            <w:tcW w:w="2254" w:type="dxa"/>
          </w:tcPr>
          <w:p w14:paraId="610C4B22" w14:textId="263ED48E" w:rsidR="007D57FB" w:rsidRDefault="007D57FB" w:rsidP="00A51E14">
            <w:pPr>
              <w:rPr>
                <w:lang w:eastAsia="en-GB"/>
              </w:rPr>
            </w:pPr>
            <w:r>
              <w:rPr>
                <w:lang w:eastAsia="en-GB"/>
              </w:rPr>
              <w:t>O’Connor (2016)</w:t>
            </w:r>
            <w:r w:rsidR="00A51E14" w:rsidRPr="00A51E14">
              <w:rPr>
                <w:noProof/>
                <w:vertAlign w:val="superscript"/>
                <w:lang w:eastAsia="en-GB"/>
              </w:rPr>
              <w:t>23</w:t>
            </w:r>
          </w:p>
        </w:tc>
        <w:tc>
          <w:tcPr>
            <w:tcW w:w="2561" w:type="dxa"/>
          </w:tcPr>
          <w:p w14:paraId="610C4B23"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24" w14:textId="77777777" w:rsidR="007D57FB" w:rsidRDefault="007D57FB" w:rsidP="005B3E6B">
            <w:pPr>
              <w:rPr>
                <w:lang w:eastAsia="en-GB"/>
              </w:rPr>
            </w:pPr>
            <w:r>
              <w:rPr>
                <w:lang w:eastAsia="en-GB"/>
              </w:rPr>
              <w:t>8 IQR 6-11</w:t>
            </w:r>
            <w:r w:rsidRPr="00A35C77">
              <w:rPr>
                <w:vertAlign w:val="superscript"/>
                <w:lang w:eastAsia="en-GB"/>
              </w:rPr>
              <w:t>b</w:t>
            </w:r>
          </w:p>
        </w:tc>
        <w:tc>
          <w:tcPr>
            <w:tcW w:w="2707" w:type="dxa"/>
          </w:tcPr>
          <w:p w14:paraId="610C4B25" w14:textId="77777777" w:rsidR="007D57FB" w:rsidRDefault="007D57FB" w:rsidP="005B3E6B">
            <w:pPr>
              <w:rPr>
                <w:lang w:eastAsia="en-GB"/>
              </w:rPr>
            </w:pPr>
            <w:r>
              <w:rPr>
                <w:lang w:eastAsia="en-GB"/>
              </w:rPr>
              <w:t xml:space="preserve">291 (78%) </w:t>
            </w:r>
            <w:r>
              <w:rPr>
                <w:rFonts w:cstheme="minorHAnsi"/>
                <w:lang w:eastAsia="en-GB"/>
              </w:rPr>
              <w:t>≥</w:t>
            </w:r>
            <w:r>
              <w:rPr>
                <w:lang w:eastAsia="en-GB"/>
              </w:rPr>
              <w:t xml:space="preserve"> 5 drugs </w:t>
            </w:r>
          </w:p>
        </w:tc>
      </w:tr>
      <w:tr w:rsidR="007D57FB" w14:paraId="610C4B2D" w14:textId="77777777" w:rsidTr="005B3E6B">
        <w:tc>
          <w:tcPr>
            <w:tcW w:w="2254" w:type="dxa"/>
          </w:tcPr>
          <w:p w14:paraId="610C4B27" w14:textId="7D80A948" w:rsidR="007D57FB" w:rsidRDefault="007D57FB" w:rsidP="00A51E14">
            <w:pPr>
              <w:rPr>
                <w:lang w:eastAsia="en-GB"/>
              </w:rPr>
            </w:pPr>
            <w:r>
              <w:rPr>
                <w:lang w:eastAsia="en-GB"/>
              </w:rPr>
              <w:t>O’Connor (2012)</w:t>
            </w:r>
            <w:r w:rsidR="00A51E14" w:rsidRPr="00A51E14">
              <w:rPr>
                <w:noProof/>
                <w:vertAlign w:val="superscript"/>
                <w:lang w:eastAsia="en-GB"/>
              </w:rPr>
              <w:t>22</w:t>
            </w:r>
          </w:p>
        </w:tc>
        <w:tc>
          <w:tcPr>
            <w:tcW w:w="2561" w:type="dxa"/>
          </w:tcPr>
          <w:p w14:paraId="610C4B28"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29" w14:textId="77777777" w:rsidR="007D57FB" w:rsidRDefault="007D57FB" w:rsidP="005B3E6B">
            <w:pPr>
              <w:rPr>
                <w:lang w:eastAsia="en-GB"/>
              </w:rPr>
            </w:pPr>
            <w:r>
              <w:rPr>
                <w:lang w:eastAsia="en-GB"/>
              </w:rPr>
              <w:t>7 IQR 1-10</w:t>
            </w:r>
            <w:r w:rsidRPr="00A35C77">
              <w:rPr>
                <w:vertAlign w:val="superscript"/>
                <w:lang w:eastAsia="en-GB"/>
              </w:rPr>
              <w:t>b</w:t>
            </w:r>
          </w:p>
        </w:tc>
        <w:tc>
          <w:tcPr>
            <w:tcW w:w="2707" w:type="dxa"/>
          </w:tcPr>
          <w:p w14:paraId="610C4B2A" w14:textId="77777777" w:rsidR="007D57FB" w:rsidRDefault="007D57FB" w:rsidP="005B3E6B">
            <w:pPr>
              <w:rPr>
                <w:rFonts w:cstheme="minorHAnsi"/>
                <w:lang w:eastAsia="en-GB"/>
              </w:rPr>
            </w:pPr>
            <w:r>
              <w:rPr>
                <w:lang w:eastAsia="en-GB"/>
              </w:rPr>
              <w:t xml:space="preserve">345 (67%) </w:t>
            </w:r>
            <w:r>
              <w:rPr>
                <w:rFonts w:cstheme="minorHAnsi"/>
                <w:lang w:eastAsia="en-GB"/>
              </w:rPr>
              <w:t xml:space="preserve">≥ 6 drugs </w:t>
            </w:r>
          </w:p>
          <w:p w14:paraId="610C4B2B" w14:textId="77777777" w:rsidR="007D57FB" w:rsidRDefault="007D57FB" w:rsidP="005B3E6B">
            <w:pPr>
              <w:rPr>
                <w:rFonts w:cstheme="minorHAnsi"/>
                <w:lang w:eastAsia="en-GB"/>
              </w:rPr>
            </w:pPr>
            <w:r>
              <w:rPr>
                <w:rFonts w:cstheme="minorHAnsi"/>
                <w:lang w:eastAsia="en-GB"/>
              </w:rPr>
              <w:t>ADR median 10</w:t>
            </w:r>
          </w:p>
          <w:p w14:paraId="610C4B2C" w14:textId="77777777" w:rsidR="007D57FB" w:rsidRDefault="007D57FB" w:rsidP="005B3E6B">
            <w:pPr>
              <w:rPr>
                <w:lang w:eastAsia="en-GB"/>
              </w:rPr>
            </w:pPr>
            <w:r>
              <w:rPr>
                <w:rFonts w:cstheme="minorHAnsi"/>
                <w:lang w:eastAsia="en-GB"/>
              </w:rPr>
              <w:t>Non-ADR median 7 p&lt;0.001</w:t>
            </w:r>
          </w:p>
        </w:tc>
      </w:tr>
      <w:tr w:rsidR="007D57FB" w14:paraId="610C4B41" w14:textId="77777777" w:rsidTr="005B3E6B">
        <w:tc>
          <w:tcPr>
            <w:tcW w:w="2254" w:type="dxa"/>
          </w:tcPr>
          <w:p w14:paraId="610C4B2E" w14:textId="5615E06E" w:rsidR="007D57FB" w:rsidRDefault="007D57FB" w:rsidP="00A51E14">
            <w:pPr>
              <w:rPr>
                <w:lang w:eastAsia="en-GB"/>
              </w:rPr>
            </w:pPr>
            <w:r>
              <w:rPr>
                <w:lang w:eastAsia="en-GB"/>
              </w:rPr>
              <w:t>Onder</w:t>
            </w:r>
            <w:r w:rsidR="00A51E14" w:rsidRPr="00A51E14">
              <w:rPr>
                <w:noProof/>
                <w:vertAlign w:val="superscript"/>
                <w:lang w:eastAsia="en-GB"/>
              </w:rPr>
              <w:t>24</w:t>
            </w:r>
          </w:p>
        </w:tc>
        <w:tc>
          <w:tcPr>
            <w:tcW w:w="2561" w:type="dxa"/>
          </w:tcPr>
          <w:p w14:paraId="610C4B2F"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30" w14:textId="77777777" w:rsidR="007D57FB" w:rsidRDefault="007D57FB" w:rsidP="005B3E6B">
            <w:pPr>
              <w:rPr>
                <w:rFonts w:cstheme="minorHAnsi"/>
                <w:lang w:eastAsia="en-GB"/>
              </w:rPr>
            </w:pPr>
            <w:r>
              <w:rPr>
                <w:rFonts w:cstheme="minorHAnsi"/>
                <w:lang w:eastAsia="en-GB"/>
              </w:rPr>
              <w:t>3911 (66%) GIFA study ≥ 5 drugs</w:t>
            </w:r>
          </w:p>
          <w:p w14:paraId="610C4B31" w14:textId="77777777" w:rsidR="007D57FB" w:rsidRDefault="007D57FB" w:rsidP="005B3E6B">
            <w:pPr>
              <w:rPr>
                <w:rFonts w:cstheme="minorHAnsi"/>
                <w:lang w:eastAsia="en-GB"/>
              </w:rPr>
            </w:pPr>
          </w:p>
          <w:p w14:paraId="610C4B32" w14:textId="77777777" w:rsidR="007D57FB" w:rsidRDefault="007D57FB" w:rsidP="005B3E6B">
            <w:pPr>
              <w:rPr>
                <w:rFonts w:cstheme="minorHAnsi"/>
                <w:lang w:eastAsia="en-GB"/>
              </w:rPr>
            </w:pPr>
          </w:p>
          <w:p w14:paraId="610C4B33" w14:textId="77777777" w:rsidR="007D57FB" w:rsidRDefault="007D57FB" w:rsidP="005B3E6B">
            <w:pPr>
              <w:rPr>
                <w:rFonts w:cstheme="minorHAnsi"/>
                <w:lang w:eastAsia="en-GB"/>
              </w:rPr>
            </w:pPr>
          </w:p>
          <w:p w14:paraId="610C4B34" w14:textId="77777777" w:rsidR="007D57FB" w:rsidRDefault="007D57FB" w:rsidP="005B3E6B">
            <w:pPr>
              <w:rPr>
                <w:rFonts w:cstheme="minorHAnsi"/>
                <w:lang w:eastAsia="en-GB"/>
              </w:rPr>
            </w:pPr>
          </w:p>
          <w:p w14:paraId="610C4B35" w14:textId="77777777" w:rsidR="007D57FB" w:rsidRDefault="007D57FB" w:rsidP="005B3E6B">
            <w:pPr>
              <w:rPr>
                <w:rFonts w:cstheme="minorHAnsi"/>
                <w:lang w:eastAsia="en-GB"/>
              </w:rPr>
            </w:pPr>
          </w:p>
          <w:p w14:paraId="610C4B36" w14:textId="77777777" w:rsidR="007D57FB" w:rsidRDefault="007D57FB" w:rsidP="005B3E6B">
            <w:pPr>
              <w:rPr>
                <w:rFonts w:cstheme="minorHAnsi"/>
                <w:lang w:eastAsia="en-GB"/>
              </w:rPr>
            </w:pPr>
          </w:p>
          <w:p w14:paraId="610C4B37" w14:textId="77777777" w:rsidR="007D57FB" w:rsidRDefault="007D57FB" w:rsidP="005B3E6B">
            <w:pPr>
              <w:rPr>
                <w:rFonts w:cstheme="minorHAnsi"/>
                <w:lang w:eastAsia="en-GB"/>
              </w:rPr>
            </w:pPr>
          </w:p>
          <w:p w14:paraId="610C4B38" w14:textId="77777777" w:rsidR="007D57FB" w:rsidRPr="00C84FE2" w:rsidRDefault="007D57FB" w:rsidP="005B3E6B">
            <w:pPr>
              <w:rPr>
                <w:rFonts w:cstheme="minorHAnsi"/>
                <w:lang w:eastAsia="en-GB"/>
              </w:rPr>
            </w:pPr>
            <w:r>
              <w:rPr>
                <w:rFonts w:cstheme="minorHAnsi"/>
                <w:lang w:eastAsia="en-GB"/>
              </w:rPr>
              <w:t>425 (88%) val. Study ≥ 5 drugs</w:t>
            </w:r>
          </w:p>
        </w:tc>
        <w:tc>
          <w:tcPr>
            <w:tcW w:w="2707" w:type="dxa"/>
          </w:tcPr>
          <w:p w14:paraId="610C4B39" w14:textId="77777777" w:rsidR="007D57FB" w:rsidRDefault="007D57FB" w:rsidP="005B3E6B">
            <w:pPr>
              <w:rPr>
                <w:lang w:eastAsia="en-GB"/>
              </w:rPr>
            </w:pPr>
            <w:r>
              <w:rPr>
                <w:lang w:eastAsia="en-GB"/>
              </w:rPr>
              <w:t xml:space="preserve">ADR group 3579 (64%) </w:t>
            </w:r>
            <w:r>
              <w:rPr>
                <w:rFonts w:cstheme="minorHAnsi"/>
                <w:lang w:eastAsia="en-GB"/>
              </w:rPr>
              <w:t>≥ 5 drugs</w:t>
            </w:r>
          </w:p>
          <w:p w14:paraId="610C4B3A" w14:textId="77777777" w:rsidR="007D57FB" w:rsidRDefault="007D57FB" w:rsidP="005B3E6B">
            <w:pPr>
              <w:rPr>
                <w:rFonts w:cstheme="minorHAnsi"/>
                <w:lang w:eastAsia="en-GB"/>
              </w:rPr>
            </w:pPr>
            <w:r>
              <w:rPr>
                <w:lang w:eastAsia="en-GB"/>
              </w:rPr>
              <w:t xml:space="preserve">Non-ADR group 332 (87%) </w:t>
            </w:r>
            <w:r>
              <w:rPr>
                <w:rFonts w:cstheme="minorHAnsi"/>
                <w:lang w:eastAsia="en-GB"/>
              </w:rPr>
              <w:t>≥ 5 drugs</w:t>
            </w:r>
          </w:p>
          <w:p w14:paraId="610C4B3B" w14:textId="77777777" w:rsidR="007D57FB" w:rsidRDefault="007D57FB" w:rsidP="005B3E6B">
            <w:pPr>
              <w:rPr>
                <w:rFonts w:cstheme="minorHAnsi"/>
                <w:lang w:eastAsia="en-GB"/>
              </w:rPr>
            </w:pPr>
            <w:r>
              <w:rPr>
                <w:rFonts w:cstheme="minorHAnsi"/>
                <w:lang w:eastAsia="en-GB"/>
              </w:rPr>
              <w:t>5-7 drugs OR 1.9 (1.35-2.68)</w:t>
            </w:r>
          </w:p>
          <w:p w14:paraId="610C4B3C" w14:textId="77777777" w:rsidR="007D57FB" w:rsidRDefault="007D57FB" w:rsidP="005B3E6B">
            <w:pPr>
              <w:rPr>
                <w:rFonts w:cstheme="minorHAnsi"/>
                <w:lang w:eastAsia="en-GB"/>
              </w:rPr>
            </w:pPr>
            <w:r>
              <w:rPr>
                <w:rFonts w:cstheme="minorHAnsi"/>
                <w:lang w:eastAsia="en-GB"/>
              </w:rPr>
              <w:t>≥8 drugs OR 4.07 (2.93-5.65)</w:t>
            </w:r>
          </w:p>
          <w:p w14:paraId="610C4B3D" w14:textId="77777777" w:rsidR="007D57FB" w:rsidRDefault="007D57FB" w:rsidP="005B3E6B">
            <w:pPr>
              <w:rPr>
                <w:rFonts w:cstheme="minorHAnsi"/>
                <w:lang w:eastAsia="en-GB"/>
              </w:rPr>
            </w:pPr>
          </w:p>
          <w:p w14:paraId="610C4B3E" w14:textId="77777777" w:rsidR="007D57FB" w:rsidRDefault="007D57FB" w:rsidP="005B3E6B">
            <w:pPr>
              <w:rPr>
                <w:lang w:eastAsia="en-GB"/>
              </w:rPr>
            </w:pPr>
            <w:r>
              <w:rPr>
                <w:lang w:eastAsia="en-GB"/>
              </w:rPr>
              <w:t xml:space="preserve">ADR group 52 (93%) </w:t>
            </w:r>
            <w:r>
              <w:rPr>
                <w:rFonts w:cstheme="minorHAnsi"/>
                <w:lang w:eastAsia="en-GB"/>
              </w:rPr>
              <w:t>≥ 5 drugs</w:t>
            </w:r>
          </w:p>
          <w:p w14:paraId="610C4B3F" w14:textId="77777777" w:rsidR="007D57FB" w:rsidRDefault="007D57FB" w:rsidP="005B3E6B">
            <w:pPr>
              <w:rPr>
                <w:rFonts w:cstheme="minorHAnsi"/>
                <w:lang w:eastAsia="en-GB"/>
              </w:rPr>
            </w:pPr>
            <w:r>
              <w:rPr>
                <w:lang w:eastAsia="en-GB"/>
              </w:rPr>
              <w:t xml:space="preserve">Non-ADR group 373 (87%) </w:t>
            </w:r>
            <w:r>
              <w:rPr>
                <w:rFonts w:cstheme="minorHAnsi"/>
                <w:lang w:eastAsia="en-GB"/>
              </w:rPr>
              <w:t>≥ 5 drugs</w:t>
            </w:r>
          </w:p>
          <w:p w14:paraId="610C4B40" w14:textId="77777777" w:rsidR="007D57FB" w:rsidRPr="002C2649" w:rsidRDefault="007D57FB" w:rsidP="005B3E6B">
            <w:pPr>
              <w:rPr>
                <w:rFonts w:cstheme="minorHAnsi"/>
                <w:lang w:eastAsia="en-GB"/>
              </w:rPr>
            </w:pPr>
            <w:r>
              <w:rPr>
                <w:rFonts w:cstheme="minorHAnsi"/>
                <w:lang w:eastAsia="en-GB"/>
              </w:rPr>
              <w:t>p=0.001</w:t>
            </w:r>
          </w:p>
        </w:tc>
      </w:tr>
      <w:tr w:rsidR="007D57FB" w14:paraId="610C4B46" w14:textId="77777777" w:rsidTr="005B3E6B">
        <w:tc>
          <w:tcPr>
            <w:tcW w:w="2254" w:type="dxa"/>
          </w:tcPr>
          <w:p w14:paraId="610C4B42" w14:textId="4139359C" w:rsidR="007D57FB" w:rsidRDefault="007D57FB" w:rsidP="00A51E14">
            <w:pPr>
              <w:rPr>
                <w:lang w:eastAsia="en-GB"/>
              </w:rPr>
            </w:pPr>
            <w:r>
              <w:rPr>
                <w:lang w:eastAsia="en-GB"/>
              </w:rPr>
              <w:t>O’Sullivan</w:t>
            </w:r>
            <w:r w:rsidR="00A51E14" w:rsidRPr="00A51E14">
              <w:rPr>
                <w:noProof/>
                <w:vertAlign w:val="superscript"/>
                <w:lang w:eastAsia="en-GB"/>
              </w:rPr>
              <w:t>25</w:t>
            </w:r>
          </w:p>
        </w:tc>
        <w:tc>
          <w:tcPr>
            <w:tcW w:w="2561" w:type="dxa"/>
          </w:tcPr>
          <w:p w14:paraId="610C4B43"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44" w14:textId="77777777" w:rsidR="007D57FB" w:rsidRDefault="007D57FB" w:rsidP="005B3E6B">
            <w:pPr>
              <w:rPr>
                <w:lang w:eastAsia="en-GB"/>
              </w:rPr>
            </w:pPr>
            <w:r>
              <w:rPr>
                <w:lang w:eastAsia="en-GB"/>
              </w:rPr>
              <w:t>8 IQR 6-11</w:t>
            </w:r>
            <w:r w:rsidRPr="001C085B">
              <w:rPr>
                <w:vertAlign w:val="superscript"/>
                <w:lang w:eastAsia="en-GB"/>
              </w:rPr>
              <w:t>b</w:t>
            </w:r>
          </w:p>
        </w:tc>
        <w:tc>
          <w:tcPr>
            <w:tcW w:w="2707" w:type="dxa"/>
          </w:tcPr>
          <w:p w14:paraId="610C4B45" w14:textId="77777777" w:rsidR="007D57FB" w:rsidRDefault="007D57FB" w:rsidP="005B3E6B">
            <w:pPr>
              <w:rPr>
                <w:lang w:eastAsia="en-GB"/>
              </w:rPr>
            </w:pPr>
            <w:r>
              <w:rPr>
                <w:lang w:eastAsia="en-GB"/>
              </w:rPr>
              <w:t xml:space="preserve">321 (85.4%) </w:t>
            </w:r>
            <w:r>
              <w:rPr>
                <w:rFonts w:cstheme="minorHAnsi"/>
                <w:lang w:eastAsia="en-GB"/>
              </w:rPr>
              <w:t>≥</w:t>
            </w:r>
            <w:r>
              <w:rPr>
                <w:lang w:eastAsia="en-GB"/>
              </w:rPr>
              <w:t xml:space="preserve"> 5 drugs control arm</w:t>
            </w:r>
          </w:p>
        </w:tc>
      </w:tr>
      <w:tr w:rsidR="007D57FB" w14:paraId="610C4B52" w14:textId="77777777" w:rsidTr="005B3E6B">
        <w:tc>
          <w:tcPr>
            <w:tcW w:w="2254" w:type="dxa"/>
          </w:tcPr>
          <w:p w14:paraId="610C4B47" w14:textId="46F6EC04" w:rsidR="007D57FB" w:rsidRDefault="007D57FB" w:rsidP="00A51E14">
            <w:pPr>
              <w:rPr>
                <w:lang w:eastAsia="en-GB"/>
              </w:rPr>
            </w:pPr>
            <w:r>
              <w:rPr>
                <w:lang w:eastAsia="en-GB"/>
              </w:rPr>
              <w:t>Tangiisuran (2012)</w:t>
            </w:r>
            <w:r w:rsidR="00A51E14" w:rsidRPr="00A51E14">
              <w:rPr>
                <w:noProof/>
                <w:vertAlign w:val="superscript"/>
                <w:lang w:eastAsia="en-GB"/>
              </w:rPr>
              <w:t>34</w:t>
            </w:r>
          </w:p>
        </w:tc>
        <w:tc>
          <w:tcPr>
            <w:tcW w:w="2561" w:type="dxa"/>
          </w:tcPr>
          <w:p w14:paraId="610C4B48"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49" w14:textId="77777777" w:rsidR="007D57FB" w:rsidRDefault="007D57FB" w:rsidP="005B3E6B">
            <w:pPr>
              <w:rPr>
                <w:lang w:eastAsia="en-GB"/>
              </w:rPr>
            </w:pPr>
            <w:r>
              <w:rPr>
                <w:lang w:eastAsia="en-GB"/>
              </w:rPr>
              <w:t>5 IQR 3-7</w:t>
            </w:r>
            <w:r w:rsidRPr="004E2926">
              <w:rPr>
                <w:vertAlign w:val="superscript"/>
                <w:lang w:eastAsia="en-GB"/>
              </w:rPr>
              <w:t>b</w:t>
            </w:r>
            <w:r>
              <w:rPr>
                <w:vertAlign w:val="superscript"/>
                <w:lang w:eastAsia="en-GB"/>
              </w:rPr>
              <w:t xml:space="preserve"> </w:t>
            </w:r>
          </w:p>
        </w:tc>
        <w:tc>
          <w:tcPr>
            <w:tcW w:w="2707" w:type="dxa"/>
          </w:tcPr>
          <w:p w14:paraId="610C4B4A" w14:textId="77777777" w:rsidR="007D57FB" w:rsidRDefault="007D57FB" w:rsidP="005B3E6B">
            <w:pPr>
              <w:rPr>
                <w:lang w:eastAsia="en-GB"/>
              </w:rPr>
            </w:pPr>
            <w:r>
              <w:rPr>
                <w:lang w:eastAsia="en-GB"/>
              </w:rPr>
              <w:t xml:space="preserve">Baseline, total </w:t>
            </w:r>
          </w:p>
          <w:p w14:paraId="610C4B4B" w14:textId="77777777" w:rsidR="007D57FB" w:rsidRDefault="007D57FB" w:rsidP="005B3E6B">
            <w:pPr>
              <w:rPr>
                <w:lang w:eastAsia="en-GB"/>
              </w:rPr>
            </w:pPr>
            <w:r>
              <w:rPr>
                <w:lang w:eastAsia="en-GB"/>
              </w:rPr>
              <w:t>ADR 6 IQR 3-8</w:t>
            </w:r>
            <w:r w:rsidRPr="00A35C77">
              <w:rPr>
                <w:vertAlign w:val="superscript"/>
                <w:lang w:eastAsia="en-GB"/>
              </w:rPr>
              <w:t xml:space="preserve"> b</w:t>
            </w:r>
          </w:p>
          <w:p w14:paraId="610C4B4C" w14:textId="77777777" w:rsidR="007D57FB" w:rsidRDefault="007D57FB" w:rsidP="005B3E6B">
            <w:pPr>
              <w:rPr>
                <w:lang w:eastAsia="en-GB"/>
              </w:rPr>
            </w:pPr>
            <w:r>
              <w:rPr>
                <w:lang w:eastAsia="en-GB"/>
              </w:rPr>
              <w:t>Non-ADR 5 IQR 3-7</w:t>
            </w:r>
            <w:r w:rsidRPr="00A35C77">
              <w:rPr>
                <w:vertAlign w:val="superscript"/>
                <w:lang w:eastAsia="en-GB"/>
              </w:rPr>
              <w:t xml:space="preserve"> b</w:t>
            </w:r>
          </w:p>
          <w:p w14:paraId="610C4B4D" w14:textId="77777777" w:rsidR="007D57FB" w:rsidRDefault="007D57FB" w:rsidP="005B3E6B">
            <w:pPr>
              <w:rPr>
                <w:lang w:eastAsia="en-GB"/>
              </w:rPr>
            </w:pPr>
            <w:r>
              <w:rPr>
                <w:lang w:eastAsia="en-GB"/>
              </w:rPr>
              <w:t xml:space="preserve">p&lt;0.05 </w:t>
            </w:r>
          </w:p>
          <w:p w14:paraId="610C4B4E" w14:textId="77777777" w:rsidR="007D57FB" w:rsidRDefault="007D57FB" w:rsidP="005B3E6B">
            <w:pPr>
              <w:rPr>
                <w:lang w:eastAsia="en-GB"/>
              </w:rPr>
            </w:pPr>
            <w:r>
              <w:rPr>
                <w:lang w:eastAsia="en-GB"/>
              </w:rPr>
              <w:t>On ward, total</w:t>
            </w:r>
          </w:p>
          <w:p w14:paraId="610C4B4F" w14:textId="77777777" w:rsidR="007D57FB" w:rsidRDefault="007D57FB" w:rsidP="005B3E6B">
            <w:pPr>
              <w:rPr>
                <w:lang w:eastAsia="en-GB"/>
              </w:rPr>
            </w:pPr>
            <w:r>
              <w:rPr>
                <w:lang w:eastAsia="en-GB"/>
              </w:rPr>
              <w:t>ADR 10 (7.75-13)</w:t>
            </w:r>
            <w:r w:rsidRPr="003D4476">
              <w:rPr>
                <w:vertAlign w:val="superscript"/>
                <w:lang w:eastAsia="en-GB"/>
              </w:rPr>
              <w:t>b</w:t>
            </w:r>
          </w:p>
          <w:p w14:paraId="610C4B50" w14:textId="77777777" w:rsidR="007D57FB" w:rsidRDefault="007D57FB" w:rsidP="005B3E6B">
            <w:pPr>
              <w:rPr>
                <w:lang w:eastAsia="en-GB"/>
              </w:rPr>
            </w:pPr>
            <w:r>
              <w:rPr>
                <w:lang w:eastAsia="en-GB"/>
              </w:rPr>
              <w:t>Non-ADR 7 (5-10)</w:t>
            </w:r>
            <w:r w:rsidRPr="003D4476">
              <w:rPr>
                <w:vertAlign w:val="superscript"/>
                <w:lang w:eastAsia="en-GB"/>
              </w:rPr>
              <w:t xml:space="preserve"> b</w:t>
            </w:r>
          </w:p>
          <w:p w14:paraId="610C4B51" w14:textId="77777777" w:rsidR="007D57FB" w:rsidRDefault="007D57FB" w:rsidP="005B3E6B">
            <w:pPr>
              <w:rPr>
                <w:lang w:eastAsia="en-GB"/>
              </w:rPr>
            </w:pPr>
            <w:r>
              <w:rPr>
                <w:lang w:eastAsia="en-GB"/>
              </w:rPr>
              <w:t>P&lt;0.05</w:t>
            </w:r>
          </w:p>
        </w:tc>
      </w:tr>
      <w:tr w:rsidR="007D57FB" w14:paraId="610C4B59" w14:textId="77777777" w:rsidTr="005B3E6B">
        <w:tc>
          <w:tcPr>
            <w:tcW w:w="2254" w:type="dxa"/>
          </w:tcPr>
          <w:p w14:paraId="610C4B53" w14:textId="0C3B26A1" w:rsidR="007D57FB" w:rsidRDefault="007D57FB" w:rsidP="00A51E14">
            <w:pPr>
              <w:rPr>
                <w:lang w:eastAsia="en-GB"/>
              </w:rPr>
            </w:pPr>
            <w:r>
              <w:rPr>
                <w:lang w:eastAsia="en-GB"/>
              </w:rPr>
              <w:t>Tangiisuran (2014)</w:t>
            </w:r>
            <w:r w:rsidR="00A51E14" w:rsidRPr="00A51E14">
              <w:rPr>
                <w:noProof/>
                <w:vertAlign w:val="superscript"/>
                <w:lang w:eastAsia="en-GB"/>
              </w:rPr>
              <w:t>35</w:t>
            </w:r>
          </w:p>
        </w:tc>
        <w:tc>
          <w:tcPr>
            <w:tcW w:w="2561" w:type="dxa"/>
          </w:tcPr>
          <w:p w14:paraId="610C4B54"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254" w:type="dxa"/>
          </w:tcPr>
          <w:p w14:paraId="610C4B55" w14:textId="77777777" w:rsidR="007D57FB" w:rsidRDefault="007D57FB" w:rsidP="005B3E6B">
            <w:pPr>
              <w:rPr>
                <w:lang w:eastAsia="en-GB"/>
              </w:rPr>
            </w:pPr>
            <w:r>
              <w:rPr>
                <w:lang w:eastAsia="en-GB"/>
              </w:rPr>
              <w:t>Dev. 6 IQR 3-8</w:t>
            </w:r>
            <w:r w:rsidRPr="00A35C77">
              <w:rPr>
                <w:vertAlign w:val="superscript"/>
                <w:lang w:eastAsia="en-GB"/>
              </w:rPr>
              <w:t>b</w:t>
            </w:r>
          </w:p>
          <w:p w14:paraId="610C4B56" w14:textId="77777777" w:rsidR="007D57FB" w:rsidRDefault="007D57FB" w:rsidP="005B3E6B">
            <w:pPr>
              <w:rPr>
                <w:lang w:eastAsia="en-GB"/>
              </w:rPr>
            </w:pPr>
            <w:r>
              <w:rPr>
                <w:lang w:eastAsia="en-GB"/>
              </w:rPr>
              <w:t>Val. 5 IQR 4-8</w:t>
            </w:r>
            <w:r w:rsidRPr="00A35C77">
              <w:rPr>
                <w:vertAlign w:val="superscript"/>
                <w:lang w:eastAsia="en-GB"/>
              </w:rPr>
              <w:t>b</w:t>
            </w:r>
          </w:p>
        </w:tc>
        <w:tc>
          <w:tcPr>
            <w:tcW w:w="2707" w:type="dxa"/>
          </w:tcPr>
          <w:p w14:paraId="610C4B57" w14:textId="77777777" w:rsidR="007D57FB" w:rsidRDefault="007D57FB" w:rsidP="005B3E6B">
            <w:pPr>
              <w:rPr>
                <w:lang w:eastAsia="en-GB"/>
              </w:rPr>
            </w:pPr>
            <w:r>
              <w:rPr>
                <w:lang w:eastAsia="en-GB"/>
              </w:rPr>
              <w:t>Dev. Range 0-18</w:t>
            </w:r>
          </w:p>
          <w:p w14:paraId="610C4B58" w14:textId="77777777" w:rsidR="007D57FB" w:rsidRDefault="007D57FB" w:rsidP="005B3E6B">
            <w:pPr>
              <w:rPr>
                <w:lang w:eastAsia="en-GB"/>
              </w:rPr>
            </w:pPr>
          </w:p>
        </w:tc>
      </w:tr>
      <w:tr w:rsidR="007D57FB" w14:paraId="610C4B5E" w14:textId="77777777" w:rsidTr="005B3E6B">
        <w:tc>
          <w:tcPr>
            <w:tcW w:w="2254" w:type="dxa"/>
          </w:tcPr>
          <w:p w14:paraId="610C4B5A" w14:textId="43F4AC49" w:rsidR="007D57FB" w:rsidRDefault="007D57FB" w:rsidP="00A51E14">
            <w:pPr>
              <w:rPr>
                <w:lang w:eastAsia="en-GB"/>
              </w:rPr>
            </w:pPr>
            <w:r>
              <w:rPr>
                <w:lang w:eastAsia="en-GB"/>
              </w:rPr>
              <w:t>Ayub</w:t>
            </w:r>
            <w:r w:rsidR="00A51E14" w:rsidRPr="00A51E14">
              <w:rPr>
                <w:noProof/>
                <w:vertAlign w:val="superscript"/>
                <w:lang w:eastAsia="en-GB"/>
              </w:rPr>
              <w:t>7</w:t>
            </w:r>
          </w:p>
        </w:tc>
        <w:tc>
          <w:tcPr>
            <w:tcW w:w="2561" w:type="dxa"/>
          </w:tcPr>
          <w:p w14:paraId="610C4B5B" w14:textId="77777777" w:rsidR="007D57FB" w:rsidRDefault="007D57FB" w:rsidP="005B3E6B">
            <w:pPr>
              <w:rPr>
                <w:lang w:eastAsia="en-GB"/>
              </w:rPr>
            </w:pPr>
            <w:r>
              <w:rPr>
                <w:lang w:eastAsia="en-GB"/>
              </w:rPr>
              <w:t xml:space="preserve">All ages, author supplied </w:t>
            </w:r>
          </w:p>
        </w:tc>
        <w:tc>
          <w:tcPr>
            <w:tcW w:w="2254" w:type="dxa"/>
          </w:tcPr>
          <w:p w14:paraId="610C4B5C" w14:textId="77777777" w:rsidR="007D57FB" w:rsidRDefault="007D57FB" w:rsidP="005B3E6B">
            <w:pPr>
              <w:rPr>
                <w:lang w:eastAsia="en-GB"/>
              </w:rPr>
            </w:pPr>
            <w:r>
              <w:rPr>
                <w:lang w:eastAsia="en-GB"/>
              </w:rPr>
              <w:t xml:space="preserve">17.2 </w:t>
            </w:r>
            <w:r>
              <w:rPr>
                <w:rFonts w:cstheme="minorHAnsi"/>
                <w:lang w:eastAsia="en-GB"/>
              </w:rPr>
              <w:t>±</w:t>
            </w:r>
            <w:r>
              <w:rPr>
                <w:lang w:eastAsia="en-GB"/>
              </w:rPr>
              <w:t xml:space="preserve"> 2.4</w:t>
            </w:r>
            <w:r w:rsidRPr="00A35C77">
              <w:rPr>
                <w:vertAlign w:val="superscript"/>
                <w:lang w:eastAsia="en-GB"/>
              </w:rPr>
              <w:t>a</w:t>
            </w:r>
          </w:p>
        </w:tc>
        <w:tc>
          <w:tcPr>
            <w:tcW w:w="2707" w:type="dxa"/>
          </w:tcPr>
          <w:p w14:paraId="610C4B5D" w14:textId="77777777" w:rsidR="007D57FB" w:rsidRDefault="007D57FB" w:rsidP="005B3E6B">
            <w:pPr>
              <w:rPr>
                <w:lang w:eastAsia="en-GB"/>
              </w:rPr>
            </w:pPr>
            <w:r>
              <w:rPr>
                <w:lang w:eastAsia="en-GB"/>
              </w:rPr>
              <w:t>Min 13 Max 20</w:t>
            </w:r>
          </w:p>
        </w:tc>
      </w:tr>
      <w:tr w:rsidR="007D57FB" w14:paraId="610C4B63" w14:textId="77777777" w:rsidTr="005B3E6B">
        <w:tc>
          <w:tcPr>
            <w:tcW w:w="2254" w:type="dxa"/>
          </w:tcPr>
          <w:p w14:paraId="610C4B5F" w14:textId="23089FAB" w:rsidR="007D57FB" w:rsidRDefault="007D57FB" w:rsidP="00A51E14">
            <w:pPr>
              <w:rPr>
                <w:lang w:eastAsia="en-GB"/>
              </w:rPr>
            </w:pPr>
            <w:r>
              <w:rPr>
                <w:lang w:eastAsia="en-GB"/>
              </w:rPr>
              <w:t>Ganeva (2013)</w:t>
            </w:r>
            <w:r w:rsidR="00A51E14" w:rsidRPr="00A51E14">
              <w:rPr>
                <w:noProof/>
                <w:vertAlign w:val="superscript"/>
                <w:lang w:eastAsia="en-GB"/>
              </w:rPr>
              <w:t>17</w:t>
            </w:r>
          </w:p>
        </w:tc>
        <w:tc>
          <w:tcPr>
            <w:tcW w:w="2561" w:type="dxa"/>
          </w:tcPr>
          <w:p w14:paraId="610C4B60" w14:textId="77777777" w:rsidR="007D57FB" w:rsidRDefault="007D57FB" w:rsidP="005B3E6B">
            <w:pPr>
              <w:rPr>
                <w:lang w:eastAsia="en-GB"/>
              </w:rPr>
            </w:pPr>
            <w:r>
              <w:rPr>
                <w:lang w:eastAsia="en-GB"/>
              </w:rPr>
              <w:t>All ages author supplied</w:t>
            </w:r>
          </w:p>
        </w:tc>
        <w:tc>
          <w:tcPr>
            <w:tcW w:w="2254" w:type="dxa"/>
          </w:tcPr>
          <w:p w14:paraId="610C4B61" w14:textId="77777777" w:rsidR="007D57FB" w:rsidRDefault="007D57FB" w:rsidP="005B3E6B">
            <w:pPr>
              <w:rPr>
                <w:lang w:eastAsia="en-GB"/>
              </w:rPr>
            </w:pPr>
            <w:r>
              <w:rPr>
                <w:lang w:eastAsia="en-GB"/>
              </w:rPr>
              <w:t xml:space="preserve">6.1 </w:t>
            </w:r>
            <w:r>
              <w:rPr>
                <w:rFonts w:cstheme="minorHAnsi"/>
                <w:lang w:eastAsia="en-GB"/>
              </w:rPr>
              <w:t>± 2.4</w:t>
            </w:r>
            <w:r w:rsidRPr="00A35C77">
              <w:rPr>
                <w:vertAlign w:val="superscript"/>
                <w:lang w:eastAsia="en-GB"/>
              </w:rPr>
              <w:t xml:space="preserve"> a</w:t>
            </w:r>
          </w:p>
        </w:tc>
        <w:tc>
          <w:tcPr>
            <w:tcW w:w="2707" w:type="dxa"/>
          </w:tcPr>
          <w:p w14:paraId="610C4B62" w14:textId="77777777" w:rsidR="007D57FB" w:rsidRDefault="007D57FB" w:rsidP="005B3E6B">
            <w:pPr>
              <w:rPr>
                <w:lang w:eastAsia="en-GB"/>
              </w:rPr>
            </w:pPr>
            <w:r>
              <w:rPr>
                <w:lang w:eastAsia="en-GB"/>
              </w:rPr>
              <w:t xml:space="preserve">- </w:t>
            </w:r>
          </w:p>
        </w:tc>
      </w:tr>
      <w:tr w:rsidR="007D57FB" w14:paraId="610C4B68" w14:textId="77777777" w:rsidTr="005B3E6B">
        <w:tc>
          <w:tcPr>
            <w:tcW w:w="2254" w:type="dxa"/>
          </w:tcPr>
          <w:p w14:paraId="610C4B64" w14:textId="52BC5006" w:rsidR="007D57FB" w:rsidRDefault="007D57FB" w:rsidP="00A51E14">
            <w:pPr>
              <w:rPr>
                <w:lang w:eastAsia="en-GB"/>
              </w:rPr>
            </w:pPr>
            <w:r>
              <w:rPr>
                <w:lang w:eastAsia="en-GB"/>
              </w:rPr>
              <w:t>Harugeri</w:t>
            </w:r>
            <w:r w:rsidR="00A51E14" w:rsidRPr="00A51E14">
              <w:rPr>
                <w:noProof/>
                <w:vertAlign w:val="superscript"/>
                <w:lang w:eastAsia="en-GB"/>
              </w:rPr>
              <w:t>29</w:t>
            </w:r>
          </w:p>
        </w:tc>
        <w:tc>
          <w:tcPr>
            <w:tcW w:w="2561" w:type="dxa"/>
          </w:tcPr>
          <w:p w14:paraId="610C4B65" w14:textId="77777777" w:rsidR="007D57FB" w:rsidRPr="005729F5" w:rsidRDefault="007D57FB" w:rsidP="005B3E6B">
            <w:pPr>
              <w:rPr>
                <w:i/>
                <w:lang w:eastAsia="en-GB"/>
              </w:rPr>
            </w:pPr>
            <w:r w:rsidRPr="005729F5">
              <w:rPr>
                <w:i/>
                <w:lang w:eastAsia="en-GB"/>
              </w:rPr>
              <w:t>Population &gt;60 years (40% &gt;70 years)</w:t>
            </w:r>
          </w:p>
        </w:tc>
        <w:tc>
          <w:tcPr>
            <w:tcW w:w="2254" w:type="dxa"/>
          </w:tcPr>
          <w:p w14:paraId="610C4B66" w14:textId="77777777" w:rsidR="007D57FB" w:rsidRDefault="007D57FB" w:rsidP="005B3E6B">
            <w:pPr>
              <w:rPr>
                <w:lang w:eastAsia="en-GB"/>
              </w:rPr>
            </w:pPr>
            <w:r>
              <w:rPr>
                <w:lang w:eastAsia="en-GB"/>
              </w:rPr>
              <w:t>Overall not described</w:t>
            </w:r>
          </w:p>
        </w:tc>
        <w:tc>
          <w:tcPr>
            <w:tcW w:w="2707" w:type="dxa"/>
          </w:tcPr>
          <w:p w14:paraId="610C4B67" w14:textId="77777777" w:rsidR="007D57FB" w:rsidRPr="009D4A5A" w:rsidRDefault="007D57FB" w:rsidP="005B3E6B">
            <w:pPr>
              <w:rPr>
                <w:lang w:eastAsia="en-GB"/>
              </w:rPr>
            </w:pPr>
            <w:r>
              <w:rPr>
                <w:lang w:eastAsia="en-GB"/>
              </w:rPr>
              <w:t>Overall medications higher in ADR group median 10 (range 3-22) non-ADR group median 9 (range 1-21) p&lt;0.001</w:t>
            </w:r>
          </w:p>
        </w:tc>
      </w:tr>
      <w:tr w:rsidR="007D57FB" w14:paraId="610C4B6E" w14:textId="77777777" w:rsidTr="005B3E6B">
        <w:tc>
          <w:tcPr>
            <w:tcW w:w="2254" w:type="dxa"/>
          </w:tcPr>
          <w:p w14:paraId="610C4B69" w14:textId="127541B4" w:rsidR="007D57FB" w:rsidRDefault="007D57FB" w:rsidP="00A51E14">
            <w:pPr>
              <w:rPr>
                <w:lang w:eastAsia="en-GB"/>
              </w:rPr>
            </w:pPr>
            <w:r>
              <w:rPr>
                <w:lang w:eastAsia="en-GB"/>
              </w:rPr>
              <w:t>Giardina</w:t>
            </w:r>
            <w:r w:rsidR="00A51E14" w:rsidRPr="00A51E14">
              <w:rPr>
                <w:noProof/>
                <w:vertAlign w:val="superscript"/>
                <w:lang w:eastAsia="en-GB"/>
              </w:rPr>
              <w:t>28</w:t>
            </w:r>
          </w:p>
        </w:tc>
        <w:tc>
          <w:tcPr>
            <w:tcW w:w="2561" w:type="dxa"/>
          </w:tcPr>
          <w:p w14:paraId="610C4B6A" w14:textId="77777777" w:rsidR="007D57FB" w:rsidRDefault="007D57FB" w:rsidP="005B3E6B">
            <w:pPr>
              <w:rPr>
                <w:i/>
                <w:lang w:eastAsia="en-GB"/>
              </w:rPr>
            </w:pPr>
            <w:r w:rsidRPr="004B0B53">
              <w:rPr>
                <w:i/>
                <w:lang w:eastAsia="en-GB"/>
              </w:rPr>
              <w:t>All ages</w:t>
            </w:r>
          </w:p>
          <w:p w14:paraId="610C4B6B" w14:textId="77777777" w:rsidR="007D57FB" w:rsidRPr="004B0B53" w:rsidRDefault="007D57FB" w:rsidP="005B3E6B">
            <w:pPr>
              <w:rPr>
                <w:i/>
                <w:lang w:eastAsia="en-GB"/>
              </w:rPr>
            </w:pPr>
            <w:r>
              <w:rPr>
                <w:i/>
                <w:lang w:eastAsia="en-GB"/>
              </w:rPr>
              <w:t xml:space="preserve">(75.93% </w:t>
            </w:r>
            <w:r>
              <w:rPr>
                <w:rFonts w:cstheme="minorHAnsi"/>
                <w:i/>
                <w:lang w:eastAsia="en-GB"/>
              </w:rPr>
              <w:t>≥</w:t>
            </w:r>
            <w:r>
              <w:rPr>
                <w:i/>
                <w:lang w:eastAsia="en-GB"/>
              </w:rPr>
              <w:t xml:space="preserve"> 65 years)</w:t>
            </w:r>
          </w:p>
        </w:tc>
        <w:tc>
          <w:tcPr>
            <w:tcW w:w="2254" w:type="dxa"/>
          </w:tcPr>
          <w:p w14:paraId="610C4B6C" w14:textId="77777777" w:rsidR="007D57FB" w:rsidRDefault="007D57FB" w:rsidP="005B3E6B">
            <w:pPr>
              <w:rPr>
                <w:lang w:eastAsia="en-GB"/>
              </w:rPr>
            </w:pPr>
            <w:r>
              <w:rPr>
                <w:lang w:eastAsia="en-GB"/>
              </w:rPr>
              <w:t xml:space="preserve">Overall 48% </w:t>
            </w:r>
            <w:r>
              <w:rPr>
                <w:rFonts w:cstheme="minorHAnsi"/>
                <w:lang w:eastAsia="en-GB"/>
              </w:rPr>
              <w:t>≥</w:t>
            </w:r>
            <w:r>
              <w:rPr>
                <w:lang w:eastAsia="en-GB"/>
              </w:rPr>
              <w:t xml:space="preserve"> 5 medications </w:t>
            </w:r>
          </w:p>
        </w:tc>
        <w:tc>
          <w:tcPr>
            <w:tcW w:w="2707" w:type="dxa"/>
          </w:tcPr>
          <w:p w14:paraId="610C4B6D" w14:textId="77777777" w:rsidR="007D57FB" w:rsidRDefault="007D57FB" w:rsidP="005B3E6B">
            <w:pPr>
              <w:rPr>
                <w:lang w:eastAsia="en-GB"/>
              </w:rPr>
            </w:pPr>
            <w:r>
              <w:rPr>
                <w:lang w:eastAsia="en-GB"/>
              </w:rPr>
              <w:t>-</w:t>
            </w:r>
          </w:p>
        </w:tc>
      </w:tr>
      <w:tr w:rsidR="007D57FB" w14:paraId="610C4B74" w14:textId="77777777" w:rsidTr="005B3E6B">
        <w:tc>
          <w:tcPr>
            <w:tcW w:w="2254" w:type="dxa"/>
            <w:tcBorders>
              <w:bottom w:val="single" w:sz="4" w:space="0" w:color="auto"/>
            </w:tcBorders>
          </w:tcPr>
          <w:p w14:paraId="610C4B6F" w14:textId="270A1CE1" w:rsidR="007D57FB" w:rsidRDefault="007D57FB" w:rsidP="00A51E14">
            <w:pPr>
              <w:rPr>
                <w:lang w:eastAsia="en-GB"/>
              </w:rPr>
            </w:pPr>
            <w:r>
              <w:rPr>
                <w:lang w:eastAsia="en-GB"/>
              </w:rPr>
              <w:t>Gonzalez-Martin</w:t>
            </w:r>
            <w:r w:rsidR="00A51E14" w:rsidRPr="00A51E14">
              <w:rPr>
                <w:noProof/>
                <w:vertAlign w:val="superscript"/>
                <w:lang w:eastAsia="en-GB"/>
              </w:rPr>
              <w:t>18</w:t>
            </w:r>
          </w:p>
        </w:tc>
        <w:tc>
          <w:tcPr>
            <w:tcW w:w="2561" w:type="dxa"/>
            <w:tcBorders>
              <w:bottom w:val="single" w:sz="4" w:space="0" w:color="auto"/>
            </w:tcBorders>
          </w:tcPr>
          <w:p w14:paraId="610C4B70" w14:textId="77777777" w:rsidR="007D57FB" w:rsidRDefault="007D57FB" w:rsidP="005B3E6B">
            <w:pPr>
              <w:rPr>
                <w:i/>
                <w:lang w:eastAsia="en-GB"/>
              </w:rPr>
            </w:pPr>
            <w:r w:rsidRPr="005729F5">
              <w:rPr>
                <w:i/>
                <w:lang w:eastAsia="en-GB"/>
              </w:rPr>
              <w:t>All ages</w:t>
            </w:r>
          </w:p>
          <w:p w14:paraId="610C4B71" w14:textId="77777777" w:rsidR="007D57FB" w:rsidRPr="005729F5" w:rsidRDefault="007D57FB" w:rsidP="005B3E6B">
            <w:pPr>
              <w:rPr>
                <w:i/>
                <w:lang w:eastAsia="en-GB"/>
              </w:rPr>
            </w:pPr>
            <w:r>
              <w:rPr>
                <w:i/>
                <w:lang w:eastAsia="en-GB"/>
              </w:rPr>
              <w:t xml:space="preserve">(52.74% </w:t>
            </w:r>
            <w:r>
              <w:rPr>
                <w:rFonts w:cstheme="minorHAnsi"/>
                <w:i/>
                <w:lang w:eastAsia="en-GB"/>
              </w:rPr>
              <w:t>≥</w:t>
            </w:r>
            <w:r>
              <w:rPr>
                <w:i/>
                <w:lang w:eastAsia="en-GB"/>
              </w:rPr>
              <w:t xml:space="preserve"> 65 years)</w:t>
            </w:r>
          </w:p>
        </w:tc>
        <w:tc>
          <w:tcPr>
            <w:tcW w:w="2254" w:type="dxa"/>
            <w:tcBorders>
              <w:bottom w:val="single" w:sz="4" w:space="0" w:color="auto"/>
            </w:tcBorders>
          </w:tcPr>
          <w:p w14:paraId="610C4B72" w14:textId="77777777" w:rsidR="007D57FB" w:rsidRDefault="007D57FB" w:rsidP="005B3E6B">
            <w:pPr>
              <w:rPr>
                <w:lang w:eastAsia="en-GB"/>
              </w:rPr>
            </w:pPr>
            <w:r>
              <w:rPr>
                <w:lang w:eastAsia="en-GB"/>
              </w:rPr>
              <w:t>Overall not described</w:t>
            </w:r>
          </w:p>
        </w:tc>
        <w:tc>
          <w:tcPr>
            <w:tcW w:w="2707" w:type="dxa"/>
            <w:tcBorders>
              <w:bottom w:val="single" w:sz="4" w:space="0" w:color="auto"/>
            </w:tcBorders>
          </w:tcPr>
          <w:p w14:paraId="610C4B73" w14:textId="0700C9F0" w:rsidR="007D57FB" w:rsidRDefault="007D57FB" w:rsidP="005B3E6B">
            <w:pPr>
              <w:rPr>
                <w:lang w:eastAsia="en-GB"/>
              </w:rPr>
            </w:pPr>
            <w:r w:rsidRPr="009D4A5A">
              <w:rPr>
                <w:lang w:eastAsia="en-GB"/>
              </w:rPr>
              <w:t>Number of medications administered: A significant difference was observed between the pa</w:t>
            </w:r>
            <w:r>
              <w:rPr>
                <w:lang w:eastAsia="en-GB"/>
              </w:rPr>
              <w:t>tients &gt;</w:t>
            </w:r>
            <w:r w:rsidRPr="009D4A5A">
              <w:rPr>
                <w:lang w:eastAsia="en-GB"/>
              </w:rPr>
              <w:t xml:space="preserve"> 65 years, in relation to the number of medications received during hospitalization and the frequency of ADR (9.0 ± 2.3</w:t>
            </w:r>
            <w:r w:rsidR="00425DB4" w:rsidRPr="0008615D">
              <w:rPr>
                <w:rFonts w:cstheme="minorHAnsi"/>
                <w:vertAlign w:val="superscript"/>
                <w:lang w:eastAsia="en-GB"/>
              </w:rPr>
              <w:t>a</w:t>
            </w:r>
            <w:r w:rsidRPr="009D4A5A">
              <w:rPr>
                <w:lang w:eastAsia="en-GB"/>
              </w:rPr>
              <w:t xml:space="preserve"> medications vs. 5.5 ± 2.2</w:t>
            </w:r>
            <w:r w:rsidR="00425DB4" w:rsidRPr="0008615D">
              <w:rPr>
                <w:rFonts w:cstheme="minorHAnsi"/>
                <w:vertAlign w:val="superscript"/>
                <w:lang w:eastAsia="en-GB"/>
              </w:rPr>
              <w:t xml:space="preserve"> a</w:t>
            </w:r>
            <w:r w:rsidRPr="009D4A5A">
              <w:rPr>
                <w:lang w:eastAsia="en-GB"/>
              </w:rPr>
              <w:t xml:space="preserve"> medications ) (t = 7.6, p &lt;0.05). </w:t>
            </w:r>
          </w:p>
        </w:tc>
      </w:tr>
      <w:tr w:rsidR="00F478FC" w14:paraId="4E7CDFAA" w14:textId="77777777" w:rsidTr="00737863">
        <w:tc>
          <w:tcPr>
            <w:tcW w:w="2254" w:type="dxa"/>
          </w:tcPr>
          <w:p w14:paraId="6757C979" w14:textId="22494803" w:rsidR="00F478FC" w:rsidRDefault="00F478FC" w:rsidP="00737863">
            <w:pPr>
              <w:rPr>
                <w:b/>
                <w:lang w:eastAsia="en-GB"/>
              </w:rPr>
            </w:pPr>
            <w:r>
              <w:rPr>
                <w:b/>
                <w:lang w:eastAsia="en-GB"/>
              </w:rPr>
              <w:t xml:space="preserve">Contd. </w:t>
            </w:r>
          </w:p>
          <w:p w14:paraId="3C5FAC26" w14:textId="1100D0D2" w:rsidR="00F478FC" w:rsidRPr="00337D34" w:rsidRDefault="00F478FC" w:rsidP="00737863">
            <w:pPr>
              <w:rPr>
                <w:b/>
                <w:lang w:eastAsia="en-GB"/>
              </w:rPr>
            </w:pPr>
            <w:r w:rsidRPr="00337D34">
              <w:rPr>
                <w:b/>
                <w:lang w:eastAsia="en-GB"/>
              </w:rPr>
              <w:t>Source</w:t>
            </w:r>
          </w:p>
        </w:tc>
        <w:tc>
          <w:tcPr>
            <w:tcW w:w="2561" w:type="dxa"/>
          </w:tcPr>
          <w:p w14:paraId="3D5BFDFA" w14:textId="77777777" w:rsidR="00F478FC" w:rsidRPr="00337D34" w:rsidRDefault="00F478FC" w:rsidP="00737863">
            <w:pPr>
              <w:rPr>
                <w:b/>
                <w:lang w:eastAsia="en-GB"/>
              </w:rPr>
            </w:pPr>
            <w:r w:rsidRPr="00337D34">
              <w:rPr>
                <w:b/>
                <w:lang w:eastAsia="en-GB"/>
              </w:rPr>
              <w:t>Population</w:t>
            </w:r>
          </w:p>
        </w:tc>
        <w:tc>
          <w:tcPr>
            <w:tcW w:w="2254" w:type="dxa"/>
          </w:tcPr>
          <w:p w14:paraId="0D2B474D" w14:textId="77777777" w:rsidR="00F478FC" w:rsidRPr="00337D34" w:rsidRDefault="00F478FC" w:rsidP="00737863">
            <w:pPr>
              <w:rPr>
                <w:b/>
                <w:lang w:eastAsia="en-GB"/>
              </w:rPr>
            </w:pPr>
            <w:r>
              <w:rPr>
                <w:b/>
                <w:lang w:eastAsia="en-GB"/>
              </w:rPr>
              <w:t>Medication burden</w:t>
            </w:r>
          </w:p>
        </w:tc>
        <w:tc>
          <w:tcPr>
            <w:tcW w:w="2707" w:type="dxa"/>
          </w:tcPr>
          <w:p w14:paraId="505B0287" w14:textId="77777777" w:rsidR="00F478FC" w:rsidRPr="00337D34" w:rsidRDefault="00F478FC" w:rsidP="00737863">
            <w:pPr>
              <w:rPr>
                <w:b/>
                <w:lang w:eastAsia="en-GB"/>
              </w:rPr>
            </w:pPr>
            <w:r w:rsidRPr="00337D34">
              <w:rPr>
                <w:b/>
                <w:lang w:eastAsia="en-GB"/>
              </w:rPr>
              <w:t>Comments</w:t>
            </w:r>
            <w:r>
              <w:rPr>
                <w:b/>
                <w:lang w:eastAsia="en-GB"/>
              </w:rPr>
              <w:t>/further details</w:t>
            </w:r>
          </w:p>
        </w:tc>
      </w:tr>
      <w:tr w:rsidR="00785946" w14:paraId="46B44B54" w14:textId="77777777" w:rsidTr="0042018D">
        <w:tc>
          <w:tcPr>
            <w:tcW w:w="2254" w:type="dxa"/>
          </w:tcPr>
          <w:p w14:paraId="67102D48" w14:textId="603C016E" w:rsidR="00785946" w:rsidRDefault="00785946" w:rsidP="00A51E14">
            <w:pPr>
              <w:rPr>
                <w:lang w:eastAsia="en-GB"/>
              </w:rPr>
            </w:pPr>
            <w:r>
              <w:rPr>
                <w:lang w:eastAsia="en-GB"/>
              </w:rPr>
              <w:t>Hailu</w:t>
            </w:r>
            <w:r w:rsidR="00A51E14" w:rsidRPr="00A51E14">
              <w:rPr>
                <w:noProof/>
                <w:vertAlign w:val="superscript"/>
                <w:lang w:eastAsia="en-GB"/>
              </w:rPr>
              <w:t>19</w:t>
            </w:r>
          </w:p>
        </w:tc>
        <w:tc>
          <w:tcPr>
            <w:tcW w:w="2561" w:type="dxa"/>
          </w:tcPr>
          <w:p w14:paraId="50552E6A" w14:textId="7FE105EC" w:rsidR="00785946" w:rsidRDefault="00785946" w:rsidP="00785946">
            <w:pPr>
              <w:rPr>
                <w:i/>
                <w:lang w:eastAsia="en-GB"/>
              </w:rPr>
            </w:pPr>
            <w:r w:rsidRPr="005729F5">
              <w:rPr>
                <w:i/>
                <w:lang w:eastAsia="en-GB"/>
              </w:rPr>
              <w:t>All ages</w:t>
            </w:r>
          </w:p>
          <w:p w14:paraId="72A6230E" w14:textId="421F007F" w:rsidR="00785946" w:rsidRPr="008937F3" w:rsidRDefault="00785946" w:rsidP="0042018D">
            <w:pPr>
              <w:rPr>
                <w:i/>
                <w:lang w:eastAsia="en-GB"/>
              </w:rPr>
            </w:pPr>
            <w:r>
              <w:rPr>
                <w:i/>
                <w:lang w:eastAsia="en-GB"/>
              </w:rPr>
              <w:t xml:space="preserve">(60.5% </w:t>
            </w:r>
            <w:r>
              <w:rPr>
                <w:rFonts w:cstheme="minorHAnsi"/>
                <w:i/>
                <w:lang w:eastAsia="en-GB"/>
              </w:rPr>
              <w:t>≥</w:t>
            </w:r>
            <w:r>
              <w:rPr>
                <w:i/>
                <w:lang w:eastAsia="en-GB"/>
              </w:rPr>
              <w:t xml:space="preserve"> 65 years)</w:t>
            </w:r>
          </w:p>
        </w:tc>
        <w:tc>
          <w:tcPr>
            <w:tcW w:w="2254" w:type="dxa"/>
          </w:tcPr>
          <w:p w14:paraId="6A9BD29C" w14:textId="0772BF86" w:rsidR="00785946" w:rsidRDefault="00425DB4" w:rsidP="0042018D">
            <w:r>
              <w:t xml:space="preserve">Overall </w:t>
            </w:r>
            <w:r w:rsidR="00785946">
              <w:t>3.9</w:t>
            </w:r>
            <w:r w:rsidR="00785946" w:rsidRPr="00140A14">
              <w:t xml:space="preserve"> </w:t>
            </w:r>
            <w:r w:rsidR="00785946" w:rsidRPr="00140A14">
              <w:rPr>
                <w:rFonts w:ascii="Calibri" w:hAnsi="Calibri" w:cs="Calibri"/>
              </w:rPr>
              <w:t>±</w:t>
            </w:r>
            <w:r w:rsidR="00785946" w:rsidRPr="00140A14">
              <w:t xml:space="preserve"> </w:t>
            </w:r>
            <w:r w:rsidR="00785946">
              <w:t>2.108</w:t>
            </w:r>
            <w:r w:rsidRPr="0008615D">
              <w:rPr>
                <w:rFonts w:cstheme="minorHAnsi"/>
                <w:vertAlign w:val="superscript"/>
                <w:lang w:eastAsia="en-GB"/>
              </w:rPr>
              <w:t xml:space="preserve"> a</w:t>
            </w:r>
          </w:p>
        </w:tc>
        <w:tc>
          <w:tcPr>
            <w:tcW w:w="2707" w:type="dxa"/>
          </w:tcPr>
          <w:p w14:paraId="76EB94B1" w14:textId="47116093" w:rsidR="00785946" w:rsidRDefault="00785946" w:rsidP="0042018D">
            <w:pPr>
              <w:rPr>
                <w:lang w:eastAsia="en-GB"/>
              </w:rPr>
            </w:pPr>
            <w:r>
              <w:t xml:space="preserve">Overall, 71 (35.5%) had polypharmacy (defined </w:t>
            </w:r>
            <w:r>
              <w:rPr>
                <w:rFonts w:cstheme="minorHAnsi"/>
              </w:rPr>
              <w:t>≥</w:t>
            </w:r>
            <w:r>
              <w:t>5)</w:t>
            </w:r>
          </w:p>
        </w:tc>
      </w:tr>
      <w:tr w:rsidR="007D57FB" w14:paraId="610C4B80" w14:textId="77777777" w:rsidTr="005B3E6B">
        <w:tc>
          <w:tcPr>
            <w:tcW w:w="2254" w:type="dxa"/>
          </w:tcPr>
          <w:p w14:paraId="610C4B7A" w14:textId="11988AEB" w:rsidR="007D57FB" w:rsidRDefault="007D57FB" w:rsidP="00A51E14">
            <w:pPr>
              <w:rPr>
                <w:lang w:eastAsia="en-GB"/>
              </w:rPr>
            </w:pPr>
            <w:r>
              <w:rPr>
                <w:lang w:eastAsia="en-GB"/>
              </w:rPr>
              <w:t>Kaur</w:t>
            </w:r>
            <w:r w:rsidR="00A51E14" w:rsidRPr="00A51E14">
              <w:rPr>
                <w:noProof/>
                <w:vertAlign w:val="superscript"/>
                <w:lang w:eastAsia="en-GB"/>
              </w:rPr>
              <w:t>20</w:t>
            </w:r>
          </w:p>
        </w:tc>
        <w:tc>
          <w:tcPr>
            <w:tcW w:w="2561" w:type="dxa"/>
          </w:tcPr>
          <w:p w14:paraId="610C4B7B" w14:textId="77777777" w:rsidR="007D57FB" w:rsidRDefault="007D57FB" w:rsidP="005B3E6B">
            <w:pPr>
              <w:rPr>
                <w:i/>
                <w:lang w:eastAsia="en-GB"/>
              </w:rPr>
            </w:pPr>
            <w:r w:rsidRPr="004B0B53">
              <w:rPr>
                <w:i/>
                <w:lang w:eastAsia="en-GB"/>
              </w:rPr>
              <w:t>All ages</w:t>
            </w:r>
          </w:p>
          <w:p w14:paraId="610C4B7C" w14:textId="77777777" w:rsidR="007D57FB" w:rsidRPr="004B0B53" w:rsidRDefault="007D57FB" w:rsidP="005B3E6B">
            <w:pPr>
              <w:rPr>
                <w:i/>
                <w:lang w:eastAsia="en-GB"/>
              </w:rPr>
            </w:pPr>
            <w:r>
              <w:rPr>
                <w:i/>
                <w:lang w:eastAsia="en-GB"/>
              </w:rPr>
              <w:t xml:space="preserve">(70.97% </w:t>
            </w:r>
            <w:r>
              <w:rPr>
                <w:rFonts w:cstheme="minorHAnsi"/>
                <w:i/>
                <w:lang w:eastAsia="en-GB"/>
              </w:rPr>
              <w:t>≥</w:t>
            </w:r>
            <w:r>
              <w:rPr>
                <w:i/>
                <w:lang w:eastAsia="en-GB"/>
              </w:rPr>
              <w:t xml:space="preserve"> 65 years)</w:t>
            </w:r>
          </w:p>
        </w:tc>
        <w:tc>
          <w:tcPr>
            <w:tcW w:w="2254" w:type="dxa"/>
          </w:tcPr>
          <w:p w14:paraId="610C4B7D" w14:textId="77777777" w:rsidR="007D57FB" w:rsidRDefault="007D57FB" w:rsidP="005B3E6B">
            <w:pPr>
              <w:rPr>
                <w:lang w:eastAsia="en-GB"/>
              </w:rPr>
            </w:pPr>
            <w:r>
              <w:rPr>
                <w:lang w:eastAsia="en-GB"/>
              </w:rPr>
              <w:t xml:space="preserve">98% experiencing ADRs had polypharmacy </w:t>
            </w:r>
          </w:p>
        </w:tc>
        <w:tc>
          <w:tcPr>
            <w:tcW w:w="2707" w:type="dxa"/>
          </w:tcPr>
          <w:p w14:paraId="610C4B7E" w14:textId="77777777" w:rsidR="007D57FB" w:rsidRDefault="007D57FB" w:rsidP="005B3E6B">
            <w:pPr>
              <w:rPr>
                <w:lang w:eastAsia="en-GB"/>
              </w:rPr>
            </w:pPr>
            <w:r>
              <w:rPr>
                <w:lang w:eastAsia="en-GB"/>
              </w:rPr>
              <w:t xml:space="preserve">Population (&gt;50 years) </w:t>
            </w:r>
          </w:p>
          <w:p w14:paraId="610C4B7F" w14:textId="77777777" w:rsidR="007D57FB" w:rsidRDefault="007D57FB" w:rsidP="005B3E6B">
            <w:pPr>
              <w:rPr>
                <w:lang w:eastAsia="en-GB"/>
              </w:rPr>
            </w:pPr>
            <w:r>
              <w:rPr>
                <w:lang w:eastAsia="en-GB"/>
              </w:rPr>
              <w:t xml:space="preserve">Polypharmacy </w:t>
            </w:r>
            <w:r>
              <w:rPr>
                <w:rFonts w:cstheme="minorHAnsi"/>
                <w:lang w:eastAsia="en-GB"/>
              </w:rPr>
              <w:t>≥</w:t>
            </w:r>
            <w:r>
              <w:rPr>
                <w:lang w:eastAsia="en-GB"/>
              </w:rPr>
              <w:t xml:space="preserve"> 3 drugs 467 (71%) </w:t>
            </w:r>
            <w:r>
              <w:rPr>
                <w:rFonts w:cstheme="minorHAnsi"/>
                <w:lang w:eastAsia="en-GB"/>
              </w:rPr>
              <w:t>≥</w:t>
            </w:r>
            <w:r>
              <w:rPr>
                <w:lang w:eastAsia="en-GB"/>
              </w:rPr>
              <w:t xml:space="preserve"> 65 years</w:t>
            </w:r>
          </w:p>
        </w:tc>
      </w:tr>
    </w:tbl>
    <w:p w14:paraId="610C4B81" w14:textId="77777777" w:rsidR="007D57FB" w:rsidRDefault="007D57FB" w:rsidP="005B3E6B">
      <w:pPr>
        <w:rPr>
          <w:rFonts w:cstheme="minorHAnsi"/>
          <w:i/>
          <w:sz w:val="20"/>
          <w:lang w:eastAsia="en-GB"/>
        </w:rPr>
      </w:pPr>
      <w:r w:rsidRPr="00C1372C">
        <w:rPr>
          <w:sz w:val="20"/>
          <w:vertAlign w:val="superscript"/>
          <w:lang w:eastAsia="en-GB"/>
        </w:rPr>
        <w:t xml:space="preserve">a </w:t>
      </w:r>
      <w:r w:rsidRPr="00C1372C">
        <w:rPr>
          <w:sz w:val="20"/>
          <w:lang w:eastAsia="en-GB"/>
        </w:rPr>
        <w:t xml:space="preserve">- </w:t>
      </w:r>
      <w:r w:rsidRPr="00C1372C">
        <w:rPr>
          <w:i/>
          <w:sz w:val="20"/>
          <w:lang w:eastAsia="en-GB"/>
        </w:rPr>
        <w:t xml:space="preserve">Mean </w:t>
      </w:r>
      <w:r w:rsidRPr="00C1372C">
        <w:rPr>
          <w:rFonts w:cstheme="minorHAnsi"/>
          <w:i/>
          <w:sz w:val="20"/>
          <w:lang w:eastAsia="en-GB"/>
        </w:rPr>
        <w:t>± standard deviation;</w:t>
      </w:r>
      <w:r>
        <w:rPr>
          <w:rFonts w:cstheme="minorHAnsi"/>
          <w:i/>
          <w:sz w:val="20"/>
          <w:lang w:eastAsia="en-GB"/>
        </w:rPr>
        <w:t xml:space="preserve"> # - number; </w:t>
      </w:r>
      <w:r>
        <w:rPr>
          <w:sz w:val="20"/>
          <w:lang w:eastAsia="en-GB"/>
        </w:rPr>
        <w:t xml:space="preserve">excl. – excluded; </w:t>
      </w:r>
      <w:r>
        <w:rPr>
          <w:rFonts w:cstheme="minorHAnsi"/>
          <w:i/>
          <w:sz w:val="20"/>
          <w:lang w:eastAsia="en-GB"/>
        </w:rPr>
        <w:t xml:space="preserve">PIMs – potentially inappropriate medications; </w:t>
      </w:r>
      <w:r w:rsidRPr="00C1372C">
        <w:rPr>
          <w:rFonts w:cstheme="minorHAnsi"/>
          <w:i/>
          <w:sz w:val="20"/>
          <w:lang w:eastAsia="en-GB"/>
        </w:rPr>
        <w:t xml:space="preserve"> </w:t>
      </w:r>
      <w:r w:rsidRPr="00C1372C">
        <w:rPr>
          <w:sz w:val="20"/>
          <w:vertAlign w:val="superscript"/>
          <w:lang w:eastAsia="en-GB"/>
        </w:rPr>
        <w:t xml:space="preserve">b </w:t>
      </w:r>
      <w:r w:rsidRPr="00C1372C">
        <w:rPr>
          <w:rFonts w:cstheme="minorHAnsi"/>
          <w:i/>
          <w:sz w:val="20"/>
          <w:lang w:eastAsia="en-GB"/>
        </w:rPr>
        <w:t>- Median IQR; IQR – interquartile rang</w:t>
      </w:r>
      <w:r>
        <w:rPr>
          <w:rFonts w:cstheme="minorHAnsi"/>
          <w:i/>
          <w:sz w:val="20"/>
          <w:lang w:eastAsia="en-GB"/>
        </w:rPr>
        <w:t>e</w:t>
      </w:r>
      <w:r w:rsidRPr="00C1372C">
        <w:rPr>
          <w:rFonts w:cstheme="minorHAnsi"/>
          <w:i/>
          <w:sz w:val="20"/>
          <w:lang w:eastAsia="en-GB"/>
        </w:rPr>
        <w:t>;</w:t>
      </w:r>
      <w:r>
        <w:rPr>
          <w:rFonts w:cstheme="minorHAnsi"/>
          <w:i/>
          <w:sz w:val="20"/>
          <w:lang w:eastAsia="en-GB"/>
        </w:rPr>
        <w:t xml:space="preserve"> ADRs – Adverse drug reaction;</w:t>
      </w:r>
      <w:r w:rsidRPr="00C1372C">
        <w:rPr>
          <w:rFonts w:cstheme="minorHAnsi"/>
          <w:i/>
          <w:sz w:val="20"/>
          <w:lang w:eastAsia="en-GB"/>
        </w:rPr>
        <w:t xml:space="preserve"> GIFA </w:t>
      </w:r>
      <w:r>
        <w:rPr>
          <w:rFonts w:cstheme="minorHAnsi"/>
          <w:i/>
          <w:sz w:val="20"/>
          <w:lang w:eastAsia="en-GB"/>
        </w:rPr>
        <w:t>– gruppo Italiano di farmacovigilanza nell’Anziano</w:t>
      </w:r>
      <w:r w:rsidRPr="00C1372C">
        <w:rPr>
          <w:rFonts w:cstheme="minorHAnsi"/>
          <w:i/>
          <w:sz w:val="20"/>
          <w:lang w:eastAsia="en-GB"/>
        </w:rPr>
        <w:t>;</w:t>
      </w:r>
      <w:r>
        <w:rPr>
          <w:rFonts w:cstheme="minorHAnsi"/>
          <w:i/>
          <w:sz w:val="20"/>
          <w:lang w:eastAsia="en-GB"/>
        </w:rPr>
        <w:t xml:space="preserve"> OR – Odds Ratio;</w:t>
      </w:r>
      <w:r w:rsidRPr="00C1372C">
        <w:rPr>
          <w:rFonts w:cstheme="minorHAnsi"/>
          <w:i/>
          <w:sz w:val="20"/>
          <w:lang w:eastAsia="en-GB"/>
        </w:rPr>
        <w:t xml:space="preserve"> Val. – validation</w:t>
      </w:r>
      <w:r>
        <w:rPr>
          <w:rFonts w:cstheme="minorHAnsi"/>
          <w:i/>
          <w:sz w:val="20"/>
          <w:lang w:eastAsia="en-GB"/>
        </w:rPr>
        <w:t>;</w:t>
      </w:r>
      <w:r w:rsidRPr="00C1372C">
        <w:rPr>
          <w:rFonts w:cstheme="minorHAnsi"/>
          <w:i/>
          <w:sz w:val="20"/>
          <w:lang w:eastAsia="en-GB"/>
        </w:rPr>
        <w:t xml:space="preserve"> Dev. – development</w:t>
      </w:r>
    </w:p>
    <w:p w14:paraId="610C4B82" w14:textId="77777777" w:rsidR="007D57FB" w:rsidRDefault="007D57FB" w:rsidP="005B3E6B">
      <w:pPr>
        <w:rPr>
          <w:rFonts w:cstheme="minorHAnsi"/>
          <w:sz w:val="20"/>
          <w:lang w:eastAsia="en-GB"/>
        </w:rPr>
      </w:pPr>
    </w:p>
    <w:p w14:paraId="610C4B83" w14:textId="7EE95DB5" w:rsidR="007D57FB" w:rsidRDefault="00DA5224" w:rsidP="005B3E6B">
      <w:pPr>
        <w:pStyle w:val="Heading1"/>
        <w:rPr>
          <w:lang w:eastAsia="en-GB"/>
        </w:rPr>
      </w:pPr>
      <w:bookmarkStart w:id="72" w:name="_Toc52396391"/>
      <w:r>
        <w:rPr>
          <w:lang w:eastAsia="en-GB"/>
        </w:rPr>
        <w:t>Appendix 27</w:t>
      </w:r>
      <w:r w:rsidR="00737863">
        <w:rPr>
          <w:lang w:eastAsia="en-GB"/>
        </w:rPr>
        <w:t>.</w:t>
      </w:r>
      <w:r w:rsidR="006D1C20">
        <w:rPr>
          <w:lang w:eastAsia="en-GB"/>
        </w:rPr>
        <w:t xml:space="preserve"> </w:t>
      </w:r>
      <w:r w:rsidR="007D57FB">
        <w:rPr>
          <w:lang w:eastAsia="en-GB"/>
        </w:rPr>
        <w:t>Reported multi-morbidity</w:t>
      </w:r>
      <w:bookmarkEnd w:id="72"/>
      <w:r w:rsidR="007D57FB">
        <w:rPr>
          <w:lang w:eastAsia="en-GB"/>
        </w:rPr>
        <w:t xml:space="preserve"> </w:t>
      </w:r>
    </w:p>
    <w:p w14:paraId="15D4FB7C" w14:textId="45E55DE9" w:rsidR="00C547B4" w:rsidRPr="00497714" w:rsidRDefault="00C547B4" w:rsidP="008937F3">
      <w:pPr>
        <w:rPr>
          <w:lang w:eastAsia="en-GB"/>
        </w:rPr>
      </w:pPr>
      <w:r>
        <w:t>Eleven studies examined the degree of co-morbidity as an ADR-associated variable</w:t>
      </w:r>
      <w:r w:rsidRPr="00520E4D">
        <w:t>.</w:t>
      </w:r>
      <w:r w:rsidR="00A51E14" w:rsidRPr="00A51E14">
        <w:rPr>
          <w:noProof/>
          <w:vertAlign w:val="superscript"/>
        </w:rPr>
        <w:t>7,13,17,19,22,24,27,30,31,34,35</w:t>
      </w:r>
      <w:r w:rsidR="00A51E14">
        <w:t xml:space="preserve"> </w:t>
      </w:r>
      <w:r>
        <w:t>Baseline multi-morbidity (defined</w:t>
      </w:r>
      <w:r w:rsidRPr="00053D56">
        <w:t xml:space="preserve"> as a</w:t>
      </w:r>
      <w:r>
        <w:t xml:space="preserve"> mean/median of ≥ 3 chronic conditions) was reported</w:t>
      </w:r>
      <w:r w:rsidRPr="00053D56">
        <w:t xml:space="preserve"> in </w:t>
      </w:r>
      <w:r>
        <w:t>10</w:t>
      </w:r>
      <w:r w:rsidRPr="00053D56">
        <w:t xml:space="preserve"> studies</w:t>
      </w:r>
      <w:r>
        <w:t>.</w:t>
      </w:r>
      <w:r w:rsidR="00A51E14" w:rsidRPr="00A51E14">
        <w:rPr>
          <w:noProof/>
          <w:vertAlign w:val="superscript"/>
        </w:rPr>
        <w:t>7,13,22,24,27,30,31,34,35</w:t>
      </w:r>
      <w:r>
        <w:t xml:space="preserve"> </w:t>
      </w:r>
    </w:p>
    <w:tbl>
      <w:tblPr>
        <w:tblStyle w:val="TableGrid"/>
        <w:tblW w:w="10215" w:type="dxa"/>
        <w:tblLook w:val="04A0" w:firstRow="1" w:lastRow="0" w:firstColumn="1" w:lastColumn="0" w:noHBand="0" w:noVBand="1"/>
      </w:tblPr>
      <w:tblGrid>
        <w:gridCol w:w="2254"/>
        <w:gridCol w:w="2561"/>
        <w:gridCol w:w="2693"/>
        <w:gridCol w:w="2707"/>
      </w:tblGrid>
      <w:tr w:rsidR="007D57FB" w14:paraId="610C4B88" w14:textId="77777777" w:rsidTr="005B3E6B">
        <w:tc>
          <w:tcPr>
            <w:tcW w:w="2254" w:type="dxa"/>
          </w:tcPr>
          <w:p w14:paraId="610C4B84" w14:textId="77777777" w:rsidR="007D57FB" w:rsidRPr="00337D34" w:rsidRDefault="007D57FB" w:rsidP="005B3E6B">
            <w:pPr>
              <w:rPr>
                <w:b/>
                <w:lang w:eastAsia="en-GB"/>
              </w:rPr>
            </w:pPr>
            <w:r w:rsidRPr="00337D34">
              <w:rPr>
                <w:b/>
                <w:lang w:eastAsia="en-GB"/>
              </w:rPr>
              <w:t>Source</w:t>
            </w:r>
          </w:p>
        </w:tc>
        <w:tc>
          <w:tcPr>
            <w:tcW w:w="2561" w:type="dxa"/>
          </w:tcPr>
          <w:p w14:paraId="610C4B85" w14:textId="77777777" w:rsidR="007D57FB" w:rsidRPr="00337D34" w:rsidRDefault="007D57FB" w:rsidP="005B3E6B">
            <w:pPr>
              <w:rPr>
                <w:b/>
                <w:lang w:eastAsia="en-GB"/>
              </w:rPr>
            </w:pPr>
            <w:r w:rsidRPr="00337D34">
              <w:rPr>
                <w:b/>
                <w:lang w:eastAsia="en-GB"/>
              </w:rPr>
              <w:t>Population</w:t>
            </w:r>
          </w:p>
        </w:tc>
        <w:tc>
          <w:tcPr>
            <w:tcW w:w="2693" w:type="dxa"/>
          </w:tcPr>
          <w:p w14:paraId="610C4B86" w14:textId="77777777" w:rsidR="007D57FB" w:rsidRPr="00337D34" w:rsidRDefault="007D57FB" w:rsidP="005B3E6B">
            <w:pPr>
              <w:rPr>
                <w:b/>
                <w:lang w:eastAsia="en-GB"/>
              </w:rPr>
            </w:pPr>
            <w:r>
              <w:rPr>
                <w:b/>
                <w:lang w:eastAsia="en-GB"/>
              </w:rPr>
              <w:t xml:space="preserve">Multi-morbidity </w:t>
            </w:r>
          </w:p>
        </w:tc>
        <w:tc>
          <w:tcPr>
            <w:tcW w:w="2707" w:type="dxa"/>
          </w:tcPr>
          <w:p w14:paraId="610C4B87" w14:textId="77777777" w:rsidR="007D57FB" w:rsidRPr="00337D34" w:rsidRDefault="007D57FB" w:rsidP="005B3E6B">
            <w:pPr>
              <w:rPr>
                <w:b/>
                <w:lang w:eastAsia="en-GB"/>
              </w:rPr>
            </w:pPr>
            <w:r w:rsidRPr="00337D34">
              <w:rPr>
                <w:b/>
                <w:lang w:eastAsia="en-GB"/>
              </w:rPr>
              <w:t>Comments</w:t>
            </w:r>
            <w:r>
              <w:rPr>
                <w:b/>
                <w:lang w:eastAsia="en-GB"/>
              </w:rPr>
              <w:t>/further details</w:t>
            </w:r>
          </w:p>
        </w:tc>
      </w:tr>
      <w:tr w:rsidR="007D57FB" w14:paraId="610C4B8E" w14:textId="77777777" w:rsidTr="005B3E6B">
        <w:tc>
          <w:tcPr>
            <w:tcW w:w="2254" w:type="dxa"/>
          </w:tcPr>
          <w:p w14:paraId="610C4B89" w14:textId="3932CCE9" w:rsidR="007D57FB" w:rsidRDefault="007D57FB" w:rsidP="0031488B">
            <w:pPr>
              <w:rPr>
                <w:lang w:eastAsia="en-GB"/>
              </w:rPr>
            </w:pPr>
            <w:r>
              <w:rPr>
                <w:lang w:eastAsia="en-GB"/>
              </w:rPr>
              <w:t>Corsonello</w:t>
            </w:r>
            <w:r w:rsidR="0031488B" w:rsidRPr="0031488B">
              <w:rPr>
                <w:noProof/>
                <w:vertAlign w:val="superscript"/>
                <w:lang w:eastAsia="en-GB"/>
              </w:rPr>
              <w:t>13</w:t>
            </w:r>
          </w:p>
        </w:tc>
        <w:tc>
          <w:tcPr>
            <w:tcW w:w="2561" w:type="dxa"/>
          </w:tcPr>
          <w:p w14:paraId="610C4B8A"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8B" w14:textId="77777777" w:rsidR="007D57FB" w:rsidRDefault="007D57FB" w:rsidP="005B3E6B">
            <w:pPr>
              <w:rPr>
                <w:lang w:eastAsia="en-GB"/>
              </w:rPr>
            </w:pPr>
            <w:r>
              <w:rPr>
                <w:lang w:eastAsia="en-GB"/>
              </w:rPr>
              <w:t xml:space="preserve">3.7 </w:t>
            </w:r>
            <w:r>
              <w:rPr>
                <w:rFonts w:cstheme="minorHAnsi"/>
                <w:lang w:eastAsia="en-GB"/>
              </w:rPr>
              <w:t>±1.9</w:t>
            </w:r>
            <w:r w:rsidRPr="00D50126">
              <w:rPr>
                <w:rFonts w:cstheme="minorHAnsi"/>
                <w:vertAlign w:val="superscript"/>
                <w:lang w:eastAsia="en-GB"/>
              </w:rPr>
              <w:t>a</w:t>
            </w:r>
          </w:p>
        </w:tc>
        <w:tc>
          <w:tcPr>
            <w:tcW w:w="2707" w:type="dxa"/>
          </w:tcPr>
          <w:p w14:paraId="610C4B8C" w14:textId="77777777" w:rsidR="007D57FB" w:rsidRDefault="007D57FB" w:rsidP="005B3E6B">
            <w:pPr>
              <w:rPr>
                <w:lang w:eastAsia="en-GB"/>
              </w:rPr>
            </w:pPr>
            <w:r>
              <w:rPr>
                <w:lang w:eastAsia="en-GB"/>
              </w:rPr>
              <w:t>Based on CIRS</w:t>
            </w:r>
          </w:p>
          <w:p w14:paraId="610C4B8D" w14:textId="2F4648B8" w:rsidR="007D57FB" w:rsidRDefault="007D57FB" w:rsidP="005B3E6B">
            <w:pPr>
              <w:rPr>
                <w:lang w:eastAsia="en-GB"/>
              </w:rPr>
            </w:pPr>
            <w:r>
              <w:rPr>
                <w:lang w:eastAsia="en-GB"/>
              </w:rPr>
              <w:t>ADR vs non ADR CIRS 4.5</w:t>
            </w:r>
            <w:r>
              <w:rPr>
                <w:rFonts w:cstheme="minorHAnsi"/>
                <w:lang w:eastAsia="en-GB"/>
              </w:rPr>
              <w:t>±1.8</w:t>
            </w:r>
            <w:r w:rsidR="00826E12" w:rsidRPr="008937F3">
              <w:rPr>
                <w:rFonts w:cstheme="minorHAnsi"/>
                <w:vertAlign w:val="superscript"/>
                <w:lang w:eastAsia="en-GB"/>
              </w:rPr>
              <w:t>a</w:t>
            </w:r>
            <w:r>
              <w:rPr>
                <w:rFonts w:cstheme="minorHAnsi"/>
                <w:lang w:eastAsia="en-GB"/>
              </w:rPr>
              <w:t xml:space="preserve"> vs 3.6±1.9</w:t>
            </w:r>
            <w:r w:rsidR="00826E12" w:rsidRPr="0008615D">
              <w:rPr>
                <w:rFonts w:cstheme="minorHAnsi"/>
                <w:vertAlign w:val="superscript"/>
                <w:lang w:eastAsia="en-GB"/>
              </w:rPr>
              <w:t xml:space="preserve"> a</w:t>
            </w:r>
            <w:r>
              <w:rPr>
                <w:rFonts w:cstheme="minorHAnsi"/>
                <w:lang w:eastAsia="en-GB"/>
              </w:rPr>
              <w:t xml:space="preserve"> p=0.001</w:t>
            </w:r>
          </w:p>
        </w:tc>
      </w:tr>
      <w:tr w:rsidR="007D57FB" w14:paraId="610C4B93" w14:textId="77777777" w:rsidTr="005B3E6B">
        <w:tc>
          <w:tcPr>
            <w:tcW w:w="2254" w:type="dxa"/>
          </w:tcPr>
          <w:p w14:paraId="610C4B8F" w14:textId="20E8B7E3" w:rsidR="007D57FB" w:rsidRDefault="007D57FB" w:rsidP="0031488B">
            <w:pPr>
              <w:rPr>
                <w:lang w:eastAsia="en-GB"/>
              </w:rPr>
            </w:pPr>
            <w:r>
              <w:rPr>
                <w:lang w:eastAsia="en-GB"/>
              </w:rPr>
              <w:t>Fernandez – Regueiro</w:t>
            </w:r>
            <w:r w:rsidR="0031488B" w:rsidRPr="0031488B">
              <w:rPr>
                <w:noProof/>
                <w:vertAlign w:val="superscript"/>
                <w:lang w:eastAsia="en-GB"/>
              </w:rPr>
              <w:t>27</w:t>
            </w:r>
          </w:p>
        </w:tc>
        <w:tc>
          <w:tcPr>
            <w:tcW w:w="2561" w:type="dxa"/>
          </w:tcPr>
          <w:p w14:paraId="610C4B90"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91" w14:textId="77777777" w:rsidR="007D57FB" w:rsidRDefault="007D57FB" w:rsidP="005B3E6B">
            <w:pPr>
              <w:rPr>
                <w:lang w:eastAsia="en-GB"/>
              </w:rPr>
            </w:pPr>
            <w:r>
              <w:rPr>
                <w:lang w:eastAsia="en-GB"/>
              </w:rPr>
              <w:t xml:space="preserve">8 </w:t>
            </w:r>
            <w:r>
              <w:rPr>
                <w:rFonts w:cstheme="minorHAnsi"/>
                <w:lang w:eastAsia="en-GB"/>
              </w:rPr>
              <w:t>± 3</w:t>
            </w:r>
            <w:r w:rsidRPr="00D50126">
              <w:rPr>
                <w:rFonts w:cstheme="minorHAnsi"/>
                <w:vertAlign w:val="superscript"/>
                <w:lang w:eastAsia="en-GB"/>
              </w:rPr>
              <w:t>a</w:t>
            </w:r>
          </w:p>
        </w:tc>
        <w:tc>
          <w:tcPr>
            <w:tcW w:w="2707" w:type="dxa"/>
          </w:tcPr>
          <w:p w14:paraId="610C4B92" w14:textId="77777777" w:rsidR="007D57FB" w:rsidRDefault="007D57FB" w:rsidP="005B3E6B">
            <w:pPr>
              <w:rPr>
                <w:lang w:eastAsia="en-GB"/>
              </w:rPr>
            </w:pPr>
            <w:r>
              <w:rPr>
                <w:lang w:eastAsia="en-GB"/>
              </w:rPr>
              <w:t>Range 1-17</w:t>
            </w:r>
          </w:p>
        </w:tc>
      </w:tr>
      <w:tr w:rsidR="007D57FB" w14:paraId="610C4B9A" w14:textId="77777777" w:rsidTr="005B3E6B">
        <w:tc>
          <w:tcPr>
            <w:tcW w:w="2254" w:type="dxa"/>
          </w:tcPr>
          <w:p w14:paraId="610C4B94" w14:textId="37FDF656" w:rsidR="007D57FB" w:rsidRDefault="007D57FB" w:rsidP="0031488B">
            <w:pPr>
              <w:rPr>
                <w:lang w:eastAsia="en-GB"/>
              </w:rPr>
            </w:pPr>
            <w:r>
              <w:rPr>
                <w:lang w:eastAsia="en-GB"/>
              </w:rPr>
              <w:t>Lavan</w:t>
            </w:r>
            <w:r w:rsidR="0031488B" w:rsidRPr="0031488B">
              <w:rPr>
                <w:noProof/>
                <w:vertAlign w:val="superscript"/>
                <w:lang w:eastAsia="en-GB"/>
              </w:rPr>
              <w:t>30</w:t>
            </w:r>
          </w:p>
        </w:tc>
        <w:tc>
          <w:tcPr>
            <w:tcW w:w="2561" w:type="dxa"/>
          </w:tcPr>
          <w:p w14:paraId="610C4B95"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96" w14:textId="77777777" w:rsidR="007D57FB" w:rsidRDefault="007D57FB" w:rsidP="005B3E6B">
            <w:pPr>
              <w:rPr>
                <w:rFonts w:cstheme="minorHAnsi"/>
                <w:vertAlign w:val="superscript"/>
                <w:lang w:eastAsia="en-GB"/>
              </w:rPr>
            </w:pPr>
            <w:r>
              <w:rPr>
                <w:lang w:eastAsia="en-GB"/>
              </w:rPr>
              <w:t xml:space="preserve">5.4 </w:t>
            </w:r>
            <w:r>
              <w:rPr>
                <w:rFonts w:cstheme="minorHAnsi"/>
                <w:lang w:eastAsia="en-GB"/>
              </w:rPr>
              <w:t>± 1.9</w:t>
            </w:r>
            <w:r w:rsidRPr="00A40813">
              <w:rPr>
                <w:rFonts w:cstheme="minorHAnsi"/>
                <w:vertAlign w:val="superscript"/>
                <w:lang w:eastAsia="en-GB"/>
              </w:rPr>
              <w:t>a</w:t>
            </w:r>
          </w:p>
          <w:p w14:paraId="610C4B97" w14:textId="77777777" w:rsidR="007D57FB" w:rsidRPr="00E95C60" w:rsidRDefault="007D57FB" w:rsidP="005B3E6B">
            <w:pPr>
              <w:rPr>
                <w:lang w:eastAsia="en-GB"/>
              </w:rPr>
            </w:pPr>
            <w:r w:rsidRPr="00E95C60">
              <w:rPr>
                <w:rFonts w:cstheme="minorHAnsi"/>
                <w:lang w:eastAsia="en-GB"/>
              </w:rPr>
              <w:t>5 IQR</w:t>
            </w:r>
            <w:r>
              <w:rPr>
                <w:rFonts w:cstheme="minorHAnsi"/>
                <w:lang w:eastAsia="en-GB"/>
              </w:rPr>
              <w:t xml:space="preserve"> 4-6</w:t>
            </w:r>
            <w:r w:rsidRPr="00E95C60">
              <w:rPr>
                <w:rFonts w:cstheme="minorHAnsi"/>
                <w:vertAlign w:val="superscript"/>
                <w:lang w:eastAsia="en-GB"/>
              </w:rPr>
              <w:t>b</w:t>
            </w:r>
            <w:r w:rsidRPr="00E95C60">
              <w:rPr>
                <w:rFonts w:cstheme="minorHAnsi"/>
                <w:lang w:eastAsia="en-GB"/>
              </w:rPr>
              <w:t xml:space="preserve"> </w:t>
            </w:r>
          </w:p>
        </w:tc>
        <w:tc>
          <w:tcPr>
            <w:tcW w:w="2707" w:type="dxa"/>
          </w:tcPr>
          <w:p w14:paraId="610C4B98" w14:textId="77777777" w:rsidR="007D57FB" w:rsidRDefault="007D57FB" w:rsidP="005B3E6B">
            <w:pPr>
              <w:rPr>
                <w:lang w:eastAsia="en-GB"/>
              </w:rPr>
            </w:pPr>
            <w:r>
              <w:rPr>
                <w:lang w:eastAsia="en-GB"/>
              </w:rPr>
              <w:t>Range 2-13</w:t>
            </w:r>
          </w:p>
          <w:p w14:paraId="610C4B99" w14:textId="77777777" w:rsidR="007D57FB" w:rsidRDefault="007D57FB" w:rsidP="005B3E6B">
            <w:pPr>
              <w:rPr>
                <w:lang w:eastAsia="en-GB"/>
              </w:rPr>
            </w:pPr>
            <w:r>
              <w:rPr>
                <w:lang w:eastAsia="en-GB"/>
              </w:rPr>
              <w:t xml:space="preserve">10% </w:t>
            </w:r>
            <w:r>
              <w:rPr>
                <w:rFonts w:cstheme="minorHAnsi"/>
                <w:lang w:eastAsia="en-GB"/>
              </w:rPr>
              <w:t xml:space="preserve">≥ </w:t>
            </w:r>
            <w:r>
              <w:rPr>
                <w:lang w:eastAsia="en-GB"/>
              </w:rPr>
              <w:t>8 conditions</w:t>
            </w:r>
          </w:p>
        </w:tc>
      </w:tr>
      <w:tr w:rsidR="00D45150" w14:paraId="3146476D" w14:textId="77777777" w:rsidTr="005B3E6B">
        <w:tc>
          <w:tcPr>
            <w:tcW w:w="2254" w:type="dxa"/>
          </w:tcPr>
          <w:p w14:paraId="0DF9E2C8" w14:textId="1C10FA65" w:rsidR="00D45150" w:rsidRDefault="00D45150" w:rsidP="0031488B">
            <w:pPr>
              <w:rPr>
                <w:lang w:eastAsia="en-GB"/>
              </w:rPr>
            </w:pPr>
            <w:r>
              <w:rPr>
                <w:lang w:eastAsia="en-GB"/>
              </w:rPr>
              <w:t>Liao</w:t>
            </w:r>
            <w:r w:rsidR="0031488B" w:rsidRPr="0031488B">
              <w:rPr>
                <w:noProof/>
                <w:vertAlign w:val="superscript"/>
                <w:lang w:eastAsia="en-GB"/>
              </w:rPr>
              <w:t>31</w:t>
            </w:r>
          </w:p>
        </w:tc>
        <w:tc>
          <w:tcPr>
            <w:tcW w:w="2561" w:type="dxa"/>
          </w:tcPr>
          <w:p w14:paraId="467DC515" w14:textId="2FB5EBED" w:rsidR="00D45150" w:rsidRDefault="00D45150" w:rsidP="00D45150">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FE99D5" w14:textId="6B71734D" w:rsidR="00D45150" w:rsidRDefault="000D2A84" w:rsidP="00D45150">
            <w:pPr>
              <w:rPr>
                <w:lang w:eastAsia="en-GB"/>
              </w:rPr>
            </w:pPr>
            <w:r>
              <w:rPr>
                <w:lang w:eastAsia="en-GB"/>
              </w:rPr>
              <w:t xml:space="preserve">1831 of 2393 (76%) </w:t>
            </w:r>
            <w:r>
              <w:rPr>
                <w:rFonts w:cstheme="minorHAnsi"/>
                <w:lang w:eastAsia="en-GB"/>
              </w:rPr>
              <w:t>≥</w:t>
            </w:r>
            <w:r>
              <w:rPr>
                <w:lang w:eastAsia="en-GB"/>
              </w:rPr>
              <w:t>4 comorbidities</w:t>
            </w:r>
          </w:p>
        </w:tc>
        <w:tc>
          <w:tcPr>
            <w:tcW w:w="2707" w:type="dxa"/>
          </w:tcPr>
          <w:p w14:paraId="22A420BD" w14:textId="332BBF3C" w:rsidR="000D2A84" w:rsidRDefault="000D2A84" w:rsidP="000D2A84">
            <w:pPr>
              <w:rPr>
                <w:rFonts w:cstheme="minorHAnsi"/>
                <w:lang w:eastAsia="en-GB"/>
              </w:rPr>
            </w:pPr>
            <w:r>
              <w:rPr>
                <w:lang w:eastAsia="en-GB"/>
              </w:rPr>
              <w:t xml:space="preserve">ADR 4.06 </w:t>
            </w:r>
            <w:r>
              <w:rPr>
                <w:rFonts w:cstheme="minorHAnsi"/>
                <w:lang w:eastAsia="en-GB"/>
              </w:rPr>
              <w:t>± 1.48</w:t>
            </w:r>
            <w:r w:rsidR="00826E12" w:rsidRPr="0008615D">
              <w:rPr>
                <w:rFonts w:cstheme="minorHAnsi"/>
                <w:vertAlign w:val="superscript"/>
                <w:lang w:eastAsia="en-GB"/>
              </w:rPr>
              <w:t xml:space="preserve"> a</w:t>
            </w:r>
          </w:p>
          <w:p w14:paraId="48587448" w14:textId="1A0F1B71" w:rsidR="000D2A84" w:rsidRDefault="000D2A84" w:rsidP="000D2A84">
            <w:pPr>
              <w:rPr>
                <w:lang w:eastAsia="en-GB"/>
              </w:rPr>
            </w:pPr>
            <w:r>
              <w:rPr>
                <w:rFonts w:cstheme="minorHAnsi"/>
                <w:lang w:eastAsia="en-GB"/>
              </w:rPr>
              <w:t>Non-ADR 3.53 ±1.08</w:t>
            </w:r>
            <w:r w:rsidR="00826E12" w:rsidRPr="0008615D">
              <w:rPr>
                <w:rFonts w:cstheme="minorHAnsi"/>
                <w:vertAlign w:val="superscript"/>
                <w:lang w:eastAsia="en-GB"/>
              </w:rPr>
              <w:t xml:space="preserve"> a</w:t>
            </w:r>
          </w:p>
          <w:p w14:paraId="7F606D19" w14:textId="5C01B3B8" w:rsidR="00D45150" w:rsidRDefault="00D45150" w:rsidP="00D45150">
            <w:pPr>
              <w:rPr>
                <w:lang w:eastAsia="en-GB"/>
              </w:rPr>
            </w:pPr>
            <w:r>
              <w:rPr>
                <w:lang w:eastAsia="en-GB"/>
              </w:rPr>
              <w:t>p = &lt;0.001</w:t>
            </w:r>
          </w:p>
        </w:tc>
      </w:tr>
      <w:tr w:rsidR="00D45150" w14:paraId="610C4BA1" w14:textId="77777777" w:rsidTr="005B3E6B">
        <w:tc>
          <w:tcPr>
            <w:tcW w:w="2254" w:type="dxa"/>
          </w:tcPr>
          <w:p w14:paraId="610C4B9B" w14:textId="026F9729" w:rsidR="00D45150" w:rsidRDefault="00D45150" w:rsidP="0031488B">
            <w:pPr>
              <w:rPr>
                <w:lang w:eastAsia="en-GB"/>
              </w:rPr>
            </w:pPr>
            <w:r>
              <w:rPr>
                <w:lang w:eastAsia="en-GB"/>
              </w:rPr>
              <w:t>O’Connor (2012)</w:t>
            </w:r>
            <w:r w:rsidR="0031488B" w:rsidRPr="0031488B">
              <w:rPr>
                <w:noProof/>
                <w:vertAlign w:val="superscript"/>
                <w:lang w:eastAsia="en-GB"/>
              </w:rPr>
              <w:t>22</w:t>
            </w:r>
            <w:r>
              <w:rPr>
                <w:lang w:eastAsia="en-GB"/>
              </w:rPr>
              <w:t xml:space="preserve"> *</w:t>
            </w:r>
          </w:p>
        </w:tc>
        <w:tc>
          <w:tcPr>
            <w:tcW w:w="2561" w:type="dxa"/>
          </w:tcPr>
          <w:p w14:paraId="610C4B9C" w14:textId="77777777" w:rsidR="00D45150" w:rsidRDefault="00D45150" w:rsidP="00D45150">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9D" w14:textId="77777777" w:rsidR="00D45150" w:rsidRDefault="00D45150" w:rsidP="00D45150">
            <w:pPr>
              <w:rPr>
                <w:lang w:eastAsia="en-GB"/>
              </w:rPr>
            </w:pPr>
            <w:r>
              <w:rPr>
                <w:lang w:eastAsia="en-GB"/>
              </w:rPr>
              <w:t xml:space="preserve">412 (80%) </w:t>
            </w:r>
            <w:r>
              <w:rPr>
                <w:rFonts w:cstheme="minorHAnsi"/>
                <w:lang w:eastAsia="en-GB"/>
              </w:rPr>
              <w:t>≥</w:t>
            </w:r>
            <w:r>
              <w:rPr>
                <w:lang w:eastAsia="en-GB"/>
              </w:rPr>
              <w:t xml:space="preserve"> 4 comorbidities</w:t>
            </w:r>
          </w:p>
        </w:tc>
        <w:tc>
          <w:tcPr>
            <w:tcW w:w="2707" w:type="dxa"/>
          </w:tcPr>
          <w:p w14:paraId="610C4B9E" w14:textId="77777777" w:rsidR="00D45150" w:rsidRDefault="00D45150" w:rsidP="00D45150">
            <w:pPr>
              <w:rPr>
                <w:lang w:eastAsia="en-GB"/>
              </w:rPr>
            </w:pPr>
            <w:r>
              <w:rPr>
                <w:lang w:eastAsia="en-GB"/>
              </w:rPr>
              <w:t xml:space="preserve">ADR 115 (85%) </w:t>
            </w:r>
            <w:r>
              <w:rPr>
                <w:rFonts w:cstheme="minorHAnsi"/>
                <w:lang w:eastAsia="en-GB"/>
              </w:rPr>
              <w:t>≥</w:t>
            </w:r>
            <w:r>
              <w:rPr>
                <w:lang w:eastAsia="en-GB"/>
              </w:rPr>
              <w:t xml:space="preserve"> 4 comorbidities</w:t>
            </w:r>
          </w:p>
          <w:p w14:paraId="610C4B9F" w14:textId="77777777" w:rsidR="00D45150" w:rsidRDefault="00D45150" w:rsidP="00D45150">
            <w:pPr>
              <w:rPr>
                <w:lang w:eastAsia="en-GB"/>
              </w:rPr>
            </w:pPr>
            <w:r>
              <w:rPr>
                <w:lang w:eastAsia="en-GB"/>
              </w:rPr>
              <w:t xml:space="preserve">Non-ADR 301 (79.6%) </w:t>
            </w:r>
            <w:r>
              <w:rPr>
                <w:rFonts w:cstheme="minorHAnsi"/>
                <w:lang w:eastAsia="en-GB"/>
              </w:rPr>
              <w:t>≥</w:t>
            </w:r>
            <w:r>
              <w:rPr>
                <w:lang w:eastAsia="en-GB"/>
              </w:rPr>
              <w:t xml:space="preserve"> 4 comorbidities</w:t>
            </w:r>
          </w:p>
          <w:p w14:paraId="610C4BA0" w14:textId="77777777" w:rsidR="00D45150" w:rsidRDefault="00D45150" w:rsidP="00D45150">
            <w:pPr>
              <w:rPr>
                <w:lang w:eastAsia="en-GB"/>
              </w:rPr>
            </w:pPr>
            <w:r>
              <w:rPr>
                <w:lang w:eastAsia="en-GB"/>
              </w:rPr>
              <w:t>p=0.157</w:t>
            </w:r>
          </w:p>
        </w:tc>
      </w:tr>
      <w:tr w:rsidR="00D45150" w14:paraId="610C4BB1" w14:textId="77777777" w:rsidTr="005B3E6B">
        <w:tc>
          <w:tcPr>
            <w:tcW w:w="2254" w:type="dxa"/>
          </w:tcPr>
          <w:p w14:paraId="610C4BA2" w14:textId="5C7FD2BA" w:rsidR="00D45150" w:rsidRDefault="00D45150" w:rsidP="0031488B">
            <w:pPr>
              <w:rPr>
                <w:lang w:eastAsia="en-GB"/>
              </w:rPr>
            </w:pPr>
            <w:r>
              <w:rPr>
                <w:lang w:eastAsia="en-GB"/>
              </w:rPr>
              <w:t>Onder</w:t>
            </w:r>
            <w:r w:rsidR="0031488B" w:rsidRPr="0031488B">
              <w:rPr>
                <w:noProof/>
                <w:vertAlign w:val="superscript"/>
                <w:lang w:eastAsia="en-GB"/>
              </w:rPr>
              <w:t>24</w:t>
            </w:r>
          </w:p>
        </w:tc>
        <w:tc>
          <w:tcPr>
            <w:tcW w:w="2561" w:type="dxa"/>
          </w:tcPr>
          <w:p w14:paraId="610C4BA3" w14:textId="77777777" w:rsidR="00D45150" w:rsidRDefault="00D45150" w:rsidP="00D45150">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A4" w14:textId="77777777" w:rsidR="00D45150" w:rsidRDefault="00D45150" w:rsidP="00D45150">
            <w:pPr>
              <w:rPr>
                <w:rFonts w:cstheme="minorHAnsi"/>
                <w:lang w:eastAsia="en-GB"/>
              </w:rPr>
            </w:pPr>
            <w:r>
              <w:rPr>
                <w:rFonts w:cstheme="minorHAnsi"/>
                <w:lang w:eastAsia="en-GB"/>
              </w:rPr>
              <w:t>2996 (50%) GIFA≥</w:t>
            </w:r>
            <w:r>
              <w:rPr>
                <w:lang w:eastAsia="en-GB"/>
              </w:rPr>
              <w:t xml:space="preserve"> 4 comorbidities</w:t>
            </w:r>
          </w:p>
          <w:p w14:paraId="610C4BA5" w14:textId="77777777" w:rsidR="00D45150" w:rsidRDefault="00D45150" w:rsidP="00D45150">
            <w:pPr>
              <w:rPr>
                <w:rFonts w:cstheme="minorHAnsi"/>
                <w:lang w:eastAsia="en-GB"/>
              </w:rPr>
            </w:pPr>
          </w:p>
          <w:p w14:paraId="610C4BA6" w14:textId="77777777" w:rsidR="00D45150" w:rsidRDefault="00D45150" w:rsidP="00D45150">
            <w:pPr>
              <w:rPr>
                <w:rFonts w:cstheme="minorHAnsi"/>
                <w:lang w:eastAsia="en-GB"/>
              </w:rPr>
            </w:pPr>
          </w:p>
          <w:p w14:paraId="610C4BA7" w14:textId="77777777" w:rsidR="00D45150" w:rsidRDefault="00D45150" w:rsidP="00D45150">
            <w:pPr>
              <w:rPr>
                <w:rFonts w:cstheme="minorHAnsi"/>
                <w:lang w:eastAsia="en-GB"/>
              </w:rPr>
            </w:pPr>
          </w:p>
          <w:p w14:paraId="610C4BA8" w14:textId="77777777" w:rsidR="00D45150" w:rsidRDefault="00D45150" w:rsidP="00D45150">
            <w:pPr>
              <w:rPr>
                <w:rFonts w:cstheme="minorHAnsi"/>
                <w:lang w:eastAsia="en-GB"/>
              </w:rPr>
            </w:pPr>
          </w:p>
          <w:p w14:paraId="610C4BA9" w14:textId="77777777" w:rsidR="00D45150" w:rsidRPr="00C84FE2" w:rsidRDefault="00D45150" w:rsidP="00D45150">
            <w:pPr>
              <w:rPr>
                <w:rFonts w:cstheme="minorHAnsi"/>
                <w:lang w:eastAsia="en-GB"/>
              </w:rPr>
            </w:pPr>
            <w:r>
              <w:rPr>
                <w:rFonts w:cstheme="minorHAnsi"/>
                <w:lang w:eastAsia="en-GB"/>
              </w:rPr>
              <w:t>347 (72%) val. ≥</w:t>
            </w:r>
            <w:r>
              <w:rPr>
                <w:lang w:eastAsia="en-GB"/>
              </w:rPr>
              <w:t xml:space="preserve"> 4 comorbidities</w:t>
            </w:r>
          </w:p>
        </w:tc>
        <w:tc>
          <w:tcPr>
            <w:tcW w:w="2707" w:type="dxa"/>
          </w:tcPr>
          <w:p w14:paraId="610C4BAA" w14:textId="77777777" w:rsidR="00D45150" w:rsidRDefault="00D45150" w:rsidP="00D45150">
            <w:pPr>
              <w:rPr>
                <w:lang w:eastAsia="en-GB"/>
              </w:rPr>
            </w:pPr>
            <w:r>
              <w:rPr>
                <w:lang w:eastAsia="en-GB"/>
              </w:rPr>
              <w:t xml:space="preserve">ADR group 252 (66%) </w:t>
            </w:r>
            <w:r>
              <w:rPr>
                <w:rFonts w:cstheme="minorHAnsi"/>
                <w:lang w:eastAsia="en-GB"/>
              </w:rPr>
              <w:t>≥ 4 comorbidities</w:t>
            </w:r>
          </w:p>
          <w:p w14:paraId="610C4BAB" w14:textId="77777777" w:rsidR="00D45150" w:rsidRDefault="00D45150" w:rsidP="00D45150">
            <w:pPr>
              <w:rPr>
                <w:rFonts w:cstheme="minorHAnsi"/>
                <w:lang w:eastAsia="en-GB"/>
              </w:rPr>
            </w:pPr>
            <w:r>
              <w:rPr>
                <w:lang w:eastAsia="en-GB"/>
              </w:rPr>
              <w:t xml:space="preserve">Non-ADR group 2744 (49%) </w:t>
            </w:r>
            <w:r>
              <w:rPr>
                <w:rFonts w:cstheme="minorHAnsi"/>
                <w:lang w:eastAsia="en-GB"/>
              </w:rPr>
              <w:t>≥ 4 comorbidities</w:t>
            </w:r>
          </w:p>
          <w:p w14:paraId="610C4BAC" w14:textId="77777777" w:rsidR="00D45150" w:rsidRDefault="00D45150" w:rsidP="00D45150">
            <w:pPr>
              <w:rPr>
                <w:rFonts w:cstheme="minorHAnsi"/>
                <w:lang w:eastAsia="en-GB"/>
              </w:rPr>
            </w:pPr>
            <w:r>
              <w:rPr>
                <w:rFonts w:cstheme="minorHAnsi"/>
                <w:lang w:eastAsia="en-GB"/>
              </w:rPr>
              <w:t>p=&lt;0.001</w:t>
            </w:r>
          </w:p>
          <w:p w14:paraId="610C4BAD" w14:textId="77777777" w:rsidR="00D45150" w:rsidRDefault="00D45150" w:rsidP="00D45150">
            <w:pPr>
              <w:rPr>
                <w:rFonts w:cstheme="minorHAnsi"/>
                <w:lang w:eastAsia="en-GB"/>
              </w:rPr>
            </w:pPr>
          </w:p>
          <w:p w14:paraId="610C4BAE" w14:textId="77777777" w:rsidR="00D45150" w:rsidRDefault="00D45150" w:rsidP="00D45150">
            <w:pPr>
              <w:rPr>
                <w:lang w:eastAsia="en-GB"/>
              </w:rPr>
            </w:pPr>
            <w:r>
              <w:rPr>
                <w:lang w:eastAsia="en-GB"/>
              </w:rPr>
              <w:t xml:space="preserve">ADR group 49 (88%) </w:t>
            </w:r>
            <w:r>
              <w:rPr>
                <w:rFonts w:cstheme="minorHAnsi"/>
                <w:lang w:eastAsia="en-GB"/>
              </w:rPr>
              <w:t>≥ 4 comorbidities</w:t>
            </w:r>
          </w:p>
          <w:p w14:paraId="610C4BAF" w14:textId="77777777" w:rsidR="00D45150" w:rsidRDefault="00D45150" w:rsidP="00D45150">
            <w:pPr>
              <w:rPr>
                <w:rFonts w:cstheme="minorHAnsi"/>
                <w:lang w:eastAsia="en-GB"/>
              </w:rPr>
            </w:pPr>
            <w:r>
              <w:rPr>
                <w:lang w:eastAsia="en-GB"/>
              </w:rPr>
              <w:t xml:space="preserve">Non-ADR group 298 (70%) </w:t>
            </w:r>
            <w:r>
              <w:rPr>
                <w:rFonts w:cstheme="minorHAnsi"/>
                <w:lang w:eastAsia="en-GB"/>
              </w:rPr>
              <w:t xml:space="preserve">≥ 4 comorbidities </w:t>
            </w:r>
          </w:p>
          <w:p w14:paraId="610C4BB0" w14:textId="77777777" w:rsidR="00D45150" w:rsidRPr="002C2649" w:rsidRDefault="00D45150" w:rsidP="00D45150">
            <w:pPr>
              <w:rPr>
                <w:rFonts w:cstheme="minorHAnsi"/>
                <w:lang w:eastAsia="en-GB"/>
              </w:rPr>
            </w:pPr>
            <w:r>
              <w:rPr>
                <w:rFonts w:cstheme="minorHAnsi"/>
                <w:lang w:eastAsia="en-GB"/>
              </w:rPr>
              <w:t>p=0.006</w:t>
            </w:r>
          </w:p>
        </w:tc>
      </w:tr>
      <w:tr w:rsidR="00F478FC" w14:paraId="4EA1D017" w14:textId="77777777" w:rsidTr="00737863">
        <w:tc>
          <w:tcPr>
            <w:tcW w:w="2254" w:type="dxa"/>
          </w:tcPr>
          <w:p w14:paraId="0018432A" w14:textId="0013E798" w:rsidR="00F478FC" w:rsidRDefault="00F478FC" w:rsidP="00737863">
            <w:pPr>
              <w:rPr>
                <w:b/>
                <w:lang w:eastAsia="en-GB"/>
              </w:rPr>
            </w:pPr>
            <w:r>
              <w:rPr>
                <w:b/>
                <w:lang w:eastAsia="en-GB"/>
              </w:rPr>
              <w:t xml:space="preserve">Contd. </w:t>
            </w:r>
          </w:p>
          <w:p w14:paraId="0509D80F" w14:textId="524A1BC5" w:rsidR="00F478FC" w:rsidRPr="00337D34" w:rsidRDefault="00F478FC" w:rsidP="00737863">
            <w:pPr>
              <w:rPr>
                <w:b/>
                <w:lang w:eastAsia="en-GB"/>
              </w:rPr>
            </w:pPr>
            <w:r w:rsidRPr="00337D34">
              <w:rPr>
                <w:b/>
                <w:lang w:eastAsia="en-GB"/>
              </w:rPr>
              <w:t>Source</w:t>
            </w:r>
          </w:p>
        </w:tc>
        <w:tc>
          <w:tcPr>
            <w:tcW w:w="2561" w:type="dxa"/>
          </w:tcPr>
          <w:p w14:paraId="65B2672D" w14:textId="77777777" w:rsidR="00F478FC" w:rsidRPr="00337D34" w:rsidRDefault="00F478FC" w:rsidP="00737863">
            <w:pPr>
              <w:rPr>
                <w:b/>
                <w:lang w:eastAsia="en-GB"/>
              </w:rPr>
            </w:pPr>
            <w:r w:rsidRPr="00337D34">
              <w:rPr>
                <w:b/>
                <w:lang w:eastAsia="en-GB"/>
              </w:rPr>
              <w:t>Population</w:t>
            </w:r>
          </w:p>
        </w:tc>
        <w:tc>
          <w:tcPr>
            <w:tcW w:w="2693" w:type="dxa"/>
          </w:tcPr>
          <w:p w14:paraId="082D1E3D" w14:textId="77777777" w:rsidR="00F478FC" w:rsidRPr="00337D34" w:rsidRDefault="00F478FC" w:rsidP="00737863">
            <w:pPr>
              <w:rPr>
                <w:b/>
                <w:lang w:eastAsia="en-GB"/>
              </w:rPr>
            </w:pPr>
            <w:r>
              <w:rPr>
                <w:b/>
                <w:lang w:eastAsia="en-GB"/>
              </w:rPr>
              <w:t xml:space="preserve">Multi-morbidity </w:t>
            </w:r>
          </w:p>
        </w:tc>
        <w:tc>
          <w:tcPr>
            <w:tcW w:w="2707" w:type="dxa"/>
          </w:tcPr>
          <w:p w14:paraId="45EDCB6C" w14:textId="77777777" w:rsidR="00F478FC" w:rsidRPr="00337D34" w:rsidRDefault="00F478FC" w:rsidP="00737863">
            <w:pPr>
              <w:rPr>
                <w:b/>
                <w:lang w:eastAsia="en-GB"/>
              </w:rPr>
            </w:pPr>
            <w:r w:rsidRPr="00337D34">
              <w:rPr>
                <w:b/>
                <w:lang w:eastAsia="en-GB"/>
              </w:rPr>
              <w:t>Comments</w:t>
            </w:r>
            <w:r>
              <w:rPr>
                <w:b/>
                <w:lang w:eastAsia="en-GB"/>
              </w:rPr>
              <w:t>/further details</w:t>
            </w:r>
          </w:p>
        </w:tc>
      </w:tr>
      <w:tr w:rsidR="00D45150" w14:paraId="610C4BB7" w14:textId="77777777" w:rsidTr="005B3E6B">
        <w:tc>
          <w:tcPr>
            <w:tcW w:w="2254" w:type="dxa"/>
          </w:tcPr>
          <w:p w14:paraId="610C4BB2" w14:textId="1B58920C" w:rsidR="00D45150" w:rsidRDefault="00D45150" w:rsidP="0031488B">
            <w:pPr>
              <w:rPr>
                <w:lang w:eastAsia="en-GB"/>
              </w:rPr>
            </w:pPr>
            <w:r>
              <w:rPr>
                <w:lang w:eastAsia="en-GB"/>
              </w:rPr>
              <w:t>Tangiisuran (2012)</w:t>
            </w:r>
            <w:r w:rsidR="0031488B" w:rsidRPr="0031488B">
              <w:rPr>
                <w:noProof/>
                <w:vertAlign w:val="superscript"/>
                <w:lang w:eastAsia="en-GB"/>
              </w:rPr>
              <w:t>34</w:t>
            </w:r>
          </w:p>
        </w:tc>
        <w:tc>
          <w:tcPr>
            <w:tcW w:w="2561" w:type="dxa"/>
          </w:tcPr>
          <w:p w14:paraId="610C4BB3" w14:textId="77777777" w:rsidR="00D45150" w:rsidRDefault="00D45150" w:rsidP="00D45150">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B4" w14:textId="77777777" w:rsidR="00D45150" w:rsidRDefault="00D45150" w:rsidP="00D45150">
            <w:pPr>
              <w:rPr>
                <w:lang w:eastAsia="en-GB"/>
              </w:rPr>
            </w:pPr>
            <w:r>
              <w:rPr>
                <w:lang w:eastAsia="en-GB"/>
              </w:rPr>
              <w:t>8 IQR 6-10</w:t>
            </w:r>
            <w:r w:rsidRPr="003266B8">
              <w:rPr>
                <w:vertAlign w:val="superscript"/>
                <w:lang w:eastAsia="en-GB"/>
              </w:rPr>
              <w:t>b</w:t>
            </w:r>
            <w:r>
              <w:rPr>
                <w:lang w:eastAsia="en-GB"/>
              </w:rPr>
              <w:t xml:space="preserve"> ADR</w:t>
            </w:r>
          </w:p>
          <w:p w14:paraId="610C4BB5" w14:textId="77777777" w:rsidR="00D45150" w:rsidRDefault="00D45150" w:rsidP="00D45150">
            <w:pPr>
              <w:rPr>
                <w:lang w:eastAsia="en-GB"/>
              </w:rPr>
            </w:pPr>
            <w:r>
              <w:rPr>
                <w:lang w:eastAsia="en-GB"/>
              </w:rPr>
              <w:t>8 IQR 6-10</w:t>
            </w:r>
            <w:r w:rsidRPr="003266B8">
              <w:rPr>
                <w:vertAlign w:val="superscript"/>
                <w:lang w:eastAsia="en-GB"/>
              </w:rPr>
              <w:t>b</w:t>
            </w:r>
            <w:r>
              <w:rPr>
                <w:lang w:eastAsia="en-GB"/>
              </w:rPr>
              <w:t xml:space="preserve"> Non-ADR</w:t>
            </w:r>
          </w:p>
        </w:tc>
        <w:tc>
          <w:tcPr>
            <w:tcW w:w="2707" w:type="dxa"/>
          </w:tcPr>
          <w:p w14:paraId="610C4BB6" w14:textId="77777777" w:rsidR="00D45150" w:rsidRDefault="00D45150" w:rsidP="00D45150">
            <w:pPr>
              <w:rPr>
                <w:lang w:eastAsia="en-GB"/>
              </w:rPr>
            </w:pPr>
            <w:r>
              <w:rPr>
                <w:lang w:eastAsia="en-GB"/>
              </w:rPr>
              <w:t>-</w:t>
            </w:r>
          </w:p>
        </w:tc>
      </w:tr>
      <w:tr w:rsidR="00D45150" w14:paraId="610C4BBD" w14:textId="77777777" w:rsidTr="005B3E6B">
        <w:tc>
          <w:tcPr>
            <w:tcW w:w="2254" w:type="dxa"/>
          </w:tcPr>
          <w:p w14:paraId="610C4BB8" w14:textId="1AEB751D" w:rsidR="00D45150" w:rsidRDefault="00D45150" w:rsidP="0031488B">
            <w:pPr>
              <w:rPr>
                <w:lang w:eastAsia="en-GB"/>
              </w:rPr>
            </w:pPr>
            <w:r>
              <w:rPr>
                <w:lang w:eastAsia="en-GB"/>
              </w:rPr>
              <w:t>Tangiisuran (2014)</w:t>
            </w:r>
            <w:r w:rsidR="0031488B" w:rsidRPr="0031488B">
              <w:rPr>
                <w:noProof/>
                <w:vertAlign w:val="superscript"/>
                <w:lang w:eastAsia="en-GB"/>
              </w:rPr>
              <w:t>35</w:t>
            </w:r>
          </w:p>
        </w:tc>
        <w:tc>
          <w:tcPr>
            <w:tcW w:w="2561" w:type="dxa"/>
          </w:tcPr>
          <w:p w14:paraId="610C4BB9" w14:textId="77777777" w:rsidR="00D45150" w:rsidRDefault="00D45150" w:rsidP="00D45150">
            <w:pPr>
              <w:rPr>
                <w:lang w:eastAsia="en-GB"/>
              </w:rPr>
            </w:pPr>
            <w:r>
              <w:rPr>
                <w:lang w:eastAsia="en-GB"/>
              </w:rPr>
              <w:t xml:space="preserve">Population </w:t>
            </w:r>
            <w:r>
              <w:rPr>
                <w:rFonts w:cstheme="minorHAnsi"/>
                <w:lang w:eastAsia="en-GB"/>
              </w:rPr>
              <w:t>≥</w:t>
            </w:r>
            <w:r>
              <w:rPr>
                <w:lang w:eastAsia="en-GB"/>
              </w:rPr>
              <w:t xml:space="preserve"> 65 years</w:t>
            </w:r>
          </w:p>
        </w:tc>
        <w:tc>
          <w:tcPr>
            <w:tcW w:w="2693" w:type="dxa"/>
          </w:tcPr>
          <w:p w14:paraId="610C4BBA" w14:textId="77777777" w:rsidR="00D45150" w:rsidRDefault="00D45150" w:rsidP="00D45150">
            <w:pPr>
              <w:rPr>
                <w:lang w:eastAsia="en-GB"/>
              </w:rPr>
            </w:pPr>
            <w:r>
              <w:rPr>
                <w:lang w:eastAsia="en-GB"/>
              </w:rPr>
              <w:t>8 IQR 6-10</w:t>
            </w:r>
            <w:r w:rsidRPr="003266B8">
              <w:rPr>
                <w:vertAlign w:val="superscript"/>
                <w:lang w:eastAsia="en-GB"/>
              </w:rPr>
              <w:t>b</w:t>
            </w:r>
            <w:r>
              <w:rPr>
                <w:lang w:eastAsia="en-GB"/>
              </w:rPr>
              <w:t xml:space="preserve"> Dev.</w:t>
            </w:r>
          </w:p>
          <w:p w14:paraId="610C4BBB" w14:textId="77777777" w:rsidR="00D45150" w:rsidRDefault="00D45150" w:rsidP="00D45150">
            <w:pPr>
              <w:rPr>
                <w:lang w:eastAsia="en-GB"/>
              </w:rPr>
            </w:pPr>
            <w:r>
              <w:rPr>
                <w:lang w:eastAsia="en-GB"/>
              </w:rPr>
              <w:t>Val. Not documented</w:t>
            </w:r>
          </w:p>
        </w:tc>
        <w:tc>
          <w:tcPr>
            <w:tcW w:w="2707" w:type="dxa"/>
          </w:tcPr>
          <w:p w14:paraId="610C4BBC" w14:textId="77777777" w:rsidR="00D45150" w:rsidRDefault="00D45150" w:rsidP="00D45150">
            <w:pPr>
              <w:rPr>
                <w:lang w:eastAsia="en-GB"/>
              </w:rPr>
            </w:pPr>
            <w:r>
              <w:rPr>
                <w:lang w:eastAsia="en-GB"/>
              </w:rPr>
              <w:t>-</w:t>
            </w:r>
          </w:p>
        </w:tc>
      </w:tr>
      <w:tr w:rsidR="00D45150" w14:paraId="610C4BC5" w14:textId="77777777" w:rsidTr="005B3E6B">
        <w:tc>
          <w:tcPr>
            <w:tcW w:w="2254" w:type="dxa"/>
          </w:tcPr>
          <w:p w14:paraId="610C4BBE" w14:textId="193473C9" w:rsidR="00D45150" w:rsidRDefault="00D45150" w:rsidP="0031488B">
            <w:pPr>
              <w:rPr>
                <w:lang w:eastAsia="en-GB"/>
              </w:rPr>
            </w:pPr>
            <w:r>
              <w:rPr>
                <w:lang w:eastAsia="en-GB"/>
              </w:rPr>
              <w:t>Ayub</w:t>
            </w:r>
            <w:r w:rsidR="0031488B" w:rsidRPr="0031488B">
              <w:rPr>
                <w:noProof/>
                <w:vertAlign w:val="superscript"/>
                <w:lang w:eastAsia="en-GB"/>
              </w:rPr>
              <w:t>7</w:t>
            </w:r>
          </w:p>
        </w:tc>
        <w:tc>
          <w:tcPr>
            <w:tcW w:w="2561" w:type="dxa"/>
          </w:tcPr>
          <w:p w14:paraId="610C4BBF" w14:textId="77777777" w:rsidR="00D45150" w:rsidRDefault="00D45150" w:rsidP="00D45150">
            <w:pPr>
              <w:rPr>
                <w:lang w:eastAsia="en-GB"/>
              </w:rPr>
            </w:pPr>
            <w:r>
              <w:rPr>
                <w:lang w:eastAsia="en-GB"/>
              </w:rPr>
              <w:t xml:space="preserve">All ages author supplied </w:t>
            </w:r>
          </w:p>
        </w:tc>
        <w:tc>
          <w:tcPr>
            <w:tcW w:w="2693" w:type="dxa"/>
          </w:tcPr>
          <w:p w14:paraId="610C4BC0" w14:textId="77777777" w:rsidR="00D45150" w:rsidRDefault="00D45150" w:rsidP="00D45150">
            <w:pPr>
              <w:rPr>
                <w:lang w:eastAsia="en-GB"/>
              </w:rPr>
            </w:pPr>
            <w:r>
              <w:rPr>
                <w:lang w:eastAsia="en-GB"/>
              </w:rPr>
              <w:t xml:space="preserve">4.71 </w:t>
            </w:r>
            <w:r>
              <w:rPr>
                <w:rFonts w:cstheme="minorHAnsi"/>
                <w:lang w:eastAsia="en-GB"/>
              </w:rPr>
              <w:t>±</w:t>
            </w:r>
            <w:r>
              <w:rPr>
                <w:lang w:eastAsia="en-GB"/>
              </w:rPr>
              <w:t xml:space="preserve"> 1.6</w:t>
            </w:r>
            <w:r w:rsidRPr="00D50126">
              <w:rPr>
                <w:vertAlign w:val="superscript"/>
                <w:lang w:eastAsia="en-GB"/>
              </w:rPr>
              <w:t>a</w:t>
            </w:r>
          </w:p>
        </w:tc>
        <w:tc>
          <w:tcPr>
            <w:tcW w:w="2707" w:type="dxa"/>
          </w:tcPr>
          <w:p w14:paraId="610C4BC1" w14:textId="77777777" w:rsidR="00D45150" w:rsidRDefault="00D45150" w:rsidP="00D45150">
            <w:pPr>
              <w:rPr>
                <w:lang w:eastAsia="en-GB"/>
              </w:rPr>
            </w:pPr>
            <w:r>
              <w:rPr>
                <w:lang w:eastAsia="en-GB"/>
              </w:rPr>
              <w:t>Range 2-7</w:t>
            </w:r>
          </w:p>
          <w:p w14:paraId="610C4BC2" w14:textId="3B44B3DE" w:rsidR="00D45150" w:rsidRDefault="00D45150" w:rsidP="00D45150">
            <w:pPr>
              <w:rPr>
                <w:lang w:eastAsia="en-GB"/>
              </w:rPr>
            </w:pPr>
            <w:r>
              <w:rPr>
                <w:lang w:eastAsia="en-GB"/>
              </w:rPr>
              <w:t xml:space="preserve">ADR 4.8 </w:t>
            </w:r>
            <w:r>
              <w:rPr>
                <w:rFonts w:cstheme="minorHAnsi"/>
                <w:lang w:eastAsia="en-GB"/>
              </w:rPr>
              <w:t>±</w:t>
            </w:r>
            <w:r>
              <w:rPr>
                <w:lang w:eastAsia="en-GB"/>
              </w:rPr>
              <w:t xml:space="preserve"> 1.3</w:t>
            </w:r>
            <w:r w:rsidR="00826E12" w:rsidRPr="008937F3">
              <w:rPr>
                <w:vertAlign w:val="superscript"/>
                <w:lang w:eastAsia="en-GB"/>
              </w:rPr>
              <w:t>a</w:t>
            </w:r>
          </w:p>
          <w:p w14:paraId="610C4BC3" w14:textId="70B9D2F2" w:rsidR="00D45150" w:rsidRDefault="00D45150" w:rsidP="00D45150">
            <w:pPr>
              <w:rPr>
                <w:lang w:eastAsia="en-GB"/>
              </w:rPr>
            </w:pPr>
            <w:r>
              <w:rPr>
                <w:lang w:eastAsia="en-GB"/>
              </w:rPr>
              <w:t xml:space="preserve">Non-ADR 3.6 </w:t>
            </w:r>
            <w:r>
              <w:rPr>
                <w:rFonts w:cstheme="minorHAnsi"/>
                <w:lang w:eastAsia="en-GB"/>
              </w:rPr>
              <w:t>±</w:t>
            </w:r>
            <w:r>
              <w:rPr>
                <w:lang w:eastAsia="en-GB"/>
              </w:rPr>
              <w:t xml:space="preserve"> 1.7</w:t>
            </w:r>
            <w:r w:rsidR="00826E12" w:rsidRPr="008937F3">
              <w:rPr>
                <w:vertAlign w:val="superscript"/>
                <w:lang w:eastAsia="en-GB"/>
              </w:rPr>
              <w:t>a</w:t>
            </w:r>
          </w:p>
          <w:p w14:paraId="610C4BC4" w14:textId="77777777" w:rsidR="00D45150" w:rsidRDefault="00D45150" w:rsidP="00D45150">
            <w:pPr>
              <w:rPr>
                <w:lang w:eastAsia="en-GB"/>
              </w:rPr>
            </w:pPr>
            <w:r>
              <w:rPr>
                <w:lang w:eastAsia="en-GB"/>
              </w:rPr>
              <w:t>p=0.475</w:t>
            </w:r>
          </w:p>
        </w:tc>
      </w:tr>
      <w:tr w:rsidR="00D45150" w14:paraId="610C4BCA" w14:textId="77777777" w:rsidTr="005B3E6B">
        <w:tc>
          <w:tcPr>
            <w:tcW w:w="2254" w:type="dxa"/>
          </w:tcPr>
          <w:p w14:paraId="610C4BC6" w14:textId="59129F20" w:rsidR="00D45150" w:rsidRDefault="00D45150" w:rsidP="0031488B">
            <w:pPr>
              <w:rPr>
                <w:lang w:eastAsia="en-GB"/>
              </w:rPr>
            </w:pPr>
            <w:r>
              <w:rPr>
                <w:lang w:eastAsia="en-GB"/>
              </w:rPr>
              <w:t>Ganeva (2013)</w:t>
            </w:r>
            <w:r w:rsidR="0031488B" w:rsidRPr="0031488B">
              <w:rPr>
                <w:noProof/>
                <w:vertAlign w:val="superscript"/>
                <w:lang w:eastAsia="en-GB"/>
              </w:rPr>
              <w:t>17</w:t>
            </w:r>
          </w:p>
        </w:tc>
        <w:tc>
          <w:tcPr>
            <w:tcW w:w="2561" w:type="dxa"/>
          </w:tcPr>
          <w:p w14:paraId="610C4BC7" w14:textId="77777777" w:rsidR="00D45150" w:rsidRDefault="00D45150" w:rsidP="00D45150">
            <w:pPr>
              <w:rPr>
                <w:lang w:eastAsia="en-GB"/>
              </w:rPr>
            </w:pPr>
            <w:r>
              <w:rPr>
                <w:lang w:eastAsia="en-GB"/>
              </w:rPr>
              <w:t>All ages author supplied</w:t>
            </w:r>
          </w:p>
        </w:tc>
        <w:tc>
          <w:tcPr>
            <w:tcW w:w="2693" w:type="dxa"/>
          </w:tcPr>
          <w:p w14:paraId="610C4BC8" w14:textId="77777777" w:rsidR="00D45150" w:rsidRDefault="00D45150" w:rsidP="00D45150">
            <w:pPr>
              <w:rPr>
                <w:lang w:eastAsia="en-GB"/>
              </w:rPr>
            </w:pPr>
            <w:r>
              <w:rPr>
                <w:lang w:eastAsia="en-GB"/>
              </w:rPr>
              <w:t xml:space="preserve">2.7 </w:t>
            </w:r>
            <w:r>
              <w:rPr>
                <w:rFonts w:cstheme="minorHAnsi"/>
                <w:lang w:eastAsia="en-GB"/>
              </w:rPr>
              <w:t>± 1.8</w:t>
            </w:r>
            <w:r w:rsidRPr="00A40813">
              <w:rPr>
                <w:rFonts w:cstheme="minorHAnsi"/>
                <w:vertAlign w:val="superscript"/>
                <w:lang w:eastAsia="en-GB"/>
              </w:rPr>
              <w:t>a</w:t>
            </w:r>
          </w:p>
        </w:tc>
        <w:tc>
          <w:tcPr>
            <w:tcW w:w="2707" w:type="dxa"/>
          </w:tcPr>
          <w:p w14:paraId="610C4BC9" w14:textId="77777777" w:rsidR="00D45150" w:rsidRDefault="00D45150" w:rsidP="00D45150">
            <w:pPr>
              <w:rPr>
                <w:lang w:eastAsia="en-GB"/>
              </w:rPr>
            </w:pPr>
            <w:r>
              <w:rPr>
                <w:lang w:eastAsia="en-GB"/>
              </w:rPr>
              <w:t>-</w:t>
            </w:r>
          </w:p>
        </w:tc>
      </w:tr>
      <w:tr w:rsidR="00D45150" w14:paraId="58FDA6B3" w14:textId="77777777" w:rsidTr="005B3E6B">
        <w:tc>
          <w:tcPr>
            <w:tcW w:w="2254" w:type="dxa"/>
          </w:tcPr>
          <w:p w14:paraId="69D7C2F0" w14:textId="64A9EF72" w:rsidR="00D45150" w:rsidRDefault="00A51E14" w:rsidP="0031488B">
            <w:pPr>
              <w:rPr>
                <w:lang w:eastAsia="en-GB"/>
              </w:rPr>
            </w:pPr>
            <w:r>
              <w:rPr>
                <w:lang w:eastAsia="en-GB"/>
              </w:rPr>
              <w:t>Hailu</w:t>
            </w:r>
            <w:r w:rsidR="0031488B" w:rsidRPr="0031488B">
              <w:rPr>
                <w:noProof/>
                <w:vertAlign w:val="superscript"/>
                <w:lang w:eastAsia="en-GB"/>
              </w:rPr>
              <w:t>19</w:t>
            </w:r>
          </w:p>
        </w:tc>
        <w:tc>
          <w:tcPr>
            <w:tcW w:w="2561" w:type="dxa"/>
          </w:tcPr>
          <w:p w14:paraId="2446F19F" w14:textId="77777777" w:rsidR="00D45150" w:rsidRDefault="00D45150" w:rsidP="00D45150">
            <w:pPr>
              <w:rPr>
                <w:i/>
                <w:lang w:eastAsia="en-GB"/>
              </w:rPr>
            </w:pPr>
            <w:r w:rsidRPr="005729F5">
              <w:rPr>
                <w:i/>
                <w:lang w:eastAsia="en-GB"/>
              </w:rPr>
              <w:t>All ages</w:t>
            </w:r>
          </w:p>
          <w:p w14:paraId="155E4F73" w14:textId="50B03462" w:rsidR="00D45150" w:rsidRDefault="00D45150" w:rsidP="00D45150">
            <w:pPr>
              <w:rPr>
                <w:lang w:eastAsia="en-GB"/>
              </w:rPr>
            </w:pPr>
            <w:r>
              <w:rPr>
                <w:i/>
                <w:lang w:eastAsia="en-GB"/>
              </w:rPr>
              <w:t xml:space="preserve">(60.5% </w:t>
            </w:r>
            <w:r>
              <w:rPr>
                <w:rFonts w:cstheme="minorHAnsi"/>
                <w:i/>
                <w:lang w:eastAsia="en-GB"/>
              </w:rPr>
              <w:t>≥</w:t>
            </w:r>
            <w:r>
              <w:rPr>
                <w:i/>
                <w:lang w:eastAsia="en-GB"/>
              </w:rPr>
              <w:t xml:space="preserve"> 65 years)</w:t>
            </w:r>
          </w:p>
        </w:tc>
        <w:tc>
          <w:tcPr>
            <w:tcW w:w="2693" w:type="dxa"/>
          </w:tcPr>
          <w:p w14:paraId="5E1AB595" w14:textId="2AAE55DC" w:rsidR="00D45150" w:rsidRPr="008937F3" w:rsidRDefault="00D45150" w:rsidP="00D45150">
            <w:r>
              <w:t>2.20</w:t>
            </w:r>
            <w:r w:rsidRPr="00140A14">
              <w:t xml:space="preserve"> </w:t>
            </w:r>
            <w:r w:rsidRPr="00140A14">
              <w:rPr>
                <w:rFonts w:ascii="Calibri" w:hAnsi="Calibri" w:cs="Calibri"/>
              </w:rPr>
              <w:t>±</w:t>
            </w:r>
            <w:r w:rsidRPr="00140A14">
              <w:t xml:space="preserve"> </w:t>
            </w:r>
            <w:r>
              <w:t>1.157</w:t>
            </w:r>
            <w:r w:rsidR="00826E12" w:rsidRPr="0008615D">
              <w:rPr>
                <w:rFonts w:cstheme="minorHAnsi"/>
                <w:vertAlign w:val="superscript"/>
                <w:lang w:eastAsia="en-GB"/>
              </w:rPr>
              <w:t xml:space="preserve"> a</w:t>
            </w:r>
          </w:p>
        </w:tc>
        <w:tc>
          <w:tcPr>
            <w:tcW w:w="2707" w:type="dxa"/>
          </w:tcPr>
          <w:p w14:paraId="41B507EB" w14:textId="2CB0C857" w:rsidR="00D45150" w:rsidRDefault="00D45150" w:rsidP="00AB78B1">
            <w:pPr>
              <w:rPr>
                <w:lang w:eastAsia="en-GB"/>
              </w:rPr>
            </w:pPr>
            <w:r>
              <w:rPr>
                <w:lang w:eastAsia="en-GB"/>
              </w:rPr>
              <w:t xml:space="preserve">Adjusted odds ratio (all ages) </w:t>
            </w:r>
            <w:r w:rsidRPr="00E05DE9">
              <w:rPr>
                <w:lang w:eastAsia="en-GB"/>
              </w:rPr>
              <w:t>1.588 (1.03–2.45)</w:t>
            </w:r>
            <w:r>
              <w:rPr>
                <w:lang w:eastAsia="en-GB"/>
              </w:rPr>
              <w:t xml:space="preserve"> p = </w:t>
            </w:r>
            <w:r w:rsidRPr="00E05DE9">
              <w:rPr>
                <w:lang w:eastAsia="en-GB"/>
              </w:rPr>
              <w:t>0.04</w:t>
            </w:r>
          </w:p>
        </w:tc>
      </w:tr>
    </w:tbl>
    <w:p w14:paraId="610C4BCB" w14:textId="77777777" w:rsidR="007D57FB" w:rsidRPr="006B7F0F" w:rsidRDefault="007D57FB" w:rsidP="005B3E6B">
      <w:pPr>
        <w:rPr>
          <w:rFonts w:cstheme="minorHAnsi"/>
          <w:i/>
          <w:sz w:val="20"/>
          <w:lang w:eastAsia="en-GB"/>
        </w:rPr>
      </w:pPr>
      <w:r w:rsidRPr="00C1372C">
        <w:rPr>
          <w:sz w:val="20"/>
          <w:vertAlign w:val="superscript"/>
          <w:lang w:eastAsia="en-GB"/>
        </w:rPr>
        <w:t xml:space="preserve">a </w:t>
      </w:r>
      <w:r w:rsidRPr="00C1372C">
        <w:rPr>
          <w:sz w:val="20"/>
          <w:lang w:eastAsia="en-GB"/>
        </w:rPr>
        <w:t xml:space="preserve">- </w:t>
      </w:r>
      <w:r w:rsidRPr="00C1372C">
        <w:rPr>
          <w:i/>
          <w:sz w:val="20"/>
          <w:lang w:eastAsia="en-GB"/>
        </w:rPr>
        <w:t xml:space="preserve">Mean </w:t>
      </w:r>
      <w:r w:rsidRPr="00C1372C">
        <w:rPr>
          <w:rFonts w:cstheme="minorHAnsi"/>
          <w:i/>
          <w:sz w:val="20"/>
          <w:lang w:eastAsia="en-GB"/>
        </w:rPr>
        <w:t>± standard deviation;</w:t>
      </w:r>
      <w:r>
        <w:rPr>
          <w:rFonts w:cstheme="minorHAnsi"/>
          <w:i/>
          <w:sz w:val="20"/>
          <w:lang w:eastAsia="en-GB"/>
        </w:rPr>
        <w:t xml:space="preserve"> CIRS – cumulative illness rating score;</w:t>
      </w:r>
      <w:r w:rsidRPr="009F0AC0">
        <w:rPr>
          <w:rFonts w:cstheme="minorHAnsi"/>
          <w:i/>
          <w:sz w:val="20"/>
          <w:lang w:eastAsia="en-GB"/>
        </w:rPr>
        <w:t xml:space="preserve"> </w:t>
      </w:r>
      <w:r>
        <w:rPr>
          <w:rFonts w:cstheme="minorHAnsi"/>
          <w:i/>
          <w:sz w:val="20"/>
          <w:lang w:eastAsia="en-GB"/>
        </w:rPr>
        <w:t>ADRs – Adverse drug reaction; * - identified from subsequent publication</w:t>
      </w:r>
      <w:r w:rsidRPr="00BB1074">
        <w:rPr>
          <w:rFonts w:cstheme="minorHAnsi"/>
          <w:i/>
          <w:noProof/>
          <w:sz w:val="20"/>
          <w:vertAlign w:val="superscript"/>
          <w:lang w:eastAsia="en-GB"/>
        </w:rPr>
        <w:t>51</w:t>
      </w:r>
      <w:r>
        <w:rPr>
          <w:rFonts w:cstheme="minorHAnsi"/>
          <w:i/>
          <w:sz w:val="20"/>
          <w:lang w:eastAsia="en-GB"/>
        </w:rPr>
        <w:t xml:space="preserve">; </w:t>
      </w:r>
      <w:r w:rsidRPr="00C1372C">
        <w:rPr>
          <w:rFonts w:cstheme="minorHAnsi"/>
          <w:i/>
          <w:sz w:val="20"/>
          <w:lang w:eastAsia="en-GB"/>
        </w:rPr>
        <w:t xml:space="preserve"> </w:t>
      </w:r>
      <w:r w:rsidRPr="00C1372C">
        <w:rPr>
          <w:sz w:val="20"/>
          <w:vertAlign w:val="superscript"/>
          <w:lang w:eastAsia="en-GB"/>
        </w:rPr>
        <w:t xml:space="preserve">b </w:t>
      </w:r>
      <w:r w:rsidRPr="00C1372C">
        <w:rPr>
          <w:rFonts w:cstheme="minorHAnsi"/>
          <w:i/>
          <w:sz w:val="20"/>
          <w:lang w:eastAsia="en-GB"/>
        </w:rPr>
        <w:t>- Median IQR; IQR – interquartile rang</w:t>
      </w:r>
      <w:r>
        <w:rPr>
          <w:rFonts w:cstheme="minorHAnsi"/>
          <w:i/>
          <w:sz w:val="20"/>
          <w:lang w:eastAsia="en-GB"/>
        </w:rPr>
        <w:t>e</w:t>
      </w:r>
      <w:r w:rsidRPr="00C1372C">
        <w:rPr>
          <w:rFonts w:cstheme="minorHAnsi"/>
          <w:i/>
          <w:sz w:val="20"/>
          <w:lang w:eastAsia="en-GB"/>
        </w:rPr>
        <w:t>;</w:t>
      </w:r>
      <w:r>
        <w:rPr>
          <w:rFonts w:cstheme="minorHAnsi"/>
          <w:i/>
          <w:sz w:val="20"/>
          <w:lang w:eastAsia="en-GB"/>
        </w:rPr>
        <w:t xml:space="preserve"> </w:t>
      </w:r>
      <w:r w:rsidRPr="00C1372C">
        <w:rPr>
          <w:rFonts w:cstheme="minorHAnsi"/>
          <w:i/>
          <w:sz w:val="20"/>
          <w:lang w:eastAsia="en-GB"/>
        </w:rPr>
        <w:t xml:space="preserve">GIFA </w:t>
      </w:r>
      <w:r>
        <w:rPr>
          <w:rFonts w:cstheme="minorHAnsi"/>
          <w:i/>
          <w:sz w:val="20"/>
          <w:lang w:eastAsia="en-GB"/>
        </w:rPr>
        <w:t>– gruppo Italiano di farmacovigilanza nell’Anziano</w:t>
      </w:r>
      <w:r w:rsidRPr="00C1372C">
        <w:rPr>
          <w:rFonts w:cstheme="minorHAnsi"/>
          <w:i/>
          <w:sz w:val="20"/>
          <w:lang w:eastAsia="en-GB"/>
        </w:rPr>
        <w:t>; Dev. – development</w:t>
      </w:r>
      <w:r>
        <w:rPr>
          <w:rFonts w:cstheme="minorHAnsi"/>
          <w:i/>
          <w:sz w:val="20"/>
          <w:lang w:eastAsia="en-GB"/>
        </w:rPr>
        <w:t>;</w:t>
      </w:r>
      <w:r w:rsidRPr="00C1372C">
        <w:rPr>
          <w:rFonts w:cstheme="minorHAnsi"/>
          <w:i/>
          <w:sz w:val="20"/>
          <w:lang w:eastAsia="en-GB"/>
        </w:rPr>
        <w:t xml:space="preserve"> Val. – validation</w:t>
      </w:r>
    </w:p>
    <w:p w14:paraId="610C4BCD" w14:textId="77777777" w:rsidR="007D57FB" w:rsidRDefault="007D57FB" w:rsidP="005B3E6B">
      <w:pPr>
        <w:pStyle w:val="Heading1"/>
      </w:pPr>
    </w:p>
    <w:p w14:paraId="610C4BCE" w14:textId="533121C1" w:rsidR="007D57FB" w:rsidRDefault="00DA5224" w:rsidP="005B3E6B">
      <w:pPr>
        <w:pStyle w:val="Heading1"/>
      </w:pPr>
      <w:bookmarkStart w:id="73" w:name="_Toc52396392"/>
      <w:r>
        <w:t>Appendix 28</w:t>
      </w:r>
      <w:r w:rsidR="00737863">
        <w:t>.</w:t>
      </w:r>
      <w:r w:rsidR="007D57FB">
        <w:t xml:space="preserve"> Reported ADR outcomes</w:t>
      </w:r>
      <w:bookmarkEnd w:id="73"/>
      <w:r w:rsidR="007D57FB">
        <w:t xml:space="preserve"> </w:t>
      </w:r>
    </w:p>
    <w:p w14:paraId="2D5DF472" w14:textId="5AF86351" w:rsidR="00E17706" w:rsidRPr="00E17706" w:rsidRDefault="0031488B" w:rsidP="008937F3">
      <w:r>
        <w:t xml:space="preserve">Clinical </w:t>
      </w:r>
      <w:r w:rsidRPr="00053D56">
        <w:t xml:space="preserve">outcomes </w:t>
      </w:r>
      <w:r>
        <w:t xml:space="preserve">following ADRs were infrequently reported, only 9 </w:t>
      </w:r>
      <w:r w:rsidRPr="00053D56">
        <w:t>papers</w:t>
      </w:r>
      <w:r w:rsidR="00EF4A21" w:rsidRPr="00EF4A21">
        <w:rPr>
          <w:noProof/>
          <w:vertAlign w:val="superscript"/>
        </w:rPr>
        <w:t>12,14,17,20,22,23,25,31,34</w:t>
      </w:r>
      <w:r>
        <w:t xml:space="preserve"> commented on mortality and/or LOS</w:t>
      </w:r>
      <w:r w:rsidRPr="00053D56">
        <w:t>.</w:t>
      </w:r>
      <w:r>
        <w:t xml:space="preserve"> Pooled analysis was not feasible.</w:t>
      </w:r>
    </w:p>
    <w:tbl>
      <w:tblPr>
        <w:tblStyle w:val="TableGrid"/>
        <w:tblW w:w="9776" w:type="dxa"/>
        <w:tblLook w:val="04A0" w:firstRow="1" w:lastRow="0" w:firstColumn="1" w:lastColumn="0" w:noHBand="0" w:noVBand="1"/>
      </w:tblPr>
      <w:tblGrid>
        <w:gridCol w:w="2254"/>
        <w:gridCol w:w="2561"/>
        <w:gridCol w:w="4961"/>
      </w:tblGrid>
      <w:tr w:rsidR="007D57FB" w14:paraId="610C4BD2" w14:textId="77777777" w:rsidTr="005B3E6B">
        <w:tc>
          <w:tcPr>
            <w:tcW w:w="2254" w:type="dxa"/>
          </w:tcPr>
          <w:p w14:paraId="610C4BCF" w14:textId="77777777" w:rsidR="007D57FB" w:rsidRPr="00337D34" w:rsidRDefault="007D57FB" w:rsidP="005B3E6B">
            <w:pPr>
              <w:rPr>
                <w:b/>
                <w:lang w:eastAsia="en-GB"/>
              </w:rPr>
            </w:pPr>
            <w:r w:rsidRPr="00337D34">
              <w:rPr>
                <w:b/>
                <w:lang w:eastAsia="en-GB"/>
              </w:rPr>
              <w:t>Source</w:t>
            </w:r>
          </w:p>
        </w:tc>
        <w:tc>
          <w:tcPr>
            <w:tcW w:w="2561" w:type="dxa"/>
          </w:tcPr>
          <w:p w14:paraId="610C4BD0" w14:textId="77777777" w:rsidR="007D57FB" w:rsidRPr="00337D34" w:rsidRDefault="007D57FB" w:rsidP="005B3E6B">
            <w:pPr>
              <w:rPr>
                <w:b/>
                <w:lang w:eastAsia="en-GB"/>
              </w:rPr>
            </w:pPr>
            <w:r w:rsidRPr="00337D34">
              <w:rPr>
                <w:b/>
                <w:lang w:eastAsia="en-GB"/>
              </w:rPr>
              <w:t>Population</w:t>
            </w:r>
          </w:p>
        </w:tc>
        <w:tc>
          <w:tcPr>
            <w:tcW w:w="4961" w:type="dxa"/>
          </w:tcPr>
          <w:p w14:paraId="610C4BD1" w14:textId="77777777" w:rsidR="007D57FB" w:rsidRPr="00337D34" w:rsidRDefault="007D57FB" w:rsidP="005B3E6B">
            <w:pPr>
              <w:rPr>
                <w:b/>
                <w:lang w:eastAsia="en-GB"/>
              </w:rPr>
            </w:pPr>
            <w:r>
              <w:rPr>
                <w:b/>
                <w:lang w:eastAsia="en-GB"/>
              </w:rPr>
              <w:t xml:space="preserve">Outcome details </w:t>
            </w:r>
          </w:p>
        </w:tc>
      </w:tr>
      <w:tr w:rsidR="007D57FB" w14:paraId="610C4BD8" w14:textId="77777777" w:rsidTr="005B3E6B">
        <w:tc>
          <w:tcPr>
            <w:tcW w:w="2254" w:type="dxa"/>
          </w:tcPr>
          <w:p w14:paraId="610C4BD3" w14:textId="1E419B9A" w:rsidR="007D57FB" w:rsidRDefault="007D57FB" w:rsidP="00F54725">
            <w:pPr>
              <w:rPr>
                <w:lang w:eastAsia="en-GB"/>
              </w:rPr>
            </w:pPr>
            <w:r>
              <w:rPr>
                <w:lang w:eastAsia="en-GB"/>
              </w:rPr>
              <w:t>Conforti</w:t>
            </w:r>
            <w:r w:rsidR="00F54725" w:rsidRPr="00F54725">
              <w:rPr>
                <w:noProof/>
                <w:vertAlign w:val="superscript"/>
                <w:lang w:eastAsia="en-GB"/>
              </w:rPr>
              <w:t>12</w:t>
            </w:r>
          </w:p>
        </w:tc>
        <w:tc>
          <w:tcPr>
            <w:tcW w:w="2561" w:type="dxa"/>
          </w:tcPr>
          <w:p w14:paraId="610C4BD4"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D5" w14:textId="77777777" w:rsidR="007D57FB" w:rsidRDefault="007D57FB" w:rsidP="005B3E6B">
            <w:pPr>
              <w:rPr>
                <w:lang w:eastAsia="en-GB"/>
              </w:rPr>
            </w:pPr>
            <w:r>
              <w:rPr>
                <w:lang w:eastAsia="en-GB"/>
              </w:rPr>
              <w:t>ADR LOS 18.7 (95% CI 17.2-20.1)</w:t>
            </w:r>
            <w:r w:rsidRPr="00F8311E">
              <w:rPr>
                <w:vertAlign w:val="superscript"/>
                <w:lang w:eastAsia="en-GB"/>
              </w:rPr>
              <w:t>a</w:t>
            </w:r>
          </w:p>
          <w:p w14:paraId="610C4BD6" w14:textId="77777777" w:rsidR="007D57FB" w:rsidRDefault="007D57FB" w:rsidP="005B3E6B">
            <w:pPr>
              <w:rPr>
                <w:vertAlign w:val="superscript"/>
                <w:lang w:eastAsia="en-GB"/>
              </w:rPr>
            </w:pPr>
            <w:r>
              <w:rPr>
                <w:lang w:eastAsia="en-GB"/>
              </w:rPr>
              <w:t>Non-ADR LOS 12.6 (95% CI 11.9-12.3)</w:t>
            </w:r>
            <w:r w:rsidRPr="00F8311E">
              <w:rPr>
                <w:vertAlign w:val="superscript"/>
                <w:lang w:eastAsia="en-GB"/>
              </w:rPr>
              <w:t>a</w:t>
            </w:r>
          </w:p>
          <w:p w14:paraId="610C4BD7" w14:textId="77777777" w:rsidR="007D57FB" w:rsidRPr="008736E8" w:rsidRDefault="007D57FB" w:rsidP="005B3E6B">
            <w:pPr>
              <w:rPr>
                <w:lang w:eastAsia="en-GB"/>
              </w:rPr>
            </w:pPr>
            <w:r>
              <w:rPr>
                <w:lang w:eastAsia="en-GB"/>
              </w:rPr>
              <w:t>No comment on statistical significance.</w:t>
            </w:r>
          </w:p>
        </w:tc>
      </w:tr>
      <w:tr w:rsidR="007D57FB" w14:paraId="610C4BDF" w14:textId="77777777" w:rsidTr="005B3E6B">
        <w:tc>
          <w:tcPr>
            <w:tcW w:w="2254" w:type="dxa"/>
          </w:tcPr>
          <w:p w14:paraId="610C4BD9" w14:textId="1FBE385A" w:rsidR="007D57FB" w:rsidRDefault="007D57FB" w:rsidP="00F54725">
            <w:pPr>
              <w:rPr>
                <w:lang w:eastAsia="en-GB"/>
              </w:rPr>
            </w:pPr>
            <w:r>
              <w:rPr>
                <w:lang w:eastAsia="en-GB"/>
              </w:rPr>
              <w:t>Corsonello</w:t>
            </w:r>
            <w:r w:rsidR="00F54725" w:rsidRPr="00F54725">
              <w:rPr>
                <w:noProof/>
                <w:vertAlign w:val="superscript"/>
                <w:lang w:eastAsia="en-GB"/>
              </w:rPr>
              <w:t>13</w:t>
            </w:r>
          </w:p>
        </w:tc>
        <w:tc>
          <w:tcPr>
            <w:tcW w:w="2561" w:type="dxa"/>
          </w:tcPr>
          <w:p w14:paraId="610C4BDA"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DB" w14:textId="77777777" w:rsidR="007D57FB" w:rsidRDefault="007D57FB" w:rsidP="005B3E6B">
            <w:pPr>
              <w:rPr>
                <w:lang w:eastAsia="en-GB"/>
              </w:rPr>
            </w:pPr>
            <w:r>
              <w:rPr>
                <w:lang w:eastAsia="en-GB"/>
              </w:rPr>
              <w:t xml:space="preserve">ADRs impact on functional decline </w:t>
            </w:r>
          </w:p>
          <w:p w14:paraId="610C4BDC" w14:textId="77777777" w:rsidR="007D57FB" w:rsidRDefault="007D57FB" w:rsidP="005B3E6B">
            <w:pPr>
              <w:rPr>
                <w:lang w:eastAsia="en-GB"/>
              </w:rPr>
            </w:pPr>
            <w:r>
              <w:rPr>
                <w:lang w:eastAsia="en-GB"/>
              </w:rPr>
              <w:t xml:space="preserve">Increasing # ADRs = loss of ADLs  1 ADR OR 11.1(4.18-29.5) p=0.001 loss </w:t>
            </w:r>
            <w:r>
              <w:rPr>
                <w:rFonts w:cstheme="minorHAnsi"/>
                <w:lang w:eastAsia="en-GB"/>
              </w:rPr>
              <w:t>≥</w:t>
            </w:r>
            <w:r>
              <w:rPr>
                <w:lang w:eastAsia="en-GB"/>
              </w:rPr>
              <w:t>1ADLs</w:t>
            </w:r>
          </w:p>
          <w:p w14:paraId="610C4BDD" w14:textId="77777777" w:rsidR="007D57FB" w:rsidRDefault="007D57FB" w:rsidP="005B3E6B">
            <w:pPr>
              <w:rPr>
                <w:lang w:eastAsia="en-GB"/>
              </w:rPr>
            </w:pPr>
            <w:r>
              <w:rPr>
                <w:lang w:eastAsia="en-GB"/>
              </w:rPr>
              <w:t>Increasing severity of ADR = loss of ADLs</w:t>
            </w:r>
          </w:p>
          <w:p w14:paraId="610C4BDE" w14:textId="0606FE89" w:rsidR="007D57FB" w:rsidRDefault="007D57FB" w:rsidP="005B3E6B">
            <w:pPr>
              <w:rPr>
                <w:lang w:eastAsia="en-GB"/>
              </w:rPr>
            </w:pPr>
            <w:r>
              <w:rPr>
                <w:lang w:eastAsia="en-GB"/>
              </w:rPr>
              <w:t>Moderate to severe ADR OR 8.11(2.67-24.6) p=</w:t>
            </w:r>
            <w:r w:rsidR="004C1041">
              <w:rPr>
                <w:lang w:eastAsia="en-GB"/>
              </w:rPr>
              <w:t>&lt;</w:t>
            </w:r>
            <w:r>
              <w:rPr>
                <w:lang w:eastAsia="en-GB"/>
              </w:rPr>
              <w:t>0.01</w:t>
            </w:r>
          </w:p>
        </w:tc>
      </w:tr>
      <w:tr w:rsidR="00614022" w14:paraId="4E5A820B" w14:textId="77777777" w:rsidTr="005B3E6B">
        <w:tc>
          <w:tcPr>
            <w:tcW w:w="2254" w:type="dxa"/>
          </w:tcPr>
          <w:p w14:paraId="37C57138" w14:textId="0A731CB8" w:rsidR="00614022" w:rsidRDefault="00614022" w:rsidP="00F54725">
            <w:pPr>
              <w:rPr>
                <w:lang w:eastAsia="en-GB"/>
              </w:rPr>
            </w:pPr>
            <w:r>
              <w:rPr>
                <w:lang w:eastAsia="en-GB"/>
              </w:rPr>
              <w:t>Liao</w:t>
            </w:r>
            <w:r w:rsidR="00F54725" w:rsidRPr="00F54725">
              <w:rPr>
                <w:noProof/>
                <w:vertAlign w:val="superscript"/>
                <w:lang w:eastAsia="en-GB"/>
              </w:rPr>
              <w:t>31</w:t>
            </w:r>
          </w:p>
        </w:tc>
        <w:tc>
          <w:tcPr>
            <w:tcW w:w="2561" w:type="dxa"/>
          </w:tcPr>
          <w:p w14:paraId="2C9530F6" w14:textId="7CA3540A" w:rsidR="00614022" w:rsidRDefault="00614022"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1D49BC50" w14:textId="4DBE78FF" w:rsidR="00614022" w:rsidRDefault="00614022" w:rsidP="005B3E6B">
            <w:pPr>
              <w:rPr>
                <w:lang w:eastAsia="en-GB"/>
              </w:rPr>
            </w:pPr>
            <w:r>
              <w:rPr>
                <w:lang w:eastAsia="en-GB"/>
              </w:rPr>
              <w:t xml:space="preserve">ADR group had </w:t>
            </w:r>
            <w:r w:rsidR="00500518">
              <w:rPr>
                <w:lang w:eastAsia="en-GB"/>
              </w:rPr>
              <w:t>increased length of stay (days)</w:t>
            </w:r>
            <w:r w:rsidR="00D41ED5">
              <w:rPr>
                <w:lang w:eastAsia="en-GB"/>
              </w:rPr>
              <w:t>. 30.8</w:t>
            </w:r>
            <w:r w:rsidR="00D41ED5">
              <w:rPr>
                <w:rFonts w:cstheme="minorHAnsi"/>
                <w:lang w:eastAsia="en-GB"/>
              </w:rPr>
              <w:t>±</w:t>
            </w:r>
            <w:r w:rsidR="00D41ED5">
              <w:rPr>
                <w:lang w:eastAsia="en-GB"/>
              </w:rPr>
              <w:t>30.2</w:t>
            </w:r>
            <w:r w:rsidR="00A057B7" w:rsidRPr="0008615D">
              <w:rPr>
                <w:rFonts w:cstheme="minorHAnsi"/>
                <w:vertAlign w:val="superscript"/>
                <w:lang w:eastAsia="en-GB"/>
              </w:rPr>
              <w:t xml:space="preserve"> a</w:t>
            </w:r>
            <w:r w:rsidR="00D41ED5">
              <w:rPr>
                <w:lang w:eastAsia="en-GB"/>
              </w:rPr>
              <w:t xml:space="preserve"> vs 16.9</w:t>
            </w:r>
            <w:r w:rsidR="00D41ED5">
              <w:rPr>
                <w:rFonts w:cstheme="minorHAnsi"/>
                <w:lang w:eastAsia="en-GB"/>
              </w:rPr>
              <w:t>±</w:t>
            </w:r>
            <w:r w:rsidR="00D41ED5">
              <w:rPr>
                <w:lang w:eastAsia="en-GB"/>
              </w:rPr>
              <w:t>14.7</w:t>
            </w:r>
            <w:r w:rsidR="00A057B7" w:rsidRPr="0008615D">
              <w:rPr>
                <w:rFonts w:cstheme="minorHAnsi"/>
                <w:vertAlign w:val="superscript"/>
                <w:lang w:eastAsia="en-GB"/>
              </w:rPr>
              <w:t xml:space="preserve"> a</w:t>
            </w:r>
            <w:r w:rsidR="00D41ED5">
              <w:rPr>
                <w:lang w:eastAsia="en-GB"/>
              </w:rPr>
              <w:t xml:space="preserve"> p = &lt;0.01</w:t>
            </w:r>
          </w:p>
          <w:p w14:paraId="4336FB2A" w14:textId="77777777" w:rsidR="00A057B7" w:rsidRDefault="00A057B7" w:rsidP="005B3E6B">
            <w:pPr>
              <w:rPr>
                <w:lang w:eastAsia="en-GB"/>
              </w:rPr>
            </w:pPr>
          </w:p>
          <w:p w14:paraId="51AB48C5" w14:textId="77777777" w:rsidR="00A057B7" w:rsidRDefault="00614022" w:rsidP="005B3E6B">
            <w:pPr>
              <w:rPr>
                <w:lang w:eastAsia="en-GB"/>
              </w:rPr>
            </w:pPr>
            <w:r>
              <w:rPr>
                <w:lang w:eastAsia="en-GB"/>
              </w:rPr>
              <w:t>ADR group had higher total medical expenses</w:t>
            </w:r>
            <w:r w:rsidR="00D41ED5">
              <w:rPr>
                <w:lang w:eastAsia="en-GB"/>
              </w:rPr>
              <w:t xml:space="preserve">. </w:t>
            </w:r>
          </w:p>
          <w:p w14:paraId="0A7B519D" w14:textId="51560ECB" w:rsidR="00614022" w:rsidRDefault="00D41ED5" w:rsidP="005B3E6B">
            <w:pPr>
              <w:rPr>
                <w:lang w:eastAsia="en-GB"/>
              </w:rPr>
            </w:pPr>
            <w:r>
              <w:rPr>
                <w:lang w:eastAsia="en-GB"/>
              </w:rPr>
              <w:t>US$ 9531.3</w:t>
            </w:r>
            <w:r>
              <w:rPr>
                <w:rFonts w:cstheme="minorHAnsi"/>
                <w:lang w:eastAsia="en-GB"/>
              </w:rPr>
              <w:t>±</w:t>
            </w:r>
            <w:r>
              <w:rPr>
                <w:lang w:eastAsia="en-GB"/>
              </w:rPr>
              <w:t>13634.5</w:t>
            </w:r>
            <w:r w:rsidR="00A057B7" w:rsidRPr="0008615D">
              <w:rPr>
                <w:rFonts w:cstheme="minorHAnsi"/>
                <w:vertAlign w:val="superscript"/>
                <w:lang w:eastAsia="en-GB"/>
              </w:rPr>
              <w:t xml:space="preserve"> a</w:t>
            </w:r>
            <w:r>
              <w:rPr>
                <w:lang w:eastAsia="en-GB"/>
              </w:rPr>
              <w:t xml:space="preserve"> vs 4108.9</w:t>
            </w:r>
            <w:r>
              <w:rPr>
                <w:rFonts w:cstheme="minorHAnsi"/>
                <w:lang w:eastAsia="en-GB"/>
              </w:rPr>
              <w:t>±</w:t>
            </w:r>
            <w:r>
              <w:rPr>
                <w:lang w:eastAsia="en-GB"/>
              </w:rPr>
              <w:t>5180.1</w:t>
            </w:r>
            <w:r w:rsidR="00A057B7" w:rsidRPr="0008615D">
              <w:rPr>
                <w:rFonts w:cstheme="minorHAnsi"/>
                <w:vertAlign w:val="superscript"/>
                <w:lang w:eastAsia="en-GB"/>
              </w:rPr>
              <w:t xml:space="preserve"> a</w:t>
            </w:r>
            <w:r>
              <w:rPr>
                <w:lang w:eastAsia="en-GB"/>
              </w:rPr>
              <w:t xml:space="preserve"> p=&lt;0.01</w:t>
            </w:r>
          </w:p>
          <w:p w14:paraId="3D7131AD" w14:textId="77777777" w:rsidR="00A057B7" w:rsidRDefault="00A057B7" w:rsidP="005B3E6B">
            <w:pPr>
              <w:rPr>
                <w:lang w:eastAsia="en-GB"/>
              </w:rPr>
            </w:pPr>
          </w:p>
          <w:p w14:paraId="3132550A" w14:textId="77777777" w:rsidR="00A057B7" w:rsidRDefault="00614022" w:rsidP="005B3E6B">
            <w:pPr>
              <w:rPr>
                <w:lang w:eastAsia="en-GB"/>
              </w:rPr>
            </w:pPr>
            <w:r>
              <w:rPr>
                <w:lang w:eastAsia="en-GB"/>
              </w:rPr>
              <w:t>ADR group had higher drug expenses</w:t>
            </w:r>
            <w:r w:rsidR="00D41ED5">
              <w:rPr>
                <w:lang w:eastAsia="en-GB"/>
              </w:rPr>
              <w:t xml:space="preserve">. </w:t>
            </w:r>
          </w:p>
          <w:p w14:paraId="72840902" w14:textId="01782183" w:rsidR="00D41ED5" w:rsidRDefault="00D41ED5" w:rsidP="005B3E6B">
            <w:pPr>
              <w:rPr>
                <w:lang w:eastAsia="en-GB"/>
              </w:rPr>
            </w:pPr>
            <w:r>
              <w:rPr>
                <w:lang w:eastAsia="en-GB"/>
              </w:rPr>
              <w:t>US$ 2276.4</w:t>
            </w:r>
            <w:r>
              <w:rPr>
                <w:rFonts w:cstheme="minorHAnsi"/>
                <w:lang w:eastAsia="en-GB"/>
              </w:rPr>
              <w:t>±</w:t>
            </w:r>
            <w:r>
              <w:rPr>
                <w:lang w:eastAsia="en-GB"/>
              </w:rPr>
              <w:t>4244.1</w:t>
            </w:r>
            <w:r w:rsidR="00A057B7" w:rsidRPr="0008615D">
              <w:rPr>
                <w:rFonts w:cstheme="minorHAnsi"/>
                <w:vertAlign w:val="superscript"/>
                <w:lang w:eastAsia="en-GB"/>
              </w:rPr>
              <w:t xml:space="preserve"> a</w:t>
            </w:r>
            <w:r>
              <w:rPr>
                <w:lang w:eastAsia="en-GB"/>
              </w:rPr>
              <w:t xml:space="preserve"> vs 817.0</w:t>
            </w:r>
            <w:r>
              <w:rPr>
                <w:rFonts w:cstheme="minorHAnsi"/>
                <w:lang w:eastAsia="en-GB"/>
              </w:rPr>
              <w:t>±</w:t>
            </w:r>
            <w:r w:rsidR="00382E1F">
              <w:rPr>
                <w:lang w:eastAsia="en-GB"/>
              </w:rPr>
              <w:t>1806.8</w:t>
            </w:r>
            <w:r w:rsidR="00A057B7" w:rsidRPr="0008615D">
              <w:rPr>
                <w:rFonts w:cstheme="minorHAnsi"/>
                <w:vertAlign w:val="superscript"/>
                <w:lang w:eastAsia="en-GB"/>
              </w:rPr>
              <w:t xml:space="preserve"> a</w:t>
            </w:r>
            <w:r w:rsidR="00382E1F">
              <w:rPr>
                <w:lang w:eastAsia="en-GB"/>
              </w:rPr>
              <w:t xml:space="preserve"> p=&lt;0.01</w:t>
            </w:r>
          </w:p>
        </w:tc>
      </w:tr>
      <w:tr w:rsidR="007D57FB" w14:paraId="610C4BE5" w14:textId="77777777" w:rsidTr="005B3E6B">
        <w:tc>
          <w:tcPr>
            <w:tcW w:w="2254" w:type="dxa"/>
          </w:tcPr>
          <w:p w14:paraId="610C4BE0" w14:textId="44597FD4" w:rsidR="007D57FB" w:rsidRDefault="007D57FB" w:rsidP="00F54725">
            <w:pPr>
              <w:rPr>
                <w:lang w:eastAsia="en-GB"/>
              </w:rPr>
            </w:pPr>
            <w:r>
              <w:rPr>
                <w:lang w:eastAsia="en-GB"/>
              </w:rPr>
              <w:t>O’Connor (2016)</w:t>
            </w:r>
            <w:r w:rsidR="00F54725" w:rsidRPr="00F54725">
              <w:rPr>
                <w:noProof/>
                <w:vertAlign w:val="superscript"/>
                <w:lang w:eastAsia="en-GB"/>
              </w:rPr>
              <w:t>23</w:t>
            </w:r>
          </w:p>
        </w:tc>
        <w:tc>
          <w:tcPr>
            <w:tcW w:w="2561" w:type="dxa"/>
          </w:tcPr>
          <w:p w14:paraId="610C4BE1"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E2" w14:textId="77777777" w:rsidR="007D57FB" w:rsidRDefault="007D57FB" w:rsidP="005B3E6B">
            <w:pPr>
              <w:rPr>
                <w:lang w:eastAsia="en-GB"/>
              </w:rPr>
            </w:pPr>
            <w:r>
              <w:rPr>
                <w:lang w:eastAsia="en-GB"/>
              </w:rPr>
              <w:t>ADR LOS 10 IQR 6-17</w:t>
            </w:r>
            <w:r w:rsidRPr="00F8311E">
              <w:rPr>
                <w:vertAlign w:val="superscript"/>
                <w:lang w:eastAsia="en-GB"/>
              </w:rPr>
              <w:t xml:space="preserve"> b</w:t>
            </w:r>
          </w:p>
          <w:p w14:paraId="610C4BE3" w14:textId="77777777" w:rsidR="007D57FB" w:rsidRDefault="007D57FB" w:rsidP="005B3E6B">
            <w:pPr>
              <w:rPr>
                <w:vertAlign w:val="superscript"/>
                <w:lang w:eastAsia="en-GB"/>
              </w:rPr>
            </w:pPr>
            <w:r>
              <w:rPr>
                <w:lang w:eastAsia="en-GB"/>
              </w:rPr>
              <w:t>Non-ADR LOS 7 IQR 4-14</w:t>
            </w:r>
            <w:r w:rsidRPr="00F8311E">
              <w:rPr>
                <w:vertAlign w:val="superscript"/>
                <w:lang w:eastAsia="en-GB"/>
              </w:rPr>
              <w:t xml:space="preserve"> b</w:t>
            </w:r>
          </w:p>
          <w:p w14:paraId="610C4BE4" w14:textId="77777777" w:rsidR="007D57FB" w:rsidRPr="00696E07" w:rsidRDefault="007D57FB" w:rsidP="005B3E6B">
            <w:pPr>
              <w:rPr>
                <w:lang w:eastAsia="en-GB"/>
              </w:rPr>
            </w:pPr>
            <w:r w:rsidRPr="00696E07">
              <w:rPr>
                <w:lang w:eastAsia="en-GB"/>
              </w:rPr>
              <w:t>Death 9</w:t>
            </w:r>
            <w:r>
              <w:rPr>
                <w:lang w:eastAsia="en-GB"/>
              </w:rPr>
              <w:t xml:space="preserve"> (control arm; unknown if ADR related)</w:t>
            </w:r>
          </w:p>
        </w:tc>
      </w:tr>
      <w:tr w:rsidR="007D57FB" w14:paraId="610C4BEB" w14:textId="77777777" w:rsidTr="005B3E6B">
        <w:tc>
          <w:tcPr>
            <w:tcW w:w="2254" w:type="dxa"/>
          </w:tcPr>
          <w:p w14:paraId="610C4BE6" w14:textId="18C79BF0" w:rsidR="007D57FB" w:rsidRDefault="007D57FB" w:rsidP="00F54725">
            <w:pPr>
              <w:rPr>
                <w:lang w:eastAsia="en-GB"/>
              </w:rPr>
            </w:pPr>
            <w:r>
              <w:rPr>
                <w:lang w:eastAsia="en-GB"/>
              </w:rPr>
              <w:t>O’Connor (2012)</w:t>
            </w:r>
            <w:r w:rsidR="00F54725" w:rsidRPr="00F54725">
              <w:rPr>
                <w:noProof/>
                <w:vertAlign w:val="superscript"/>
                <w:lang w:eastAsia="en-GB"/>
              </w:rPr>
              <w:t>22</w:t>
            </w:r>
          </w:p>
        </w:tc>
        <w:tc>
          <w:tcPr>
            <w:tcW w:w="2561" w:type="dxa"/>
          </w:tcPr>
          <w:p w14:paraId="610C4BE7"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E8" w14:textId="77777777" w:rsidR="007D57FB" w:rsidRDefault="007D57FB" w:rsidP="005B3E6B">
            <w:pPr>
              <w:rPr>
                <w:lang w:eastAsia="en-GB"/>
              </w:rPr>
            </w:pPr>
            <w:r>
              <w:rPr>
                <w:lang w:eastAsia="en-GB"/>
              </w:rPr>
              <w:t>ADR LOS 12</w:t>
            </w:r>
            <w:r w:rsidRPr="00F8311E">
              <w:rPr>
                <w:vertAlign w:val="superscript"/>
                <w:lang w:eastAsia="en-GB"/>
              </w:rPr>
              <w:t xml:space="preserve"> b</w:t>
            </w:r>
          </w:p>
          <w:p w14:paraId="610C4BE9" w14:textId="77777777" w:rsidR="007D57FB" w:rsidRDefault="007D57FB" w:rsidP="005B3E6B">
            <w:pPr>
              <w:rPr>
                <w:vertAlign w:val="superscript"/>
                <w:lang w:eastAsia="en-GB"/>
              </w:rPr>
            </w:pPr>
            <w:r>
              <w:rPr>
                <w:lang w:eastAsia="en-GB"/>
              </w:rPr>
              <w:t>Non-ADR LOS 7</w:t>
            </w:r>
            <w:r w:rsidRPr="00F8311E">
              <w:rPr>
                <w:vertAlign w:val="superscript"/>
                <w:lang w:eastAsia="en-GB"/>
              </w:rPr>
              <w:t xml:space="preserve"> b</w:t>
            </w:r>
          </w:p>
          <w:p w14:paraId="610C4BEA" w14:textId="77777777" w:rsidR="007D57FB" w:rsidRPr="003D0573" w:rsidRDefault="007D57FB" w:rsidP="005B3E6B">
            <w:pPr>
              <w:rPr>
                <w:lang w:eastAsia="en-GB"/>
              </w:rPr>
            </w:pPr>
            <w:r w:rsidRPr="003D0573">
              <w:rPr>
                <w:lang w:eastAsia="en-GB"/>
              </w:rPr>
              <w:t>Death</w:t>
            </w:r>
            <w:r>
              <w:rPr>
                <w:lang w:eastAsia="en-GB"/>
              </w:rPr>
              <w:t xml:space="preserve"> 29 (5.64%)</w:t>
            </w:r>
          </w:p>
        </w:tc>
      </w:tr>
      <w:tr w:rsidR="00F478FC" w14:paraId="675A6EB6" w14:textId="77777777" w:rsidTr="00737863">
        <w:tc>
          <w:tcPr>
            <w:tcW w:w="2254" w:type="dxa"/>
          </w:tcPr>
          <w:p w14:paraId="0308443E" w14:textId="52B822F5" w:rsidR="00F478FC" w:rsidRDefault="00F478FC" w:rsidP="00737863">
            <w:pPr>
              <w:rPr>
                <w:b/>
                <w:lang w:eastAsia="en-GB"/>
              </w:rPr>
            </w:pPr>
            <w:r>
              <w:rPr>
                <w:b/>
                <w:lang w:eastAsia="en-GB"/>
              </w:rPr>
              <w:t>Contd.</w:t>
            </w:r>
          </w:p>
          <w:p w14:paraId="33C65724" w14:textId="68FE68D3" w:rsidR="00F478FC" w:rsidRPr="00337D34" w:rsidRDefault="00F478FC" w:rsidP="00737863">
            <w:pPr>
              <w:rPr>
                <w:b/>
                <w:lang w:eastAsia="en-GB"/>
              </w:rPr>
            </w:pPr>
            <w:r w:rsidRPr="00337D34">
              <w:rPr>
                <w:b/>
                <w:lang w:eastAsia="en-GB"/>
              </w:rPr>
              <w:t>Source</w:t>
            </w:r>
          </w:p>
        </w:tc>
        <w:tc>
          <w:tcPr>
            <w:tcW w:w="2561" w:type="dxa"/>
          </w:tcPr>
          <w:p w14:paraId="5B09D4E5" w14:textId="77777777" w:rsidR="00F478FC" w:rsidRPr="00337D34" w:rsidRDefault="00F478FC" w:rsidP="00737863">
            <w:pPr>
              <w:rPr>
                <w:b/>
                <w:lang w:eastAsia="en-GB"/>
              </w:rPr>
            </w:pPr>
            <w:r w:rsidRPr="00337D34">
              <w:rPr>
                <w:b/>
                <w:lang w:eastAsia="en-GB"/>
              </w:rPr>
              <w:t>Population</w:t>
            </w:r>
          </w:p>
        </w:tc>
        <w:tc>
          <w:tcPr>
            <w:tcW w:w="4961" w:type="dxa"/>
          </w:tcPr>
          <w:p w14:paraId="233946B6" w14:textId="77777777" w:rsidR="00F478FC" w:rsidRPr="00337D34" w:rsidRDefault="00F478FC" w:rsidP="00737863">
            <w:pPr>
              <w:rPr>
                <w:b/>
                <w:lang w:eastAsia="en-GB"/>
              </w:rPr>
            </w:pPr>
            <w:r>
              <w:rPr>
                <w:b/>
                <w:lang w:eastAsia="en-GB"/>
              </w:rPr>
              <w:t xml:space="preserve">Outcome details </w:t>
            </w:r>
          </w:p>
        </w:tc>
      </w:tr>
      <w:tr w:rsidR="007D57FB" w14:paraId="610C4BF1" w14:textId="77777777" w:rsidTr="005B3E6B">
        <w:tc>
          <w:tcPr>
            <w:tcW w:w="2254" w:type="dxa"/>
          </w:tcPr>
          <w:p w14:paraId="610C4BEC" w14:textId="381CEB5C" w:rsidR="007D57FB" w:rsidRDefault="007D57FB" w:rsidP="00F54725">
            <w:pPr>
              <w:rPr>
                <w:lang w:eastAsia="en-GB"/>
              </w:rPr>
            </w:pPr>
            <w:r>
              <w:rPr>
                <w:lang w:eastAsia="en-GB"/>
              </w:rPr>
              <w:t>O’Sullivan</w:t>
            </w:r>
            <w:r w:rsidR="00F54725" w:rsidRPr="00F54725">
              <w:rPr>
                <w:noProof/>
                <w:vertAlign w:val="superscript"/>
                <w:lang w:eastAsia="en-GB"/>
              </w:rPr>
              <w:t>25</w:t>
            </w:r>
          </w:p>
        </w:tc>
        <w:tc>
          <w:tcPr>
            <w:tcW w:w="2561" w:type="dxa"/>
          </w:tcPr>
          <w:p w14:paraId="610C4BED"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EE" w14:textId="77777777" w:rsidR="007D57FB" w:rsidRDefault="007D57FB" w:rsidP="005B3E6B">
            <w:pPr>
              <w:rPr>
                <w:vertAlign w:val="superscript"/>
                <w:lang w:eastAsia="en-GB"/>
              </w:rPr>
            </w:pPr>
            <w:r>
              <w:rPr>
                <w:rFonts w:cstheme="minorHAnsi"/>
                <w:lang w:eastAsia="en-GB"/>
              </w:rPr>
              <w:t>ADR LOS 11 IQR 7-18</w:t>
            </w:r>
            <w:r w:rsidRPr="00F8311E">
              <w:rPr>
                <w:vertAlign w:val="superscript"/>
                <w:lang w:eastAsia="en-GB"/>
              </w:rPr>
              <w:t xml:space="preserve"> b</w:t>
            </w:r>
          </w:p>
          <w:p w14:paraId="610C4BEF" w14:textId="77777777" w:rsidR="007D57FB" w:rsidRPr="00FA4E33" w:rsidRDefault="007D57FB" w:rsidP="005B3E6B">
            <w:pPr>
              <w:rPr>
                <w:vertAlign w:val="superscript"/>
                <w:lang w:eastAsia="en-GB"/>
              </w:rPr>
            </w:pPr>
            <w:r w:rsidRPr="00AA2C84">
              <w:rPr>
                <w:lang w:eastAsia="en-GB"/>
              </w:rPr>
              <w:t>Non-ADR LOS</w:t>
            </w:r>
            <w:r>
              <w:rPr>
                <w:lang w:eastAsia="en-GB"/>
              </w:rPr>
              <w:t xml:space="preserve"> 8 IQR 5-13</w:t>
            </w:r>
            <w:r w:rsidRPr="00F8311E">
              <w:rPr>
                <w:vertAlign w:val="superscript"/>
                <w:lang w:eastAsia="en-GB"/>
              </w:rPr>
              <w:t xml:space="preserve"> b</w:t>
            </w:r>
            <w:r>
              <w:rPr>
                <w:vertAlign w:val="superscript"/>
                <w:lang w:eastAsia="en-GB"/>
              </w:rPr>
              <w:t xml:space="preserve"> </w:t>
            </w:r>
            <w:r>
              <w:rPr>
                <w:lang w:eastAsia="en-GB"/>
              </w:rPr>
              <w:t>p&lt;0.001</w:t>
            </w:r>
          </w:p>
          <w:p w14:paraId="610C4BF0" w14:textId="77777777" w:rsidR="007D57FB" w:rsidRPr="00AA2C84" w:rsidRDefault="007D57FB" w:rsidP="005B3E6B">
            <w:pPr>
              <w:rPr>
                <w:rFonts w:cstheme="minorHAnsi"/>
                <w:lang w:eastAsia="en-GB"/>
              </w:rPr>
            </w:pPr>
            <w:r w:rsidRPr="00696E07">
              <w:rPr>
                <w:lang w:eastAsia="en-GB"/>
              </w:rPr>
              <w:t>D</w:t>
            </w:r>
            <w:r>
              <w:rPr>
                <w:lang w:eastAsia="en-GB"/>
              </w:rPr>
              <w:t>eath 17 (4.5% control arm; unknown if ADR related)</w:t>
            </w:r>
          </w:p>
        </w:tc>
      </w:tr>
      <w:tr w:rsidR="007D57FB" w14:paraId="610C4BF6" w14:textId="77777777" w:rsidTr="005B3E6B">
        <w:tc>
          <w:tcPr>
            <w:tcW w:w="2254" w:type="dxa"/>
          </w:tcPr>
          <w:p w14:paraId="610C4BF2" w14:textId="62909F7A" w:rsidR="007D57FB" w:rsidRDefault="007D57FB" w:rsidP="00F54725">
            <w:pPr>
              <w:rPr>
                <w:lang w:eastAsia="en-GB"/>
              </w:rPr>
            </w:pPr>
            <w:r>
              <w:rPr>
                <w:lang w:eastAsia="en-GB"/>
              </w:rPr>
              <w:t>Tangiisuran (2012)</w:t>
            </w:r>
            <w:r w:rsidR="00F54725" w:rsidRPr="00F54725">
              <w:rPr>
                <w:noProof/>
                <w:vertAlign w:val="superscript"/>
                <w:lang w:eastAsia="en-GB"/>
              </w:rPr>
              <w:t>34</w:t>
            </w:r>
          </w:p>
        </w:tc>
        <w:tc>
          <w:tcPr>
            <w:tcW w:w="2561" w:type="dxa"/>
          </w:tcPr>
          <w:p w14:paraId="610C4BF3" w14:textId="77777777" w:rsidR="007D57FB" w:rsidRDefault="007D57FB" w:rsidP="005B3E6B">
            <w:pPr>
              <w:rPr>
                <w:lang w:eastAsia="en-GB"/>
              </w:rPr>
            </w:pPr>
            <w:r>
              <w:rPr>
                <w:lang w:eastAsia="en-GB"/>
              </w:rPr>
              <w:t xml:space="preserve">Population </w:t>
            </w:r>
            <w:r>
              <w:rPr>
                <w:rFonts w:cstheme="minorHAnsi"/>
                <w:lang w:eastAsia="en-GB"/>
              </w:rPr>
              <w:t>≥</w:t>
            </w:r>
            <w:r>
              <w:rPr>
                <w:lang w:eastAsia="en-GB"/>
              </w:rPr>
              <w:t xml:space="preserve"> 65 years</w:t>
            </w:r>
          </w:p>
        </w:tc>
        <w:tc>
          <w:tcPr>
            <w:tcW w:w="4961" w:type="dxa"/>
          </w:tcPr>
          <w:p w14:paraId="610C4BF4" w14:textId="77777777" w:rsidR="007D57FB" w:rsidRDefault="007D57FB" w:rsidP="005B3E6B">
            <w:pPr>
              <w:rPr>
                <w:lang w:eastAsia="en-GB"/>
              </w:rPr>
            </w:pPr>
            <w:r>
              <w:rPr>
                <w:lang w:eastAsia="en-GB"/>
              </w:rPr>
              <w:t>ADR LOS 14 IQR 10-26.5</w:t>
            </w:r>
            <w:r w:rsidRPr="001A3E25">
              <w:rPr>
                <w:vertAlign w:val="superscript"/>
                <w:lang w:eastAsia="en-GB"/>
              </w:rPr>
              <w:t>b</w:t>
            </w:r>
          </w:p>
          <w:p w14:paraId="610C4BF5" w14:textId="77777777" w:rsidR="007D57FB" w:rsidRDefault="007D57FB" w:rsidP="005B3E6B">
            <w:pPr>
              <w:rPr>
                <w:lang w:eastAsia="en-GB"/>
              </w:rPr>
            </w:pPr>
            <w:r>
              <w:rPr>
                <w:lang w:eastAsia="en-GB"/>
              </w:rPr>
              <w:t>Non-ADR LOS 12 IQR 7-19</w:t>
            </w:r>
            <w:r w:rsidRPr="001A3E25">
              <w:rPr>
                <w:vertAlign w:val="superscript"/>
                <w:lang w:eastAsia="en-GB"/>
              </w:rPr>
              <w:t xml:space="preserve"> b</w:t>
            </w:r>
          </w:p>
        </w:tc>
      </w:tr>
      <w:tr w:rsidR="007D57FB" w14:paraId="610C4BFC" w14:textId="77777777" w:rsidTr="005B3E6B">
        <w:tc>
          <w:tcPr>
            <w:tcW w:w="2254" w:type="dxa"/>
          </w:tcPr>
          <w:p w14:paraId="610C4BF7" w14:textId="6800DB1B" w:rsidR="007D57FB" w:rsidRDefault="007D57FB" w:rsidP="00F54725">
            <w:pPr>
              <w:rPr>
                <w:lang w:eastAsia="en-GB"/>
              </w:rPr>
            </w:pPr>
            <w:r>
              <w:rPr>
                <w:lang w:eastAsia="en-GB"/>
              </w:rPr>
              <w:t>Davies</w:t>
            </w:r>
            <w:r w:rsidR="00F54725" w:rsidRPr="00F54725">
              <w:rPr>
                <w:noProof/>
                <w:vertAlign w:val="superscript"/>
                <w:lang w:eastAsia="en-GB"/>
              </w:rPr>
              <w:t>14</w:t>
            </w:r>
          </w:p>
        </w:tc>
        <w:tc>
          <w:tcPr>
            <w:tcW w:w="2561" w:type="dxa"/>
          </w:tcPr>
          <w:p w14:paraId="610C4BF8" w14:textId="77777777" w:rsidR="007D57FB" w:rsidRDefault="007D57FB" w:rsidP="005B3E6B">
            <w:pPr>
              <w:rPr>
                <w:lang w:eastAsia="en-GB"/>
              </w:rPr>
            </w:pPr>
            <w:r>
              <w:rPr>
                <w:lang w:eastAsia="en-GB"/>
              </w:rPr>
              <w:t>All ages author supplied</w:t>
            </w:r>
          </w:p>
        </w:tc>
        <w:tc>
          <w:tcPr>
            <w:tcW w:w="4961" w:type="dxa"/>
          </w:tcPr>
          <w:p w14:paraId="610C4BF9" w14:textId="77777777" w:rsidR="007D57FB" w:rsidRDefault="007D57FB" w:rsidP="005B3E6B">
            <w:pPr>
              <w:rPr>
                <w:lang w:eastAsia="en-GB"/>
              </w:rPr>
            </w:pPr>
            <w:r>
              <w:rPr>
                <w:lang w:eastAsia="en-GB"/>
              </w:rPr>
              <w:t>ADR LOS 22 IQR 14-37</w:t>
            </w:r>
            <w:r w:rsidRPr="00F8311E">
              <w:rPr>
                <w:vertAlign w:val="superscript"/>
                <w:lang w:eastAsia="en-GB"/>
              </w:rPr>
              <w:t>b</w:t>
            </w:r>
          </w:p>
          <w:p w14:paraId="610C4BFA" w14:textId="77777777" w:rsidR="007D57FB" w:rsidRDefault="007D57FB" w:rsidP="005B3E6B">
            <w:pPr>
              <w:rPr>
                <w:lang w:eastAsia="en-GB"/>
              </w:rPr>
            </w:pPr>
            <w:r>
              <w:rPr>
                <w:lang w:eastAsia="en-GB"/>
              </w:rPr>
              <w:t>Non-ADR 10 IQR 6-17</w:t>
            </w:r>
            <w:r w:rsidRPr="00F8311E">
              <w:rPr>
                <w:vertAlign w:val="superscript"/>
                <w:lang w:eastAsia="en-GB"/>
              </w:rPr>
              <w:t>b</w:t>
            </w:r>
            <w:r>
              <w:rPr>
                <w:lang w:eastAsia="en-GB"/>
              </w:rPr>
              <w:t xml:space="preserve"> </w:t>
            </w:r>
          </w:p>
          <w:p w14:paraId="610C4BFB" w14:textId="77777777" w:rsidR="007D57FB" w:rsidRDefault="007D57FB" w:rsidP="005B3E6B">
            <w:pPr>
              <w:rPr>
                <w:lang w:eastAsia="en-GB"/>
              </w:rPr>
            </w:pPr>
            <w:r>
              <w:rPr>
                <w:lang w:eastAsia="en-GB"/>
              </w:rPr>
              <w:t>Death 165 (11 ADR related)</w:t>
            </w:r>
          </w:p>
        </w:tc>
      </w:tr>
      <w:tr w:rsidR="007D57FB" w14:paraId="610C4C00" w14:textId="77777777" w:rsidTr="005B3E6B">
        <w:tc>
          <w:tcPr>
            <w:tcW w:w="2254" w:type="dxa"/>
          </w:tcPr>
          <w:p w14:paraId="610C4BFD" w14:textId="0606D343" w:rsidR="007D57FB" w:rsidRDefault="007D57FB" w:rsidP="00F54725">
            <w:pPr>
              <w:rPr>
                <w:lang w:eastAsia="en-GB"/>
              </w:rPr>
            </w:pPr>
            <w:r>
              <w:rPr>
                <w:lang w:eastAsia="en-GB"/>
              </w:rPr>
              <w:t>Ganeva (2013)</w:t>
            </w:r>
            <w:r w:rsidR="00F54725" w:rsidRPr="00F54725">
              <w:rPr>
                <w:noProof/>
                <w:vertAlign w:val="superscript"/>
                <w:lang w:eastAsia="en-GB"/>
              </w:rPr>
              <w:t>17</w:t>
            </w:r>
          </w:p>
        </w:tc>
        <w:tc>
          <w:tcPr>
            <w:tcW w:w="2561" w:type="dxa"/>
          </w:tcPr>
          <w:p w14:paraId="610C4BFE" w14:textId="77777777" w:rsidR="007D57FB" w:rsidRDefault="007D57FB" w:rsidP="005B3E6B">
            <w:pPr>
              <w:rPr>
                <w:lang w:eastAsia="en-GB"/>
              </w:rPr>
            </w:pPr>
            <w:r>
              <w:rPr>
                <w:lang w:eastAsia="en-GB"/>
              </w:rPr>
              <w:t>All ages author supplied</w:t>
            </w:r>
          </w:p>
        </w:tc>
        <w:tc>
          <w:tcPr>
            <w:tcW w:w="4961" w:type="dxa"/>
          </w:tcPr>
          <w:p w14:paraId="610C4BFF" w14:textId="77777777" w:rsidR="007D57FB" w:rsidRDefault="007D57FB" w:rsidP="005B3E6B">
            <w:pPr>
              <w:rPr>
                <w:lang w:eastAsia="en-GB"/>
              </w:rPr>
            </w:pPr>
            <w:r>
              <w:rPr>
                <w:lang w:eastAsia="en-GB"/>
              </w:rPr>
              <w:t xml:space="preserve">ADR LOS 9.2 </w:t>
            </w:r>
            <w:r>
              <w:rPr>
                <w:rFonts w:cstheme="minorHAnsi"/>
                <w:lang w:eastAsia="en-GB"/>
              </w:rPr>
              <w:t>±</w:t>
            </w:r>
            <w:r>
              <w:rPr>
                <w:lang w:eastAsia="en-GB"/>
              </w:rPr>
              <w:t xml:space="preserve"> 3.4</w:t>
            </w:r>
            <w:r w:rsidRPr="00DC1884">
              <w:rPr>
                <w:vertAlign w:val="superscript"/>
                <w:lang w:eastAsia="en-GB"/>
              </w:rPr>
              <w:t>a</w:t>
            </w:r>
          </w:p>
        </w:tc>
      </w:tr>
      <w:tr w:rsidR="007D57FB" w14:paraId="610C4C06" w14:textId="77777777" w:rsidTr="005B3E6B">
        <w:tc>
          <w:tcPr>
            <w:tcW w:w="2254" w:type="dxa"/>
          </w:tcPr>
          <w:p w14:paraId="610C4C01" w14:textId="01EED55E" w:rsidR="007D57FB" w:rsidRDefault="007D57FB" w:rsidP="00F54725">
            <w:pPr>
              <w:rPr>
                <w:lang w:eastAsia="en-GB"/>
              </w:rPr>
            </w:pPr>
            <w:r>
              <w:rPr>
                <w:lang w:eastAsia="en-GB"/>
              </w:rPr>
              <w:t>Harurgeri</w:t>
            </w:r>
            <w:r w:rsidR="00F54725" w:rsidRPr="00F54725">
              <w:rPr>
                <w:noProof/>
                <w:vertAlign w:val="superscript"/>
                <w:lang w:eastAsia="en-GB"/>
              </w:rPr>
              <w:t>29</w:t>
            </w:r>
          </w:p>
        </w:tc>
        <w:tc>
          <w:tcPr>
            <w:tcW w:w="2561" w:type="dxa"/>
          </w:tcPr>
          <w:p w14:paraId="610C4C02" w14:textId="77777777" w:rsidR="007D57FB" w:rsidRDefault="007D57FB" w:rsidP="005B3E6B">
            <w:pPr>
              <w:rPr>
                <w:lang w:eastAsia="en-GB"/>
              </w:rPr>
            </w:pPr>
            <w:r>
              <w:rPr>
                <w:lang w:eastAsia="en-GB"/>
              </w:rPr>
              <w:t>Population &gt;60 years (40% &gt;70 years)</w:t>
            </w:r>
          </w:p>
        </w:tc>
        <w:tc>
          <w:tcPr>
            <w:tcW w:w="4961" w:type="dxa"/>
          </w:tcPr>
          <w:p w14:paraId="610C4C03" w14:textId="77777777" w:rsidR="007D57FB" w:rsidRDefault="007D57FB" w:rsidP="005B3E6B">
            <w:pPr>
              <w:rPr>
                <w:lang w:eastAsia="en-GB"/>
              </w:rPr>
            </w:pPr>
            <w:r>
              <w:rPr>
                <w:lang w:eastAsia="en-GB"/>
              </w:rPr>
              <w:t>Overall ADR group had longer LOS</w:t>
            </w:r>
          </w:p>
          <w:p w14:paraId="610C4C04" w14:textId="77777777" w:rsidR="007D57FB" w:rsidRDefault="007D57FB" w:rsidP="005B3E6B">
            <w:pPr>
              <w:rPr>
                <w:lang w:eastAsia="en-GB"/>
              </w:rPr>
            </w:pPr>
            <w:r>
              <w:rPr>
                <w:lang w:eastAsia="en-GB"/>
              </w:rPr>
              <w:t>ADR LOS median 7 (range 1-43)</w:t>
            </w:r>
          </w:p>
          <w:p w14:paraId="610C4C05" w14:textId="77777777" w:rsidR="007D57FB" w:rsidRDefault="007D57FB" w:rsidP="005B3E6B">
            <w:pPr>
              <w:rPr>
                <w:lang w:eastAsia="en-GB"/>
              </w:rPr>
            </w:pPr>
            <w:r>
              <w:rPr>
                <w:lang w:eastAsia="en-GB"/>
              </w:rPr>
              <w:t>Non-ADR 6 (range 1-20) p=0.02</w:t>
            </w:r>
          </w:p>
        </w:tc>
      </w:tr>
      <w:tr w:rsidR="007D57FB" w14:paraId="610C4C0B" w14:textId="77777777" w:rsidTr="005B3E6B">
        <w:tc>
          <w:tcPr>
            <w:tcW w:w="2254" w:type="dxa"/>
          </w:tcPr>
          <w:p w14:paraId="610C4C07" w14:textId="3EF9AEAB" w:rsidR="007D57FB" w:rsidRDefault="007D57FB" w:rsidP="00F54725">
            <w:pPr>
              <w:rPr>
                <w:lang w:eastAsia="en-GB"/>
              </w:rPr>
            </w:pPr>
            <w:r>
              <w:rPr>
                <w:lang w:eastAsia="en-GB"/>
              </w:rPr>
              <w:t>Gonzalez-Martin</w:t>
            </w:r>
            <w:r w:rsidR="00F54725" w:rsidRPr="00F54725">
              <w:rPr>
                <w:noProof/>
                <w:vertAlign w:val="superscript"/>
                <w:lang w:eastAsia="en-GB"/>
              </w:rPr>
              <w:t>18</w:t>
            </w:r>
          </w:p>
        </w:tc>
        <w:tc>
          <w:tcPr>
            <w:tcW w:w="2561" w:type="dxa"/>
          </w:tcPr>
          <w:p w14:paraId="610C4C08" w14:textId="77777777" w:rsidR="007D57FB" w:rsidRDefault="007D57FB" w:rsidP="005B3E6B">
            <w:pPr>
              <w:rPr>
                <w:i/>
                <w:lang w:eastAsia="en-GB"/>
              </w:rPr>
            </w:pPr>
            <w:r w:rsidRPr="005729F5">
              <w:rPr>
                <w:i/>
                <w:lang w:eastAsia="en-GB"/>
              </w:rPr>
              <w:t>All ages</w:t>
            </w:r>
          </w:p>
          <w:p w14:paraId="610C4C09" w14:textId="77777777" w:rsidR="007D57FB" w:rsidRDefault="007D57FB" w:rsidP="005B3E6B">
            <w:pPr>
              <w:rPr>
                <w:lang w:eastAsia="en-GB"/>
              </w:rPr>
            </w:pPr>
            <w:r>
              <w:rPr>
                <w:i/>
                <w:lang w:eastAsia="en-GB"/>
              </w:rPr>
              <w:t xml:space="preserve">(52.74% </w:t>
            </w:r>
            <w:r>
              <w:rPr>
                <w:rFonts w:cstheme="minorHAnsi"/>
                <w:i/>
                <w:lang w:eastAsia="en-GB"/>
              </w:rPr>
              <w:t>≥</w:t>
            </w:r>
            <w:r>
              <w:rPr>
                <w:i/>
                <w:lang w:eastAsia="en-GB"/>
              </w:rPr>
              <w:t xml:space="preserve"> 65 years)</w:t>
            </w:r>
          </w:p>
        </w:tc>
        <w:tc>
          <w:tcPr>
            <w:tcW w:w="4961" w:type="dxa"/>
          </w:tcPr>
          <w:p w14:paraId="610C4C0A" w14:textId="0012B573" w:rsidR="007D57FB" w:rsidRDefault="007D57FB" w:rsidP="005B3E6B">
            <w:pPr>
              <w:rPr>
                <w:lang w:eastAsia="en-GB"/>
              </w:rPr>
            </w:pPr>
            <w:r>
              <w:rPr>
                <w:lang w:eastAsia="en-GB"/>
              </w:rPr>
              <w:t>Patients&gt; 65 years with ADRs</w:t>
            </w:r>
            <w:r w:rsidRPr="0088569C">
              <w:rPr>
                <w:lang w:eastAsia="en-GB"/>
              </w:rPr>
              <w:t xml:space="preserve"> had a longer hospital stay than those without </w:t>
            </w:r>
            <w:r>
              <w:rPr>
                <w:lang w:eastAsia="en-GB"/>
              </w:rPr>
              <w:t>ADRs</w:t>
            </w:r>
            <w:r w:rsidRPr="0088569C">
              <w:rPr>
                <w:lang w:eastAsia="en-GB"/>
              </w:rPr>
              <w:t xml:space="preserve"> (9.57 ± 7.55</w:t>
            </w:r>
            <w:r w:rsidR="00B6253C" w:rsidRPr="0008615D">
              <w:rPr>
                <w:rFonts w:cstheme="minorHAnsi"/>
                <w:vertAlign w:val="superscript"/>
                <w:lang w:eastAsia="en-GB"/>
              </w:rPr>
              <w:t xml:space="preserve"> a</w:t>
            </w:r>
            <w:r w:rsidRPr="0088569C">
              <w:rPr>
                <w:lang w:eastAsia="en-GB"/>
              </w:rPr>
              <w:t xml:space="preserve"> days</w:t>
            </w:r>
            <w:r>
              <w:rPr>
                <w:lang w:eastAsia="en-GB"/>
              </w:rPr>
              <w:t xml:space="preserve"> vs. 5.21 ± 3.21</w:t>
            </w:r>
            <w:r w:rsidR="00B6253C" w:rsidRPr="0008615D">
              <w:rPr>
                <w:rFonts w:cstheme="minorHAnsi"/>
                <w:vertAlign w:val="superscript"/>
                <w:lang w:eastAsia="en-GB"/>
              </w:rPr>
              <w:t xml:space="preserve"> a</w:t>
            </w:r>
            <w:r>
              <w:rPr>
                <w:lang w:eastAsia="en-GB"/>
              </w:rPr>
              <w:t xml:space="preserve"> days) p &lt;0.05</w:t>
            </w:r>
          </w:p>
        </w:tc>
      </w:tr>
      <w:tr w:rsidR="007D57FB" w14:paraId="610C4C11" w14:textId="77777777" w:rsidTr="005B3E6B">
        <w:tc>
          <w:tcPr>
            <w:tcW w:w="2254" w:type="dxa"/>
          </w:tcPr>
          <w:p w14:paraId="610C4C0C" w14:textId="5CC7E516" w:rsidR="007D57FB" w:rsidRDefault="007D57FB" w:rsidP="00F54725">
            <w:pPr>
              <w:rPr>
                <w:lang w:eastAsia="en-GB"/>
              </w:rPr>
            </w:pPr>
            <w:r>
              <w:rPr>
                <w:lang w:eastAsia="en-GB"/>
              </w:rPr>
              <w:t>Kaur</w:t>
            </w:r>
            <w:r w:rsidR="00F54725" w:rsidRPr="00F54725">
              <w:rPr>
                <w:noProof/>
                <w:vertAlign w:val="superscript"/>
                <w:lang w:eastAsia="en-GB"/>
              </w:rPr>
              <w:t>20</w:t>
            </w:r>
          </w:p>
        </w:tc>
        <w:tc>
          <w:tcPr>
            <w:tcW w:w="2561" w:type="dxa"/>
          </w:tcPr>
          <w:p w14:paraId="610C4C0D" w14:textId="77777777" w:rsidR="007D57FB" w:rsidRDefault="007D57FB" w:rsidP="005B3E6B">
            <w:pPr>
              <w:rPr>
                <w:i/>
                <w:lang w:eastAsia="en-GB"/>
              </w:rPr>
            </w:pPr>
            <w:r w:rsidRPr="004B0B53">
              <w:rPr>
                <w:i/>
                <w:lang w:eastAsia="en-GB"/>
              </w:rPr>
              <w:t>All ages</w:t>
            </w:r>
          </w:p>
          <w:p w14:paraId="610C4C0E" w14:textId="77777777" w:rsidR="007D57FB" w:rsidRPr="003165CF" w:rsidRDefault="007D57FB" w:rsidP="005B3E6B">
            <w:pPr>
              <w:rPr>
                <w:i/>
                <w:lang w:eastAsia="en-GB"/>
              </w:rPr>
            </w:pPr>
            <w:r>
              <w:rPr>
                <w:i/>
                <w:lang w:eastAsia="en-GB"/>
              </w:rPr>
              <w:t xml:space="preserve">(70.97% </w:t>
            </w:r>
            <w:r>
              <w:rPr>
                <w:rFonts w:cstheme="minorHAnsi"/>
                <w:i/>
                <w:lang w:eastAsia="en-GB"/>
              </w:rPr>
              <w:t>≥</w:t>
            </w:r>
            <w:r>
              <w:rPr>
                <w:i/>
                <w:lang w:eastAsia="en-GB"/>
              </w:rPr>
              <w:t xml:space="preserve"> 65 years)</w:t>
            </w:r>
          </w:p>
        </w:tc>
        <w:tc>
          <w:tcPr>
            <w:tcW w:w="4961" w:type="dxa"/>
          </w:tcPr>
          <w:p w14:paraId="610C4C0F" w14:textId="77777777" w:rsidR="007D57FB" w:rsidRDefault="007D57FB" w:rsidP="005B3E6B">
            <w:pPr>
              <w:rPr>
                <w:rFonts w:ascii="Calibri" w:hAnsi="Calibri" w:cs="Calibri"/>
                <w:color w:val="000000"/>
              </w:rPr>
            </w:pPr>
            <w:r>
              <w:rPr>
                <w:rFonts w:ascii="Calibri" w:hAnsi="Calibri" w:cs="Calibri"/>
                <w:color w:val="000000"/>
              </w:rPr>
              <w:t>ADR LOS +2 days</w:t>
            </w:r>
          </w:p>
          <w:p w14:paraId="610C4C10" w14:textId="77777777" w:rsidR="007D57FB" w:rsidRDefault="007D57FB" w:rsidP="005B3E6B">
            <w:pPr>
              <w:rPr>
                <w:lang w:eastAsia="en-GB"/>
              </w:rPr>
            </w:pPr>
            <w:r>
              <w:rPr>
                <w:lang w:eastAsia="en-GB"/>
              </w:rPr>
              <w:t xml:space="preserve">Death 3 </w:t>
            </w:r>
            <w:r>
              <w:rPr>
                <w:rFonts w:cstheme="minorHAnsi"/>
                <w:lang w:eastAsia="en-GB"/>
              </w:rPr>
              <w:t>≥</w:t>
            </w:r>
            <w:r>
              <w:rPr>
                <w:lang w:eastAsia="en-GB"/>
              </w:rPr>
              <w:t xml:space="preserve"> 65 (unknown if ADR related)</w:t>
            </w:r>
          </w:p>
        </w:tc>
      </w:tr>
    </w:tbl>
    <w:p w14:paraId="610C4C12" w14:textId="77777777" w:rsidR="007D57FB" w:rsidRPr="006B7F0F" w:rsidRDefault="007D57FB" w:rsidP="005B3E6B">
      <w:pPr>
        <w:rPr>
          <w:rFonts w:cstheme="minorHAnsi"/>
          <w:i/>
          <w:sz w:val="20"/>
          <w:lang w:eastAsia="en-GB"/>
        </w:rPr>
      </w:pPr>
      <w:r w:rsidRPr="00F8311E">
        <w:rPr>
          <w:i/>
          <w:sz w:val="20"/>
          <w:lang w:eastAsia="en-GB"/>
        </w:rPr>
        <w:t>LOS – length of stay</w:t>
      </w:r>
      <w:r>
        <w:rPr>
          <w:i/>
          <w:sz w:val="20"/>
          <w:lang w:eastAsia="en-GB"/>
        </w:rPr>
        <w:t xml:space="preserve"> in days</w:t>
      </w:r>
      <w:r w:rsidRPr="00F8311E">
        <w:rPr>
          <w:i/>
          <w:sz w:val="20"/>
          <w:lang w:eastAsia="en-GB"/>
        </w:rPr>
        <w:t>;</w:t>
      </w:r>
      <w:r>
        <w:rPr>
          <w:i/>
          <w:sz w:val="20"/>
          <w:lang w:eastAsia="en-GB"/>
        </w:rPr>
        <w:t xml:space="preserve"> CI – Confidence Interval;</w:t>
      </w:r>
      <w:r w:rsidRPr="00F8311E">
        <w:rPr>
          <w:i/>
          <w:sz w:val="20"/>
          <w:lang w:eastAsia="en-GB"/>
        </w:rPr>
        <w:t xml:space="preserve"> </w:t>
      </w:r>
      <w:r w:rsidRPr="005B2995">
        <w:rPr>
          <w:sz w:val="20"/>
          <w:vertAlign w:val="superscript"/>
          <w:lang w:eastAsia="en-GB"/>
        </w:rPr>
        <w:t>a</w:t>
      </w:r>
      <w:r w:rsidRPr="00C1372C">
        <w:rPr>
          <w:sz w:val="20"/>
          <w:vertAlign w:val="superscript"/>
          <w:lang w:eastAsia="en-GB"/>
        </w:rPr>
        <w:t xml:space="preserve"> </w:t>
      </w:r>
      <w:r w:rsidRPr="00C1372C">
        <w:rPr>
          <w:sz w:val="20"/>
          <w:lang w:eastAsia="en-GB"/>
        </w:rPr>
        <w:t xml:space="preserve">- </w:t>
      </w:r>
      <w:r w:rsidRPr="00C1372C">
        <w:rPr>
          <w:i/>
          <w:sz w:val="20"/>
          <w:lang w:eastAsia="en-GB"/>
        </w:rPr>
        <w:t xml:space="preserve">Mean </w:t>
      </w:r>
      <w:r w:rsidRPr="00C1372C">
        <w:rPr>
          <w:rFonts w:cstheme="minorHAnsi"/>
          <w:i/>
          <w:sz w:val="20"/>
          <w:lang w:eastAsia="en-GB"/>
        </w:rPr>
        <w:t>± standard deviation;</w:t>
      </w:r>
      <w:r>
        <w:rPr>
          <w:rFonts w:cstheme="minorHAnsi"/>
          <w:i/>
          <w:sz w:val="20"/>
          <w:lang w:eastAsia="en-GB"/>
        </w:rPr>
        <w:t xml:space="preserve"> ADL – Activities of Daily Living; OR – Odds Ratio;  </w:t>
      </w:r>
      <w:r w:rsidRPr="00C1372C">
        <w:rPr>
          <w:sz w:val="20"/>
          <w:vertAlign w:val="superscript"/>
          <w:lang w:eastAsia="en-GB"/>
        </w:rPr>
        <w:t xml:space="preserve">b </w:t>
      </w:r>
      <w:r w:rsidRPr="00C1372C">
        <w:rPr>
          <w:rFonts w:cstheme="minorHAnsi"/>
          <w:i/>
          <w:sz w:val="20"/>
          <w:lang w:eastAsia="en-GB"/>
        </w:rPr>
        <w:t>- Median IQR; IQR – interquartile rang</w:t>
      </w:r>
      <w:r>
        <w:rPr>
          <w:rFonts w:cstheme="minorHAnsi"/>
          <w:i/>
          <w:sz w:val="20"/>
          <w:lang w:eastAsia="en-GB"/>
        </w:rPr>
        <w:t>e</w:t>
      </w:r>
      <w:r w:rsidRPr="00C1372C">
        <w:rPr>
          <w:rFonts w:cstheme="minorHAnsi"/>
          <w:i/>
          <w:sz w:val="20"/>
          <w:lang w:eastAsia="en-GB"/>
        </w:rPr>
        <w:t>;</w:t>
      </w:r>
      <w:r>
        <w:rPr>
          <w:rFonts w:cstheme="minorHAnsi"/>
          <w:i/>
          <w:sz w:val="20"/>
          <w:lang w:eastAsia="en-GB"/>
        </w:rPr>
        <w:t xml:space="preserve"> ADRs – Adverse drug reaction;</w:t>
      </w:r>
      <w:r w:rsidRPr="00C1372C">
        <w:rPr>
          <w:rFonts w:cstheme="minorHAnsi"/>
          <w:i/>
          <w:sz w:val="20"/>
          <w:lang w:eastAsia="en-GB"/>
        </w:rPr>
        <w:t xml:space="preserve"> GIFA </w:t>
      </w:r>
      <w:r>
        <w:rPr>
          <w:rFonts w:cstheme="minorHAnsi"/>
          <w:i/>
          <w:sz w:val="20"/>
          <w:lang w:eastAsia="en-GB"/>
        </w:rPr>
        <w:t>– gruppo Italiano di farmacovigilanza nell’Anziano</w:t>
      </w:r>
      <w:r w:rsidRPr="00C1372C">
        <w:rPr>
          <w:rFonts w:cstheme="minorHAnsi"/>
          <w:i/>
          <w:sz w:val="20"/>
          <w:lang w:eastAsia="en-GB"/>
        </w:rPr>
        <w:t>; Dev. – development</w:t>
      </w:r>
      <w:r>
        <w:rPr>
          <w:rFonts w:cstheme="minorHAnsi"/>
          <w:i/>
          <w:sz w:val="20"/>
          <w:lang w:eastAsia="en-GB"/>
        </w:rPr>
        <w:t>;</w:t>
      </w:r>
      <w:r w:rsidRPr="00C1372C">
        <w:rPr>
          <w:rFonts w:cstheme="minorHAnsi"/>
          <w:i/>
          <w:sz w:val="20"/>
          <w:lang w:eastAsia="en-GB"/>
        </w:rPr>
        <w:t xml:space="preserve"> Val. – validation</w:t>
      </w:r>
    </w:p>
    <w:p w14:paraId="610C4C13" w14:textId="77777777" w:rsidR="007D57FB" w:rsidRDefault="007D57FB">
      <w:r>
        <w:br w:type="page"/>
      </w:r>
    </w:p>
    <w:p w14:paraId="610C4C14" w14:textId="77777777" w:rsidR="007D57FB" w:rsidRDefault="007D57FB" w:rsidP="005B3E6B">
      <w:pPr>
        <w:pStyle w:val="Heading1"/>
      </w:pPr>
      <w:bookmarkStart w:id="74" w:name="_Toc52396393"/>
      <w:r>
        <w:t>References</w:t>
      </w:r>
      <w:bookmarkEnd w:id="74"/>
      <w:r>
        <w:t xml:space="preserve"> </w:t>
      </w:r>
    </w:p>
    <w:p w14:paraId="0AB08775" w14:textId="4769A909" w:rsidR="00EB499D" w:rsidRDefault="00EB499D" w:rsidP="00802FAB">
      <w:pPr>
        <w:pStyle w:val="EndNoteBibliography"/>
      </w:pPr>
    </w:p>
    <w:p w14:paraId="1F962C96" w14:textId="1EDE075E" w:rsidR="00C52E09" w:rsidRPr="00C52E09" w:rsidRDefault="00C52E09" w:rsidP="00C52E09">
      <w:pPr>
        <w:pStyle w:val="EndNoteBibliography"/>
        <w:spacing w:after="0"/>
        <w:ind w:left="720" w:hanging="720"/>
      </w:pPr>
      <w:r w:rsidRPr="00C52E09">
        <w:t>1.</w:t>
      </w:r>
      <w:r w:rsidRPr="00C52E09">
        <w:tab/>
        <w:t>Team RC. R: A language and environment for statistical computing. 2013.</w:t>
      </w:r>
    </w:p>
    <w:p w14:paraId="322DF3B0" w14:textId="77777777" w:rsidR="00C52E09" w:rsidRPr="00C52E09" w:rsidRDefault="00C52E09" w:rsidP="00C52E09">
      <w:pPr>
        <w:pStyle w:val="EndNoteBibliography"/>
        <w:spacing w:after="0"/>
        <w:ind w:left="720" w:hanging="720"/>
      </w:pPr>
      <w:r w:rsidRPr="00C52E09">
        <w:t>2.</w:t>
      </w:r>
      <w:r w:rsidRPr="00C52E09">
        <w:tab/>
        <w:t xml:space="preserve">Viechtbauer W. Conducting meta-analyses in R with the metafor package. </w:t>
      </w:r>
      <w:r w:rsidRPr="00C52E09">
        <w:rPr>
          <w:i/>
        </w:rPr>
        <w:t xml:space="preserve">Journal of statistical software. </w:t>
      </w:r>
      <w:r w:rsidRPr="00C52E09">
        <w:t>2010;36(3):1-48.</w:t>
      </w:r>
    </w:p>
    <w:p w14:paraId="06B1405F" w14:textId="2817CEF7" w:rsidR="00C52E09" w:rsidRPr="00C52E09" w:rsidRDefault="00C52E09" w:rsidP="00C52E09">
      <w:pPr>
        <w:pStyle w:val="EndNoteBibliography"/>
        <w:spacing w:after="0"/>
        <w:ind w:left="720" w:hanging="720"/>
      </w:pPr>
      <w:r w:rsidRPr="00C52E09">
        <w:t>3.</w:t>
      </w:r>
      <w:r w:rsidRPr="00C52E09">
        <w:tab/>
        <w:t>Methodology WCCfDS. ATC/DDD Index 2019. 2018; h</w:t>
      </w:r>
      <w:r w:rsidRPr="00605990">
        <w:t>ttps://www.whocc.no/atc_ddd_index/.</w:t>
      </w:r>
      <w:r w:rsidRPr="00C52E09">
        <w:t xml:space="preserve"> Accessed April - July, 2019.</w:t>
      </w:r>
    </w:p>
    <w:p w14:paraId="698C0BB6" w14:textId="79E4167C" w:rsidR="00C52E09" w:rsidRPr="00C52E09" w:rsidRDefault="00C52E09" w:rsidP="00C52E09">
      <w:pPr>
        <w:pStyle w:val="EndNoteBibliography"/>
        <w:spacing w:after="0"/>
        <w:ind w:left="720" w:hanging="720"/>
      </w:pPr>
      <w:r w:rsidRPr="00C52E09">
        <w:t>4.</w:t>
      </w:r>
      <w:r w:rsidRPr="00C52E09">
        <w:tab/>
        <w:t>The National Center for Biomedical Ontology. Medical Dictionary for Regulatory Activities Terminology (MedDRA) 2019 , April 29; h</w:t>
      </w:r>
      <w:r w:rsidRPr="00605990">
        <w:t>ttp://bioportal.bioontology.org/ontologies/MEDDRA/?p=classes&amp;conceptid=root.</w:t>
      </w:r>
      <w:r w:rsidRPr="00C52E09">
        <w:t xml:space="preserve"> Accessed April-July, 2019.</w:t>
      </w:r>
    </w:p>
    <w:p w14:paraId="1AB82039" w14:textId="77777777" w:rsidR="00C52E09" w:rsidRPr="00C52E09" w:rsidRDefault="00C52E09" w:rsidP="00C52E09">
      <w:pPr>
        <w:pStyle w:val="EndNoteBibliography"/>
        <w:spacing w:after="0"/>
        <w:ind w:left="720" w:hanging="720"/>
      </w:pPr>
      <w:r w:rsidRPr="00C52E09">
        <w:t>5.</w:t>
      </w:r>
      <w:r w:rsidRPr="00C52E09">
        <w:tab/>
        <w:t xml:space="preserve">Whetzel PL, Noy NF, Shah NH, et al. BioPortal: enhanced functionality via new Web services from the National Center for Biomedical Ontology to access and use ontologies in software applications. </w:t>
      </w:r>
      <w:r w:rsidRPr="00C52E09">
        <w:rPr>
          <w:i/>
        </w:rPr>
        <w:t xml:space="preserve">Nucleic acids research. </w:t>
      </w:r>
      <w:r w:rsidRPr="00C52E09">
        <w:t>2011;39(suppl_2):W541-W545.</w:t>
      </w:r>
    </w:p>
    <w:p w14:paraId="64C010C5" w14:textId="39C2BE91" w:rsidR="00C52E09" w:rsidRPr="00C52E09" w:rsidRDefault="00C52E09" w:rsidP="00C52E09">
      <w:pPr>
        <w:pStyle w:val="EndNoteBibliography"/>
        <w:spacing w:after="0"/>
        <w:ind w:left="720" w:hanging="720"/>
      </w:pPr>
      <w:r w:rsidRPr="00C52E09">
        <w:t>6.</w:t>
      </w:r>
      <w:r w:rsidRPr="00C52E09">
        <w:tab/>
        <w:t>Organization MMaSS. Medical Dictionary for Regulatory Activities. 2018, September version 21.1:h</w:t>
      </w:r>
      <w:r w:rsidRPr="00605990">
        <w:t>ttps://www.meddra.org/.</w:t>
      </w:r>
      <w:r w:rsidRPr="00C52E09">
        <w:t xml:space="preserve"> Accessed April-July, 2019.</w:t>
      </w:r>
    </w:p>
    <w:p w14:paraId="5B5B8C5C" w14:textId="77777777" w:rsidR="00C52E09" w:rsidRPr="00C52E09" w:rsidRDefault="00C52E09" w:rsidP="00C52E09">
      <w:pPr>
        <w:pStyle w:val="EndNoteBibliography"/>
        <w:spacing w:after="0"/>
        <w:ind w:left="720" w:hanging="720"/>
      </w:pPr>
      <w:r w:rsidRPr="00C52E09">
        <w:t>7.</w:t>
      </w:r>
      <w:r w:rsidRPr="00C52E09">
        <w:tab/>
        <w:t xml:space="preserve">Ayub MN, Da Silva D, Martinbiancho JK, Dal-Pizzol TS. Adverse Drug Reactions in Patients Hospitalized in the Intensive Care Unit of a University Hospital in Southern Brazil. </w:t>
      </w:r>
      <w:r w:rsidRPr="00C52E09">
        <w:rPr>
          <w:i/>
        </w:rPr>
        <w:t xml:space="preserve">Lat Am J Pharm. </w:t>
      </w:r>
      <w:r w:rsidRPr="00C52E09">
        <w:t>2010;29(5):688-693.</w:t>
      </w:r>
    </w:p>
    <w:p w14:paraId="49ADCC93" w14:textId="77777777" w:rsidR="00C52E09" w:rsidRPr="00C52E09" w:rsidRDefault="00C52E09" w:rsidP="00C52E09">
      <w:pPr>
        <w:pStyle w:val="EndNoteBibliography"/>
        <w:spacing w:after="0"/>
        <w:ind w:left="720" w:hanging="720"/>
      </w:pPr>
      <w:r w:rsidRPr="00C52E09">
        <w:t>8.</w:t>
      </w:r>
      <w:r w:rsidRPr="00C52E09">
        <w:tab/>
        <w:t xml:space="preserve">Bowman L, Carlstedt BC, Hancock EF, Black CD. Adverse drug reaction (ADR) occurrence and evaluation in elderly inpatients. </w:t>
      </w:r>
      <w:r w:rsidRPr="00C52E09">
        <w:rPr>
          <w:i/>
        </w:rPr>
        <w:t xml:space="preserve">Pharmacoepidemiology and drug safety. </w:t>
      </w:r>
      <w:r w:rsidRPr="00C52E09">
        <w:t>1996;5(1):9-18.</w:t>
      </w:r>
    </w:p>
    <w:p w14:paraId="35265CF8" w14:textId="77777777" w:rsidR="00C52E09" w:rsidRPr="00C52E09" w:rsidRDefault="00C52E09" w:rsidP="00C52E09">
      <w:pPr>
        <w:pStyle w:val="EndNoteBibliography"/>
        <w:spacing w:after="0"/>
        <w:ind w:left="720" w:hanging="720"/>
      </w:pPr>
      <w:r w:rsidRPr="00C52E09">
        <w:t>9.</w:t>
      </w:r>
      <w:r w:rsidRPr="00C52E09">
        <w:tab/>
        <w:t xml:space="preserve">Calderon-Ospina C, Bustamante-Rojas C. The DoTS classification is a useful way to classify adverse drug reactions: a preliminary study in hospitalized patients. </w:t>
      </w:r>
      <w:r w:rsidRPr="00C52E09">
        <w:rPr>
          <w:i/>
        </w:rPr>
        <w:t xml:space="preserve">Int J Pharm Pract. </w:t>
      </w:r>
      <w:r w:rsidRPr="00C52E09">
        <w:t>2010;18(4):230-235.</w:t>
      </w:r>
    </w:p>
    <w:p w14:paraId="181789AC" w14:textId="77777777" w:rsidR="00C52E09" w:rsidRPr="00C52E09" w:rsidRDefault="00C52E09" w:rsidP="00C52E09">
      <w:pPr>
        <w:pStyle w:val="EndNoteBibliography"/>
        <w:spacing w:after="0"/>
        <w:ind w:left="720" w:hanging="720"/>
      </w:pPr>
      <w:r w:rsidRPr="00C52E09">
        <w:t>10.</w:t>
      </w:r>
      <w:r w:rsidRPr="00C52E09">
        <w:tab/>
        <w:t>Cheong S, Ong E, Goh W, Karim S, See L, Chong E. Do Adverse Drug Reactions Vary Between Frail and Non-Frail Hospitalized Older Adults? Paper presented at: JOURNAL OF THE AMERICAN GERIATRICS SOCIETY2018.</w:t>
      </w:r>
    </w:p>
    <w:p w14:paraId="2F2E9C42" w14:textId="77777777" w:rsidR="00C52E09" w:rsidRPr="00C52E09" w:rsidRDefault="00C52E09" w:rsidP="00C52E09">
      <w:pPr>
        <w:pStyle w:val="EndNoteBibliography"/>
        <w:spacing w:after="0"/>
        <w:ind w:left="720" w:hanging="720"/>
      </w:pPr>
      <w:r w:rsidRPr="00C52E09">
        <w:t>11.</w:t>
      </w:r>
      <w:r w:rsidRPr="00C52E09">
        <w:tab/>
        <w:t>Cheong S, Ong E, Goh W, Karim S, See L, Chong E. Identifying Specific Drugs Classes That Result in Adverse Drug Reactions Between Frail and Non-Frail Hospitalized Older Adults. Paper presented at: JOURNAL OF THE AMERICAN GERIATRICS SOCIETY2018.</w:t>
      </w:r>
    </w:p>
    <w:p w14:paraId="4BF3BD02" w14:textId="77777777" w:rsidR="00C52E09" w:rsidRPr="00C52E09" w:rsidRDefault="00C52E09" w:rsidP="00C52E09">
      <w:pPr>
        <w:pStyle w:val="EndNoteBibliography"/>
        <w:spacing w:after="0"/>
        <w:ind w:left="720" w:hanging="720"/>
      </w:pPr>
      <w:r w:rsidRPr="00C52E09">
        <w:t>12.</w:t>
      </w:r>
      <w:r w:rsidRPr="00C52E09">
        <w:tab/>
        <w:t xml:space="preserve">Conforti A, Costantini D, Zanetti F, Moretti U, Grezzana M, Leone R. Adverse drug reactions in older patients: an Italian observational prospective hospital study. </w:t>
      </w:r>
      <w:r w:rsidRPr="00C52E09">
        <w:rPr>
          <w:i/>
        </w:rPr>
        <w:t xml:space="preserve">Drug, healthcare and patient safety. </w:t>
      </w:r>
      <w:r w:rsidRPr="00C52E09">
        <w:t>2012;4:75.</w:t>
      </w:r>
    </w:p>
    <w:p w14:paraId="631FD3E7" w14:textId="77777777" w:rsidR="00C52E09" w:rsidRPr="00C52E09" w:rsidRDefault="00C52E09" w:rsidP="00C52E09">
      <w:pPr>
        <w:pStyle w:val="EndNoteBibliography"/>
        <w:spacing w:after="0"/>
        <w:ind w:left="720" w:hanging="720"/>
      </w:pPr>
      <w:r w:rsidRPr="00C52E09">
        <w:t>13.</w:t>
      </w:r>
      <w:r w:rsidRPr="00C52E09">
        <w:tab/>
        <w:t xml:space="preserve">Corsonello A, Pedone C, Lattanzio F, et al. Potentially inappropriate medications and functional decline in elderly hospitalized patients. </w:t>
      </w:r>
      <w:r w:rsidRPr="00C52E09">
        <w:rPr>
          <w:i/>
        </w:rPr>
        <w:t xml:space="preserve">Journal of the American Geriatrics Society. </w:t>
      </w:r>
      <w:r w:rsidRPr="00C52E09">
        <w:t>2009;57(6):1007-1014.</w:t>
      </w:r>
    </w:p>
    <w:p w14:paraId="6A7F0FFE" w14:textId="77777777" w:rsidR="00C52E09" w:rsidRPr="00C52E09" w:rsidRDefault="00C52E09" w:rsidP="00C52E09">
      <w:pPr>
        <w:pStyle w:val="EndNoteBibliography"/>
        <w:spacing w:after="0"/>
        <w:ind w:left="720" w:hanging="720"/>
      </w:pPr>
      <w:r w:rsidRPr="00C52E09">
        <w:t>14.</w:t>
      </w:r>
      <w:r w:rsidRPr="00C52E09">
        <w:tab/>
        <w:t xml:space="preserve">Davies EC, Green CF, Taylor S, Williamson PR, Mottram DR, Pirmohamed M. Adverse drug reactions in hospital in-patients: a prospective analysis of 3695 patient-episodes. </w:t>
      </w:r>
      <w:r w:rsidRPr="00C52E09">
        <w:rPr>
          <w:i/>
        </w:rPr>
        <w:t xml:space="preserve">PloS one. </w:t>
      </w:r>
      <w:r w:rsidRPr="00C52E09">
        <w:t>2009;4(2):e4439.</w:t>
      </w:r>
    </w:p>
    <w:p w14:paraId="78698280" w14:textId="77777777" w:rsidR="00C52E09" w:rsidRPr="00C52E09" w:rsidRDefault="00C52E09" w:rsidP="00C52E09">
      <w:pPr>
        <w:pStyle w:val="EndNoteBibliography"/>
        <w:spacing w:after="0"/>
        <w:ind w:left="720" w:hanging="720"/>
      </w:pPr>
      <w:r w:rsidRPr="00C52E09">
        <w:t>15.</w:t>
      </w:r>
      <w:r w:rsidRPr="00C52E09">
        <w:tab/>
        <w:t xml:space="preserve">Ganeva M, Gancheva T, Lazarova R, Tzvetanova Y, Hristakieva E. A prospective study of adverse drug reactions in a dermatology department. </w:t>
      </w:r>
      <w:r w:rsidRPr="00C52E09">
        <w:rPr>
          <w:i/>
        </w:rPr>
        <w:t xml:space="preserve">Method Find Exp Clin. </w:t>
      </w:r>
      <w:r w:rsidRPr="00C52E09">
        <w:t>2007;29(2):107-112.</w:t>
      </w:r>
    </w:p>
    <w:p w14:paraId="2B6388CB" w14:textId="77777777" w:rsidR="00C52E09" w:rsidRPr="00C52E09" w:rsidRDefault="00C52E09" w:rsidP="00C52E09">
      <w:pPr>
        <w:pStyle w:val="EndNoteBibliography"/>
        <w:spacing w:after="0"/>
        <w:ind w:left="720" w:hanging="720"/>
      </w:pPr>
      <w:r w:rsidRPr="00C52E09">
        <w:t>16.</w:t>
      </w:r>
      <w:r w:rsidRPr="00C52E09">
        <w:tab/>
        <w:t xml:space="preserve">Ganeva M, Gancheva T, Troeva J, Gancheva D, Hristakieva E. A study of adverse drug reactions in hospitalized patients in relation to age. </w:t>
      </w:r>
      <w:r w:rsidRPr="00C52E09">
        <w:rPr>
          <w:i/>
        </w:rPr>
        <w:t xml:space="preserve">European journal of clinical pharmacy: atención farmacéutica. </w:t>
      </w:r>
      <w:r w:rsidRPr="00C52E09">
        <w:t>2016;18(3):154-162.</w:t>
      </w:r>
    </w:p>
    <w:p w14:paraId="330C4BAC" w14:textId="77777777" w:rsidR="00C52E09" w:rsidRPr="00C52E09" w:rsidRDefault="00C52E09" w:rsidP="00C52E09">
      <w:pPr>
        <w:pStyle w:val="EndNoteBibliography"/>
        <w:spacing w:after="0"/>
        <w:ind w:left="720" w:hanging="720"/>
      </w:pPr>
      <w:r w:rsidRPr="00C52E09">
        <w:t>17.</w:t>
      </w:r>
      <w:r w:rsidRPr="00C52E09">
        <w:tab/>
        <w:t xml:space="preserve">Ganeva M, Gancheva T, Troeva J, Kiriyak N, Hristakieva E. Clinical relevance of drug-drug interactions in hospitalized dermatology patients. </w:t>
      </w:r>
      <w:r w:rsidRPr="00C52E09">
        <w:rPr>
          <w:i/>
        </w:rPr>
        <w:t xml:space="preserve">Advances in Clinical and Experimental Medicine. </w:t>
      </w:r>
      <w:r w:rsidRPr="00C52E09">
        <w:t>2013;22(4):555-563.</w:t>
      </w:r>
    </w:p>
    <w:p w14:paraId="04E56089" w14:textId="77777777" w:rsidR="00C52E09" w:rsidRPr="00C52E09" w:rsidRDefault="00C52E09" w:rsidP="00C52E09">
      <w:pPr>
        <w:pStyle w:val="EndNoteBibliography"/>
        <w:spacing w:after="0"/>
        <w:ind w:left="720" w:hanging="720"/>
      </w:pPr>
      <w:r w:rsidRPr="00C52E09">
        <w:t>18.</w:t>
      </w:r>
      <w:r w:rsidRPr="00C52E09">
        <w:tab/>
        <w:t xml:space="preserve">Gonzalez-Martin G, Yanez L, Valenzuela E. [Adverse drug reactions among hospitalized elderly patients. Prospective study]. </w:t>
      </w:r>
      <w:r w:rsidRPr="00C52E09">
        <w:rPr>
          <w:i/>
        </w:rPr>
        <w:t xml:space="preserve">Revista medica de Chile. </w:t>
      </w:r>
      <w:r w:rsidRPr="00C52E09">
        <w:t>1997;125(10):1129-1136.</w:t>
      </w:r>
    </w:p>
    <w:p w14:paraId="62D1654D" w14:textId="77777777" w:rsidR="00C52E09" w:rsidRPr="00C52E09" w:rsidRDefault="00C52E09" w:rsidP="00C52E09">
      <w:pPr>
        <w:pStyle w:val="EndNoteBibliography"/>
        <w:spacing w:after="0"/>
        <w:ind w:left="720" w:hanging="720"/>
      </w:pPr>
      <w:r w:rsidRPr="00C52E09">
        <w:t>19.</w:t>
      </w:r>
      <w:r w:rsidRPr="00C52E09">
        <w:tab/>
        <w:t xml:space="preserve">Hailu BY, Berhe DF, Gudina EK, Gidey K, Getachew M. Drug related problems in admitted geriatric patients: the impact of clinical pharmacist interventions. </w:t>
      </w:r>
      <w:r w:rsidRPr="00C52E09">
        <w:rPr>
          <w:i/>
        </w:rPr>
        <w:t xml:space="preserve">BMC geriatrics. </w:t>
      </w:r>
      <w:r w:rsidRPr="00C52E09">
        <w:t>2020;20(1):13.</w:t>
      </w:r>
    </w:p>
    <w:p w14:paraId="10FC4B6E" w14:textId="77777777" w:rsidR="00C52E09" w:rsidRPr="00C52E09" w:rsidRDefault="00C52E09" w:rsidP="00C52E09">
      <w:pPr>
        <w:pStyle w:val="EndNoteBibliography"/>
        <w:spacing w:after="0"/>
        <w:ind w:left="720" w:hanging="720"/>
      </w:pPr>
      <w:r w:rsidRPr="00C52E09">
        <w:t>20.</w:t>
      </w:r>
      <w:r w:rsidRPr="00C52E09">
        <w:tab/>
        <w:t xml:space="preserve">Kaur U, Chakrabarti SS, Singh B, Gambhir IS. A Prospective Observational Pilot Study of Adverse Drug Reactions in Patients Admitted in the Geriatric Ward of a Tertiary Hospital in North India. </w:t>
      </w:r>
      <w:r w:rsidRPr="00C52E09">
        <w:rPr>
          <w:i/>
        </w:rPr>
        <w:t xml:space="preserve">Current Pharmacogenomics and Personalized Medicine (Formerly Current Pharmacogenomics). </w:t>
      </w:r>
      <w:r w:rsidRPr="00C52E09">
        <w:t>2018;16(2):147-155.</w:t>
      </w:r>
    </w:p>
    <w:p w14:paraId="583E8F53" w14:textId="77777777" w:rsidR="00C52E09" w:rsidRPr="00C52E09" w:rsidRDefault="00C52E09" w:rsidP="00C52E09">
      <w:pPr>
        <w:pStyle w:val="EndNoteBibliography"/>
        <w:spacing w:after="0"/>
        <w:ind w:left="720" w:hanging="720"/>
      </w:pPr>
      <w:r w:rsidRPr="00C52E09">
        <w:t>21.</w:t>
      </w:r>
      <w:r w:rsidRPr="00C52E09">
        <w:tab/>
        <w:t xml:space="preserve">Leach S, Roy SS. ADVERSE DRUG REACTIONS: AN INVESTIGATION ON AN ACUTE GERIATRIC WARD. </w:t>
      </w:r>
      <w:r w:rsidRPr="00C52E09">
        <w:rPr>
          <w:i/>
        </w:rPr>
        <w:t xml:space="preserve">Age and ageing. </w:t>
      </w:r>
      <w:r w:rsidRPr="00C52E09">
        <w:t>1986;15(4):241-246.</w:t>
      </w:r>
    </w:p>
    <w:p w14:paraId="56EA4316" w14:textId="77777777" w:rsidR="00C52E09" w:rsidRPr="00C52E09" w:rsidRDefault="00C52E09" w:rsidP="00C52E09">
      <w:pPr>
        <w:pStyle w:val="EndNoteBibliography"/>
        <w:spacing w:after="0"/>
        <w:ind w:left="720" w:hanging="720"/>
      </w:pPr>
      <w:r w:rsidRPr="00C52E09">
        <w:t>22.</w:t>
      </w:r>
      <w:r w:rsidRPr="00C52E09">
        <w:tab/>
        <w:t xml:space="preserve">O'Connor MN, Gallagher P, Byrne S, O'Mahony D. Adverse drug reactions in older patients during hospitalisation: Are they predictable? </w:t>
      </w:r>
      <w:r w:rsidRPr="00C52E09">
        <w:rPr>
          <w:i/>
        </w:rPr>
        <w:t xml:space="preserve">Age and ageing. </w:t>
      </w:r>
      <w:r w:rsidRPr="00C52E09">
        <w:t>2012;41(6):771-776.</w:t>
      </w:r>
    </w:p>
    <w:p w14:paraId="3669340E" w14:textId="77777777" w:rsidR="00C52E09" w:rsidRPr="00C52E09" w:rsidRDefault="00C52E09" w:rsidP="00C52E09">
      <w:pPr>
        <w:pStyle w:val="EndNoteBibliography"/>
        <w:spacing w:after="0"/>
        <w:ind w:left="720" w:hanging="720"/>
      </w:pPr>
      <w:r w:rsidRPr="00C52E09">
        <w:t>23.</w:t>
      </w:r>
      <w:r w:rsidRPr="00C52E09">
        <w:tab/>
        <w:t xml:space="preserve">O'Connor MN, O'Sullivan D, Gallagher PF, Eustace J, Byrne S, O'Mahony D. Prevention of hospital‐acquired adverse drug reactions in older people using screening tool of older persons' prescriptions and screening tool to alert to right treatment criteria: A cluster randomized controlled trial. </w:t>
      </w:r>
      <w:r w:rsidRPr="00C52E09">
        <w:rPr>
          <w:i/>
        </w:rPr>
        <w:t xml:space="preserve">Journal of the American Geriatrics Society. </w:t>
      </w:r>
      <w:r w:rsidRPr="00C52E09">
        <w:t>2016;64(8):1558-1566.</w:t>
      </w:r>
    </w:p>
    <w:p w14:paraId="3661FF1A" w14:textId="77777777" w:rsidR="00C52E09" w:rsidRPr="00C52E09" w:rsidRDefault="00C52E09" w:rsidP="00C52E09">
      <w:pPr>
        <w:pStyle w:val="EndNoteBibliography"/>
        <w:spacing w:after="0"/>
        <w:ind w:left="720" w:hanging="720"/>
      </w:pPr>
      <w:r w:rsidRPr="00C52E09">
        <w:t>24.</w:t>
      </w:r>
      <w:r w:rsidRPr="00C52E09">
        <w:tab/>
        <w:t xml:space="preserve">Onder G, Petrovic M, Tangiisuran B, et al. Development and validation of a score to assess risk of adverse drug reactions among in-hospital patients 65 years or older: the GerontoNet ADR risk score. </w:t>
      </w:r>
      <w:r w:rsidRPr="00C52E09">
        <w:rPr>
          <w:i/>
        </w:rPr>
        <w:t xml:space="preserve">Archives of internal medicine. </w:t>
      </w:r>
      <w:r w:rsidRPr="00C52E09">
        <w:t>2010;170(13):1142-1148.</w:t>
      </w:r>
    </w:p>
    <w:p w14:paraId="5438255C" w14:textId="77777777" w:rsidR="00C52E09" w:rsidRPr="00C52E09" w:rsidRDefault="00C52E09" w:rsidP="00C52E09">
      <w:pPr>
        <w:pStyle w:val="EndNoteBibliography"/>
        <w:spacing w:after="0"/>
        <w:ind w:left="720" w:hanging="720"/>
      </w:pPr>
      <w:r w:rsidRPr="00C52E09">
        <w:t>25.</w:t>
      </w:r>
      <w:r w:rsidRPr="00C52E09">
        <w:tab/>
        <w:t xml:space="preserve">O'Sullivan D, O'Mahony D, O'Connor MN, et al. Prevention of Adverse Drug Reactions in Hospitalised Older Patients Using a Software-Supported Structured Pharmacist Intervention: A Cluster Randomised Controlled Trial. </w:t>
      </w:r>
      <w:r w:rsidRPr="00C52E09">
        <w:rPr>
          <w:i/>
        </w:rPr>
        <w:t xml:space="preserve">Drugs &amp; aging. </w:t>
      </w:r>
      <w:r w:rsidRPr="00C52E09">
        <w:t>2016;33(1):63-73.</w:t>
      </w:r>
    </w:p>
    <w:p w14:paraId="61904049" w14:textId="77777777" w:rsidR="00C52E09" w:rsidRPr="00C52E09" w:rsidRDefault="00C52E09" w:rsidP="00C52E09">
      <w:pPr>
        <w:pStyle w:val="EndNoteBibliography"/>
        <w:spacing w:after="0"/>
        <w:ind w:left="720" w:hanging="720"/>
      </w:pPr>
      <w:r w:rsidRPr="00C52E09">
        <w:t>26.</w:t>
      </w:r>
      <w:r w:rsidRPr="00C52E09">
        <w:tab/>
        <w:t xml:space="preserve">REICHEL W. Complications in the care of five hundred elderly hospitalized patients. </w:t>
      </w:r>
      <w:r w:rsidRPr="00C52E09">
        <w:rPr>
          <w:i/>
        </w:rPr>
        <w:t xml:space="preserve">Journal of the American Geriatrics Society. </w:t>
      </w:r>
      <w:r w:rsidRPr="00C52E09">
        <w:t>1965;13(11):973-981.</w:t>
      </w:r>
    </w:p>
    <w:p w14:paraId="04DBB137" w14:textId="77777777" w:rsidR="00C52E09" w:rsidRPr="00C52E09" w:rsidRDefault="00C52E09" w:rsidP="00C52E09">
      <w:pPr>
        <w:pStyle w:val="EndNoteBibliography"/>
        <w:spacing w:after="0"/>
        <w:ind w:left="720" w:hanging="720"/>
      </w:pPr>
      <w:r w:rsidRPr="00C52E09">
        <w:t>27.</w:t>
      </w:r>
      <w:r w:rsidRPr="00C52E09">
        <w:tab/>
        <w:t xml:space="preserve">Fernandez-Regueiro R, Fonseca-Aizpuru E, Lopez-Colina G, Alvarez-Uria A, Rodriguez-Avila E, Moris-De-La-Tassa J. Inappropriate drug prescription and adverse drug effects in elderly patients. </w:t>
      </w:r>
      <w:r w:rsidRPr="00C52E09">
        <w:rPr>
          <w:i/>
        </w:rPr>
        <w:t xml:space="preserve">Revista Clinica Espanola. </w:t>
      </w:r>
      <w:r w:rsidRPr="00C52E09">
        <w:t>2011;211(8):400-406.</w:t>
      </w:r>
    </w:p>
    <w:p w14:paraId="5B5468AC" w14:textId="77777777" w:rsidR="00C52E09" w:rsidRPr="00C52E09" w:rsidRDefault="00C52E09" w:rsidP="00C52E09">
      <w:pPr>
        <w:pStyle w:val="EndNoteBibliography"/>
        <w:spacing w:after="0"/>
        <w:ind w:left="720" w:hanging="720"/>
      </w:pPr>
      <w:r w:rsidRPr="00C52E09">
        <w:t>28.</w:t>
      </w:r>
      <w:r w:rsidRPr="00C52E09">
        <w:tab/>
        <w:t xml:space="preserve">Giardina C, Cutroneo PM, Mocciaro E, et al. Adverse Drug Reactions in Hospitalized Patients: Results of the FORWARD (Facilitation of Reporting in Hospital Ward) Study. </w:t>
      </w:r>
      <w:r w:rsidRPr="00C52E09">
        <w:rPr>
          <w:i/>
        </w:rPr>
        <w:t xml:space="preserve">Frontiers in pharmacology. </w:t>
      </w:r>
      <w:r w:rsidRPr="00C52E09">
        <w:t>2018;9:350.</w:t>
      </w:r>
    </w:p>
    <w:p w14:paraId="5FEE4C20" w14:textId="77777777" w:rsidR="00C52E09" w:rsidRPr="00C52E09" w:rsidRDefault="00C52E09" w:rsidP="00C52E09">
      <w:pPr>
        <w:pStyle w:val="EndNoteBibliography"/>
        <w:spacing w:after="0"/>
        <w:ind w:left="720" w:hanging="720"/>
      </w:pPr>
      <w:r w:rsidRPr="00C52E09">
        <w:t>29.</w:t>
      </w:r>
      <w:r w:rsidRPr="00C52E09">
        <w:tab/>
        <w:t xml:space="preserve">Harugeri A, Parthasarathi G, Ramesh M, Guido S, Basavanagowdappa H. Frequency and nature of adverse drug reactions in elderly in-patients of two Indian medical college hospitals. </w:t>
      </w:r>
      <w:r w:rsidRPr="00C52E09">
        <w:rPr>
          <w:i/>
        </w:rPr>
        <w:t xml:space="preserve">Journal of postgraduate medicine. </w:t>
      </w:r>
      <w:r w:rsidRPr="00C52E09">
        <w:t>2011;57(3):189-195.</w:t>
      </w:r>
    </w:p>
    <w:p w14:paraId="5E1EB4A8" w14:textId="77777777" w:rsidR="00C52E09" w:rsidRPr="00C52E09" w:rsidRDefault="00C52E09" w:rsidP="00C52E09">
      <w:pPr>
        <w:pStyle w:val="EndNoteBibliography"/>
        <w:spacing w:after="0"/>
        <w:ind w:left="720" w:hanging="720"/>
      </w:pPr>
      <w:r w:rsidRPr="00C52E09">
        <w:t>30.</w:t>
      </w:r>
      <w:r w:rsidRPr="00C52E09">
        <w:tab/>
        <w:t xml:space="preserve">Lavan A, Eustace J, Dahly D, et al. Incident adverse drug reactions in geriatric inpatients: a multicentred observational study. </w:t>
      </w:r>
      <w:r w:rsidRPr="00C52E09">
        <w:rPr>
          <w:i/>
        </w:rPr>
        <w:t xml:space="preserve">Therapeutic advances in drug safety. </w:t>
      </w:r>
      <w:r w:rsidRPr="00C52E09">
        <w:t>2018;9(1):13-23.</w:t>
      </w:r>
    </w:p>
    <w:p w14:paraId="7D8234E8" w14:textId="77777777" w:rsidR="00C52E09" w:rsidRPr="00C52E09" w:rsidRDefault="00C52E09" w:rsidP="00C52E09">
      <w:pPr>
        <w:pStyle w:val="EndNoteBibliography"/>
        <w:spacing w:after="0"/>
        <w:ind w:left="720" w:hanging="720"/>
      </w:pPr>
      <w:r w:rsidRPr="00C52E09">
        <w:t>31.</w:t>
      </w:r>
      <w:r w:rsidRPr="00C52E09">
        <w:tab/>
        <w:t xml:space="preserve">Liao PJ, Mao CT, Chen TL, Deng ST, Hsu KH. Factors associated with adverse drug reaction occurrence and prognosis, and their economic impacts in older inpatients in Taiwan: a nested case-control study. </w:t>
      </w:r>
      <w:r w:rsidRPr="00C52E09">
        <w:rPr>
          <w:i/>
        </w:rPr>
        <w:t xml:space="preserve">BMJ open. </w:t>
      </w:r>
      <w:r w:rsidRPr="00C52E09">
        <w:t>2019;9(5):e026771.</w:t>
      </w:r>
    </w:p>
    <w:p w14:paraId="2E1003F2" w14:textId="77777777" w:rsidR="00C52E09" w:rsidRPr="00C52E09" w:rsidRDefault="00C52E09" w:rsidP="00C52E09">
      <w:pPr>
        <w:pStyle w:val="EndNoteBibliography"/>
        <w:spacing w:after="0"/>
        <w:ind w:left="720" w:hanging="720"/>
      </w:pPr>
      <w:r w:rsidRPr="00C52E09">
        <w:t>32.</w:t>
      </w:r>
      <w:r w:rsidRPr="00C52E09">
        <w:tab/>
        <w:t xml:space="preserve">Mohebbi N, Shalviri G, Salarifar M, Salamzadeh J, Gholami K. Adverse drug reactions induced by cardiovascular drugs in cardiovascular care unit patients. </w:t>
      </w:r>
      <w:r w:rsidRPr="00C52E09">
        <w:rPr>
          <w:i/>
        </w:rPr>
        <w:t xml:space="preserve">Pharmacoepidemiology and drug safety. </w:t>
      </w:r>
      <w:r w:rsidRPr="00C52E09">
        <w:t>2010;19(9):889-894.</w:t>
      </w:r>
    </w:p>
    <w:p w14:paraId="58A3F0DC" w14:textId="77777777" w:rsidR="00C52E09" w:rsidRPr="00C52E09" w:rsidRDefault="00C52E09" w:rsidP="00C52E09">
      <w:pPr>
        <w:pStyle w:val="EndNoteBibliography"/>
        <w:spacing w:after="0"/>
        <w:ind w:left="720" w:hanging="720"/>
      </w:pPr>
      <w:r w:rsidRPr="00C52E09">
        <w:t>33.</w:t>
      </w:r>
      <w:r w:rsidRPr="00C52E09">
        <w:tab/>
        <w:t xml:space="preserve">Mugoša S, Bukumirić Z, Kovačević A, Bošković A, Protić D, Todorović Z. Adverse drug reactions in hospitalized cardiac patients: characteristics and risk factors. </w:t>
      </w:r>
      <w:r w:rsidRPr="00C52E09">
        <w:rPr>
          <w:i/>
        </w:rPr>
        <w:t xml:space="preserve">Vojnosanitetski pregled. </w:t>
      </w:r>
      <w:r w:rsidRPr="00C52E09">
        <w:t>2015;72(11):975-981.</w:t>
      </w:r>
    </w:p>
    <w:p w14:paraId="17C5842E" w14:textId="77777777" w:rsidR="00C52E09" w:rsidRPr="00C52E09" w:rsidRDefault="00C52E09" w:rsidP="00C52E09">
      <w:pPr>
        <w:pStyle w:val="EndNoteBibliography"/>
        <w:spacing w:after="0"/>
        <w:ind w:left="720" w:hanging="720"/>
      </w:pPr>
      <w:r w:rsidRPr="00C52E09">
        <w:t>34.</w:t>
      </w:r>
      <w:r w:rsidRPr="00C52E09">
        <w:tab/>
        <w:t xml:space="preserve">Tangiisuran B, Graham Davies J, Wright JE, Rajkumar C. Adverse Drug Reactions in a Population of Hospitalized Very Elderly Patients. </w:t>
      </w:r>
      <w:r w:rsidRPr="00C52E09">
        <w:rPr>
          <w:i/>
        </w:rPr>
        <w:t xml:space="preserve">Drugs &amp; aging. </w:t>
      </w:r>
      <w:r w:rsidRPr="00C52E09">
        <w:t>2012;29(8):669-679.</w:t>
      </w:r>
    </w:p>
    <w:p w14:paraId="79EAE257" w14:textId="77777777" w:rsidR="00C52E09" w:rsidRPr="00C52E09" w:rsidRDefault="00C52E09" w:rsidP="00C52E09">
      <w:pPr>
        <w:pStyle w:val="EndNoteBibliography"/>
        <w:spacing w:after="0"/>
        <w:ind w:left="720" w:hanging="720"/>
      </w:pPr>
      <w:r w:rsidRPr="00C52E09">
        <w:t>35.</w:t>
      </w:r>
      <w:r w:rsidRPr="00C52E09">
        <w:tab/>
        <w:t xml:space="preserve">Tangiisuran B, Scutt G, Stevenson J, et al. Development and validation of a risk model for predicting adverse drug reactions in older people during hospital stay: Brighton Adverse Drug Reactions Risk (BADRI) model. </w:t>
      </w:r>
      <w:r w:rsidRPr="00C52E09">
        <w:rPr>
          <w:i/>
        </w:rPr>
        <w:t xml:space="preserve">PloS one. </w:t>
      </w:r>
      <w:r w:rsidRPr="00C52E09">
        <w:t>2014;9(10):e111254.</w:t>
      </w:r>
    </w:p>
    <w:p w14:paraId="0F9BC0C7" w14:textId="77777777" w:rsidR="00C52E09" w:rsidRPr="00C52E09" w:rsidRDefault="00C52E09" w:rsidP="00C52E09">
      <w:pPr>
        <w:pStyle w:val="EndNoteBibliography"/>
        <w:spacing w:after="0"/>
        <w:ind w:left="720" w:hanging="720"/>
      </w:pPr>
      <w:r w:rsidRPr="00C52E09">
        <w:t>36.</w:t>
      </w:r>
      <w:r w:rsidRPr="00C52E09">
        <w:tab/>
        <w:t xml:space="preserve">Hazell L, Shakir SA. Under-reporting of adverse drug reactions : a systematic review. </w:t>
      </w:r>
      <w:r w:rsidRPr="00C52E09">
        <w:rPr>
          <w:i/>
        </w:rPr>
        <w:t xml:space="preserve">Drug safety. </w:t>
      </w:r>
      <w:r w:rsidRPr="00C52E09">
        <w:t>2006;29(5):385-396.</w:t>
      </w:r>
    </w:p>
    <w:p w14:paraId="01D27799" w14:textId="77777777" w:rsidR="00C52E09" w:rsidRPr="00C52E09" w:rsidRDefault="00C52E09" w:rsidP="00C52E09">
      <w:pPr>
        <w:pStyle w:val="EndNoteBibliography"/>
        <w:spacing w:after="0"/>
        <w:ind w:left="720" w:hanging="720"/>
      </w:pPr>
      <w:r w:rsidRPr="00C52E09">
        <w:t>37.</w:t>
      </w:r>
      <w:r w:rsidRPr="00C52E09">
        <w:tab/>
        <w:t xml:space="preserve">Team. WHOQAaSoM. Safety of medicines : a guide to detecting and reporting adverse drug reactions : why health professionals need to take action. . </w:t>
      </w:r>
      <w:r w:rsidRPr="00C52E09">
        <w:rPr>
          <w:i/>
        </w:rPr>
        <w:t xml:space="preserve">Geneva : World Health Organization </w:t>
      </w:r>
      <w:r w:rsidRPr="00C52E09">
        <w:t>2002.</w:t>
      </w:r>
    </w:p>
    <w:p w14:paraId="0A4AA3D9" w14:textId="77777777" w:rsidR="00C52E09" w:rsidRPr="00C52E09" w:rsidRDefault="00C52E09" w:rsidP="00C52E09">
      <w:pPr>
        <w:pStyle w:val="EndNoteBibliography"/>
        <w:spacing w:after="0"/>
        <w:ind w:left="720" w:hanging="720"/>
      </w:pPr>
      <w:r w:rsidRPr="00C52E09">
        <w:t>38.</w:t>
      </w:r>
      <w:r w:rsidRPr="00C52E09">
        <w:tab/>
        <w:t xml:space="preserve">Edwards IR, Aronson JK. Adverse drug reactions: definitions, diagnosis, and management. </w:t>
      </w:r>
      <w:r w:rsidRPr="00C52E09">
        <w:rPr>
          <w:i/>
        </w:rPr>
        <w:t xml:space="preserve">Lancet (London, England). </w:t>
      </w:r>
      <w:r w:rsidRPr="00C52E09">
        <w:t>2000;356(9237):1255-1259.</w:t>
      </w:r>
    </w:p>
    <w:p w14:paraId="7C70BF3F" w14:textId="77777777" w:rsidR="00C52E09" w:rsidRPr="00C52E09" w:rsidRDefault="00C52E09" w:rsidP="00C52E09">
      <w:pPr>
        <w:pStyle w:val="EndNoteBibliography"/>
        <w:spacing w:after="0"/>
        <w:ind w:left="720" w:hanging="720"/>
      </w:pPr>
      <w:r w:rsidRPr="00C52E09">
        <w:t>39.</w:t>
      </w:r>
      <w:r w:rsidRPr="00C52E09">
        <w:tab/>
        <w:t xml:space="preserve">Bates DW, Leape LL, Petrycki S. Incidence and preventability of adverse drug events in hospitalized adults. </w:t>
      </w:r>
      <w:r w:rsidRPr="00C52E09">
        <w:rPr>
          <w:i/>
        </w:rPr>
        <w:t xml:space="preserve">Journal of general internal medicine. </w:t>
      </w:r>
      <w:r w:rsidRPr="00C52E09">
        <w:t>1993;8(6):289-294.</w:t>
      </w:r>
    </w:p>
    <w:p w14:paraId="753D99FE" w14:textId="77777777" w:rsidR="00C52E09" w:rsidRPr="00C52E09" w:rsidRDefault="00C52E09" w:rsidP="00C52E09">
      <w:pPr>
        <w:pStyle w:val="EndNoteBibliography"/>
        <w:spacing w:after="0"/>
        <w:ind w:left="720" w:hanging="720"/>
      </w:pPr>
      <w:r w:rsidRPr="00C52E09">
        <w:t>40.</w:t>
      </w:r>
      <w:r w:rsidRPr="00C52E09">
        <w:tab/>
        <w:t xml:space="preserve">Naranjo CA, Busto U, Sellers EM, et al. A method for estimating the probability of adverse drug reactions. </w:t>
      </w:r>
      <w:r w:rsidRPr="00C52E09">
        <w:rPr>
          <w:i/>
        </w:rPr>
        <w:t xml:space="preserve">Clin Pharmacol Ther. </w:t>
      </w:r>
      <w:r w:rsidRPr="00C52E09">
        <w:t>1981;30(2):239-245.</w:t>
      </w:r>
    </w:p>
    <w:p w14:paraId="2FCC236F" w14:textId="37FAE474" w:rsidR="00C52E09" w:rsidRPr="00C52E09" w:rsidRDefault="00C52E09" w:rsidP="00C52E09">
      <w:pPr>
        <w:pStyle w:val="EndNoteBibliography"/>
        <w:spacing w:after="0"/>
        <w:ind w:left="720" w:hanging="720"/>
      </w:pPr>
      <w:r w:rsidRPr="00C52E09">
        <w:t>41.</w:t>
      </w:r>
      <w:r w:rsidRPr="00C52E09">
        <w:tab/>
        <w:t>(UMC) UMC. The use of the WHO-UMC system for standardised case causality assessment.  h</w:t>
      </w:r>
      <w:r w:rsidRPr="00605990">
        <w:t>ttps://www.who-umc.org/media/164200/who-umc-causality-assessment_new-logo.pdf.</w:t>
      </w:r>
      <w:r w:rsidRPr="00C52E09">
        <w:t xml:space="preserve"> Accessed 19/09/2019, 2019.</w:t>
      </w:r>
    </w:p>
    <w:p w14:paraId="2E3BB059" w14:textId="77777777" w:rsidR="00C52E09" w:rsidRPr="00C52E09" w:rsidRDefault="00C52E09" w:rsidP="00C52E09">
      <w:pPr>
        <w:pStyle w:val="EndNoteBibliography"/>
        <w:spacing w:after="0"/>
        <w:ind w:left="720" w:hanging="720"/>
      </w:pPr>
      <w:r w:rsidRPr="00C52E09">
        <w:t>42.</w:t>
      </w:r>
      <w:r w:rsidRPr="00C52E09">
        <w:tab/>
        <w:t xml:space="preserve">Hallas J, Harvald B, Gram LF, et al. Drug related hospital admissions: the role of definitions and intensity of data collection, and the possibility of prevention. </w:t>
      </w:r>
      <w:r w:rsidRPr="00C52E09">
        <w:rPr>
          <w:i/>
        </w:rPr>
        <w:t xml:space="preserve">Journal of internal medicine. </w:t>
      </w:r>
      <w:r w:rsidRPr="00C52E09">
        <w:t>1990;228(2):83-90.</w:t>
      </w:r>
    </w:p>
    <w:p w14:paraId="21FB3691" w14:textId="77777777" w:rsidR="00C52E09" w:rsidRPr="00C52E09" w:rsidRDefault="00C52E09" w:rsidP="00C52E09">
      <w:pPr>
        <w:pStyle w:val="EndNoteBibliography"/>
        <w:spacing w:after="0"/>
        <w:ind w:left="720" w:hanging="720"/>
      </w:pPr>
      <w:r w:rsidRPr="00C52E09">
        <w:t>43.</w:t>
      </w:r>
      <w:r w:rsidRPr="00C52E09">
        <w:tab/>
        <w:t xml:space="preserve">Kramer MS, Leventhal JM, Hutchinson TA, Feinstein AR. An algorithm for the operational assessment of adverse drug reactions. I. Background, description, and instructions for use. </w:t>
      </w:r>
      <w:r w:rsidRPr="00C52E09">
        <w:rPr>
          <w:i/>
        </w:rPr>
        <w:t xml:space="preserve">Jama. </w:t>
      </w:r>
      <w:r w:rsidRPr="00C52E09">
        <w:t>1979;242(7):623-632.</w:t>
      </w:r>
    </w:p>
    <w:p w14:paraId="4F6EB96B" w14:textId="77777777" w:rsidR="00C52E09" w:rsidRPr="00C52E09" w:rsidRDefault="00C52E09" w:rsidP="00C52E09">
      <w:pPr>
        <w:pStyle w:val="EndNoteBibliography"/>
        <w:spacing w:after="0"/>
        <w:ind w:left="720" w:hanging="720"/>
      </w:pPr>
      <w:r w:rsidRPr="00C52E09">
        <w:t>44.</w:t>
      </w:r>
      <w:r w:rsidRPr="00C52E09">
        <w:tab/>
        <w:t xml:space="preserve">Hartwig SC, Siegel J, Schneider PJ. Preventability and severity assessment in reporting adverse drug reactions. </w:t>
      </w:r>
      <w:r w:rsidRPr="00C52E09">
        <w:rPr>
          <w:i/>
        </w:rPr>
        <w:t xml:space="preserve">American journal of hospital pharmacy. </w:t>
      </w:r>
      <w:r w:rsidRPr="00C52E09">
        <w:t>1992;49(9):2229-2232.</w:t>
      </w:r>
    </w:p>
    <w:p w14:paraId="6376F59E" w14:textId="77777777" w:rsidR="00C52E09" w:rsidRPr="00C52E09" w:rsidRDefault="00C52E09" w:rsidP="00C52E09">
      <w:pPr>
        <w:pStyle w:val="EndNoteBibliography"/>
        <w:spacing w:after="0"/>
        <w:ind w:left="720" w:hanging="720"/>
      </w:pPr>
      <w:r w:rsidRPr="00C52E09">
        <w:t>45.</w:t>
      </w:r>
      <w:r w:rsidRPr="00C52E09">
        <w:tab/>
        <w:t xml:space="preserve">Hurwitz N, Wade OL. Intensive hospital monitoring of adverse reactions to drugs. </w:t>
      </w:r>
      <w:r w:rsidRPr="00C52E09">
        <w:rPr>
          <w:i/>
        </w:rPr>
        <w:t xml:space="preserve">Br Med J. </w:t>
      </w:r>
      <w:r w:rsidRPr="00C52E09">
        <w:t>1969;1(5643):531-536.</w:t>
      </w:r>
    </w:p>
    <w:p w14:paraId="39C55019" w14:textId="77777777" w:rsidR="00C52E09" w:rsidRPr="00C52E09" w:rsidRDefault="00C52E09" w:rsidP="00C52E09">
      <w:pPr>
        <w:pStyle w:val="EndNoteBibliography"/>
        <w:spacing w:after="0"/>
        <w:ind w:left="720" w:hanging="720"/>
      </w:pPr>
      <w:r w:rsidRPr="00C52E09">
        <w:t>46.</w:t>
      </w:r>
      <w:r w:rsidRPr="00C52E09">
        <w:tab/>
        <w:t xml:space="preserve">Morimoto T, Gandhi TK, Seger AC, Hsieh TC, Bates DW. Adverse drug events and medication errors: detection and classification methods. </w:t>
      </w:r>
      <w:r w:rsidRPr="00C52E09">
        <w:rPr>
          <w:i/>
        </w:rPr>
        <w:t xml:space="preserve">Qual Saf Health Care. </w:t>
      </w:r>
      <w:r w:rsidRPr="00C52E09">
        <w:t>2004;13(4):306-314.</w:t>
      </w:r>
    </w:p>
    <w:p w14:paraId="076F18C3" w14:textId="77777777" w:rsidR="00C52E09" w:rsidRPr="00C52E09" w:rsidRDefault="00C52E09" w:rsidP="00C52E09">
      <w:pPr>
        <w:pStyle w:val="EndNoteBibliography"/>
        <w:spacing w:after="0"/>
        <w:ind w:left="720" w:hanging="720"/>
      </w:pPr>
      <w:r w:rsidRPr="00C52E09">
        <w:t>47.</w:t>
      </w:r>
      <w:r w:rsidRPr="00C52E09">
        <w:tab/>
        <w:t xml:space="preserve">Stephens MDB. </w:t>
      </w:r>
      <w:r w:rsidRPr="00C52E09">
        <w:rPr>
          <w:i/>
        </w:rPr>
        <w:t>The detection of new adverse drug reactions.</w:t>
      </w:r>
      <w:r w:rsidRPr="00C52E09">
        <w:t xml:space="preserve"> Macmillan International Higher Education; 1988.</w:t>
      </w:r>
    </w:p>
    <w:p w14:paraId="758426A3" w14:textId="4BD5CF02" w:rsidR="00C52E09" w:rsidRPr="00C52E09" w:rsidRDefault="00C52E09" w:rsidP="00C52E09">
      <w:pPr>
        <w:pStyle w:val="EndNoteBibliography"/>
        <w:spacing w:after="0"/>
        <w:ind w:left="720" w:hanging="720"/>
      </w:pPr>
      <w:r w:rsidRPr="00C52E09">
        <w:t>48.</w:t>
      </w:r>
      <w:r w:rsidRPr="00C52E09">
        <w:tab/>
        <w:t>Centre UM. What is WHO-ART?  h</w:t>
      </w:r>
      <w:r w:rsidRPr="00605990">
        <w:t>ttps://www.who-umc.org/vigibase/services/learn-more-about-who-art/.</w:t>
      </w:r>
      <w:r w:rsidRPr="00C52E09">
        <w:t xml:space="preserve"> Accessed 19/09/2019, 2019.</w:t>
      </w:r>
    </w:p>
    <w:p w14:paraId="3BAC07D7" w14:textId="0FF4FD94" w:rsidR="00C52E09" w:rsidRPr="00C52E09" w:rsidRDefault="00C52E09" w:rsidP="00C52E09">
      <w:pPr>
        <w:pStyle w:val="EndNoteBibliography"/>
        <w:spacing w:after="0"/>
        <w:ind w:left="720" w:hanging="720"/>
      </w:pPr>
      <w:r w:rsidRPr="00C52E09">
        <w:t>49.</w:t>
      </w:r>
      <w:r w:rsidRPr="00C52E09">
        <w:tab/>
        <w:t>Agency EM. Guideline on good pharmacovigilance practices (GVP) Annex I - Definitions (Rev 4) 2017; h</w:t>
      </w:r>
      <w:r w:rsidRPr="00605990">
        <w:t>ttps://www.ema.europa.eu/en/documents/scientific-guideline/guideline-good-pharmacovigilance-practices-annex-i-definitions-rev-4_en.pdf.</w:t>
      </w:r>
      <w:r w:rsidRPr="00C52E09">
        <w:t xml:space="preserve"> Accessed 19/09/2019, 2019.</w:t>
      </w:r>
    </w:p>
    <w:p w14:paraId="3C112717" w14:textId="025AE6E7" w:rsidR="00C52E09" w:rsidRPr="00C52E09" w:rsidRDefault="00C52E09" w:rsidP="00C52E09">
      <w:pPr>
        <w:pStyle w:val="EndNoteBibliography"/>
        <w:spacing w:after="0"/>
        <w:ind w:left="720" w:hanging="720"/>
      </w:pPr>
      <w:r w:rsidRPr="00C52E09">
        <w:t>50.</w:t>
      </w:r>
      <w:r w:rsidRPr="00C52E09">
        <w:tab/>
        <w:t xml:space="preserve">department PaP. Spanish Agency of medicines and medical devices.  </w:t>
      </w:r>
      <w:r w:rsidRPr="00605990">
        <w:t>http://www.aemps.gob.es/</w:t>
      </w:r>
      <w:r w:rsidRPr="00C52E09">
        <w:t xml:space="preserve"> </w:t>
      </w:r>
    </w:p>
    <w:p w14:paraId="2CCAD569" w14:textId="77777777" w:rsidR="00C52E09" w:rsidRPr="00C52E09" w:rsidRDefault="00C52E09" w:rsidP="00C52E09">
      <w:pPr>
        <w:pStyle w:val="EndNoteBibliography"/>
        <w:spacing w:after="0"/>
        <w:ind w:left="720" w:hanging="720"/>
      </w:pPr>
      <w:r w:rsidRPr="00C52E09">
        <w:t>51.</w:t>
      </w:r>
      <w:r w:rsidRPr="00C52E09">
        <w:tab/>
        <w:t>Rawlins M, Thompson J. 3. Mechanisms of adverse drug reactions. 1991.</w:t>
      </w:r>
    </w:p>
    <w:p w14:paraId="06D922DF" w14:textId="77777777" w:rsidR="00C52E09" w:rsidRPr="00C52E09" w:rsidRDefault="00C52E09" w:rsidP="00C52E09">
      <w:pPr>
        <w:pStyle w:val="EndNoteBibliography"/>
        <w:spacing w:after="0"/>
        <w:ind w:left="720" w:hanging="720"/>
      </w:pPr>
      <w:r w:rsidRPr="00C52E09">
        <w:t>52.</w:t>
      </w:r>
      <w:r w:rsidRPr="00C52E09">
        <w:tab/>
        <w:t xml:space="preserve">Meyboom RH, Lindquist M, Egberts AC. An ABC of drug-related problems. </w:t>
      </w:r>
      <w:r w:rsidRPr="00C52E09">
        <w:rPr>
          <w:i/>
        </w:rPr>
        <w:t xml:space="preserve">Drug safety. </w:t>
      </w:r>
      <w:r w:rsidRPr="00C52E09">
        <w:t>2000;22(6):415-423.</w:t>
      </w:r>
    </w:p>
    <w:p w14:paraId="1EF6F4AD" w14:textId="77777777" w:rsidR="00C52E09" w:rsidRPr="00C52E09" w:rsidRDefault="00C52E09" w:rsidP="00C52E09">
      <w:pPr>
        <w:pStyle w:val="EndNoteBibliography"/>
        <w:ind w:left="720" w:hanging="720"/>
      </w:pPr>
      <w:r w:rsidRPr="00C52E09">
        <w:t>53.</w:t>
      </w:r>
      <w:r w:rsidRPr="00C52E09">
        <w:tab/>
        <w:t xml:space="preserve">Schumock G, Thornton J. Focusing on the preventability of adverse drug reactions. </w:t>
      </w:r>
      <w:r w:rsidRPr="00C52E09">
        <w:rPr>
          <w:i/>
        </w:rPr>
        <w:t xml:space="preserve">Hospital pharmacy. </w:t>
      </w:r>
      <w:r w:rsidRPr="00C52E09">
        <w:t>1992;27(6):538.</w:t>
      </w:r>
    </w:p>
    <w:p w14:paraId="610C4C49" w14:textId="4B127472" w:rsidR="00BB1CDF" w:rsidRDefault="00BB1CDF">
      <w:r>
        <w:br w:type="page"/>
      </w:r>
    </w:p>
    <w:p w14:paraId="03523922" w14:textId="72D71F24" w:rsidR="00BB1CDF" w:rsidRDefault="00BB1CDF" w:rsidP="00BB1CDF">
      <w:pPr>
        <w:rPr>
          <w:i/>
        </w:rPr>
      </w:pPr>
      <w:r>
        <w:rPr>
          <w:b/>
        </w:rPr>
        <w:t xml:space="preserve">APPENDIX 27 – Full list of </w:t>
      </w:r>
      <w:r w:rsidRPr="006250B7">
        <w:rPr>
          <w:b/>
        </w:rPr>
        <w:t>reference</w:t>
      </w:r>
      <w:r>
        <w:rPr>
          <w:b/>
        </w:rPr>
        <w:t>s from main manuscript</w:t>
      </w:r>
    </w:p>
    <w:p w14:paraId="04668E51" w14:textId="77777777" w:rsidR="00BB1CDF" w:rsidRPr="00A10559" w:rsidRDefault="00BB1CDF" w:rsidP="00BB1CDF">
      <w:pPr>
        <w:pStyle w:val="EndNoteBibliography"/>
        <w:spacing w:after="0"/>
        <w:ind w:left="720" w:hanging="720"/>
      </w:pPr>
      <w:r w:rsidRPr="00A10559">
        <w:t>1.</w:t>
      </w:r>
      <w:r w:rsidRPr="00A10559">
        <w:tab/>
        <w:t xml:space="preserve">Team. WHOQAaSoM. Safety of medicines : a guide to detecting and reporting adverse drug reactions : why health professionals need to take action. . </w:t>
      </w:r>
      <w:r w:rsidRPr="00A10559">
        <w:rPr>
          <w:i/>
        </w:rPr>
        <w:t xml:space="preserve">Geneva : World Health Organization </w:t>
      </w:r>
      <w:r w:rsidRPr="00A10559">
        <w:t>2002.</w:t>
      </w:r>
    </w:p>
    <w:p w14:paraId="6D6E7F69" w14:textId="77777777" w:rsidR="00BB1CDF" w:rsidRPr="00A10559" w:rsidRDefault="00BB1CDF" w:rsidP="00BB1CDF">
      <w:pPr>
        <w:pStyle w:val="EndNoteBibliography"/>
        <w:spacing w:after="0"/>
        <w:ind w:left="720" w:hanging="720"/>
      </w:pPr>
      <w:r w:rsidRPr="00A10559">
        <w:t>2.</w:t>
      </w:r>
      <w:r w:rsidRPr="00A10559">
        <w:tab/>
        <w:t xml:space="preserve">Alhawassi TM, Krass I, Bajorek BV, Pont LG. A systematic review of the prevalence and risk factors for adverse drug reactions in the elderly in the acute care setting. </w:t>
      </w:r>
      <w:r w:rsidRPr="00A10559">
        <w:rPr>
          <w:i/>
        </w:rPr>
        <w:t xml:space="preserve">Clinical interventions in aging. </w:t>
      </w:r>
      <w:r w:rsidRPr="00A10559">
        <w:t>2014;9:2079-2086.</w:t>
      </w:r>
    </w:p>
    <w:p w14:paraId="431AC2A4" w14:textId="77777777" w:rsidR="00BB1CDF" w:rsidRPr="00A10559" w:rsidRDefault="00BB1CDF" w:rsidP="00BB1CDF">
      <w:pPr>
        <w:pStyle w:val="EndNoteBibliography"/>
        <w:spacing w:after="0"/>
        <w:ind w:left="720" w:hanging="720"/>
      </w:pPr>
      <w:r w:rsidRPr="00A10559">
        <w:t>3.</w:t>
      </w:r>
      <w:r w:rsidRPr="00A10559">
        <w:tab/>
        <w:t xml:space="preserve">Oscanoa TJ, Lizaraso F, Carvajal A. Hospital admissions due to adverse drug reactions in the elderly. A meta-analysis. </w:t>
      </w:r>
      <w:r w:rsidRPr="00A10559">
        <w:rPr>
          <w:i/>
        </w:rPr>
        <w:t xml:space="preserve">European journal of clinical pharmacology. </w:t>
      </w:r>
      <w:r w:rsidRPr="00A10559">
        <w:t>2017;73(6):759-770.</w:t>
      </w:r>
    </w:p>
    <w:p w14:paraId="74A9E0AC" w14:textId="77777777" w:rsidR="00BB1CDF" w:rsidRPr="00A10559" w:rsidRDefault="00BB1CDF" w:rsidP="00BB1CDF">
      <w:pPr>
        <w:pStyle w:val="EndNoteBibliography"/>
        <w:spacing w:after="0"/>
        <w:ind w:left="720" w:hanging="720"/>
      </w:pPr>
      <w:r w:rsidRPr="00A10559">
        <w:t>4.</w:t>
      </w:r>
      <w:r w:rsidRPr="00A10559">
        <w:tab/>
        <w:t xml:space="preserve">Beijer HJ, de Blaey CJ. Hospitalisations caused by adverse drug reactions (ADR): a meta-analysis of observational studies. </w:t>
      </w:r>
      <w:r w:rsidRPr="00A10559">
        <w:rPr>
          <w:i/>
        </w:rPr>
        <w:t xml:space="preserve">Pharm World Sci. </w:t>
      </w:r>
      <w:r w:rsidRPr="00A10559">
        <w:t>2002;24(2):46-54.</w:t>
      </w:r>
    </w:p>
    <w:p w14:paraId="341D112F" w14:textId="77777777" w:rsidR="00BB1CDF" w:rsidRPr="00A10559" w:rsidRDefault="00BB1CDF" w:rsidP="00BB1CDF">
      <w:pPr>
        <w:pStyle w:val="EndNoteBibliography"/>
        <w:spacing w:after="0"/>
        <w:ind w:left="720" w:hanging="720"/>
      </w:pPr>
      <w:r w:rsidRPr="00A10559">
        <w:t>5.</w:t>
      </w:r>
      <w:r w:rsidRPr="00A10559">
        <w:tab/>
        <w:t xml:space="preserve">Hoonhout LH, de Bruijne MC, Wagner C, Asscheman H, van der Wal G, van Tulder MW. Nature, occurrence and consequences of medication-related adverse events during hospitalization: a retrospective chart review in the Netherlands. </w:t>
      </w:r>
      <w:r w:rsidRPr="00A10559">
        <w:rPr>
          <w:i/>
        </w:rPr>
        <w:t xml:space="preserve">Drug safety. </w:t>
      </w:r>
      <w:r w:rsidRPr="00A10559">
        <w:t>2010;33(10):853-864.</w:t>
      </w:r>
    </w:p>
    <w:p w14:paraId="5A2904B9" w14:textId="77777777" w:rsidR="00BB1CDF" w:rsidRPr="00A10559" w:rsidRDefault="00BB1CDF" w:rsidP="00BB1CDF">
      <w:pPr>
        <w:pStyle w:val="EndNoteBibliography"/>
        <w:spacing w:after="0"/>
        <w:ind w:left="720" w:hanging="720"/>
      </w:pPr>
      <w:r w:rsidRPr="00A10559">
        <w:t>6.</w:t>
      </w:r>
      <w:r w:rsidRPr="00A10559">
        <w:tab/>
        <w:t xml:space="preserve">Khan LM. Comparative epidemiology of hospital-acquired adverse drug reactions in adults and children and their impact on cost and hospital stay--a systematic review. </w:t>
      </w:r>
      <w:r w:rsidRPr="00A10559">
        <w:rPr>
          <w:i/>
        </w:rPr>
        <w:t xml:space="preserve">European journal of clinical pharmacology. </w:t>
      </w:r>
      <w:r w:rsidRPr="00A10559">
        <w:t>2013;69(12):1985-1996.</w:t>
      </w:r>
    </w:p>
    <w:p w14:paraId="72A72670" w14:textId="77777777" w:rsidR="00BB1CDF" w:rsidRPr="00A10559" w:rsidRDefault="00BB1CDF" w:rsidP="00BB1CDF">
      <w:pPr>
        <w:pStyle w:val="EndNoteBibliography"/>
        <w:spacing w:after="0"/>
        <w:ind w:left="720" w:hanging="720"/>
      </w:pPr>
      <w:r w:rsidRPr="00A10559">
        <w:t>7.</w:t>
      </w:r>
      <w:r w:rsidRPr="00A10559">
        <w:tab/>
        <w:t xml:space="preserve">Bates DW, Spell N, Cullen DJ, et al. The costs of adverse drug events in hospitalized patients. </w:t>
      </w:r>
      <w:r w:rsidRPr="00A10559">
        <w:rPr>
          <w:i/>
        </w:rPr>
        <w:t xml:space="preserve">Jama. </w:t>
      </w:r>
      <w:r w:rsidRPr="00A10559">
        <w:t>1997;277(4):307-311.</w:t>
      </w:r>
    </w:p>
    <w:p w14:paraId="117A92D9" w14:textId="77777777" w:rsidR="00BB1CDF" w:rsidRPr="00A10559" w:rsidRDefault="00BB1CDF" w:rsidP="00BB1CDF">
      <w:pPr>
        <w:pStyle w:val="EndNoteBibliography"/>
        <w:spacing w:after="0"/>
        <w:ind w:left="720" w:hanging="720"/>
      </w:pPr>
      <w:r w:rsidRPr="00A10559">
        <w:t>8.</w:t>
      </w:r>
      <w:r w:rsidRPr="00A10559">
        <w:tab/>
        <w:t xml:space="preserve">Broyles RW, Chou AF, Mattachione S, Wild RC, Al-Assaf AF. The effect of adverse medical events on spending on inpatient care. </w:t>
      </w:r>
      <w:r w:rsidRPr="00A10559">
        <w:rPr>
          <w:i/>
        </w:rPr>
        <w:t xml:space="preserve">Qual Manag Health Care. </w:t>
      </w:r>
      <w:r w:rsidRPr="00A10559">
        <w:t>2009;18(4):315-325.</w:t>
      </w:r>
    </w:p>
    <w:p w14:paraId="2660418F" w14:textId="77777777" w:rsidR="00BB1CDF" w:rsidRPr="00A10559" w:rsidRDefault="00BB1CDF" w:rsidP="00BB1CDF">
      <w:pPr>
        <w:pStyle w:val="EndNoteBibliography"/>
        <w:spacing w:after="0"/>
        <w:ind w:left="720" w:hanging="720"/>
      </w:pPr>
      <w:r w:rsidRPr="00A10559">
        <w:t>9.</w:t>
      </w:r>
      <w:r w:rsidRPr="00A10559">
        <w:tab/>
        <w:t xml:space="preserve">Hug BL, Keohane C, Seger DL, Yoon C, Bates DW. The costs of adverse drug events in community hospitals. </w:t>
      </w:r>
      <w:r w:rsidRPr="00A10559">
        <w:rPr>
          <w:i/>
        </w:rPr>
        <w:t xml:space="preserve">Jt Comm J Qual Patient Saf. </w:t>
      </w:r>
      <w:r w:rsidRPr="00A10559">
        <w:t>2012;38(3):120-126.</w:t>
      </w:r>
    </w:p>
    <w:p w14:paraId="55BFE3AA" w14:textId="77777777" w:rsidR="00BB1CDF" w:rsidRPr="00A10559" w:rsidRDefault="00BB1CDF" w:rsidP="00BB1CDF">
      <w:pPr>
        <w:pStyle w:val="EndNoteBibliography"/>
        <w:spacing w:after="0"/>
        <w:ind w:left="720" w:hanging="720"/>
      </w:pPr>
      <w:r w:rsidRPr="00A10559">
        <w:t>10.</w:t>
      </w:r>
      <w:r w:rsidRPr="00A10559">
        <w:tab/>
        <w:t xml:space="preserve">Lazarou J, Pomeranz BH, Corey PN. Incidence of adverse drug reactions in hospitalized patients: a meta-analysis of prospective studies. </w:t>
      </w:r>
      <w:r w:rsidRPr="00A10559">
        <w:rPr>
          <w:i/>
        </w:rPr>
        <w:t xml:space="preserve">Jama. </w:t>
      </w:r>
      <w:r w:rsidRPr="00A10559">
        <w:t>1998;279(15):1200-1205.</w:t>
      </w:r>
    </w:p>
    <w:p w14:paraId="3D8DCCFF" w14:textId="77777777" w:rsidR="00BB1CDF" w:rsidRPr="00A10559" w:rsidRDefault="00BB1CDF" w:rsidP="00BB1CDF">
      <w:pPr>
        <w:pStyle w:val="EndNoteBibliography"/>
        <w:spacing w:after="0"/>
        <w:ind w:left="720" w:hanging="720"/>
      </w:pPr>
      <w:r w:rsidRPr="00A10559">
        <w:t>11.</w:t>
      </w:r>
      <w:r w:rsidRPr="00A10559">
        <w:tab/>
        <w:t xml:space="preserve">Kanagaratnam L, Dramé M, Novella JL, et al. Risk Factors for Adverse Drug Reactions in Older Subjects Hospitalized in a Dedicated Dementia Unit. </w:t>
      </w:r>
      <w:r w:rsidRPr="00A10559">
        <w:rPr>
          <w:i/>
        </w:rPr>
        <w:t xml:space="preserve">American Journal of Geriatric Psychiatry. </w:t>
      </w:r>
      <w:r w:rsidRPr="00A10559">
        <w:t>2017;25(3):290-296.</w:t>
      </w:r>
    </w:p>
    <w:p w14:paraId="03FE1D1F" w14:textId="77777777" w:rsidR="00BB1CDF" w:rsidRPr="00A10559" w:rsidRDefault="00BB1CDF" w:rsidP="00BB1CDF">
      <w:pPr>
        <w:pStyle w:val="EndNoteBibliography"/>
        <w:spacing w:after="0"/>
        <w:ind w:left="720" w:hanging="720"/>
      </w:pPr>
      <w:r w:rsidRPr="00A10559">
        <w:t>12.</w:t>
      </w:r>
      <w:r w:rsidRPr="00A10559">
        <w:tab/>
        <w:t xml:space="preserve">Field TS, Gilman BH, Subramanian S, Fuller JC, Bates DW, Gurwitz JH. The costs associated with adverse drug events among older adults in the ambulatory setting. </w:t>
      </w:r>
      <w:r w:rsidRPr="00A10559">
        <w:rPr>
          <w:i/>
        </w:rPr>
        <w:t xml:space="preserve">Med Care. </w:t>
      </w:r>
      <w:r w:rsidRPr="00A10559">
        <w:t>2005;43(12):1171-1176.</w:t>
      </w:r>
    </w:p>
    <w:p w14:paraId="46AFD081" w14:textId="77777777" w:rsidR="00BB1CDF" w:rsidRPr="00A10559" w:rsidRDefault="00BB1CDF" w:rsidP="00BB1CDF">
      <w:pPr>
        <w:pStyle w:val="EndNoteBibliography"/>
        <w:spacing w:after="0"/>
        <w:ind w:left="720" w:hanging="720"/>
      </w:pPr>
      <w:r w:rsidRPr="00A10559">
        <w:t>13.</w:t>
      </w:r>
      <w:r w:rsidRPr="00A10559">
        <w:tab/>
        <w:t xml:space="preserve">de Boer M, Boeker EB, Ramrattan MA, et al. Adverse drug events in surgical patients: an observational multicentre study. </w:t>
      </w:r>
      <w:r w:rsidRPr="00A10559">
        <w:rPr>
          <w:i/>
        </w:rPr>
        <w:t xml:space="preserve">International journal of clinical pharmacy. </w:t>
      </w:r>
      <w:r w:rsidRPr="00A10559">
        <w:t>2013;35(5):744-752.</w:t>
      </w:r>
    </w:p>
    <w:p w14:paraId="61DEBF13" w14:textId="77777777" w:rsidR="00BB1CDF" w:rsidRPr="00A10559" w:rsidRDefault="00BB1CDF" w:rsidP="00BB1CDF">
      <w:pPr>
        <w:pStyle w:val="EndNoteBibliography"/>
        <w:spacing w:after="0"/>
        <w:ind w:left="720" w:hanging="720"/>
      </w:pPr>
      <w:r w:rsidRPr="00A10559">
        <w:t>14.</w:t>
      </w:r>
      <w:r w:rsidRPr="00A10559">
        <w:tab/>
        <w:t xml:space="preserve">Cullere CB, Torner MG, Ruiz JA, et al. Detecting adverse drug events during the hospital stay. </w:t>
      </w:r>
      <w:r w:rsidRPr="00A10559">
        <w:rPr>
          <w:i/>
        </w:rPr>
        <w:t xml:space="preserve">Farmacia Hospitalaria (English Edition). </w:t>
      </w:r>
      <w:r w:rsidRPr="00A10559">
        <w:t>2009;33(6):312-323.</w:t>
      </w:r>
    </w:p>
    <w:p w14:paraId="3955306B" w14:textId="77777777" w:rsidR="00BB1CDF" w:rsidRPr="00A10559" w:rsidRDefault="00BB1CDF" w:rsidP="00BB1CDF">
      <w:pPr>
        <w:pStyle w:val="EndNoteBibliography"/>
        <w:spacing w:after="0"/>
        <w:ind w:left="720" w:hanging="720"/>
      </w:pPr>
      <w:r w:rsidRPr="00A10559">
        <w:t>15.</w:t>
      </w:r>
      <w:r w:rsidRPr="00A10559">
        <w:tab/>
        <w:t xml:space="preserve">Wolfe D, Yazdi F, Kanji S, et al. Incidence, causes, and consequences of preventable adverse drug reactions occurring in inpatients: A systematic review of systematic reviews. </w:t>
      </w:r>
      <w:r w:rsidRPr="00A10559">
        <w:rPr>
          <w:i/>
        </w:rPr>
        <w:t xml:space="preserve">PloS one. </w:t>
      </w:r>
      <w:r w:rsidRPr="00A10559">
        <w:t>2018;13(10):e0205426.</w:t>
      </w:r>
    </w:p>
    <w:p w14:paraId="142F3DA9" w14:textId="77777777" w:rsidR="00BB1CDF" w:rsidRPr="00A10559" w:rsidRDefault="00BB1CDF" w:rsidP="00BB1CDF">
      <w:pPr>
        <w:pStyle w:val="EndNoteBibliography"/>
        <w:spacing w:after="0"/>
        <w:ind w:left="720" w:hanging="720"/>
      </w:pPr>
      <w:r w:rsidRPr="00A10559">
        <w:t>16.</w:t>
      </w:r>
      <w:r w:rsidRPr="00A10559">
        <w:tab/>
        <w:t xml:space="preserve">Gray SL, Hart LA, Perera S, Semla TP, Schmader KE, Hanlon JT. Meta-analysis of Interventions to Reduce Adverse Drug Reactions in Older Adults. </w:t>
      </w:r>
      <w:r w:rsidRPr="00A10559">
        <w:rPr>
          <w:i/>
        </w:rPr>
        <w:t xml:space="preserve">Journal of the American Geriatrics Society. </w:t>
      </w:r>
      <w:r w:rsidRPr="00A10559">
        <w:t>2018;66(2):282-288.</w:t>
      </w:r>
    </w:p>
    <w:p w14:paraId="735D2620" w14:textId="77777777" w:rsidR="00BB1CDF" w:rsidRPr="00A10559" w:rsidRDefault="00BB1CDF" w:rsidP="00BB1CDF">
      <w:pPr>
        <w:pStyle w:val="EndNoteBibliography"/>
        <w:spacing w:after="0"/>
        <w:ind w:left="720" w:hanging="720"/>
      </w:pPr>
      <w:r w:rsidRPr="00A10559">
        <w:t>17.</w:t>
      </w:r>
      <w:r w:rsidRPr="00A10559">
        <w:tab/>
        <w:t xml:space="preserve">Stevenson JM, Williams JL, Burnham TG, et al. Predicting adverse drug reactions in older adults; a systematic review of the risk prediction models. </w:t>
      </w:r>
      <w:r w:rsidRPr="00A10559">
        <w:rPr>
          <w:i/>
        </w:rPr>
        <w:t xml:space="preserve">Clinical interventions in aging. </w:t>
      </w:r>
      <w:r w:rsidRPr="00A10559">
        <w:t>2014;9:1581.</w:t>
      </w:r>
    </w:p>
    <w:p w14:paraId="578CA07F" w14:textId="77777777" w:rsidR="00BB1CDF" w:rsidRPr="00A10559" w:rsidRDefault="00BB1CDF" w:rsidP="00BB1CDF">
      <w:pPr>
        <w:pStyle w:val="EndNoteBibliography"/>
        <w:spacing w:after="0"/>
        <w:ind w:left="720" w:hanging="720"/>
      </w:pPr>
      <w:r w:rsidRPr="00A10559">
        <w:t>18.</w:t>
      </w:r>
      <w:r w:rsidRPr="00A10559">
        <w:tab/>
        <w:t xml:space="preserve">Kongkaew C, Noyce PR, Ashcroft DM. Hospital admissions associated with adverse drug reactions: a systematic review of prospective observational studies. </w:t>
      </w:r>
      <w:r w:rsidRPr="00A10559">
        <w:rPr>
          <w:i/>
        </w:rPr>
        <w:t xml:space="preserve">The Annals of pharmacotherapy. </w:t>
      </w:r>
      <w:r w:rsidRPr="00A10559">
        <w:t>2008;42(7):1017-1025.</w:t>
      </w:r>
    </w:p>
    <w:p w14:paraId="48F6002D" w14:textId="77777777" w:rsidR="00BB1CDF" w:rsidRPr="00A10559" w:rsidRDefault="00BB1CDF" w:rsidP="00BB1CDF">
      <w:pPr>
        <w:pStyle w:val="EndNoteBibliography"/>
        <w:spacing w:after="0"/>
        <w:ind w:left="720" w:hanging="720"/>
      </w:pPr>
      <w:r w:rsidRPr="00A10559">
        <w:t>19.</w:t>
      </w:r>
      <w:r w:rsidRPr="00A10559">
        <w:tab/>
        <w:t xml:space="preserve">Patel NS, Patel TK, Patel PB, Naik VN, Tripathi CB. Hospitalizations due to preventable adverse reactions-a systematic review. </w:t>
      </w:r>
      <w:r w:rsidRPr="00A10559">
        <w:rPr>
          <w:i/>
        </w:rPr>
        <w:t xml:space="preserve">European journal of clinical pharmacology. </w:t>
      </w:r>
      <w:r w:rsidRPr="00A10559">
        <w:t>2017;73(4):385-398.</w:t>
      </w:r>
    </w:p>
    <w:p w14:paraId="2071A899" w14:textId="77777777" w:rsidR="00BB1CDF" w:rsidRPr="00A10559" w:rsidRDefault="00BB1CDF" w:rsidP="00BB1CDF">
      <w:pPr>
        <w:pStyle w:val="EndNoteBibliography"/>
        <w:spacing w:after="0"/>
        <w:ind w:left="720" w:hanging="720"/>
      </w:pPr>
      <w:r w:rsidRPr="00A10559">
        <w:t>20.</w:t>
      </w:r>
      <w:r w:rsidRPr="00A10559">
        <w:tab/>
        <w:t xml:space="preserve">Laatikainen O, Miettunen J, Sneck S, Lehtiniemi H, Tenhunen O, Turpeinen M. The prevalence of medication-related adverse events in inpatients-a systematic review and meta-analysis. </w:t>
      </w:r>
      <w:r w:rsidRPr="00A10559">
        <w:rPr>
          <w:i/>
        </w:rPr>
        <w:t xml:space="preserve">European journal of clinical pharmacology. </w:t>
      </w:r>
      <w:r w:rsidRPr="00A10559">
        <w:t>2017;73(12):1539-1549.</w:t>
      </w:r>
    </w:p>
    <w:p w14:paraId="435DBEC9" w14:textId="77777777" w:rsidR="00BB1CDF" w:rsidRPr="00A10559" w:rsidRDefault="00BB1CDF" w:rsidP="00BB1CDF">
      <w:pPr>
        <w:pStyle w:val="EndNoteBibliography"/>
        <w:spacing w:after="0"/>
        <w:ind w:left="720" w:hanging="720"/>
      </w:pPr>
      <w:r w:rsidRPr="00A10559">
        <w:t>21.</w:t>
      </w:r>
      <w:r w:rsidRPr="00A10559">
        <w:tab/>
        <w:t>Emma Jennings KM, Paul Gallagher, Denis O'Mahony In-hospital adverse drug reactions in hospitalised older adults - a systematic review. 2018.</w:t>
      </w:r>
    </w:p>
    <w:p w14:paraId="7E6D109D" w14:textId="77777777" w:rsidR="00BB1CDF" w:rsidRPr="00A10559" w:rsidRDefault="00BB1CDF" w:rsidP="00BB1CDF">
      <w:pPr>
        <w:pStyle w:val="EndNoteBibliography"/>
        <w:spacing w:after="0"/>
        <w:ind w:left="720" w:hanging="720"/>
      </w:pPr>
      <w:r w:rsidRPr="00A10559">
        <w:t>22.</w:t>
      </w:r>
      <w:r w:rsidRPr="00A10559">
        <w:tab/>
        <w:t>Moher D, Liberati A, Tetzlaff J, Altman DG, Group P. Preferred reporting items for systematic reviews and meta-analyses: the PRISMA statement. In:2010.</w:t>
      </w:r>
    </w:p>
    <w:p w14:paraId="392350F2" w14:textId="77777777" w:rsidR="00BB1CDF" w:rsidRPr="00A10559" w:rsidRDefault="00BB1CDF" w:rsidP="00BB1CDF">
      <w:pPr>
        <w:pStyle w:val="EndNoteBibliography"/>
        <w:spacing w:after="0"/>
        <w:ind w:left="720" w:hanging="720"/>
      </w:pPr>
      <w:r w:rsidRPr="00A10559">
        <w:t>23.</w:t>
      </w:r>
      <w:r w:rsidRPr="00A10559">
        <w:tab/>
        <w:t xml:space="preserve">Stroup D. Berlin JA Morton SC Olkin I Williamson GD Rennie D Moher D Becker BJ Sipe TA Thacker SB. Meta-analysis of observational studies in epidemiology: a proposal for reporting. Meta-analysis of Observational Studies in Epidemiology (MOOSE) group. </w:t>
      </w:r>
      <w:r w:rsidRPr="00A10559">
        <w:rPr>
          <w:i/>
        </w:rPr>
        <w:t xml:space="preserve">Journal of the American Medical Association. </w:t>
      </w:r>
      <w:r w:rsidRPr="00A10559">
        <w:t>2000;283:2008-2012.</w:t>
      </w:r>
    </w:p>
    <w:p w14:paraId="1AE51BC6" w14:textId="77777777" w:rsidR="00BB1CDF" w:rsidRPr="00A10559" w:rsidRDefault="00BB1CDF" w:rsidP="00BB1CDF">
      <w:pPr>
        <w:pStyle w:val="EndNoteBibliography"/>
        <w:spacing w:after="0"/>
        <w:ind w:left="720" w:hanging="720"/>
      </w:pPr>
      <w:r w:rsidRPr="00A10559">
        <w:t>24.</w:t>
      </w:r>
      <w:r w:rsidRPr="00A10559">
        <w:tab/>
        <w:t xml:space="preserve">Higgins JP, Sterne JA, Savovic J, et al. A revised tool for assessing risk of bias in randomized trials. </w:t>
      </w:r>
      <w:r w:rsidRPr="00A10559">
        <w:rPr>
          <w:i/>
        </w:rPr>
        <w:t xml:space="preserve">Cochrane database of systematic reviews. </w:t>
      </w:r>
      <w:r w:rsidRPr="00A10559">
        <w:t>2016;10(Suppl 1):29-31.</w:t>
      </w:r>
    </w:p>
    <w:p w14:paraId="626735D2" w14:textId="77777777" w:rsidR="00BB1CDF" w:rsidRPr="00A10559" w:rsidRDefault="00BB1CDF" w:rsidP="00BB1CDF">
      <w:pPr>
        <w:pStyle w:val="EndNoteBibliography"/>
        <w:spacing w:after="0"/>
        <w:ind w:left="720" w:hanging="720"/>
      </w:pPr>
      <w:r w:rsidRPr="00A10559">
        <w:t>25.</w:t>
      </w:r>
      <w:r w:rsidRPr="00A10559">
        <w:tab/>
        <w:t xml:space="preserve">Wells G, Shea B, O’connell D, et al. The Newcastle-Ottawa Scale (NOS) for assessing the quality if nonrandomized studies in meta-analyses. 2009. </w:t>
      </w:r>
      <w:r w:rsidRPr="00A10559">
        <w:rPr>
          <w:i/>
        </w:rPr>
        <w:t xml:space="preserve">Epub Available from: URL: </w:t>
      </w:r>
      <w:r w:rsidRPr="005B588D">
        <w:rPr>
          <w:i/>
        </w:rPr>
        <w:t>http://www</w:t>
      </w:r>
      <w:r w:rsidRPr="00A10559">
        <w:rPr>
          <w:i/>
        </w:rPr>
        <w:t xml:space="preserve"> ohri ca/programs/clinical_epidemiology/oxford htm [cited 2009 Oct 19]. </w:t>
      </w:r>
      <w:r w:rsidRPr="00A10559">
        <w:t>2016.</w:t>
      </w:r>
    </w:p>
    <w:p w14:paraId="2C88B0A7" w14:textId="77777777" w:rsidR="00BB1CDF" w:rsidRPr="00A10559" w:rsidRDefault="00BB1CDF" w:rsidP="00BB1CDF">
      <w:pPr>
        <w:pStyle w:val="EndNoteBibliography"/>
        <w:spacing w:after="0"/>
        <w:ind w:left="720" w:hanging="720"/>
      </w:pPr>
      <w:r w:rsidRPr="00A10559">
        <w:t>26.</w:t>
      </w:r>
      <w:r w:rsidRPr="00A10559">
        <w:tab/>
        <w:t xml:space="preserve">The National Center for Biomedical Ontology. Medical Dictionary for Regulatory Activities Terminology (MedDRA) 2019 , April 29; </w:t>
      </w:r>
      <w:r w:rsidRPr="005B588D">
        <w:t>http://bioportal.bioontology.org/ontologies/MEDDRA/?p=classes&amp;conceptid=root</w:t>
      </w:r>
      <w:r w:rsidRPr="00A10559">
        <w:t>. Accessed April-July, 2019.</w:t>
      </w:r>
    </w:p>
    <w:p w14:paraId="12EDB7B5" w14:textId="77777777" w:rsidR="00BB1CDF" w:rsidRPr="00A10559" w:rsidRDefault="00BB1CDF" w:rsidP="00BB1CDF">
      <w:pPr>
        <w:pStyle w:val="EndNoteBibliography"/>
        <w:spacing w:after="0"/>
        <w:ind w:left="720" w:hanging="720"/>
      </w:pPr>
      <w:r w:rsidRPr="00A10559">
        <w:t>27.</w:t>
      </w:r>
      <w:r w:rsidRPr="00A10559">
        <w:tab/>
        <w:t xml:space="preserve">Whetzel PL, Noy NF, Shah NH, et al. BioPortal: enhanced functionality via new Web services from the National Center for Biomedical Ontology to access and use ontologies in software applications. </w:t>
      </w:r>
      <w:r w:rsidRPr="00A10559">
        <w:rPr>
          <w:i/>
        </w:rPr>
        <w:t xml:space="preserve">Nucleic acids research. </w:t>
      </w:r>
      <w:r w:rsidRPr="00A10559">
        <w:t>2011;39(suppl_2):W541-W545.</w:t>
      </w:r>
    </w:p>
    <w:p w14:paraId="44AD67B5" w14:textId="77777777" w:rsidR="00BB1CDF" w:rsidRPr="00A10559" w:rsidRDefault="00BB1CDF" w:rsidP="00BB1CDF">
      <w:pPr>
        <w:pStyle w:val="EndNoteBibliography"/>
        <w:spacing w:after="0"/>
        <w:ind w:left="720" w:hanging="720"/>
      </w:pPr>
      <w:r w:rsidRPr="00A10559">
        <w:t>28.</w:t>
      </w:r>
      <w:r w:rsidRPr="00A10559">
        <w:tab/>
        <w:t>Organization MMaSS. Medical Dictionary for Regulatory Activities. 2018, September version 21.1:</w:t>
      </w:r>
      <w:r w:rsidRPr="005B588D">
        <w:t>https://www.meddra.org/</w:t>
      </w:r>
      <w:r w:rsidRPr="00A10559">
        <w:t>. Accessed April-July, 2019.</w:t>
      </w:r>
    </w:p>
    <w:p w14:paraId="4B705322" w14:textId="77777777" w:rsidR="00BB1CDF" w:rsidRPr="00A10559" w:rsidRDefault="00BB1CDF" w:rsidP="00BB1CDF">
      <w:pPr>
        <w:pStyle w:val="EndNoteBibliography"/>
        <w:spacing w:after="0"/>
        <w:ind w:left="720" w:hanging="720"/>
      </w:pPr>
      <w:r w:rsidRPr="00A10559">
        <w:t>29.</w:t>
      </w:r>
      <w:r w:rsidRPr="00A10559">
        <w:tab/>
        <w:t xml:space="preserve">Methodology WCCfDS. ATC/DDD Index 2019. 2018; </w:t>
      </w:r>
      <w:r w:rsidRPr="005B588D">
        <w:t>https://www.whocc.no/atc_ddd_index/</w:t>
      </w:r>
      <w:r w:rsidRPr="00A10559">
        <w:t>. Accessed April - July, 2019.</w:t>
      </w:r>
    </w:p>
    <w:p w14:paraId="2F322B06" w14:textId="77777777" w:rsidR="00BB1CDF" w:rsidRPr="00A10559" w:rsidRDefault="00BB1CDF" w:rsidP="00BB1CDF">
      <w:pPr>
        <w:pStyle w:val="EndNoteBibliography"/>
        <w:spacing w:after="0"/>
        <w:ind w:left="720" w:hanging="720"/>
      </w:pPr>
      <w:r w:rsidRPr="00A10559">
        <w:t>30.</w:t>
      </w:r>
      <w:r w:rsidRPr="00A10559">
        <w:tab/>
        <w:t>Team RC. R: A language and environment for statistical computing. 2013.</w:t>
      </w:r>
    </w:p>
    <w:p w14:paraId="32A95FB2" w14:textId="77777777" w:rsidR="00BB1CDF" w:rsidRPr="00A10559" w:rsidRDefault="00BB1CDF" w:rsidP="00BB1CDF">
      <w:pPr>
        <w:pStyle w:val="EndNoteBibliography"/>
        <w:spacing w:after="0"/>
        <w:ind w:left="720" w:hanging="720"/>
      </w:pPr>
      <w:r w:rsidRPr="00A10559">
        <w:t>31.</w:t>
      </w:r>
      <w:r w:rsidRPr="00A10559">
        <w:tab/>
        <w:t xml:space="preserve">Viechtbauer W. Conducting meta-analyses in R with the metafor package. </w:t>
      </w:r>
      <w:r w:rsidRPr="00A10559">
        <w:rPr>
          <w:i/>
        </w:rPr>
        <w:t xml:space="preserve">Journal of statistical software. </w:t>
      </w:r>
      <w:r w:rsidRPr="00A10559">
        <w:t>2010;36(3):1-48.</w:t>
      </w:r>
    </w:p>
    <w:p w14:paraId="26C8F354" w14:textId="77777777" w:rsidR="00BB1CDF" w:rsidRPr="00A10559" w:rsidRDefault="00BB1CDF" w:rsidP="00BB1CDF">
      <w:pPr>
        <w:pStyle w:val="EndNoteBibliography"/>
        <w:spacing w:after="0"/>
        <w:ind w:left="720" w:hanging="720"/>
      </w:pPr>
      <w:r w:rsidRPr="00A10559">
        <w:t>32.</w:t>
      </w:r>
      <w:r w:rsidRPr="00A10559">
        <w:tab/>
        <w:t xml:space="preserve">Ayub MN, Da Silva D, Martinbiancho JK, Dal-Pizzol TS. Adverse Drug Reactions in Patients Hospitalized in the Intensive Care Unit of a University Hospital in Southern Brazil. </w:t>
      </w:r>
      <w:r w:rsidRPr="00A10559">
        <w:rPr>
          <w:i/>
        </w:rPr>
        <w:t xml:space="preserve">Lat Am J Pharm. </w:t>
      </w:r>
      <w:r w:rsidRPr="00A10559">
        <w:t>2010;29(5):688-693.</w:t>
      </w:r>
    </w:p>
    <w:p w14:paraId="062B91D2" w14:textId="77777777" w:rsidR="00BB1CDF" w:rsidRPr="00A10559" w:rsidRDefault="00BB1CDF" w:rsidP="00BB1CDF">
      <w:pPr>
        <w:pStyle w:val="EndNoteBibliography"/>
        <w:spacing w:after="0"/>
        <w:ind w:left="720" w:hanging="720"/>
      </w:pPr>
      <w:r w:rsidRPr="00A10559">
        <w:t>33.</w:t>
      </w:r>
      <w:r w:rsidRPr="00A10559">
        <w:tab/>
        <w:t xml:space="preserve">Bowman L, Carlstedt BC, Hancock EF, Black CD. Adverse drug reaction (ADR) occurrence and evaluation in elderly inpatients. </w:t>
      </w:r>
      <w:r w:rsidRPr="00A10559">
        <w:rPr>
          <w:i/>
        </w:rPr>
        <w:t xml:space="preserve">Pharmacoepidemiology and drug safety. </w:t>
      </w:r>
      <w:r w:rsidRPr="00A10559">
        <w:t>1996;5(1):9-18.</w:t>
      </w:r>
    </w:p>
    <w:p w14:paraId="5085D086" w14:textId="77777777" w:rsidR="00BB1CDF" w:rsidRPr="00A10559" w:rsidRDefault="00BB1CDF" w:rsidP="00BB1CDF">
      <w:pPr>
        <w:pStyle w:val="EndNoteBibliography"/>
        <w:spacing w:after="0"/>
        <w:ind w:left="720" w:hanging="720"/>
      </w:pPr>
      <w:r w:rsidRPr="00A10559">
        <w:t>34.</w:t>
      </w:r>
      <w:r w:rsidRPr="00A10559">
        <w:tab/>
        <w:t xml:space="preserve">Calderon-Ospina C, Bustamante-Rojas C. The DoTS classification is a useful way to classify adverse drug reactions: a preliminary study in hospitalized patients. </w:t>
      </w:r>
      <w:r w:rsidRPr="00A10559">
        <w:rPr>
          <w:i/>
        </w:rPr>
        <w:t xml:space="preserve">Int J Pharm Pract. </w:t>
      </w:r>
      <w:r w:rsidRPr="00A10559">
        <w:t>2010;18(4):230-235.</w:t>
      </w:r>
    </w:p>
    <w:p w14:paraId="389D771A" w14:textId="77777777" w:rsidR="00BB1CDF" w:rsidRPr="00A10559" w:rsidRDefault="00BB1CDF" w:rsidP="00BB1CDF">
      <w:pPr>
        <w:pStyle w:val="EndNoteBibliography"/>
        <w:spacing w:after="0"/>
        <w:ind w:left="720" w:hanging="720"/>
      </w:pPr>
      <w:r w:rsidRPr="00A10559">
        <w:t>35.</w:t>
      </w:r>
      <w:r w:rsidRPr="00A10559">
        <w:tab/>
        <w:t>Cheong S, Ong E, Goh W, Karim S, See L, Chong E. Do Adverse Drug Reactions Vary Between Frail and Non-Frail Hospitalized Older Adults? Paper presented at: JOURNAL OF THE AMERICAN GERIATRICS SOCIETY2018.</w:t>
      </w:r>
    </w:p>
    <w:p w14:paraId="0BEEF2CC" w14:textId="77777777" w:rsidR="00BB1CDF" w:rsidRPr="00A10559" w:rsidRDefault="00BB1CDF" w:rsidP="00BB1CDF">
      <w:pPr>
        <w:pStyle w:val="EndNoteBibliography"/>
        <w:spacing w:after="0"/>
        <w:ind w:left="720" w:hanging="720"/>
      </w:pPr>
      <w:r w:rsidRPr="00A10559">
        <w:t>36.</w:t>
      </w:r>
      <w:r w:rsidRPr="00A10559">
        <w:tab/>
        <w:t>Cheong S, Ong E, Goh W, Karim S, See L, Chong E. Identifying Specific Drugs Classes That Result in Adverse Drug Reactions Between Frail and Non-Frail Hospitalized Older Adults. Paper presented at: JOURNAL OF THE AMERICAN GERIATRICS SOCIETY2018.</w:t>
      </w:r>
    </w:p>
    <w:p w14:paraId="68E5211F" w14:textId="77777777" w:rsidR="00BB1CDF" w:rsidRPr="00A10559" w:rsidRDefault="00BB1CDF" w:rsidP="00BB1CDF">
      <w:pPr>
        <w:pStyle w:val="EndNoteBibliography"/>
        <w:spacing w:after="0"/>
        <w:ind w:left="720" w:hanging="720"/>
      </w:pPr>
      <w:r w:rsidRPr="00A10559">
        <w:t>37.</w:t>
      </w:r>
      <w:r w:rsidRPr="00A10559">
        <w:tab/>
        <w:t xml:space="preserve">Conforti A, Costantini D, Zanetti F, Moretti U, Grezzana M, Leone R. Adverse drug reactions in older patients: an Italian observational prospective hospital study. </w:t>
      </w:r>
      <w:r w:rsidRPr="00A10559">
        <w:rPr>
          <w:i/>
        </w:rPr>
        <w:t xml:space="preserve">Drug, healthcare and patient safety. </w:t>
      </w:r>
      <w:r w:rsidRPr="00A10559">
        <w:t>2012;4:75.</w:t>
      </w:r>
    </w:p>
    <w:p w14:paraId="39349820" w14:textId="77777777" w:rsidR="00BB1CDF" w:rsidRPr="00A10559" w:rsidRDefault="00BB1CDF" w:rsidP="00BB1CDF">
      <w:pPr>
        <w:pStyle w:val="EndNoteBibliography"/>
        <w:spacing w:after="0"/>
        <w:ind w:left="720" w:hanging="720"/>
      </w:pPr>
      <w:r w:rsidRPr="00A10559">
        <w:t>38.</w:t>
      </w:r>
      <w:r w:rsidRPr="00A10559">
        <w:tab/>
        <w:t xml:space="preserve">Corsonello A, Pedone C, Lattanzio F, et al. Potentially inappropriate medications and functional decline in elderly hospitalized patients. </w:t>
      </w:r>
      <w:r w:rsidRPr="00A10559">
        <w:rPr>
          <w:i/>
        </w:rPr>
        <w:t xml:space="preserve">Journal of the American Geriatrics Society. </w:t>
      </w:r>
      <w:r w:rsidRPr="00A10559">
        <w:t>2009;57(6):1007-1014.</w:t>
      </w:r>
    </w:p>
    <w:p w14:paraId="31BCD2C0" w14:textId="77777777" w:rsidR="00BB1CDF" w:rsidRPr="00A10559" w:rsidRDefault="00BB1CDF" w:rsidP="00BB1CDF">
      <w:pPr>
        <w:pStyle w:val="EndNoteBibliography"/>
        <w:spacing w:after="0"/>
        <w:ind w:left="720" w:hanging="720"/>
      </w:pPr>
      <w:r w:rsidRPr="00A10559">
        <w:t>39.</w:t>
      </w:r>
      <w:r w:rsidRPr="00A10559">
        <w:tab/>
        <w:t xml:space="preserve">Davies EC, Green CF, Taylor S, Williamson PR, Mottram DR, Pirmohamed M. Adverse drug reactions in hospital in-patients: a prospective analysis of 3695 patient-episodes. </w:t>
      </w:r>
      <w:r w:rsidRPr="00A10559">
        <w:rPr>
          <w:i/>
        </w:rPr>
        <w:t xml:space="preserve">PloS one. </w:t>
      </w:r>
      <w:r w:rsidRPr="00A10559">
        <w:t>2009;4(2):e4439.</w:t>
      </w:r>
    </w:p>
    <w:p w14:paraId="33EDE266" w14:textId="77777777" w:rsidR="00BB1CDF" w:rsidRPr="00A10559" w:rsidRDefault="00BB1CDF" w:rsidP="00BB1CDF">
      <w:pPr>
        <w:pStyle w:val="EndNoteBibliography"/>
        <w:spacing w:after="0"/>
        <w:ind w:left="720" w:hanging="720"/>
      </w:pPr>
      <w:r w:rsidRPr="00A10559">
        <w:t>40.</w:t>
      </w:r>
      <w:r w:rsidRPr="00A10559">
        <w:tab/>
        <w:t xml:space="preserve">Fernandez-Regueiro R, Fonseca-Aizpuru E, Lopez-Colina G, Alvarez-Uria A, Rodriguez-Avila E, Moris-De-La-Tassa J. Inappropriate drug prescription and adverse drug effects in elderly patients. </w:t>
      </w:r>
      <w:r w:rsidRPr="00A10559">
        <w:rPr>
          <w:i/>
        </w:rPr>
        <w:t xml:space="preserve">Revista Clinica Espanola. </w:t>
      </w:r>
      <w:r w:rsidRPr="00A10559">
        <w:t>2011;211(8):400-406.</w:t>
      </w:r>
    </w:p>
    <w:p w14:paraId="481323F1" w14:textId="77777777" w:rsidR="00BB1CDF" w:rsidRPr="00A10559" w:rsidRDefault="00BB1CDF" w:rsidP="00BB1CDF">
      <w:pPr>
        <w:pStyle w:val="EndNoteBibliography"/>
        <w:spacing w:after="0"/>
        <w:ind w:left="720" w:hanging="720"/>
      </w:pPr>
      <w:r w:rsidRPr="00A10559">
        <w:t>41.</w:t>
      </w:r>
      <w:r w:rsidRPr="00A10559">
        <w:tab/>
        <w:t xml:space="preserve">Ganeva M, Gancheva T, Lazarova R, Tzvetanova Y, Hristakieva E. A prospective study of adverse drug reactions in a dermatology department. </w:t>
      </w:r>
      <w:r w:rsidRPr="00A10559">
        <w:rPr>
          <w:i/>
        </w:rPr>
        <w:t xml:space="preserve">Method Find Exp Clin. </w:t>
      </w:r>
      <w:r w:rsidRPr="00A10559">
        <w:t>2007;29(2):107-112.</w:t>
      </w:r>
    </w:p>
    <w:p w14:paraId="2156B9EE" w14:textId="77777777" w:rsidR="00BB1CDF" w:rsidRPr="00A10559" w:rsidRDefault="00BB1CDF" w:rsidP="00BB1CDF">
      <w:pPr>
        <w:pStyle w:val="EndNoteBibliography"/>
        <w:spacing w:after="0"/>
        <w:ind w:left="720" w:hanging="720"/>
      </w:pPr>
      <w:r w:rsidRPr="00A10559">
        <w:t>42.</w:t>
      </w:r>
      <w:r w:rsidRPr="00A10559">
        <w:tab/>
        <w:t xml:space="preserve">Ganeva M, Gancheva T, Troeva J, Gancheva D, Hristakieva E. A study of adverse drug reactions in hospitalized patients in relation to age. </w:t>
      </w:r>
      <w:r w:rsidRPr="00A10559">
        <w:rPr>
          <w:i/>
        </w:rPr>
        <w:t xml:space="preserve">European journal of clinical pharmacy: atención farmacéutica. </w:t>
      </w:r>
      <w:r w:rsidRPr="00A10559">
        <w:t>2016;18(3):154-162.</w:t>
      </w:r>
    </w:p>
    <w:p w14:paraId="1727B016" w14:textId="77777777" w:rsidR="00BB1CDF" w:rsidRPr="00A10559" w:rsidRDefault="00BB1CDF" w:rsidP="00BB1CDF">
      <w:pPr>
        <w:pStyle w:val="EndNoteBibliography"/>
        <w:spacing w:after="0"/>
        <w:ind w:left="720" w:hanging="720"/>
      </w:pPr>
      <w:r w:rsidRPr="00A10559">
        <w:t>43.</w:t>
      </w:r>
      <w:r w:rsidRPr="00A10559">
        <w:tab/>
        <w:t xml:space="preserve">Ganeva M, Gancheva T, Troeva J, Kiriyak N, Hristakieva E. Clinical relevance of drug-drug interactions in hospitalized dermatology patients. </w:t>
      </w:r>
      <w:r w:rsidRPr="00A10559">
        <w:rPr>
          <w:i/>
        </w:rPr>
        <w:t xml:space="preserve">Advances in Clinical and Experimental Medicine. </w:t>
      </w:r>
      <w:r w:rsidRPr="00A10559">
        <w:t>2013;22(4):555-563.</w:t>
      </w:r>
    </w:p>
    <w:p w14:paraId="689B008D" w14:textId="77777777" w:rsidR="00BB1CDF" w:rsidRPr="00A10559" w:rsidRDefault="00BB1CDF" w:rsidP="00BB1CDF">
      <w:pPr>
        <w:pStyle w:val="EndNoteBibliography"/>
        <w:spacing w:after="0"/>
        <w:ind w:left="720" w:hanging="720"/>
      </w:pPr>
      <w:r w:rsidRPr="00A10559">
        <w:t>44.</w:t>
      </w:r>
      <w:r w:rsidRPr="00A10559">
        <w:tab/>
        <w:t xml:space="preserve">Giardina C, Cutroneo PM, Mocciaro E, et al. Adverse Drug Reactions in Hospitalized Patients: Results of the FORWARD (Facilitation of Reporting in Hospital Ward) Study. </w:t>
      </w:r>
      <w:r w:rsidRPr="00A10559">
        <w:rPr>
          <w:i/>
        </w:rPr>
        <w:t xml:space="preserve">Frontiers in pharmacology. </w:t>
      </w:r>
      <w:r w:rsidRPr="00A10559">
        <w:t>2018;9:350.</w:t>
      </w:r>
    </w:p>
    <w:p w14:paraId="1D7102C8" w14:textId="77777777" w:rsidR="00BB1CDF" w:rsidRPr="00A10559" w:rsidRDefault="00BB1CDF" w:rsidP="00BB1CDF">
      <w:pPr>
        <w:pStyle w:val="EndNoteBibliography"/>
        <w:spacing w:after="0"/>
        <w:ind w:left="720" w:hanging="720"/>
      </w:pPr>
      <w:r w:rsidRPr="00A10559">
        <w:t>45.</w:t>
      </w:r>
      <w:r w:rsidRPr="00A10559">
        <w:tab/>
        <w:t xml:space="preserve">Gonzalez-Martin G, Yanez L, Valenzuela E. [Adverse drug reactions among hospitalized elderly patients. Prospective study]. </w:t>
      </w:r>
      <w:r w:rsidRPr="00A10559">
        <w:rPr>
          <w:i/>
        </w:rPr>
        <w:t xml:space="preserve">Revista medica de Chile. </w:t>
      </w:r>
      <w:r w:rsidRPr="00A10559">
        <w:t>1997;125(10):1129-1136.</w:t>
      </w:r>
    </w:p>
    <w:p w14:paraId="1384792B" w14:textId="77777777" w:rsidR="00BB1CDF" w:rsidRPr="00A10559" w:rsidRDefault="00BB1CDF" w:rsidP="00BB1CDF">
      <w:pPr>
        <w:pStyle w:val="EndNoteBibliography"/>
        <w:spacing w:after="0"/>
        <w:ind w:left="720" w:hanging="720"/>
      </w:pPr>
      <w:r w:rsidRPr="00A10559">
        <w:t>46.</w:t>
      </w:r>
      <w:r w:rsidRPr="00A10559">
        <w:tab/>
        <w:t xml:space="preserve">Hailu BY, Berhe DF, Gudina EK, Gidey K, Getachew M. Drug related problems in admitted geriatric patients: the impact of clinical pharmacist interventions. </w:t>
      </w:r>
      <w:r w:rsidRPr="00A10559">
        <w:rPr>
          <w:i/>
        </w:rPr>
        <w:t xml:space="preserve">BMC geriatrics. </w:t>
      </w:r>
      <w:r w:rsidRPr="00A10559">
        <w:t>2020;20(1):13.</w:t>
      </w:r>
    </w:p>
    <w:p w14:paraId="5C29172C" w14:textId="77777777" w:rsidR="00BB1CDF" w:rsidRPr="00A10559" w:rsidRDefault="00BB1CDF" w:rsidP="00BB1CDF">
      <w:pPr>
        <w:pStyle w:val="EndNoteBibliography"/>
        <w:spacing w:after="0"/>
        <w:ind w:left="720" w:hanging="720"/>
      </w:pPr>
      <w:r w:rsidRPr="00A10559">
        <w:t>47.</w:t>
      </w:r>
      <w:r w:rsidRPr="00A10559">
        <w:tab/>
        <w:t xml:space="preserve">Harugeri A, Parthasarathi G, Ramesh M, Guido S, Basavanagowdappa H. Frequency and nature of adverse drug reactions in elderly in-patients of two Indian medical college hospitals. </w:t>
      </w:r>
      <w:r w:rsidRPr="00A10559">
        <w:rPr>
          <w:i/>
        </w:rPr>
        <w:t xml:space="preserve">Journal of postgraduate medicine. </w:t>
      </w:r>
      <w:r w:rsidRPr="00A10559">
        <w:t>2011;57(3):189-195.</w:t>
      </w:r>
    </w:p>
    <w:p w14:paraId="2F6AE7CD" w14:textId="77777777" w:rsidR="00BB1CDF" w:rsidRPr="00A10559" w:rsidRDefault="00BB1CDF" w:rsidP="00BB1CDF">
      <w:pPr>
        <w:pStyle w:val="EndNoteBibliography"/>
        <w:spacing w:after="0"/>
        <w:ind w:left="720" w:hanging="720"/>
      </w:pPr>
      <w:r w:rsidRPr="00A10559">
        <w:t>48.</w:t>
      </w:r>
      <w:r w:rsidRPr="00A10559">
        <w:tab/>
        <w:t xml:space="preserve">Kaur U, Chakrabarti SS, Singh B, Gambhir IS. A Prospective Observational Pilot Study of Adverse Drug Reactions in Patients Admitted in the Geriatric Ward of a Tertiary Hospital in North India. </w:t>
      </w:r>
      <w:r w:rsidRPr="00A10559">
        <w:rPr>
          <w:i/>
        </w:rPr>
        <w:t xml:space="preserve">Current Pharmacogenomics and Personalized Medicine (Formerly Current Pharmacogenomics). </w:t>
      </w:r>
      <w:r w:rsidRPr="00A10559">
        <w:t>2018;16(2):147-155.</w:t>
      </w:r>
    </w:p>
    <w:p w14:paraId="334B5DC5" w14:textId="77777777" w:rsidR="00BB1CDF" w:rsidRPr="00A10559" w:rsidRDefault="00BB1CDF" w:rsidP="00BB1CDF">
      <w:pPr>
        <w:pStyle w:val="EndNoteBibliography"/>
        <w:spacing w:after="0"/>
        <w:ind w:left="720" w:hanging="720"/>
      </w:pPr>
      <w:r w:rsidRPr="00A10559">
        <w:t>49.</w:t>
      </w:r>
      <w:r w:rsidRPr="00A10559">
        <w:tab/>
        <w:t xml:space="preserve">Lavan A, Eustace J, Dahly D, et al. Incident adverse drug reactions in geriatric inpatients: a multicentred observational study. </w:t>
      </w:r>
      <w:r w:rsidRPr="00A10559">
        <w:rPr>
          <w:i/>
        </w:rPr>
        <w:t xml:space="preserve">Therapeutic advances in drug safety. </w:t>
      </w:r>
      <w:r w:rsidRPr="00A10559">
        <w:t>2018;9(1):13-23.</w:t>
      </w:r>
    </w:p>
    <w:p w14:paraId="6D590E2E" w14:textId="77777777" w:rsidR="00BB1CDF" w:rsidRPr="00A10559" w:rsidRDefault="00BB1CDF" w:rsidP="00BB1CDF">
      <w:pPr>
        <w:pStyle w:val="EndNoteBibliography"/>
        <w:spacing w:after="0"/>
        <w:ind w:left="720" w:hanging="720"/>
      </w:pPr>
      <w:r w:rsidRPr="00A10559">
        <w:t>50.</w:t>
      </w:r>
      <w:r w:rsidRPr="00A10559">
        <w:tab/>
        <w:t xml:space="preserve">Leach S, Roy SS. ADVERSE DRUG REACTIONS: AN INVESTIGATION ON AN ACUTE GERIATRIC WARD. </w:t>
      </w:r>
      <w:r w:rsidRPr="00A10559">
        <w:rPr>
          <w:i/>
        </w:rPr>
        <w:t xml:space="preserve">Age and ageing. </w:t>
      </w:r>
      <w:r w:rsidRPr="00A10559">
        <w:t>1986;15(4):241-246.</w:t>
      </w:r>
    </w:p>
    <w:p w14:paraId="0C81DCB8" w14:textId="77777777" w:rsidR="00BB1CDF" w:rsidRPr="00A10559" w:rsidRDefault="00BB1CDF" w:rsidP="00BB1CDF">
      <w:pPr>
        <w:pStyle w:val="EndNoteBibliography"/>
        <w:spacing w:after="0"/>
        <w:ind w:left="720" w:hanging="720"/>
      </w:pPr>
      <w:r w:rsidRPr="00A10559">
        <w:t>51.</w:t>
      </w:r>
      <w:r w:rsidRPr="00A10559">
        <w:tab/>
        <w:t xml:space="preserve">Liao PJ, Mao CT, Chen TL, Deng ST, Hsu KH. Factors associated with adverse drug reaction occurrence and prognosis, and their economic impacts in older inpatients in Taiwan: a nested case-control study. </w:t>
      </w:r>
      <w:r w:rsidRPr="00A10559">
        <w:rPr>
          <w:i/>
        </w:rPr>
        <w:t xml:space="preserve">BMJ open. </w:t>
      </w:r>
      <w:r w:rsidRPr="00A10559">
        <w:t>2019;9(5):e026771.</w:t>
      </w:r>
    </w:p>
    <w:p w14:paraId="6CFD48CC" w14:textId="77777777" w:rsidR="00BB1CDF" w:rsidRPr="00A10559" w:rsidRDefault="00BB1CDF" w:rsidP="00BB1CDF">
      <w:pPr>
        <w:pStyle w:val="EndNoteBibliography"/>
        <w:spacing w:after="0"/>
        <w:ind w:left="720" w:hanging="720"/>
      </w:pPr>
      <w:r w:rsidRPr="00A10559">
        <w:t>52.</w:t>
      </w:r>
      <w:r w:rsidRPr="00A10559">
        <w:tab/>
        <w:t xml:space="preserve">Mohebbi N, Shalviri G, Salarifar M, Salamzadeh J, Gholami K. Adverse drug reactions induced by cardiovascular drugs in cardiovascular care unit patients. </w:t>
      </w:r>
      <w:r w:rsidRPr="00A10559">
        <w:rPr>
          <w:i/>
        </w:rPr>
        <w:t xml:space="preserve">Pharmacoepidemiology and drug safety. </w:t>
      </w:r>
      <w:r w:rsidRPr="00A10559">
        <w:t>2010;19(9):889-894.</w:t>
      </w:r>
    </w:p>
    <w:p w14:paraId="4BDE9EAA" w14:textId="77777777" w:rsidR="00BB1CDF" w:rsidRPr="00A10559" w:rsidRDefault="00BB1CDF" w:rsidP="00BB1CDF">
      <w:pPr>
        <w:pStyle w:val="EndNoteBibliography"/>
        <w:spacing w:after="0"/>
        <w:ind w:left="720" w:hanging="720"/>
      </w:pPr>
      <w:r w:rsidRPr="00A10559">
        <w:t>53.</w:t>
      </w:r>
      <w:r w:rsidRPr="00A10559">
        <w:tab/>
        <w:t xml:space="preserve">Mugoša S, Bukumirić Z, Kovačević A, Bošković A, Protić D, Todorović Z. Adverse drug reactions in hospitalized cardiac patients: characteristics and risk factors. </w:t>
      </w:r>
      <w:r w:rsidRPr="00A10559">
        <w:rPr>
          <w:i/>
        </w:rPr>
        <w:t xml:space="preserve">Vojnosanitetski pregled. </w:t>
      </w:r>
      <w:r w:rsidRPr="00A10559">
        <w:t>2015;72(11):975-981.</w:t>
      </w:r>
    </w:p>
    <w:p w14:paraId="3679B09B" w14:textId="77777777" w:rsidR="00BB1CDF" w:rsidRPr="00A10559" w:rsidRDefault="00BB1CDF" w:rsidP="00BB1CDF">
      <w:pPr>
        <w:pStyle w:val="EndNoteBibliography"/>
        <w:spacing w:after="0"/>
        <w:ind w:left="720" w:hanging="720"/>
      </w:pPr>
      <w:r w:rsidRPr="00A10559">
        <w:t>54.</w:t>
      </w:r>
      <w:r w:rsidRPr="00A10559">
        <w:tab/>
        <w:t xml:space="preserve">O'Connor MN, Gallagher P, Byrne S, O'Mahony D. Adverse drug reactions in older patients during hospitalisation: Are they predictable? </w:t>
      </w:r>
      <w:r w:rsidRPr="00A10559">
        <w:rPr>
          <w:i/>
        </w:rPr>
        <w:t xml:space="preserve">Age and ageing. </w:t>
      </w:r>
      <w:r w:rsidRPr="00A10559">
        <w:t>2012;41(6):771-776.</w:t>
      </w:r>
    </w:p>
    <w:p w14:paraId="757903C5" w14:textId="77777777" w:rsidR="00BB1CDF" w:rsidRPr="00A10559" w:rsidRDefault="00BB1CDF" w:rsidP="00BB1CDF">
      <w:pPr>
        <w:pStyle w:val="EndNoteBibliography"/>
        <w:spacing w:after="0"/>
        <w:ind w:left="720" w:hanging="720"/>
      </w:pPr>
      <w:r w:rsidRPr="00A10559">
        <w:t>55.</w:t>
      </w:r>
      <w:r w:rsidRPr="00A10559">
        <w:tab/>
        <w:t xml:space="preserve">O'Connor MN, O'Sullivan D, Gallagher PF, Eustace J, Byrne S, O'Mahony D. Prevention of hospital‐acquired adverse drug reactions in older people using screening tool of older persons' prescriptions and screening tool to alert to right treatment criteria: A cluster randomized controlled trial. </w:t>
      </w:r>
      <w:r w:rsidRPr="00A10559">
        <w:rPr>
          <w:i/>
        </w:rPr>
        <w:t xml:space="preserve">Journal of the American Geriatrics Society. </w:t>
      </w:r>
      <w:r w:rsidRPr="00A10559">
        <w:t>2016;64(8):1558-1566.</w:t>
      </w:r>
    </w:p>
    <w:p w14:paraId="3E929820" w14:textId="77777777" w:rsidR="00BB1CDF" w:rsidRPr="00A10559" w:rsidRDefault="00BB1CDF" w:rsidP="00BB1CDF">
      <w:pPr>
        <w:pStyle w:val="EndNoteBibliography"/>
        <w:spacing w:after="0"/>
        <w:ind w:left="720" w:hanging="720"/>
      </w:pPr>
      <w:r w:rsidRPr="00A10559">
        <w:t>56.</w:t>
      </w:r>
      <w:r w:rsidRPr="00A10559">
        <w:tab/>
        <w:t xml:space="preserve">Onder G, Petrovic M, Tangiisuran B, et al. Development and validation of a score to assess risk of adverse drug reactions among in-hospital patients 65 years or older: the GerontoNet ADR risk score. </w:t>
      </w:r>
      <w:r w:rsidRPr="00A10559">
        <w:rPr>
          <w:i/>
        </w:rPr>
        <w:t xml:space="preserve">Archives of internal medicine. </w:t>
      </w:r>
      <w:r w:rsidRPr="00A10559">
        <w:t>2010;170(13):1142-1148.</w:t>
      </w:r>
    </w:p>
    <w:p w14:paraId="18E2CB56" w14:textId="77777777" w:rsidR="00BB1CDF" w:rsidRPr="00A10559" w:rsidRDefault="00BB1CDF" w:rsidP="00BB1CDF">
      <w:pPr>
        <w:pStyle w:val="EndNoteBibliography"/>
        <w:spacing w:after="0"/>
        <w:ind w:left="720" w:hanging="720"/>
      </w:pPr>
      <w:r w:rsidRPr="00A10559">
        <w:t>57.</w:t>
      </w:r>
      <w:r w:rsidRPr="00A10559">
        <w:tab/>
        <w:t xml:space="preserve">O'Sullivan D, O'Mahony D, O'Connor MN, et al. Prevention of Adverse Drug Reactions in Hospitalised Older Patients Using a Software-Supported Structured Pharmacist Intervention: A Cluster Randomised Controlled Trial. </w:t>
      </w:r>
      <w:r w:rsidRPr="00A10559">
        <w:rPr>
          <w:i/>
        </w:rPr>
        <w:t xml:space="preserve">Drugs &amp; aging. </w:t>
      </w:r>
      <w:r w:rsidRPr="00A10559">
        <w:t>2016;33(1):63-73.</w:t>
      </w:r>
    </w:p>
    <w:p w14:paraId="4F9F4F33" w14:textId="77777777" w:rsidR="00BB1CDF" w:rsidRPr="00A10559" w:rsidRDefault="00BB1CDF" w:rsidP="00BB1CDF">
      <w:pPr>
        <w:pStyle w:val="EndNoteBibliography"/>
        <w:spacing w:after="0"/>
        <w:ind w:left="720" w:hanging="720"/>
      </w:pPr>
      <w:r w:rsidRPr="00A10559">
        <w:t>58.</w:t>
      </w:r>
      <w:r w:rsidRPr="00A10559">
        <w:tab/>
        <w:t xml:space="preserve">REICHEL W. Complications in the care of five hundred elderly hospitalized patients. </w:t>
      </w:r>
      <w:r w:rsidRPr="00A10559">
        <w:rPr>
          <w:i/>
        </w:rPr>
        <w:t xml:space="preserve">Journal of the American Geriatrics Society. </w:t>
      </w:r>
      <w:r w:rsidRPr="00A10559">
        <w:t>1965;13(11):973-981.</w:t>
      </w:r>
    </w:p>
    <w:p w14:paraId="2DAE30C5" w14:textId="77777777" w:rsidR="00BB1CDF" w:rsidRPr="00A10559" w:rsidRDefault="00BB1CDF" w:rsidP="00BB1CDF">
      <w:pPr>
        <w:pStyle w:val="EndNoteBibliography"/>
        <w:spacing w:after="0"/>
        <w:ind w:left="720" w:hanging="720"/>
      </w:pPr>
      <w:r w:rsidRPr="00A10559">
        <w:t>59.</w:t>
      </w:r>
      <w:r w:rsidRPr="00A10559">
        <w:tab/>
        <w:t xml:space="preserve">Tangiisuran B, Graham Davies J, Wright JE, Rajkumar C. Adverse Drug Reactions in a Population of Hospitalized Very Elderly Patients. </w:t>
      </w:r>
      <w:r w:rsidRPr="00A10559">
        <w:rPr>
          <w:i/>
        </w:rPr>
        <w:t xml:space="preserve">Drugs &amp; aging. </w:t>
      </w:r>
      <w:r w:rsidRPr="00A10559">
        <w:t>2012;29(8):669-679.</w:t>
      </w:r>
    </w:p>
    <w:p w14:paraId="0E91B5DC" w14:textId="77777777" w:rsidR="00BB1CDF" w:rsidRPr="00A10559" w:rsidRDefault="00BB1CDF" w:rsidP="00BB1CDF">
      <w:pPr>
        <w:pStyle w:val="EndNoteBibliography"/>
        <w:spacing w:after="0"/>
        <w:ind w:left="720" w:hanging="720"/>
      </w:pPr>
      <w:r w:rsidRPr="00A10559">
        <w:t>60.</w:t>
      </w:r>
      <w:r w:rsidRPr="00A10559">
        <w:tab/>
        <w:t xml:space="preserve">Tangiisuran B, Scutt G, Stevenson J, et al. Development and validation of a risk model for predicting adverse drug reactions in older people during hospital stay: Brighton Adverse Drug Reactions Risk (BADRI) model. </w:t>
      </w:r>
      <w:r w:rsidRPr="00A10559">
        <w:rPr>
          <w:i/>
        </w:rPr>
        <w:t xml:space="preserve">PloS one. </w:t>
      </w:r>
      <w:r w:rsidRPr="00A10559">
        <w:t>2014;9(10):e111254.</w:t>
      </w:r>
    </w:p>
    <w:p w14:paraId="06FA668F" w14:textId="77777777" w:rsidR="00BB1CDF" w:rsidRPr="00A10559" w:rsidRDefault="00BB1CDF" w:rsidP="00BB1CDF">
      <w:pPr>
        <w:pStyle w:val="EndNoteBibliography"/>
        <w:spacing w:after="0"/>
        <w:ind w:left="720" w:hanging="720"/>
      </w:pPr>
      <w:r w:rsidRPr="00A10559">
        <w:t>61.</w:t>
      </w:r>
      <w:r w:rsidRPr="00A10559">
        <w:tab/>
        <w:t xml:space="preserve">Hazell L, Shakir SA. Under-reporting of adverse drug reactions : a systematic review. </w:t>
      </w:r>
      <w:r w:rsidRPr="00A10559">
        <w:rPr>
          <w:i/>
        </w:rPr>
        <w:t xml:space="preserve">Drug safety. </w:t>
      </w:r>
      <w:r w:rsidRPr="00A10559">
        <w:t>2006;29(5):385-396.</w:t>
      </w:r>
    </w:p>
    <w:p w14:paraId="4F3D20D0" w14:textId="77777777" w:rsidR="00BB1CDF" w:rsidRPr="00A10559" w:rsidRDefault="00BB1CDF" w:rsidP="00BB1CDF">
      <w:pPr>
        <w:pStyle w:val="EndNoteBibliography"/>
        <w:spacing w:after="0"/>
        <w:ind w:left="720" w:hanging="720"/>
      </w:pPr>
      <w:r w:rsidRPr="00A10559">
        <w:t>62.</w:t>
      </w:r>
      <w:r w:rsidRPr="00A10559">
        <w:tab/>
        <w:t xml:space="preserve">Miguel A, Azevedo LF, Araujo M, Pereira AC. Frequency of adverse drug reactions in hospitalized patients: a systematic review and meta-analysis. </w:t>
      </w:r>
      <w:r w:rsidRPr="00A10559">
        <w:rPr>
          <w:i/>
        </w:rPr>
        <w:t xml:space="preserve">Pharmacoepidemiology and drug safety. </w:t>
      </w:r>
      <w:r w:rsidRPr="00A10559">
        <w:t>2012;21(11):1139-1154.</w:t>
      </w:r>
    </w:p>
    <w:p w14:paraId="7720B37C" w14:textId="77777777" w:rsidR="00BB1CDF" w:rsidRPr="00A10559" w:rsidRDefault="00BB1CDF" w:rsidP="00BB1CDF">
      <w:pPr>
        <w:pStyle w:val="EndNoteBibliography"/>
        <w:spacing w:after="0"/>
        <w:ind w:left="720" w:hanging="720"/>
      </w:pPr>
      <w:r w:rsidRPr="00A10559">
        <w:t>63.</w:t>
      </w:r>
      <w:r w:rsidRPr="00A10559">
        <w:tab/>
        <w:t xml:space="preserve">Mazzitello C, Esposito S, De Francesco AE, Capuano A, Russo E, De Sarro G. Pharmacovigilance in Italy: an overview. </w:t>
      </w:r>
      <w:r w:rsidRPr="00A10559">
        <w:rPr>
          <w:i/>
        </w:rPr>
        <w:t xml:space="preserve">Journal of pharmacology &amp; pharmacotherapeutics. </w:t>
      </w:r>
      <w:r w:rsidRPr="00A10559">
        <w:t>2013;4(Suppl1):S20.</w:t>
      </w:r>
    </w:p>
    <w:p w14:paraId="3C9299C7" w14:textId="77777777" w:rsidR="00BB1CDF" w:rsidRPr="00A10559" w:rsidRDefault="00BB1CDF" w:rsidP="00BB1CDF">
      <w:pPr>
        <w:pStyle w:val="EndNoteBibliography"/>
        <w:spacing w:after="0"/>
        <w:ind w:left="720" w:hanging="720"/>
      </w:pPr>
      <w:r w:rsidRPr="00A10559">
        <w:t>64.</w:t>
      </w:r>
      <w:r w:rsidRPr="00A10559">
        <w:tab/>
        <w:t xml:space="preserve">Rochon PA, Gurwitz JH. The prescribing cascade revisited. </w:t>
      </w:r>
      <w:r w:rsidRPr="00A10559">
        <w:rPr>
          <w:i/>
        </w:rPr>
        <w:t xml:space="preserve">Lancet (London, England). </w:t>
      </w:r>
      <w:r w:rsidRPr="00A10559">
        <w:t>2017;389(10081):1778-1780.</w:t>
      </w:r>
    </w:p>
    <w:p w14:paraId="5F223956" w14:textId="77777777" w:rsidR="00BB1CDF" w:rsidRPr="00A10559" w:rsidRDefault="00BB1CDF" w:rsidP="00BB1CDF">
      <w:pPr>
        <w:pStyle w:val="EndNoteBibliography"/>
        <w:spacing w:after="0"/>
        <w:ind w:left="720" w:hanging="720"/>
      </w:pPr>
      <w:r w:rsidRPr="00A10559">
        <w:t>65.</w:t>
      </w:r>
      <w:r w:rsidRPr="00A10559">
        <w:tab/>
        <w:t xml:space="preserve">Wiffen P. Adverse drug reactions in hospital patients-a systematic review of the prospective and retrospective studies. </w:t>
      </w:r>
      <w:r w:rsidRPr="00A10559">
        <w:rPr>
          <w:i/>
        </w:rPr>
        <w:t xml:space="preserve">Bandolier </w:t>
      </w:r>
      <w:r w:rsidRPr="005B588D">
        <w:rPr>
          <w:i/>
        </w:rPr>
        <w:t>http://wwwbandolierorguk/</w:t>
      </w:r>
      <w:r w:rsidRPr="00A10559">
        <w:rPr>
          <w:i/>
        </w:rPr>
        <w:t xml:space="preserve">. </w:t>
      </w:r>
      <w:r w:rsidRPr="00A10559">
        <w:t>2002.</w:t>
      </w:r>
    </w:p>
    <w:p w14:paraId="3EFE9479" w14:textId="77777777" w:rsidR="00BB1CDF" w:rsidRPr="00A10559" w:rsidRDefault="00BB1CDF" w:rsidP="00BB1CDF">
      <w:pPr>
        <w:pStyle w:val="EndNoteBibliography"/>
        <w:ind w:left="720" w:hanging="720"/>
      </w:pPr>
      <w:r w:rsidRPr="00A10559">
        <w:t>66.</w:t>
      </w:r>
      <w:r w:rsidRPr="00A10559">
        <w:tab/>
        <w:t xml:space="preserve">Howard RL, Avery AJ, Slavenburg S, et al. Which drugs cause preventable admissions to hospital? A systematic review. </w:t>
      </w:r>
      <w:r w:rsidRPr="00A10559">
        <w:rPr>
          <w:i/>
        </w:rPr>
        <w:t xml:space="preserve">British journal of clinical pharmacology. </w:t>
      </w:r>
      <w:r w:rsidRPr="00A10559">
        <w:t>2007;63(2):136-147.</w:t>
      </w:r>
    </w:p>
    <w:p w14:paraId="4792C5F1" w14:textId="77777777" w:rsidR="00BB1CDF" w:rsidRDefault="00BB1CDF" w:rsidP="00BB1CDF"/>
    <w:p w14:paraId="1E0A119B" w14:textId="77777777" w:rsidR="005B3E6B" w:rsidRDefault="005B3E6B"/>
    <w:sectPr w:rsidR="005B3E6B" w:rsidSect="005B3E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47392" w14:textId="77777777" w:rsidR="00A0629A" w:rsidRDefault="00A0629A">
      <w:pPr>
        <w:spacing w:after="0" w:line="240" w:lineRule="auto"/>
      </w:pPr>
      <w:r>
        <w:separator/>
      </w:r>
    </w:p>
  </w:endnote>
  <w:endnote w:type="continuationSeparator" w:id="0">
    <w:p w14:paraId="75595C1E" w14:textId="77777777" w:rsidR="00A0629A" w:rsidRDefault="00A0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4C51" w14:textId="2A6DE7CC" w:rsidR="00737863" w:rsidRDefault="00737863">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9D7A6E">
      <w:rPr>
        <w:caps/>
        <w:noProof/>
        <w:color w:val="5B9BD5" w:themeColor="accent1"/>
      </w:rPr>
      <w:t>33</w:t>
    </w:r>
    <w:r>
      <w:rPr>
        <w:caps/>
        <w:noProof/>
        <w:color w:val="5B9BD5" w:themeColor="accent1"/>
      </w:rPr>
      <w:fldChar w:fldCharType="end"/>
    </w:r>
  </w:p>
  <w:p w14:paraId="610C4C52" w14:textId="77777777" w:rsidR="00737863" w:rsidRDefault="00737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7FDF0" w14:textId="77777777" w:rsidR="00A0629A" w:rsidRDefault="00A0629A">
      <w:pPr>
        <w:spacing w:after="0" w:line="240" w:lineRule="auto"/>
      </w:pPr>
      <w:r>
        <w:separator/>
      </w:r>
    </w:p>
  </w:footnote>
  <w:footnote w:type="continuationSeparator" w:id="0">
    <w:p w14:paraId="44B47AC0" w14:textId="77777777" w:rsidR="00A0629A" w:rsidRDefault="00A0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4C50" w14:textId="77777777" w:rsidR="00737863" w:rsidRPr="00C55F78" w:rsidRDefault="00737863">
    <w:pPr>
      <w:pStyle w:val="Header"/>
      <w:rPr>
        <w:b/>
        <w:i/>
      </w:rPr>
    </w:pPr>
    <w:r w:rsidRPr="00C55F78">
      <w:rPr>
        <w:b/>
      </w:rPr>
      <w:t xml:space="preserve">Supplemental Materials </w:t>
    </w:r>
    <w:r>
      <w:rPr>
        <w:b/>
      </w:rPr>
      <w:t>–</w:t>
    </w:r>
    <w:r w:rsidRPr="00C55F78">
      <w:rPr>
        <w:b/>
      </w:rPr>
      <w:t xml:space="preserve"> </w:t>
    </w:r>
    <w:r w:rsidRPr="00C55F78">
      <w:rPr>
        <w:b/>
        <w:i/>
      </w:rPr>
      <w:t>In-hospital adverse drug reactions in older adults; prevalence, presentation and associated drugs – a systematic review and meta-analysis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9342A"/>
    <w:multiLevelType w:val="hybridMultilevel"/>
    <w:tmpl w:val="C2C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z0svfa6zfvdgezxfivwd2m0rtastszz5ft&quot;&gt;SR EndNote Library_recovered_28.03.18&lt;record-ids&gt;&lt;item&gt;9491&lt;/item&gt;&lt;item&gt;9494&lt;/item&gt;&lt;item&gt;9495&lt;/item&gt;&lt;item&gt;9499&lt;/item&gt;&lt;item&gt;9500&lt;/item&gt;&lt;item&gt;9509&lt;/item&gt;&lt;item&gt;10028&lt;/item&gt;&lt;item&gt;11279&lt;/item&gt;&lt;item&gt;11289&lt;/item&gt;&lt;item&gt;11489&lt;/item&gt;&lt;item&gt;11579&lt;/item&gt;&lt;item&gt;11581&lt;/item&gt;&lt;item&gt;11609&lt;/item&gt;&lt;item&gt;11620&lt;/item&gt;&lt;item&gt;11642&lt;/item&gt;&lt;item&gt;11644&lt;/item&gt;&lt;item&gt;11645&lt;/item&gt;&lt;item&gt;11646&lt;/item&gt;&lt;item&gt;11647&lt;/item&gt;&lt;item&gt;11648&lt;/item&gt;&lt;item&gt;11651&lt;/item&gt;&lt;item&gt;11657&lt;/item&gt;&lt;item&gt;11837&lt;/item&gt;&lt;item&gt;11936&lt;/item&gt;&lt;item&gt;11937&lt;/item&gt;&lt;item&gt;11938&lt;/item&gt;&lt;item&gt;11939&lt;/item&gt;&lt;item&gt;11940&lt;/item&gt;&lt;item&gt;12222&lt;/item&gt;&lt;item&gt;12223&lt;/item&gt;&lt;item&gt;12224&lt;/item&gt;&lt;item&gt;12225&lt;/item&gt;&lt;item&gt;12231&lt;/item&gt;&lt;item&gt;12239&lt;/item&gt;&lt;item&gt;12240&lt;/item&gt;&lt;item&gt;12245&lt;/item&gt;&lt;item&gt;12254&lt;/item&gt;&lt;item&gt;12257&lt;/item&gt;&lt;item&gt;12260&lt;/item&gt;&lt;item&gt;12261&lt;/item&gt;&lt;item&gt;12262&lt;/item&gt;&lt;item&gt;12263&lt;/item&gt;&lt;item&gt;12264&lt;/item&gt;&lt;item&gt;12265&lt;/item&gt;&lt;item&gt;12266&lt;/item&gt;&lt;item&gt;12267&lt;/item&gt;&lt;item&gt;12268&lt;/item&gt;&lt;item&gt;12269&lt;/item&gt;&lt;item&gt;12353&lt;/item&gt;&lt;item&gt;14115&lt;/item&gt;&lt;item&gt;14116&lt;/item&gt;&lt;item&gt;14118&lt;/item&gt;&lt;item&gt;14122&lt;/item&gt;&lt;/record-ids&gt;&lt;/item&gt;&lt;/Libraries&gt;"/>
  </w:docVars>
  <w:rsids>
    <w:rsidRoot w:val="007D57FB"/>
    <w:rsid w:val="00001F8C"/>
    <w:rsid w:val="00013E6C"/>
    <w:rsid w:val="000166E0"/>
    <w:rsid w:val="00017309"/>
    <w:rsid w:val="00022898"/>
    <w:rsid w:val="00033C60"/>
    <w:rsid w:val="0004118E"/>
    <w:rsid w:val="00053F96"/>
    <w:rsid w:val="000548AE"/>
    <w:rsid w:val="000819D8"/>
    <w:rsid w:val="00082FCF"/>
    <w:rsid w:val="00091E2F"/>
    <w:rsid w:val="00096DD7"/>
    <w:rsid w:val="00097866"/>
    <w:rsid w:val="000A050A"/>
    <w:rsid w:val="000A326B"/>
    <w:rsid w:val="000B0080"/>
    <w:rsid w:val="000C075A"/>
    <w:rsid w:val="000D1412"/>
    <w:rsid w:val="000D2A84"/>
    <w:rsid w:val="000D6FFF"/>
    <w:rsid w:val="000E2D65"/>
    <w:rsid w:val="000E7845"/>
    <w:rsid w:val="000F779E"/>
    <w:rsid w:val="0010015E"/>
    <w:rsid w:val="001060B8"/>
    <w:rsid w:val="00114BC0"/>
    <w:rsid w:val="001320A1"/>
    <w:rsid w:val="0013575B"/>
    <w:rsid w:val="00137F37"/>
    <w:rsid w:val="00143B6B"/>
    <w:rsid w:val="0014501B"/>
    <w:rsid w:val="001532AD"/>
    <w:rsid w:val="00155B8C"/>
    <w:rsid w:val="00155D38"/>
    <w:rsid w:val="00170627"/>
    <w:rsid w:val="00171B24"/>
    <w:rsid w:val="001745D5"/>
    <w:rsid w:val="001758D1"/>
    <w:rsid w:val="00182EA7"/>
    <w:rsid w:val="001853A6"/>
    <w:rsid w:val="001918BA"/>
    <w:rsid w:val="001A1B13"/>
    <w:rsid w:val="001B68DA"/>
    <w:rsid w:val="001B6D9C"/>
    <w:rsid w:val="001C3714"/>
    <w:rsid w:val="001D0216"/>
    <w:rsid w:val="001E3C62"/>
    <w:rsid w:val="001F57CB"/>
    <w:rsid w:val="00200A99"/>
    <w:rsid w:val="00207CB5"/>
    <w:rsid w:val="0021040A"/>
    <w:rsid w:val="00212C34"/>
    <w:rsid w:val="002177B9"/>
    <w:rsid w:val="00223B16"/>
    <w:rsid w:val="00223F34"/>
    <w:rsid w:val="00225CC3"/>
    <w:rsid w:val="0024717E"/>
    <w:rsid w:val="00261E87"/>
    <w:rsid w:val="002735F6"/>
    <w:rsid w:val="00276CAE"/>
    <w:rsid w:val="00283A20"/>
    <w:rsid w:val="002853F0"/>
    <w:rsid w:val="0029159D"/>
    <w:rsid w:val="00292A5A"/>
    <w:rsid w:val="00293B56"/>
    <w:rsid w:val="002942C0"/>
    <w:rsid w:val="00294600"/>
    <w:rsid w:val="002B0D5F"/>
    <w:rsid w:val="002B6CFE"/>
    <w:rsid w:val="002C0A25"/>
    <w:rsid w:val="002C3836"/>
    <w:rsid w:val="002D2E12"/>
    <w:rsid w:val="002F287E"/>
    <w:rsid w:val="00301C5E"/>
    <w:rsid w:val="00305002"/>
    <w:rsid w:val="00311F6D"/>
    <w:rsid w:val="0031488B"/>
    <w:rsid w:val="00322079"/>
    <w:rsid w:val="00324ED5"/>
    <w:rsid w:val="00327766"/>
    <w:rsid w:val="00327C03"/>
    <w:rsid w:val="00330299"/>
    <w:rsid w:val="003338AA"/>
    <w:rsid w:val="003405F5"/>
    <w:rsid w:val="0034441F"/>
    <w:rsid w:val="00346EBE"/>
    <w:rsid w:val="00350A6E"/>
    <w:rsid w:val="00350F02"/>
    <w:rsid w:val="00361098"/>
    <w:rsid w:val="00366DAF"/>
    <w:rsid w:val="0037357C"/>
    <w:rsid w:val="00376DC2"/>
    <w:rsid w:val="00382E1F"/>
    <w:rsid w:val="003909A4"/>
    <w:rsid w:val="003A1965"/>
    <w:rsid w:val="003A48A9"/>
    <w:rsid w:val="003A6216"/>
    <w:rsid w:val="003C3682"/>
    <w:rsid w:val="003E1FA0"/>
    <w:rsid w:val="003E43FE"/>
    <w:rsid w:val="003E7989"/>
    <w:rsid w:val="004020B7"/>
    <w:rsid w:val="004077C0"/>
    <w:rsid w:val="00407A54"/>
    <w:rsid w:val="004104AC"/>
    <w:rsid w:val="00411450"/>
    <w:rsid w:val="0042018D"/>
    <w:rsid w:val="00425DB4"/>
    <w:rsid w:val="00426A1D"/>
    <w:rsid w:val="00431A2B"/>
    <w:rsid w:val="004348F1"/>
    <w:rsid w:val="00435D8E"/>
    <w:rsid w:val="00436C78"/>
    <w:rsid w:val="004526AD"/>
    <w:rsid w:val="004643D1"/>
    <w:rsid w:val="00467A70"/>
    <w:rsid w:val="004743F1"/>
    <w:rsid w:val="00483F7A"/>
    <w:rsid w:val="004931BA"/>
    <w:rsid w:val="00497714"/>
    <w:rsid w:val="00497FA1"/>
    <w:rsid w:val="004A0DD7"/>
    <w:rsid w:val="004B18A7"/>
    <w:rsid w:val="004C1041"/>
    <w:rsid w:val="004D66A9"/>
    <w:rsid w:val="004E2AFE"/>
    <w:rsid w:val="004E4AD1"/>
    <w:rsid w:val="004E6220"/>
    <w:rsid w:val="004F170E"/>
    <w:rsid w:val="004F240A"/>
    <w:rsid w:val="00500518"/>
    <w:rsid w:val="0050190F"/>
    <w:rsid w:val="00504015"/>
    <w:rsid w:val="00510E0A"/>
    <w:rsid w:val="005138C7"/>
    <w:rsid w:val="005234E5"/>
    <w:rsid w:val="00533FB1"/>
    <w:rsid w:val="00543A74"/>
    <w:rsid w:val="00546F3C"/>
    <w:rsid w:val="00550266"/>
    <w:rsid w:val="005523AC"/>
    <w:rsid w:val="00554452"/>
    <w:rsid w:val="005714A7"/>
    <w:rsid w:val="00572ADD"/>
    <w:rsid w:val="00574416"/>
    <w:rsid w:val="00576619"/>
    <w:rsid w:val="00585453"/>
    <w:rsid w:val="0059102F"/>
    <w:rsid w:val="005A0A29"/>
    <w:rsid w:val="005A1F7C"/>
    <w:rsid w:val="005A5D41"/>
    <w:rsid w:val="005B3E6B"/>
    <w:rsid w:val="005B5146"/>
    <w:rsid w:val="005C260B"/>
    <w:rsid w:val="005C4256"/>
    <w:rsid w:val="005D3A36"/>
    <w:rsid w:val="005E36E5"/>
    <w:rsid w:val="005E6182"/>
    <w:rsid w:val="00600B76"/>
    <w:rsid w:val="00605990"/>
    <w:rsid w:val="00611059"/>
    <w:rsid w:val="00614022"/>
    <w:rsid w:val="00622AFB"/>
    <w:rsid w:val="006331F4"/>
    <w:rsid w:val="00633957"/>
    <w:rsid w:val="00634B8E"/>
    <w:rsid w:val="006413AA"/>
    <w:rsid w:val="00641D6E"/>
    <w:rsid w:val="00642CB3"/>
    <w:rsid w:val="00654C73"/>
    <w:rsid w:val="006644FF"/>
    <w:rsid w:val="00670258"/>
    <w:rsid w:val="00673938"/>
    <w:rsid w:val="00675ED4"/>
    <w:rsid w:val="00685783"/>
    <w:rsid w:val="0068675A"/>
    <w:rsid w:val="0069542D"/>
    <w:rsid w:val="00697A58"/>
    <w:rsid w:val="006A2E19"/>
    <w:rsid w:val="006A7A6F"/>
    <w:rsid w:val="006B360F"/>
    <w:rsid w:val="006B79A8"/>
    <w:rsid w:val="006B7AE4"/>
    <w:rsid w:val="006C04C6"/>
    <w:rsid w:val="006D034F"/>
    <w:rsid w:val="006D1C20"/>
    <w:rsid w:val="006D490D"/>
    <w:rsid w:val="006D5572"/>
    <w:rsid w:val="006E0128"/>
    <w:rsid w:val="006E266F"/>
    <w:rsid w:val="006E4172"/>
    <w:rsid w:val="006E7C16"/>
    <w:rsid w:val="006F4405"/>
    <w:rsid w:val="00700D1C"/>
    <w:rsid w:val="007011C7"/>
    <w:rsid w:val="00703E73"/>
    <w:rsid w:val="007071BD"/>
    <w:rsid w:val="00725BEE"/>
    <w:rsid w:val="00730B1A"/>
    <w:rsid w:val="00737863"/>
    <w:rsid w:val="00742295"/>
    <w:rsid w:val="00753C10"/>
    <w:rsid w:val="00757811"/>
    <w:rsid w:val="0075798F"/>
    <w:rsid w:val="0075799D"/>
    <w:rsid w:val="007601F0"/>
    <w:rsid w:val="00763A7A"/>
    <w:rsid w:val="007756F1"/>
    <w:rsid w:val="007801AB"/>
    <w:rsid w:val="00782C59"/>
    <w:rsid w:val="00785946"/>
    <w:rsid w:val="00785AFC"/>
    <w:rsid w:val="00790D21"/>
    <w:rsid w:val="007927AA"/>
    <w:rsid w:val="00792A90"/>
    <w:rsid w:val="00797406"/>
    <w:rsid w:val="007A161A"/>
    <w:rsid w:val="007A727E"/>
    <w:rsid w:val="007A76BF"/>
    <w:rsid w:val="007B0188"/>
    <w:rsid w:val="007C2119"/>
    <w:rsid w:val="007C2916"/>
    <w:rsid w:val="007C5117"/>
    <w:rsid w:val="007C657B"/>
    <w:rsid w:val="007D07CB"/>
    <w:rsid w:val="007D57FB"/>
    <w:rsid w:val="007D707B"/>
    <w:rsid w:val="007D7437"/>
    <w:rsid w:val="007E11E6"/>
    <w:rsid w:val="00802FAB"/>
    <w:rsid w:val="00821F63"/>
    <w:rsid w:val="008264FE"/>
    <w:rsid w:val="00826932"/>
    <w:rsid w:val="00826E12"/>
    <w:rsid w:val="00833EE8"/>
    <w:rsid w:val="008356D5"/>
    <w:rsid w:val="00843BFA"/>
    <w:rsid w:val="00846232"/>
    <w:rsid w:val="0085293B"/>
    <w:rsid w:val="00866014"/>
    <w:rsid w:val="00876AE8"/>
    <w:rsid w:val="008822E6"/>
    <w:rsid w:val="00884576"/>
    <w:rsid w:val="00887F2A"/>
    <w:rsid w:val="00893127"/>
    <w:rsid w:val="008937F3"/>
    <w:rsid w:val="008C1BFC"/>
    <w:rsid w:val="008C3DEC"/>
    <w:rsid w:val="008D19D3"/>
    <w:rsid w:val="008E0262"/>
    <w:rsid w:val="008E3C72"/>
    <w:rsid w:val="008E7163"/>
    <w:rsid w:val="008F5843"/>
    <w:rsid w:val="00902D40"/>
    <w:rsid w:val="00903645"/>
    <w:rsid w:val="00904092"/>
    <w:rsid w:val="0091382D"/>
    <w:rsid w:val="009138D7"/>
    <w:rsid w:val="009146EA"/>
    <w:rsid w:val="00925B21"/>
    <w:rsid w:val="00936DA8"/>
    <w:rsid w:val="00954606"/>
    <w:rsid w:val="009550E7"/>
    <w:rsid w:val="00960DF9"/>
    <w:rsid w:val="009643D3"/>
    <w:rsid w:val="009647B0"/>
    <w:rsid w:val="00964E5F"/>
    <w:rsid w:val="00970421"/>
    <w:rsid w:val="0097322B"/>
    <w:rsid w:val="00973456"/>
    <w:rsid w:val="00981EB1"/>
    <w:rsid w:val="009865A9"/>
    <w:rsid w:val="00986C78"/>
    <w:rsid w:val="009871F6"/>
    <w:rsid w:val="009872A6"/>
    <w:rsid w:val="009B3D0B"/>
    <w:rsid w:val="009D2C75"/>
    <w:rsid w:val="009D7A6E"/>
    <w:rsid w:val="009E1188"/>
    <w:rsid w:val="009E2218"/>
    <w:rsid w:val="009F0CEB"/>
    <w:rsid w:val="00A013CD"/>
    <w:rsid w:val="00A02C0D"/>
    <w:rsid w:val="00A057B7"/>
    <w:rsid w:val="00A0629A"/>
    <w:rsid w:val="00A12484"/>
    <w:rsid w:val="00A310F9"/>
    <w:rsid w:val="00A374EF"/>
    <w:rsid w:val="00A425C7"/>
    <w:rsid w:val="00A438D3"/>
    <w:rsid w:val="00A51E14"/>
    <w:rsid w:val="00A64576"/>
    <w:rsid w:val="00A64953"/>
    <w:rsid w:val="00A66CD2"/>
    <w:rsid w:val="00A7144C"/>
    <w:rsid w:val="00A82429"/>
    <w:rsid w:val="00A90CBA"/>
    <w:rsid w:val="00A91FB5"/>
    <w:rsid w:val="00A945EF"/>
    <w:rsid w:val="00AA3263"/>
    <w:rsid w:val="00AA4022"/>
    <w:rsid w:val="00AB78B1"/>
    <w:rsid w:val="00AC167B"/>
    <w:rsid w:val="00AC5069"/>
    <w:rsid w:val="00AD0520"/>
    <w:rsid w:val="00AD3BA8"/>
    <w:rsid w:val="00AD4622"/>
    <w:rsid w:val="00AE2DC5"/>
    <w:rsid w:val="00AE5E73"/>
    <w:rsid w:val="00AE5F22"/>
    <w:rsid w:val="00AE6550"/>
    <w:rsid w:val="00AF6B3F"/>
    <w:rsid w:val="00B02B4B"/>
    <w:rsid w:val="00B04906"/>
    <w:rsid w:val="00B15AFE"/>
    <w:rsid w:val="00B1622F"/>
    <w:rsid w:val="00B25F6B"/>
    <w:rsid w:val="00B27BAD"/>
    <w:rsid w:val="00B36939"/>
    <w:rsid w:val="00B369D7"/>
    <w:rsid w:val="00B4557B"/>
    <w:rsid w:val="00B6253C"/>
    <w:rsid w:val="00B62699"/>
    <w:rsid w:val="00B6402F"/>
    <w:rsid w:val="00B66FEE"/>
    <w:rsid w:val="00B7139E"/>
    <w:rsid w:val="00B7194A"/>
    <w:rsid w:val="00BA2E5F"/>
    <w:rsid w:val="00BB1CDF"/>
    <w:rsid w:val="00BB5BCB"/>
    <w:rsid w:val="00BC0579"/>
    <w:rsid w:val="00BC05BC"/>
    <w:rsid w:val="00BD6437"/>
    <w:rsid w:val="00BF4B04"/>
    <w:rsid w:val="00C06CB0"/>
    <w:rsid w:val="00C15DBF"/>
    <w:rsid w:val="00C22233"/>
    <w:rsid w:val="00C44434"/>
    <w:rsid w:val="00C52E09"/>
    <w:rsid w:val="00C547B4"/>
    <w:rsid w:val="00C6300F"/>
    <w:rsid w:val="00C65506"/>
    <w:rsid w:val="00C66D6D"/>
    <w:rsid w:val="00C74E6C"/>
    <w:rsid w:val="00C77762"/>
    <w:rsid w:val="00C77DBF"/>
    <w:rsid w:val="00C806AA"/>
    <w:rsid w:val="00C80B87"/>
    <w:rsid w:val="00C822C7"/>
    <w:rsid w:val="00C832EA"/>
    <w:rsid w:val="00C85252"/>
    <w:rsid w:val="00C938D6"/>
    <w:rsid w:val="00CA1FF2"/>
    <w:rsid w:val="00CA669F"/>
    <w:rsid w:val="00CA6BED"/>
    <w:rsid w:val="00CB2E8B"/>
    <w:rsid w:val="00CB401E"/>
    <w:rsid w:val="00CC327C"/>
    <w:rsid w:val="00CC4AF2"/>
    <w:rsid w:val="00CD18FB"/>
    <w:rsid w:val="00CD3409"/>
    <w:rsid w:val="00CD6886"/>
    <w:rsid w:val="00CE134F"/>
    <w:rsid w:val="00CF1F2A"/>
    <w:rsid w:val="00CF2109"/>
    <w:rsid w:val="00D0006B"/>
    <w:rsid w:val="00D10454"/>
    <w:rsid w:val="00D14EAC"/>
    <w:rsid w:val="00D1715D"/>
    <w:rsid w:val="00D25C84"/>
    <w:rsid w:val="00D307B0"/>
    <w:rsid w:val="00D33FC3"/>
    <w:rsid w:val="00D376D9"/>
    <w:rsid w:val="00D41ED5"/>
    <w:rsid w:val="00D44EF5"/>
    <w:rsid w:val="00D45150"/>
    <w:rsid w:val="00D52812"/>
    <w:rsid w:val="00D604AC"/>
    <w:rsid w:val="00D64747"/>
    <w:rsid w:val="00D71928"/>
    <w:rsid w:val="00D71E20"/>
    <w:rsid w:val="00D80D37"/>
    <w:rsid w:val="00D817AC"/>
    <w:rsid w:val="00D81BE9"/>
    <w:rsid w:val="00D84A96"/>
    <w:rsid w:val="00D97366"/>
    <w:rsid w:val="00DA093B"/>
    <w:rsid w:val="00DA5224"/>
    <w:rsid w:val="00DC1FDF"/>
    <w:rsid w:val="00DD067B"/>
    <w:rsid w:val="00DD18B5"/>
    <w:rsid w:val="00DD26A7"/>
    <w:rsid w:val="00DD51CA"/>
    <w:rsid w:val="00DD7345"/>
    <w:rsid w:val="00DF37EB"/>
    <w:rsid w:val="00E046A1"/>
    <w:rsid w:val="00E05DE9"/>
    <w:rsid w:val="00E06236"/>
    <w:rsid w:val="00E10D54"/>
    <w:rsid w:val="00E1297B"/>
    <w:rsid w:val="00E161DB"/>
    <w:rsid w:val="00E17706"/>
    <w:rsid w:val="00E24E0E"/>
    <w:rsid w:val="00E42EC2"/>
    <w:rsid w:val="00E431DA"/>
    <w:rsid w:val="00E52D55"/>
    <w:rsid w:val="00E54048"/>
    <w:rsid w:val="00E57C7E"/>
    <w:rsid w:val="00E616D6"/>
    <w:rsid w:val="00E654BE"/>
    <w:rsid w:val="00E710F1"/>
    <w:rsid w:val="00E73E6B"/>
    <w:rsid w:val="00E758CE"/>
    <w:rsid w:val="00E75C9A"/>
    <w:rsid w:val="00E812B8"/>
    <w:rsid w:val="00E82DC1"/>
    <w:rsid w:val="00E85207"/>
    <w:rsid w:val="00EB00EE"/>
    <w:rsid w:val="00EB0190"/>
    <w:rsid w:val="00EB2D05"/>
    <w:rsid w:val="00EB499D"/>
    <w:rsid w:val="00EE20F1"/>
    <w:rsid w:val="00EE4387"/>
    <w:rsid w:val="00EF1BFC"/>
    <w:rsid w:val="00EF37A9"/>
    <w:rsid w:val="00EF4A21"/>
    <w:rsid w:val="00F02C3B"/>
    <w:rsid w:val="00F032C9"/>
    <w:rsid w:val="00F03FEE"/>
    <w:rsid w:val="00F059AE"/>
    <w:rsid w:val="00F05F9D"/>
    <w:rsid w:val="00F20B8F"/>
    <w:rsid w:val="00F219D0"/>
    <w:rsid w:val="00F21C9B"/>
    <w:rsid w:val="00F34DAA"/>
    <w:rsid w:val="00F41DE6"/>
    <w:rsid w:val="00F44CCC"/>
    <w:rsid w:val="00F45B76"/>
    <w:rsid w:val="00F478FC"/>
    <w:rsid w:val="00F54725"/>
    <w:rsid w:val="00F56A0E"/>
    <w:rsid w:val="00F733A5"/>
    <w:rsid w:val="00F76F2C"/>
    <w:rsid w:val="00F84DEE"/>
    <w:rsid w:val="00F94C82"/>
    <w:rsid w:val="00FB5B49"/>
    <w:rsid w:val="00FC7A24"/>
    <w:rsid w:val="00FD4542"/>
    <w:rsid w:val="00FD7C12"/>
    <w:rsid w:val="00FF2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C3404"/>
  <w15:chartTrackingRefBased/>
  <w15:docId w15:val="{1035EEA9-E9D5-4B29-A976-4E78FB965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7FB"/>
  </w:style>
  <w:style w:type="paragraph" w:styleId="Heading1">
    <w:name w:val="heading 1"/>
    <w:basedOn w:val="Normal"/>
    <w:next w:val="Normal"/>
    <w:link w:val="Heading1Char"/>
    <w:uiPriority w:val="9"/>
    <w:qFormat/>
    <w:rsid w:val="007D57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D57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57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7F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D57F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57FB"/>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7D57FB"/>
    <w:pPr>
      <w:ind w:left="720"/>
      <w:contextualSpacing/>
    </w:pPr>
  </w:style>
  <w:style w:type="character" w:styleId="CommentReference">
    <w:name w:val="annotation reference"/>
    <w:basedOn w:val="DefaultParagraphFont"/>
    <w:uiPriority w:val="99"/>
    <w:semiHidden/>
    <w:unhideWhenUsed/>
    <w:rsid w:val="007D57FB"/>
    <w:rPr>
      <w:sz w:val="16"/>
      <w:szCs w:val="16"/>
    </w:rPr>
  </w:style>
  <w:style w:type="paragraph" w:styleId="CommentText">
    <w:name w:val="annotation text"/>
    <w:basedOn w:val="Normal"/>
    <w:link w:val="CommentTextChar"/>
    <w:uiPriority w:val="99"/>
    <w:semiHidden/>
    <w:unhideWhenUsed/>
    <w:rsid w:val="007D57FB"/>
    <w:pPr>
      <w:spacing w:line="240" w:lineRule="auto"/>
    </w:pPr>
    <w:rPr>
      <w:sz w:val="20"/>
      <w:szCs w:val="20"/>
    </w:rPr>
  </w:style>
  <w:style w:type="character" w:customStyle="1" w:styleId="CommentTextChar">
    <w:name w:val="Comment Text Char"/>
    <w:basedOn w:val="DefaultParagraphFont"/>
    <w:link w:val="CommentText"/>
    <w:uiPriority w:val="99"/>
    <w:semiHidden/>
    <w:rsid w:val="007D57FB"/>
    <w:rPr>
      <w:sz w:val="20"/>
      <w:szCs w:val="20"/>
    </w:rPr>
  </w:style>
  <w:style w:type="paragraph" w:styleId="BalloonText">
    <w:name w:val="Balloon Text"/>
    <w:basedOn w:val="Normal"/>
    <w:link w:val="BalloonTextChar"/>
    <w:uiPriority w:val="99"/>
    <w:semiHidden/>
    <w:unhideWhenUsed/>
    <w:rsid w:val="007D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7FB"/>
    <w:rPr>
      <w:rFonts w:ascii="Segoe UI" w:hAnsi="Segoe UI" w:cs="Segoe UI"/>
      <w:sz w:val="18"/>
      <w:szCs w:val="18"/>
    </w:rPr>
  </w:style>
  <w:style w:type="table" w:styleId="TableGrid">
    <w:name w:val="Table Grid"/>
    <w:basedOn w:val="TableNormal"/>
    <w:uiPriority w:val="39"/>
    <w:rsid w:val="007D5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57FB"/>
    <w:rPr>
      <w:color w:val="0563C1"/>
      <w:u w:val="single"/>
    </w:rPr>
  </w:style>
  <w:style w:type="paragraph" w:styleId="CommentSubject">
    <w:name w:val="annotation subject"/>
    <w:basedOn w:val="CommentText"/>
    <w:next w:val="CommentText"/>
    <w:link w:val="CommentSubjectChar"/>
    <w:uiPriority w:val="99"/>
    <w:semiHidden/>
    <w:unhideWhenUsed/>
    <w:rsid w:val="007D57FB"/>
    <w:rPr>
      <w:b/>
      <w:bCs/>
    </w:rPr>
  </w:style>
  <w:style w:type="character" w:customStyle="1" w:styleId="CommentSubjectChar">
    <w:name w:val="Comment Subject Char"/>
    <w:basedOn w:val="CommentTextChar"/>
    <w:link w:val="CommentSubject"/>
    <w:uiPriority w:val="99"/>
    <w:semiHidden/>
    <w:rsid w:val="007D57FB"/>
    <w:rPr>
      <w:b/>
      <w:bCs/>
      <w:sz w:val="20"/>
      <w:szCs w:val="20"/>
    </w:rPr>
  </w:style>
  <w:style w:type="character" w:styleId="SubtleEmphasis">
    <w:name w:val="Subtle Emphasis"/>
    <w:basedOn w:val="DefaultParagraphFont"/>
    <w:uiPriority w:val="19"/>
    <w:qFormat/>
    <w:rsid w:val="007D57FB"/>
    <w:rPr>
      <w:i/>
      <w:iCs/>
      <w:color w:val="404040" w:themeColor="text1" w:themeTint="BF"/>
    </w:rPr>
  </w:style>
  <w:style w:type="paragraph" w:customStyle="1" w:styleId="EndNoteBibliographyTitle">
    <w:name w:val="EndNote Bibliography Title"/>
    <w:basedOn w:val="Normal"/>
    <w:link w:val="EndNoteBibliographyTitleChar"/>
    <w:rsid w:val="007D57F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D57FB"/>
    <w:rPr>
      <w:rFonts w:ascii="Calibri" w:hAnsi="Calibri" w:cs="Calibri"/>
      <w:noProof/>
      <w:lang w:val="en-US"/>
    </w:rPr>
  </w:style>
  <w:style w:type="paragraph" w:customStyle="1" w:styleId="EndNoteBibliography">
    <w:name w:val="EndNote Bibliography"/>
    <w:basedOn w:val="Normal"/>
    <w:link w:val="EndNoteBibliographyChar"/>
    <w:rsid w:val="007D57F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D57FB"/>
    <w:rPr>
      <w:rFonts w:ascii="Calibri" w:hAnsi="Calibri" w:cs="Calibri"/>
      <w:noProof/>
      <w:lang w:val="en-US"/>
    </w:rPr>
  </w:style>
  <w:style w:type="paragraph" w:styleId="TOCHeading">
    <w:name w:val="TOC Heading"/>
    <w:basedOn w:val="Heading1"/>
    <w:next w:val="Normal"/>
    <w:uiPriority w:val="39"/>
    <w:unhideWhenUsed/>
    <w:qFormat/>
    <w:rsid w:val="007D57FB"/>
    <w:pPr>
      <w:outlineLvl w:val="9"/>
    </w:pPr>
    <w:rPr>
      <w:lang w:val="en-US"/>
    </w:rPr>
  </w:style>
  <w:style w:type="paragraph" w:styleId="TOC1">
    <w:name w:val="toc 1"/>
    <w:basedOn w:val="Normal"/>
    <w:next w:val="Normal"/>
    <w:autoRedefine/>
    <w:uiPriority w:val="39"/>
    <w:unhideWhenUsed/>
    <w:rsid w:val="00BB1CDF"/>
    <w:pPr>
      <w:tabs>
        <w:tab w:val="right" w:leader="dot" w:pos="9016"/>
      </w:tabs>
      <w:spacing w:after="100"/>
    </w:pPr>
    <w:rPr>
      <w:noProof/>
    </w:rPr>
  </w:style>
  <w:style w:type="paragraph" w:styleId="TOC2">
    <w:name w:val="toc 2"/>
    <w:basedOn w:val="Normal"/>
    <w:next w:val="Normal"/>
    <w:autoRedefine/>
    <w:uiPriority w:val="39"/>
    <w:unhideWhenUsed/>
    <w:rsid w:val="007D57FB"/>
    <w:pPr>
      <w:spacing w:after="100"/>
      <w:ind w:left="220"/>
    </w:pPr>
  </w:style>
  <w:style w:type="paragraph" w:styleId="TOC3">
    <w:name w:val="toc 3"/>
    <w:basedOn w:val="Normal"/>
    <w:next w:val="Normal"/>
    <w:autoRedefine/>
    <w:uiPriority w:val="39"/>
    <w:unhideWhenUsed/>
    <w:rsid w:val="007D57FB"/>
    <w:pPr>
      <w:spacing w:after="100"/>
      <w:ind w:left="440"/>
    </w:pPr>
  </w:style>
  <w:style w:type="paragraph" w:styleId="Header">
    <w:name w:val="header"/>
    <w:basedOn w:val="Normal"/>
    <w:link w:val="HeaderChar"/>
    <w:uiPriority w:val="99"/>
    <w:unhideWhenUsed/>
    <w:rsid w:val="007D5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7FB"/>
  </w:style>
  <w:style w:type="paragraph" w:styleId="Footer">
    <w:name w:val="footer"/>
    <w:basedOn w:val="Normal"/>
    <w:link w:val="FooterChar"/>
    <w:uiPriority w:val="99"/>
    <w:unhideWhenUsed/>
    <w:rsid w:val="007D5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7FB"/>
  </w:style>
  <w:style w:type="table" w:styleId="PlainTable4">
    <w:name w:val="Plain Table 4"/>
    <w:basedOn w:val="TableNormal"/>
    <w:uiPriority w:val="44"/>
    <w:rsid w:val="007D57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7D57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2335">
      <w:bodyDiv w:val="1"/>
      <w:marLeft w:val="0"/>
      <w:marRight w:val="0"/>
      <w:marTop w:val="0"/>
      <w:marBottom w:val="0"/>
      <w:divBdr>
        <w:top w:val="none" w:sz="0" w:space="0" w:color="auto"/>
        <w:left w:val="none" w:sz="0" w:space="0" w:color="auto"/>
        <w:bottom w:val="none" w:sz="0" w:space="0" w:color="auto"/>
        <w:right w:val="none" w:sz="0" w:space="0" w:color="auto"/>
      </w:divBdr>
    </w:div>
    <w:div w:id="39328406">
      <w:bodyDiv w:val="1"/>
      <w:marLeft w:val="0"/>
      <w:marRight w:val="0"/>
      <w:marTop w:val="0"/>
      <w:marBottom w:val="0"/>
      <w:divBdr>
        <w:top w:val="none" w:sz="0" w:space="0" w:color="auto"/>
        <w:left w:val="none" w:sz="0" w:space="0" w:color="auto"/>
        <w:bottom w:val="none" w:sz="0" w:space="0" w:color="auto"/>
        <w:right w:val="none" w:sz="0" w:space="0" w:color="auto"/>
      </w:divBdr>
    </w:div>
    <w:div w:id="51193641">
      <w:bodyDiv w:val="1"/>
      <w:marLeft w:val="0"/>
      <w:marRight w:val="0"/>
      <w:marTop w:val="0"/>
      <w:marBottom w:val="0"/>
      <w:divBdr>
        <w:top w:val="none" w:sz="0" w:space="0" w:color="auto"/>
        <w:left w:val="none" w:sz="0" w:space="0" w:color="auto"/>
        <w:bottom w:val="none" w:sz="0" w:space="0" w:color="auto"/>
        <w:right w:val="none" w:sz="0" w:space="0" w:color="auto"/>
      </w:divBdr>
    </w:div>
    <w:div w:id="65887052">
      <w:bodyDiv w:val="1"/>
      <w:marLeft w:val="0"/>
      <w:marRight w:val="0"/>
      <w:marTop w:val="0"/>
      <w:marBottom w:val="0"/>
      <w:divBdr>
        <w:top w:val="none" w:sz="0" w:space="0" w:color="auto"/>
        <w:left w:val="none" w:sz="0" w:space="0" w:color="auto"/>
        <w:bottom w:val="none" w:sz="0" w:space="0" w:color="auto"/>
        <w:right w:val="none" w:sz="0" w:space="0" w:color="auto"/>
      </w:divBdr>
    </w:div>
    <w:div w:id="129054291">
      <w:bodyDiv w:val="1"/>
      <w:marLeft w:val="0"/>
      <w:marRight w:val="0"/>
      <w:marTop w:val="0"/>
      <w:marBottom w:val="0"/>
      <w:divBdr>
        <w:top w:val="none" w:sz="0" w:space="0" w:color="auto"/>
        <w:left w:val="none" w:sz="0" w:space="0" w:color="auto"/>
        <w:bottom w:val="none" w:sz="0" w:space="0" w:color="auto"/>
        <w:right w:val="none" w:sz="0" w:space="0" w:color="auto"/>
      </w:divBdr>
    </w:div>
    <w:div w:id="177238023">
      <w:bodyDiv w:val="1"/>
      <w:marLeft w:val="0"/>
      <w:marRight w:val="0"/>
      <w:marTop w:val="0"/>
      <w:marBottom w:val="0"/>
      <w:divBdr>
        <w:top w:val="none" w:sz="0" w:space="0" w:color="auto"/>
        <w:left w:val="none" w:sz="0" w:space="0" w:color="auto"/>
        <w:bottom w:val="none" w:sz="0" w:space="0" w:color="auto"/>
        <w:right w:val="none" w:sz="0" w:space="0" w:color="auto"/>
      </w:divBdr>
    </w:div>
    <w:div w:id="204411401">
      <w:bodyDiv w:val="1"/>
      <w:marLeft w:val="0"/>
      <w:marRight w:val="0"/>
      <w:marTop w:val="0"/>
      <w:marBottom w:val="0"/>
      <w:divBdr>
        <w:top w:val="none" w:sz="0" w:space="0" w:color="auto"/>
        <w:left w:val="none" w:sz="0" w:space="0" w:color="auto"/>
        <w:bottom w:val="none" w:sz="0" w:space="0" w:color="auto"/>
        <w:right w:val="none" w:sz="0" w:space="0" w:color="auto"/>
      </w:divBdr>
    </w:div>
    <w:div w:id="264852257">
      <w:bodyDiv w:val="1"/>
      <w:marLeft w:val="0"/>
      <w:marRight w:val="0"/>
      <w:marTop w:val="0"/>
      <w:marBottom w:val="0"/>
      <w:divBdr>
        <w:top w:val="none" w:sz="0" w:space="0" w:color="auto"/>
        <w:left w:val="none" w:sz="0" w:space="0" w:color="auto"/>
        <w:bottom w:val="none" w:sz="0" w:space="0" w:color="auto"/>
        <w:right w:val="none" w:sz="0" w:space="0" w:color="auto"/>
      </w:divBdr>
    </w:div>
    <w:div w:id="299195752">
      <w:bodyDiv w:val="1"/>
      <w:marLeft w:val="0"/>
      <w:marRight w:val="0"/>
      <w:marTop w:val="0"/>
      <w:marBottom w:val="0"/>
      <w:divBdr>
        <w:top w:val="none" w:sz="0" w:space="0" w:color="auto"/>
        <w:left w:val="none" w:sz="0" w:space="0" w:color="auto"/>
        <w:bottom w:val="none" w:sz="0" w:space="0" w:color="auto"/>
        <w:right w:val="none" w:sz="0" w:space="0" w:color="auto"/>
      </w:divBdr>
    </w:div>
    <w:div w:id="452989396">
      <w:bodyDiv w:val="1"/>
      <w:marLeft w:val="0"/>
      <w:marRight w:val="0"/>
      <w:marTop w:val="0"/>
      <w:marBottom w:val="0"/>
      <w:divBdr>
        <w:top w:val="none" w:sz="0" w:space="0" w:color="auto"/>
        <w:left w:val="none" w:sz="0" w:space="0" w:color="auto"/>
        <w:bottom w:val="none" w:sz="0" w:space="0" w:color="auto"/>
        <w:right w:val="none" w:sz="0" w:space="0" w:color="auto"/>
      </w:divBdr>
    </w:div>
    <w:div w:id="521169305">
      <w:bodyDiv w:val="1"/>
      <w:marLeft w:val="0"/>
      <w:marRight w:val="0"/>
      <w:marTop w:val="0"/>
      <w:marBottom w:val="0"/>
      <w:divBdr>
        <w:top w:val="none" w:sz="0" w:space="0" w:color="auto"/>
        <w:left w:val="none" w:sz="0" w:space="0" w:color="auto"/>
        <w:bottom w:val="none" w:sz="0" w:space="0" w:color="auto"/>
        <w:right w:val="none" w:sz="0" w:space="0" w:color="auto"/>
      </w:divBdr>
    </w:div>
    <w:div w:id="556013605">
      <w:bodyDiv w:val="1"/>
      <w:marLeft w:val="0"/>
      <w:marRight w:val="0"/>
      <w:marTop w:val="0"/>
      <w:marBottom w:val="0"/>
      <w:divBdr>
        <w:top w:val="none" w:sz="0" w:space="0" w:color="auto"/>
        <w:left w:val="none" w:sz="0" w:space="0" w:color="auto"/>
        <w:bottom w:val="none" w:sz="0" w:space="0" w:color="auto"/>
        <w:right w:val="none" w:sz="0" w:space="0" w:color="auto"/>
      </w:divBdr>
    </w:div>
    <w:div w:id="646977646">
      <w:bodyDiv w:val="1"/>
      <w:marLeft w:val="0"/>
      <w:marRight w:val="0"/>
      <w:marTop w:val="0"/>
      <w:marBottom w:val="0"/>
      <w:divBdr>
        <w:top w:val="none" w:sz="0" w:space="0" w:color="auto"/>
        <w:left w:val="none" w:sz="0" w:space="0" w:color="auto"/>
        <w:bottom w:val="none" w:sz="0" w:space="0" w:color="auto"/>
        <w:right w:val="none" w:sz="0" w:space="0" w:color="auto"/>
      </w:divBdr>
    </w:div>
    <w:div w:id="687482900">
      <w:bodyDiv w:val="1"/>
      <w:marLeft w:val="0"/>
      <w:marRight w:val="0"/>
      <w:marTop w:val="0"/>
      <w:marBottom w:val="0"/>
      <w:divBdr>
        <w:top w:val="none" w:sz="0" w:space="0" w:color="auto"/>
        <w:left w:val="none" w:sz="0" w:space="0" w:color="auto"/>
        <w:bottom w:val="none" w:sz="0" w:space="0" w:color="auto"/>
        <w:right w:val="none" w:sz="0" w:space="0" w:color="auto"/>
      </w:divBdr>
    </w:div>
    <w:div w:id="708602516">
      <w:bodyDiv w:val="1"/>
      <w:marLeft w:val="0"/>
      <w:marRight w:val="0"/>
      <w:marTop w:val="0"/>
      <w:marBottom w:val="0"/>
      <w:divBdr>
        <w:top w:val="none" w:sz="0" w:space="0" w:color="auto"/>
        <w:left w:val="none" w:sz="0" w:space="0" w:color="auto"/>
        <w:bottom w:val="none" w:sz="0" w:space="0" w:color="auto"/>
        <w:right w:val="none" w:sz="0" w:space="0" w:color="auto"/>
      </w:divBdr>
    </w:div>
    <w:div w:id="817653788">
      <w:bodyDiv w:val="1"/>
      <w:marLeft w:val="0"/>
      <w:marRight w:val="0"/>
      <w:marTop w:val="0"/>
      <w:marBottom w:val="0"/>
      <w:divBdr>
        <w:top w:val="none" w:sz="0" w:space="0" w:color="auto"/>
        <w:left w:val="none" w:sz="0" w:space="0" w:color="auto"/>
        <w:bottom w:val="none" w:sz="0" w:space="0" w:color="auto"/>
        <w:right w:val="none" w:sz="0" w:space="0" w:color="auto"/>
      </w:divBdr>
    </w:div>
    <w:div w:id="998769784">
      <w:bodyDiv w:val="1"/>
      <w:marLeft w:val="0"/>
      <w:marRight w:val="0"/>
      <w:marTop w:val="0"/>
      <w:marBottom w:val="0"/>
      <w:divBdr>
        <w:top w:val="none" w:sz="0" w:space="0" w:color="auto"/>
        <w:left w:val="none" w:sz="0" w:space="0" w:color="auto"/>
        <w:bottom w:val="none" w:sz="0" w:space="0" w:color="auto"/>
        <w:right w:val="none" w:sz="0" w:space="0" w:color="auto"/>
      </w:divBdr>
    </w:div>
    <w:div w:id="1085805814">
      <w:bodyDiv w:val="1"/>
      <w:marLeft w:val="0"/>
      <w:marRight w:val="0"/>
      <w:marTop w:val="0"/>
      <w:marBottom w:val="0"/>
      <w:divBdr>
        <w:top w:val="none" w:sz="0" w:space="0" w:color="auto"/>
        <w:left w:val="none" w:sz="0" w:space="0" w:color="auto"/>
        <w:bottom w:val="none" w:sz="0" w:space="0" w:color="auto"/>
        <w:right w:val="none" w:sz="0" w:space="0" w:color="auto"/>
      </w:divBdr>
    </w:div>
    <w:div w:id="1194534464">
      <w:bodyDiv w:val="1"/>
      <w:marLeft w:val="0"/>
      <w:marRight w:val="0"/>
      <w:marTop w:val="0"/>
      <w:marBottom w:val="0"/>
      <w:divBdr>
        <w:top w:val="none" w:sz="0" w:space="0" w:color="auto"/>
        <w:left w:val="none" w:sz="0" w:space="0" w:color="auto"/>
        <w:bottom w:val="none" w:sz="0" w:space="0" w:color="auto"/>
        <w:right w:val="none" w:sz="0" w:space="0" w:color="auto"/>
      </w:divBdr>
    </w:div>
    <w:div w:id="1300651548">
      <w:bodyDiv w:val="1"/>
      <w:marLeft w:val="0"/>
      <w:marRight w:val="0"/>
      <w:marTop w:val="0"/>
      <w:marBottom w:val="0"/>
      <w:divBdr>
        <w:top w:val="none" w:sz="0" w:space="0" w:color="auto"/>
        <w:left w:val="none" w:sz="0" w:space="0" w:color="auto"/>
        <w:bottom w:val="none" w:sz="0" w:space="0" w:color="auto"/>
        <w:right w:val="none" w:sz="0" w:space="0" w:color="auto"/>
      </w:divBdr>
    </w:div>
    <w:div w:id="1342046695">
      <w:bodyDiv w:val="1"/>
      <w:marLeft w:val="0"/>
      <w:marRight w:val="0"/>
      <w:marTop w:val="0"/>
      <w:marBottom w:val="0"/>
      <w:divBdr>
        <w:top w:val="none" w:sz="0" w:space="0" w:color="auto"/>
        <w:left w:val="none" w:sz="0" w:space="0" w:color="auto"/>
        <w:bottom w:val="none" w:sz="0" w:space="0" w:color="auto"/>
        <w:right w:val="none" w:sz="0" w:space="0" w:color="auto"/>
      </w:divBdr>
    </w:div>
    <w:div w:id="1354843355">
      <w:bodyDiv w:val="1"/>
      <w:marLeft w:val="0"/>
      <w:marRight w:val="0"/>
      <w:marTop w:val="0"/>
      <w:marBottom w:val="0"/>
      <w:divBdr>
        <w:top w:val="none" w:sz="0" w:space="0" w:color="auto"/>
        <w:left w:val="none" w:sz="0" w:space="0" w:color="auto"/>
        <w:bottom w:val="none" w:sz="0" w:space="0" w:color="auto"/>
        <w:right w:val="none" w:sz="0" w:space="0" w:color="auto"/>
      </w:divBdr>
    </w:div>
    <w:div w:id="1355576823">
      <w:bodyDiv w:val="1"/>
      <w:marLeft w:val="0"/>
      <w:marRight w:val="0"/>
      <w:marTop w:val="0"/>
      <w:marBottom w:val="0"/>
      <w:divBdr>
        <w:top w:val="none" w:sz="0" w:space="0" w:color="auto"/>
        <w:left w:val="none" w:sz="0" w:space="0" w:color="auto"/>
        <w:bottom w:val="none" w:sz="0" w:space="0" w:color="auto"/>
        <w:right w:val="none" w:sz="0" w:space="0" w:color="auto"/>
      </w:divBdr>
    </w:div>
    <w:div w:id="1441341341">
      <w:bodyDiv w:val="1"/>
      <w:marLeft w:val="0"/>
      <w:marRight w:val="0"/>
      <w:marTop w:val="0"/>
      <w:marBottom w:val="0"/>
      <w:divBdr>
        <w:top w:val="none" w:sz="0" w:space="0" w:color="auto"/>
        <w:left w:val="none" w:sz="0" w:space="0" w:color="auto"/>
        <w:bottom w:val="none" w:sz="0" w:space="0" w:color="auto"/>
        <w:right w:val="none" w:sz="0" w:space="0" w:color="auto"/>
      </w:divBdr>
    </w:div>
    <w:div w:id="1461605066">
      <w:bodyDiv w:val="1"/>
      <w:marLeft w:val="0"/>
      <w:marRight w:val="0"/>
      <w:marTop w:val="0"/>
      <w:marBottom w:val="0"/>
      <w:divBdr>
        <w:top w:val="none" w:sz="0" w:space="0" w:color="auto"/>
        <w:left w:val="none" w:sz="0" w:space="0" w:color="auto"/>
        <w:bottom w:val="none" w:sz="0" w:space="0" w:color="auto"/>
        <w:right w:val="none" w:sz="0" w:space="0" w:color="auto"/>
      </w:divBdr>
    </w:div>
    <w:div w:id="1535850069">
      <w:bodyDiv w:val="1"/>
      <w:marLeft w:val="0"/>
      <w:marRight w:val="0"/>
      <w:marTop w:val="0"/>
      <w:marBottom w:val="0"/>
      <w:divBdr>
        <w:top w:val="none" w:sz="0" w:space="0" w:color="auto"/>
        <w:left w:val="none" w:sz="0" w:space="0" w:color="auto"/>
        <w:bottom w:val="none" w:sz="0" w:space="0" w:color="auto"/>
        <w:right w:val="none" w:sz="0" w:space="0" w:color="auto"/>
      </w:divBdr>
    </w:div>
    <w:div w:id="1591769089">
      <w:bodyDiv w:val="1"/>
      <w:marLeft w:val="0"/>
      <w:marRight w:val="0"/>
      <w:marTop w:val="0"/>
      <w:marBottom w:val="0"/>
      <w:divBdr>
        <w:top w:val="none" w:sz="0" w:space="0" w:color="auto"/>
        <w:left w:val="none" w:sz="0" w:space="0" w:color="auto"/>
        <w:bottom w:val="none" w:sz="0" w:space="0" w:color="auto"/>
        <w:right w:val="none" w:sz="0" w:space="0" w:color="auto"/>
      </w:divBdr>
    </w:div>
    <w:div w:id="1633902080">
      <w:bodyDiv w:val="1"/>
      <w:marLeft w:val="0"/>
      <w:marRight w:val="0"/>
      <w:marTop w:val="0"/>
      <w:marBottom w:val="0"/>
      <w:divBdr>
        <w:top w:val="none" w:sz="0" w:space="0" w:color="auto"/>
        <w:left w:val="none" w:sz="0" w:space="0" w:color="auto"/>
        <w:bottom w:val="none" w:sz="0" w:space="0" w:color="auto"/>
        <w:right w:val="none" w:sz="0" w:space="0" w:color="auto"/>
      </w:divBdr>
    </w:div>
    <w:div w:id="1659383189">
      <w:bodyDiv w:val="1"/>
      <w:marLeft w:val="0"/>
      <w:marRight w:val="0"/>
      <w:marTop w:val="0"/>
      <w:marBottom w:val="0"/>
      <w:divBdr>
        <w:top w:val="none" w:sz="0" w:space="0" w:color="auto"/>
        <w:left w:val="none" w:sz="0" w:space="0" w:color="auto"/>
        <w:bottom w:val="none" w:sz="0" w:space="0" w:color="auto"/>
        <w:right w:val="none" w:sz="0" w:space="0" w:color="auto"/>
      </w:divBdr>
    </w:div>
    <w:div w:id="1666668962">
      <w:bodyDiv w:val="1"/>
      <w:marLeft w:val="0"/>
      <w:marRight w:val="0"/>
      <w:marTop w:val="0"/>
      <w:marBottom w:val="0"/>
      <w:divBdr>
        <w:top w:val="none" w:sz="0" w:space="0" w:color="auto"/>
        <w:left w:val="none" w:sz="0" w:space="0" w:color="auto"/>
        <w:bottom w:val="none" w:sz="0" w:space="0" w:color="auto"/>
        <w:right w:val="none" w:sz="0" w:space="0" w:color="auto"/>
      </w:divBdr>
    </w:div>
    <w:div w:id="1738622939">
      <w:bodyDiv w:val="1"/>
      <w:marLeft w:val="0"/>
      <w:marRight w:val="0"/>
      <w:marTop w:val="0"/>
      <w:marBottom w:val="0"/>
      <w:divBdr>
        <w:top w:val="none" w:sz="0" w:space="0" w:color="auto"/>
        <w:left w:val="none" w:sz="0" w:space="0" w:color="auto"/>
        <w:bottom w:val="none" w:sz="0" w:space="0" w:color="auto"/>
        <w:right w:val="none" w:sz="0" w:space="0" w:color="auto"/>
      </w:divBdr>
    </w:div>
    <w:div w:id="1871600425">
      <w:bodyDiv w:val="1"/>
      <w:marLeft w:val="0"/>
      <w:marRight w:val="0"/>
      <w:marTop w:val="0"/>
      <w:marBottom w:val="0"/>
      <w:divBdr>
        <w:top w:val="none" w:sz="0" w:space="0" w:color="auto"/>
        <w:left w:val="none" w:sz="0" w:space="0" w:color="auto"/>
        <w:bottom w:val="none" w:sz="0" w:space="0" w:color="auto"/>
        <w:right w:val="none" w:sz="0" w:space="0" w:color="auto"/>
      </w:divBdr>
    </w:div>
    <w:div w:id="1889997661">
      <w:bodyDiv w:val="1"/>
      <w:marLeft w:val="0"/>
      <w:marRight w:val="0"/>
      <w:marTop w:val="0"/>
      <w:marBottom w:val="0"/>
      <w:divBdr>
        <w:top w:val="none" w:sz="0" w:space="0" w:color="auto"/>
        <w:left w:val="none" w:sz="0" w:space="0" w:color="auto"/>
        <w:bottom w:val="none" w:sz="0" w:space="0" w:color="auto"/>
        <w:right w:val="none" w:sz="0" w:space="0" w:color="auto"/>
      </w:divBdr>
    </w:div>
    <w:div w:id="1902404850">
      <w:bodyDiv w:val="1"/>
      <w:marLeft w:val="0"/>
      <w:marRight w:val="0"/>
      <w:marTop w:val="0"/>
      <w:marBottom w:val="0"/>
      <w:divBdr>
        <w:top w:val="none" w:sz="0" w:space="0" w:color="auto"/>
        <w:left w:val="none" w:sz="0" w:space="0" w:color="auto"/>
        <w:bottom w:val="none" w:sz="0" w:space="0" w:color="auto"/>
        <w:right w:val="none" w:sz="0" w:space="0" w:color="auto"/>
      </w:divBdr>
    </w:div>
    <w:div w:id="1916935853">
      <w:bodyDiv w:val="1"/>
      <w:marLeft w:val="0"/>
      <w:marRight w:val="0"/>
      <w:marTop w:val="0"/>
      <w:marBottom w:val="0"/>
      <w:divBdr>
        <w:top w:val="none" w:sz="0" w:space="0" w:color="auto"/>
        <w:left w:val="none" w:sz="0" w:space="0" w:color="auto"/>
        <w:bottom w:val="none" w:sz="0" w:space="0" w:color="auto"/>
        <w:right w:val="none" w:sz="0" w:space="0" w:color="auto"/>
      </w:divBdr>
    </w:div>
    <w:div w:id="2037610413">
      <w:bodyDiv w:val="1"/>
      <w:marLeft w:val="0"/>
      <w:marRight w:val="0"/>
      <w:marTop w:val="0"/>
      <w:marBottom w:val="0"/>
      <w:divBdr>
        <w:top w:val="none" w:sz="0" w:space="0" w:color="auto"/>
        <w:left w:val="none" w:sz="0" w:space="0" w:color="auto"/>
        <w:bottom w:val="none" w:sz="0" w:space="0" w:color="auto"/>
        <w:right w:val="none" w:sz="0" w:space="0" w:color="auto"/>
      </w:divBdr>
    </w:div>
    <w:div w:id="213032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whocc.no/atc_ddd_index/?code=J01CR&amp;showdescription=no"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www.whocc.no/atc_ddd_index/?code=J01XB&amp;showdescription=no"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www.whocc.no/atc_ddd_index/?code=C01B&amp;showdescription=no" TargetMode="External"/><Relationship Id="rId33" Type="http://schemas.openxmlformats.org/officeDocument/2006/relationships/hyperlink" Target="https://www.whocc.no/atc_ddd_index/?code=J01XA&amp;showdescription=no"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yperlink" Target="https://www.whocc.no/atc_ddd_index/?code=J01DD&amp;showdescription=n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hyperlink" Target="https://www.whocc.no/atc_ddd_index/?code=J01XD&amp;showdescription=no" TargetMode="External"/><Relationship Id="rId37"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www.whocc.no/atc_ddd_index/?code=J01CF&amp;showdescription=no" TargetMode="External"/><Relationship Id="rId36"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hyperlink" Target="https://www.whocc.no/atc_ddd_index/?code=J01DB&amp;showdescription=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whocc.no/atc_ddd_index/?code=J01CE&amp;showdescription=no" TargetMode="External"/><Relationship Id="rId30" Type="http://schemas.openxmlformats.org/officeDocument/2006/relationships/hyperlink" Target="https://www.whocc.no/atc_ddd_index/?code=J01DC&amp;showdescription=no" TargetMode="External"/><Relationship Id="rId35" Type="http://schemas.openxmlformats.org/officeDocument/2006/relationships/hyperlink" Target="https://www.whocc.no/atc_ddd_index/?code=J01G&amp;showdescription=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4FDEDAA66E3B43B7229CC6D128E684" ma:contentTypeVersion="12" ma:contentTypeDescription="Create a new document." ma:contentTypeScope="" ma:versionID="8a4b8373ce382bf57f26355f40c29912">
  <xsd:schema xmlns:xsd="http://www.w3.org/2001/XMLSchema" xmlns:xs="http://www.w3.org/2001/XMLSchema" xmlns:p="http://schemas.microsoft.com/office/2006/metadata/properties" xmlns:ns3="dba9011f-8511-4089-a079-ef1cfec170a5" xmlns:ns4="9d4781d6-00b0-4a33-8a48-8f434d024380" targetNamespace="http://schemas.microsoft.com/office/2006/metadata/properties" ma:root="true" ma:fieldsID="cda627cd0f0facf4e797f1d1203fe2d1" ns3:_="" ns4:_="">
    <xsd:import namespace="dba9011f-8511-4089-a079-ef1cfec170a5"/>
    <xsd:import namespace="9d4781d6-00b0-4a33-8a48-8f434d0243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a9011f-8511-4089-a079-ef1cfec170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4781d6-00b0-4a33-8a48-8f434d024380"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DD231-B2BC-4BCF-89C5-110B38B75320}">
  <ds:schemaRefs>
    <ds:schemaRef ds:uri="http://schemas.microsoft.com/sharepoint/v3/contenttype/forms"/>
  </ds:schemaRefs>
</ds:datastoreItem>
</file>

<file path=customXml/itemProps2.xml><?xml version="1.0" encoding="utf-8"?>
<ds:datastoreItem xmlns:ds="http://schemas.openxmlformats.org/officeDocument/2006/customXml" ds:itemID="{F105491C-70BF-4C1D-82FE-E9B764BD6E78}">
  <ds:schemaRefs>
    <ds:schemaRef ds:uri="http://www.w3.org/XML/1998/namespace"/>
    <ds:schemaRef ds:uri="http://purl.org/dc/terms/"/>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9d4781d6-00b0-4a33-8a48-8f434d024380"/>
    <ds:schemaRef ds:uri="dba9011f-8511-4089-a079-ef1cfec170a5"/>
  </ds:schemaRefs>
</ds:datastoreItem>
</file>

<file path=customXml/itemProps3.xml><?xml version="1.0" encoding="utf-8"?>
<ds:datastoreItem xmlns:ds="http://schemas.openxmlformats.org/officeDocument/2006/customXml" ds:itemID="{D2E95D85-31A6-4914-9A61-F683D2E61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a9011f-8511-4089-a079-ef1cfec170a5"/>
    <ds:schemaRef ds:uri="9d4781d6-00b0-4a33-8a48-8f434d024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84</Pages>
  <Words>20815</Words>
  <Characters>118647</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UCC</Company>
  <LinksUpToDate>false</LinksUpToDate>
  <CharactersWithSpaces>139184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Jennings, Emma</dc:creator>
  <cp:keywords/>
  <dc:description/>
  <cp:lastModifiedBy>Jennings, Emma</cp:lastModifiedBy>
  <cp:revision>6</cp:revision>
  <cp:lastPrinted>2020-06-01T18:19:00Z</cp:lastPrinted>
  <dcterms:created xsi:type="dcterms:W3CDTF">2020-09-30T21:01:00Z</dcterms:created>
  <dcterms:modified xsi:type="dcterms:W3CDTF">2020-09-30T21:14:00Z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0x0101004D4FDEDAA66E3B43B7229CC6D128E684</vt:lpwstr>
  </property>
</Properties>
</file>