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3785E" w14:textId="30F5ECBE" w:rsidR="00A41382" w:rsidRDefault="00A41382" w:rsidP="00E07892">
      <w:pPr>
        <w:spacing w:line="480" w:lineRule="auto"/>
        <w:rPr>
          <w:rFonts w:ascii="Times New Roman" w:hAnsi="Times New Roman" w:cs="Times New Roman"/>
          <w:color w:val="333333"/>
          <w:shd w:val="clear" w:color="auto" w:fill="F2F2F2"/>
        </w:rPr>
      </w:pPr>
      <w:r w:rsidRPr="00E07892">
        <w:rPr>
          <w:rFonts w:ascii="Times New Roman" w:hAnsi="Times New Roman" w:cs="Times New Roman"/>
          <w:i/>
          <w:iCs/>
          <w:lang w:val="de-DE"/>
        </w:rPr>
        <w:t xml:space="preserve">Literatur in Österreich und Südtirol. </w:t>
      </w:r>
      <w:r w:rsidRPr="00E07892">
        <w:rPr>
          <w:rFonts w:ascii="Times New Roman" w:hAnsi="Times New Roman" w:cs="Times New Roman"/>
          <w:i/>
          <w:iCs/>
        </w:rPr>
        <w:t xml:space="preserve">Ein Panorama in 30 </w:t>
      </w:r>
      <w:proofErr w:type="spellStart"/>
      <w:r w:rsidRPr="00E07892">
        <w:rPr>
          <w:rFonts w:ascii="Times New Roman" w:hAnsi="Times New Roman" w:cs="Times New Roman"/>
          <w:i/>
          <w:iCs/>
        </w:rPr>
        <w:t>Aufsätzen</w:t>
      </w:r>
      <w:proofErr w:type="spellEnd"/>
      <w:r w:rsidRPr="008F62CC">
        <w:rPr>
          <w:rFonts w:ascii="Times New Roman" w:hAnsi="Times New Roman" w:cs="Times New Roman"/>
        </w:rPr>
        <w:t xml:space="preserve">. </w:t>
      </w:r>
      <w:r w:rsidRPr="002708C7">
        <w:rPr>
          <w:rFonts w:ascii="Times New Roman" w:hAnsi="Times New Roman" w:cs="Times New Roman"/>
        </w:rPr>
        <w:t xml:space="preserve">Ed. </w:t>
      </w:r>
      <w:r w:rsidR="00E07892">
        <w:rPr>
          <w:rFonts w:ascii="Times New Roman" w:hAnsi="Times New Roman" w:cs="Times New Roman"/>
        </w:rPr>
        <w:t>b</w:t>
      </w:r>
      <w:r w:rsidRPr="002708C7">
        <w:rPr>
          <w:rFonts w:ascii="Times New Roman" w:hAnsi="Times New Roman" w:cs="Times New Roman"/>
        </w:rPr>
        <w:t xml:space="preserve">y </w:t>
      </w:r>
      <w:r w:rsidR="00E07892" w:rsidRPr="00E07892">
        <w:rPr>
          <w:rFonts w:ascii="Times New Roman" w:hAnsi="Times New Roman" w:cs="Times New Roman"/>
          <w:smallCaps/>
        </w:rPr>
        <w:t>MICHAEL PILZ</w:t>
      </w:r>
      <w:r w:rsidR="00E07892" w:rsidRPr="00E07892">
        <w:rPr>
          <w:rFonts w:ascii="Times New Roman" w:hAnsi="Times New Roman" w:cs="Times New Roman"/>
        </w:rPr>
        <w:t xml:space="preserve"> </w:t>
      </w:r>
      <w:r w:rsidRPr="002708C7">
        <w:rPr>
          <w:rFonts w:ascii="Times New Roman" w:hAnsi="Times New Roman" w:cs="Times New Roman"/>
        </w:rPr>
        <w:t xml:space="preserve">and </w:t>
      </w:r>
      <w:r w:rsidRPr="00E07892">
        <w:rPr>
          <w:rFonts w:ascii="Times New Roman" w:hAnsi="Times New Roman" w:cs="Times New Roman"/>
          <w:smallCaps/>
        </w:rPr>
        <w:t>DIRK ROSE</w:t>
      </w:r>
      <w:r w:rsidRPr="002708C7">
        <w:rPr>
          <w:rFonts w:ascii="Times New Roman" w:hAnsi="Times New Roman" w:cs="Times New Roman"/>
        </w:rPr>
        <w:t>.</w:t>
      </w:r>
      <w:r>
        <w:rPr>
          <w:rFonts w:ascii="Times New Roman" w:hAnsi="Times New Roman" w:cs="Times New Roman"/>
        </w:rPr>
        <w:t xml:space="preserve"> With a foreword by </w:t>
      </w:r>
      <w:r w:rsidRPr="00E07892">
        <w:rPr>
          <w:rFonts w:ascii="Times New Roman" w:hAnsi="Times New Roman" w:cs="Times New Roman"/>
          <w:smallCaps/>
        </w:rPr>
        <w:t>ULRIKE TANZER</w:t>
      </w:r>
      <w:r>
        <w:rPr>
          <w:rFonts w:ascii="Times New Roman" w:hAnsi="Times New Roman" w:cs="Times New Roman"/>
        </w:rPr>
        <w:t>.</w:t>
      </w:r>
      <w:r w:rsidRPr="002708C7">
        <w:rPr>
          <w:rFonts w:ascii="Times New Roman" w:hAnsi="Times New Roman" w:cs="Times New Roman"/>
        </w:rPr>
        <w:t xml:space="preserve"> Innsbruck: university press. 2022. 497</w:t>
      </w:r>
      <w:r w:rsidR="00E07892" w:rsidRPr="00E07892">
        <w:rPr>
          <w:rFonts w:ascii="Times New Roman" w:hAnsi="Times New Roman" w:cs="Times New Roman"/>
        </w:rPr>
        <w:t xml:space="preserve"> </w:t>
      </w:r>
      <w:r w:rsidR="00E07892" w:rsidRPr="002708C7">
        <w:rPr>
          <w:rFonts w:ascii="Times New Roman" w:hAnsi="Times New Roman" w:cs="Times New Roman"/>
        </w:rPr>
        <w:t>pp</w:t>
      </w:r>
      <w:r w:rsidRPr="002708C7">
        <w:rPr>
          <w:rFonts w:ascii="Times New Roman" w:hAnsi="Times New Roman" w:cs="Times New Roman"/>
        </w:rPr>
        <w:t xml:space="preserve">, € 45, ISBN </w:t>
      </w:r>
      <w:r w:rsidRPr="002708C7">
        <w:rPr>
          <w:rFonts w:ascii="Times New Roman" w:hAnsi="Times New Roman" w:cs="Times New Roman"/>
          <w:color w:val="333333"/>
          <w:shd w:val="clear" w:color="auto" w:fill="F2F2F2"/>
        </w:rPr>
        <w:t>978-3-901064-59-3.</w:t>
      </w:r>
    </w:p>
    <w:p w14:paraId="0018909B" w14:textId="77777777" w:rsidR="007839D8" w:rsidRPr="00A41382" w:rsidRDefault="007839D8" w:rsidP="00E07892">
      <w:pPr>
        <w:spacing w:line="480" w:lineRule="auto"/>
        <w:rPr>
          <w:rFonts w:ascii="Times New Roman" w:hAnsi="Times New Roman" w:cs="Times New Roman"/>
          <w:color w:val="333333"/>
          <w:shd w:val="clear" w:color="auto" w:fill="F2F2F2"/>
        </w:rPr>
      </w:pPr>
    </w:p>
    <w:p w14:paraId="5DBA1823" w14:textId="21CC3DB7" w:rsidR="00A41382" w:rsidRDefault="00A41382" w:rsidP="00E07892">
      <w:pPr>
        <w:pStyle w:val="NormalWeb"/>
        <w:spacing w:line="480" w:lineRule="auto"/>
        <w:rPr>
          <w:color w:val="252525"/>
        </w:rPr>
      </w:pPr>
      <w:r w:rsidRPr="00D0264B">
        <w:rPr>
          <w:color w:val="252525"/>
          <w:lang w:val="de-DE"/>
        </w:rPr>
        <w:t>The volume</w:t>
      </w:r>
      <w:r w:rsidR="00D0264B" w:rsidRPr="00D0264B">
        <w:rPr>
          <w:rStyle w:val="apple-converted-space"/>
          <w:color w:val="252525"/>
          <w:lang w:val="de-DE"/>
        </w:rPr>
        <w:t xml:space="preserve"> ‘</w:t>
      </w:r>
      <w:r w:rsidRPr="00D0264B">
        <w:rPr>
          <w:rStyle w:val="Emphasis"/>
          <w:color w:val="252525"/>
          <w:lang w:val="de-DE"/>
        </w:rPr>
        <w:t>Literatur in Österreich und Südtirol.</w:t>
      </w:r>
      <w:r w:rsidRPr="00D0264B">
        <w:rPr>
          <w:rStyle w:val="apple-converted-space"/>
          <w:i/>
          <w:iCs/>
          <w:color w:val="252525"/>
          <w:lang w:val="de-DE"/>
        </w:rPr>
        <w:t> </w:t>
      </w:r>
      <w:r>
        <w:rPr>
          <w:rStyle w:val="Emphasis"/>
          <w:color w:val="252525"/>
        </w:rPr>
        <w:t xml:space="preserve">Ein Panorama in 30 </w:t>
      </w:r>
      <w:proofErr w:type="spellStart"/>
      <w:r>
        <w:rPr>
          <w:rStyle w:val="Emphasis"/>
          <w:color w:val="252525"/>
        </w:rPr>
        <w:t>Aufsätzen</w:t>
      </w:r>
      <w:proofErr w:type="spellEnd"/>
      <w:r w:rsidR="00D0264B">
        <w:rPr>
          <w:rStyle w:val="apple-converted-space"/>
          <w:color w:val="252525"/>
        </w:rPr>
        <w:t xml:space="preserve">’ </w:t>
      </w:r>
      <w:r>
        <w:rPr>
          <w:color w:val="252525"/>
        </w:rPr>
        <w:t xml:space="preserve">edited by Michael </w:t>
      </w:r>
      <w:proofErr w:type="spellStart"/>
      <w:r>
        <w:rPr>
          <w:color w:val="252525"/>
        </w:rPr>
        <w:t>Pilz</w:t>
      </w:r>
      <w:proofErr w:type="spellEnd"/>
      <w:r>
        <w:rPr>
          <w:color w:val="252525"/>
        </w:rPr>
        <w:t xml:space="preserve"> and Dirk Rose is a selection of Sigurd Paul </w:t>
      </w:r>
      <w:proofErr w:type="spellStart"/>
      <w:r>
        <w:rPr>
          <w:color w:val="252525"/>
        </w:rPr>
        <w:t>Scheichl’s</w:t>
      </w:r>
      <w:proofErr w:type="spellEnd"/>
      <w:r>
        <w:rPr>
          <w:color w:val="252525"/>
        </w:rPr>
        <w:t xml:space="preserve"> vast oeuvre within Austrian and German Literary Studies from the 1980s onwards, presented to him on his 80</w:t>
      </w:r>
      <w:r>
        <w:rPr>
          <w:color w:val="252525"/>
          <w:vertAlign w:val="superscript"/>
        </w:rPr>
        <w:t>th</w:t>
      </w:r>
      <w:r w:rsidR="00D0264B">
        <w:rPr>
          <w:rStyle w:val="apple-converted-space"/>
          <w:color w:val="252525"/>
        </w:rPr>
        <w:t xml:space="preserve"> </w:t>
      </w:r>
      <w:r>
        <w:rPr>
          <w:color w:val="252525"/>
        </w:rPr>
        <w:t xml:space="preserve">birthday. Appointed as a professor for Austrian Literary History and General Literary Studies at the University of Innsbruck in 1992, </w:t>
      </w:r>
      <w:proofErr w:type="spellStart"/>
      <w:r>
        <w:rPr>
          <w:color w:val="252525"/>
        </w:rPr>
        <w:t>Scheichl</w:t>
      </w:r>
      <w:proofErr w:type="spellEnd"/>
      <w:r>
        <w:rPr>
          <w:color w:val="252525"/>
        </w:rPr>
        <w:t xml:space="preserve"> researched and taught there until his retirement in 2010. As Ulrike </w:t>
      </w:r>
      <w:proofErr w:type="spellStart"/>
      <w:r>
        <w:rPr>
          <w:color w:val="252525"/>
        </w:rPr>
        <w:t>Tanzer</w:t>
      </w:r>
      <w:proofErr w:type="spellEnd"/>
      <w:r>
        <w:rPr>
          <w:color w:val="252525"/>
        </w:rPr>
        <w:t xml:space="preserve"> highlights in her foreword, </w:t>
      </w:r>
      <w:proofErr w:type="spellStart"/>
      <w:r>
        <w:rPr>
          <w:color w:val="252525"/>
        </w:rPr>
        <w:t>Scheichl</w:t>
      </w:r>
      <w:proofErr w:type="spellEnd"/>
      <w:r>
        <w:rPr>
          <w:color w:val="252525"/>
        </w:rPr>
        <w:t xml:space="preserve"> contributed relentlessly to the Austrian literary scene, chairing many associations, among them the Viennese "</w:t>
      </w:r>
      <w:proofErr w:type="spellStart"/>
      <w:r>
        <w:rPr>
          <w:color w:val="252525"/>
        </w:rPr>
        <w:t>Forschungs</w:t>
      </w:r>
      <w:proofErr w:type="spellEnd"/>
      <w:r>
        <w:rPr>
          <w:color w:val="252525"/>
        </w:rPr>
        <w:t xml:space="preserve">- und </w:t>
      </w:r>
      <w:proofErr w:type="spellStart"/>
      <w:r>
        <w:rPr>
          <w:color w:val="252525"/>
        </w:rPr>
        <w:t>Dokumentationsstelle</w:t>
      </w:r>
      <w:proofErr w:type="spellEnd"/>
      <w:r>
        <w:rPr>
          <w:color w:val="252525"/>
        </w:rPr>
        <w:t xml:space="preserve"> für </w:t>
      </w:r>
      <w:proofErr w:type="spellStart"/>
      <w:r>
        <w:rPr>
          <w:color w:val="252525"/>
        </w:rPr>
        <w:t>neuere</w:t>
      </w:r>
      <w:proofErr w:type="spellEnd"/>
      <w:r>
        <w:rPr>
          <w:color w:val="252525"/>
        </w:rPr>
        <w:t xml:space="preserve"> </w:t>
      </w:r>
      <w:proofErr w:type="spellStart"/>
      <w:r>
        <w:rPr>
          <w:color w:val="252525"/>
        </w:rPr>
        <w:t>österreichische</w:t>
      </w:r>
      <w:proofErr w:type="spellEnd"/>
      <w:r>
        <w:rPr>
          <w:color w:val="252525"/>
        </w:rPr>
        <w:t xml:space="preserve"> </w:t>
      </w:r>
      <w:proofErr w:type="spellStart"/>
      <w:r>
        <w:rPr>
          <w:color w:val="252525"/>
        </w:rPr>
        <w:t>Literatur</w:t>
      </w:r>
      <w:proofErr w:type="spellEnd"/>
      <w:r>
        <w:rPr>
          <w:color w:val="252525"/>
        </w:rPr>
        <w:t>" (</w:t>
      </w:r>
      <w:r w:rsidR="00565E25">
        <w:rPr>
          <w:color w:val="252525"/>
        </w:rPr>
        <w:t xml:space="preserve">p. </w:t>
      </w:r>
      <w:r>
        <w:rPr>
          <w:color w:val="252525"/>
        </w:rPr>
        <w:t>7), and being a member of many more (i.e.</w:t>
      </w:r>
      <w:r w:rsidR="00565E25">
        <w:rPr>
          <w:color w:val="252525"/>
        </w:rPr>
        <w:t>,</w:t>
      </w:r>
      <w:r>
        <w:rPr>
          <w:color w:val="252525"/>
        </w:rPr>
        <w:t xml:space="preserve"> Grazer </w:t>
      </w:r>
      <w:proofErr w:type="spellStart"/>
      <w:r>
        <w:rPr>
          <w:color w:val="252525"/>
        </w:rPr>
        <w:t>Autorenversammlung</w:t>
      </w:r>
      <w:proofErr w:type="spellEnd"/>
      <w:r>
        <w:rPr>
          <w:color w:val="252525"/>
        </w:rPr>
        <w:t>, IVG, ÖGG). His exceptionally profound readings of literary texts, combined with his immense knowledge of "</w:t>
      </w:r>
      <w:proofErr w:type="spellStart"/>
      <w:r>
        <w:rPr>
          <w:color w:val="252525"/>
        </w:rPr>
        <w:t>kulturpolitische</w:t>
      </w:r>
      <w:proofErr w:type="spellEnd"/>
      <w:r>
        <w:rPr>
          <w:color w:val="252525"/>
        </w:rPr>
        <w:t xml:space="preserve"> </w:t>
      </w:r>
      <w:proofErr w:type="spellStart"/>
      <w:r>
        <w:rPr>
          <w:color w:val="252525"/>
        </w:rPr>
        <w:t>Zusammenhänge</w:t>
      </w:r>
      <w:proofErr w:type="spellEnd"/>
      <w:r>
        <w:rPr>
          <w:color w:val="252525"/>
        </w:rPr>
        <w:t>" (</w:t>
      </w:r>
      <w:r w:rsidR="00565E25">
        <w:rPr>
          <w:color w:val="252525"/>
        </w:rPr>
        <w:t xml:space="preserve">p. </w:t>
      </w:r>
      <w:r>
        <w:rPr>
          <w:color w:val="252525"/>
        </w:rPr>
        <w:t xml:space="preserve">7), are remembered by colleagues and students alike. As the editors rightly point out, </w:t>
      </w:r>
      <w:proofErr w:type="spellStart"/>
      <w:r>
        <w:rPr>
          <w:color w:val="252525"/>
        </w:rPr>
        <w:t>Scheichl</w:t>
      </w:r>
      <w:proofErr w:type="spellEnd"/>
      <w:r>
        <w:rPr>
          <w:color w:val="252525"/>
        </w:rPr>
        <w:t xml:space="preserve"> was a gifted teacher capable of passing on his great passion for literature and his love for the art of philology.</w:t>
      </w:r>
      <w:r w:rsidR="00E07892">
        <w:rPr>
          <w:color w:val="252525"/>
        </w:rPr>
        <w:t xml:space="preserve"> </w:t>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565E25">
        <w:rPr>
          <w:color w:val="252525"/>
        </w:rPr>
        <w:tab/>
      </w:r>
      <w:r w:rsidR="00E07892">
        <w:rPr>
          <w:color w:val="252525"/>
        </w:rPr>
        <w:tab/>
      </w:r>
      <w:r>
        <w:rPr>
          <w:color w:val="252525"/>
        </w:rPr>
        <w:t xml:space="preserve">This collection of selected essays, to which </w:t>
      </w:r>
      <w:r w:rsidR="00565E25">
        <w:rPr>
          <w:color w:val="252525"/>
        </w:rPr>
        <w:t>unsurprisingly</w:t>
      </w:r>
      <w:r w:rsidR="00565E25">
        <w:rPr>
          <w:color w:val="252525"/>
        </w:rPr>
        <w:t xml:space="preserve"> </w:t>
      </w:r>
      <w:proofErr w:type="spellStart"/>
      <w:r>
        <w:rPr>
          <w:color w:val="252525"/>
        </w:rPr>
        <w:t>Scheichl</w:t>
      </w:r>
      <w:proofErr w:type="spellEnd"/>
      <w:r>
        <w:rPr>
          <w:color w:val="252525"/>
        </w:rPr>
        <w:t xml:space="preserve"> himself actively contributed by revising some and translating one, reflects his tireless dedication to literary texts as well as to philological, political, and cultural literary questions. The introduction part includes an unpublished piece by </w:t>
      </w:r>
      <w:proofErr w:type="spellStart"/>
      <w:r>
        <w:rPr>
          <w:color w:val="252525"/>
        </w:rPr>
        <w:t>Scheichl</w:t>
      </w:r>
      <w:proofErr w:type="spellEnd"/>
      <w:r>
        <w:rPr>
          <w:color w:val="252525"/>
        </w:rPr>
        <w:t xml:space="preserve"> (</w:t>
      </w:r>
      <w:r w:rsidR="00565E25">
        <w:rPr>
          <w:color w:val="252525"/>
        </w:rPr>
        <w:t>bibliographical details are provided</w:t>
      </w:r>
      <w:r w:rsidR="00565E25">
        <w:rPr>
          <w:color w:val="252525"/>
        </w:rPr>
        <w:t xml:space="preserve"> with all </w:t>
      </w:r>
      <w:r>
        <w:rPr>
          <w:color w:val="252525"/>
        </w:rPr>
        <w:t xml:space="preserve">the other articles) on the relationship between literature and politics, whereby </w:t>
      </w:r>
      <w:proofErr w:type="gramStart"/>
      <w:r>
        <w:rPr>
          <w:color w:val="252525"/>
        </w:rPr>
        <w:t>on the basis of</w:t>
      </w:r>
      <w:proofErr w:type="gramEnd"/>
      <w:r>
        <w:rPr>
          <w:color w:val="252525"/>
        </w:rPr>
        <w:t xml:space="preserve"> literary </w:t>
      </w:r>
      <w:r w:rsidR="00565E25">
        <w:rPr>
          <w:color w:val="252525"/>
        </w:rPr>
        <w:t>texts</w:t>
      </w:r>
      <w:r>
        <w:rPr>
          <w:color w:val="252525"/>
        </w:rPr>
        <w:t xml:space="preserve"> the multilayered meaning of literary language and its connection to politics are clearly affirmed: </w:t>
      </w:r>
      <w:r>
        <w:rPr>
          <w:color w:val="252525"/>
        </w:rPr>
        <w:lastRenderedPageBreak/>
        <w:t>literature "</w:t>
      </w:r>
      <w:proofErr w:type="spellStart"/>
      <w:r>
        <w:rPr>
          <w:color w:val="252525"/>
        </w:rPr>
        <w:t>führt</w:t>
      </w:r>
      <w:proofErr w:type="spellEnd"/>
      <w:r>
        <w:rPr>
          <w:color w:val="252525"/>
        </w:rPr>
        <w:t xml:space="preserve"> </w:t>
      </w:r>
      <w:proofErr w:type="spellStart"/>
      <w:r>
        <w:rPr>
          <w:color w:val="252525"/>
        </w:rPr>
        <w:t>uns</w:t>
      </w:r>
      <w:proofErr w:type="spellEnd"/>
      <w:r>
        <w:rPr>
          <w:color w:val="252525"/>
        </w:rPr>
        <w:t xml:space="preserve"> </w:t>
      </w:r>
      <w:proofErr w:type="spellStart"/>
      <w:r>
        <w:rPr>
          <w:color w:val="252525"/>
        </w:rPr>
        <w:t>Probleme</w:t>
      </w:r>
      <w:proofErr w:type="spellEnd"/>
      <w:r>
        <w:rPr>
          <w:color w:val="252525"/>
        </w:rPr>
        <w:t xml:space="preserve"> in </w:t>
      </w:r>
      <w:proofErr w:type="spellStart"/>
      <w:r>
        <w:rPr>
          <w:color w:val="252525"/>
        </w:rPr>
        <w:t>einer</w:t>
      </w:r>
      <w:proofErr w:type="spellEnd"/>
      <w:r>
        <w:rPr>
          <w:color w:val="252525"/>
        </w:rPr>
        <w:t xml:space="preserve"> </w:t>
      </w:r>
      <w:proofErr w:type="spellStart"/>
      <w:r>
        <w:rPr>
          <w:color w:val="252525"/>
        </w:rPr>
        <w:t>ungleich</w:t>
      </w:r>
      <w:proofErr w:type="spellEnd"/>
      <w:r>
        <w:rPr>
          <w:color w:val="252525"/>
        </w:rPr>
        <w:t xml:space="preserve"> </w:t>
      </w:r>
      <w:proofErr w:type="spellStart"/>
      <w:r>
        <w:rPr>
          <w:color w:val="252525"/>
        </w:rPr>
        <w:t>konkreteren</w:t>
      </w:r>
      <w:proofErr w:type="spellEnd"/>
      <w:r>
        <w:rPr>
          <w:color w:val="252525"/>
        </w:rPr>
        <w:t xml:space="preserve"> Weise </w:t>
      </w:r>
      <w:proofErr w:type="spellStart"/>
      <w:r>
        <w:rPr>
          <w:color w:val="252525"/>
        </w:rPr>
        <w:t>vor</w:t>
      </w:r>
      <w:proofErr w:type="spellEnd"/>
      <w:r>
        <w:rPr>
          <w:color w:val="252525"/>
        </w:rPr>
        <w:t xml:space="preserve"> </w:t>
      </w:r>
      <w:proofErr w:type="spellStart"/>
      <w:r>
        <w:rPr>
          <w:color w:val="252525"/>
        </w:rPr>
        <w:t>als</w:t>
      </w:r>
      <w:proofErr w:type="spellEnd"/>
      <w:r>
        <w:rPr>
          <w:color w:val="252525"/>
        </w:rPr>
        <w:t xml:space="preserve"> es </w:t>
      </w:r>
      <w:proofErr w:type="spellStart"/>
      <w:r>
        <w:rPr>
          <w:color w:val="252525"/>
        </w:rPr>
        <w:t>andere</w:t>
      </w:r>
      <w:proofErr w:type="spellEnd"/>
      <w:r>
        <w:rPr>
          <w:color w:val="252525"/>
        </w:rPr>
        <w:t xml:space="preserve"> </w:t>
      </w:r>
      <w:proofErr w:type="spellStart"/>
      <w:r>
        <w:rPr>
          <w:color w:val="252525"/>
        </w:rPr>
        <w:t>Texte</w:t>
      </w:r>
      <w:proofErr w:type="spellEnd"/>
      <w:r>
        <w:rPr>
          <w:color w:val="252525"/>
        </w:rPr>
        <w:t xml:space="preserve"> </w:t>
      </w:r>
      <w:proofErr w:type="spellStart"/>
      <w:r>
        <w:rPr>
          <w:color w:val="252525"/>
        </w:rPr>
        <w:t>können</w:t>
      </w:r>
      <w:proofErr w:type="spellEnd"/>
      <w:r>
        <w:rPr>
          <w:color w:val="252525"/>
        </w:rPr>
        <w:t xml:space="preserve">, und </w:t>
      </w:r>
      <w:proofErr w:type="spellStart"/>
      <w:r>
        <w:rPr>
          <w:color w:val="252525"/>
        </w:rPr>
        <w:t>auch</w:t>
      </w:r>
      <w:proofErr w:type="spellEnd"/>
      <w:r>
        <w:rPr>
          <w:color w:val="252525"/>
        </w:rPr>
        <w:t xml:space="preserve"> </w:t>
      </w:r>
      <w:proofErr w:type="spellStart"/>
      <w:r>
        <w:rPr>
          <w:color w:val="252525"/>
        </w:rPr>
        <w:t>viel</w:t>
      </w:r>
      <w:proofErr w:type="spellEnd"/>
      <w:r>
        <w:rPr>
          <w:color w:val="252525"/>
        </w:rPr>
        <w:t xml:space="preserve"> </w:t>
      </w:r>
      <w:proofErr w:type="spellStart"/>
      <w:r>
        <w:rPr>
          <w:color w:val="252525"/>
        </w:rPr>
        <w:t>differenzierter</w:t>
      </w:r>
      <w:proofErr w:type="spellEnd"/>
      <w:r>
        <w:rPr>
          <w:color w:val="252525"/>
        </w:rPr>
        <w:t>. (</w:t>
      </w:r>
      <w:r w:rsidR="00565E25">
        <w:rPr>
          <w:color w:val="252525"/>
        </w:rPr>
        <w:t xml:space="preserve">p. </w:t>
      </w:r>
      <w:r>
        <w:rPr>
          <w:color w:val="252525"/>
        </w:rPr>
        <w:t xml:space="preserve">14) In short, this is a plea for the value of literature, and each single article in the volume reflects </w:t>
      </w:r>
      <w:proofErr w:type="spellStart"/>
      <w:r>
        <w:rPr>
          <w:color w:val="252525"/>
        </w:rPr>
        <w:t>Scheichl’s</w:t>
      </w:r>
      <w:proofErr w:type="spellEnd"/>
      <w:r>
        <w:rPr>
          <w:color w:val="252525"/>
        </w:rPr>
        <w:t xml:space="preserve"> remarkable philological artistry, which, however,</w:t>
      </w:r>
      <w:r w:rsidR="00565E25">
        <w:rPr>
          <w:color w:val="252525"/>
        </w:rPr>
        <w:t xml:space="preserve"> never stops there</w:t>
      </w:r>
      <w:r>
        <w:rPr>
          <w:color w:val="252525"/>
        </w:rPr>
        <w:t>.</w:t>
      </w:r>
      <w:r w:rsidR="00565E25">
        <w:rPr>
          <w:color w:val="252525"/>
        </w:rPr>
        <w:tab/>
      </w:r>
      <w:r w:rsidR="00565E25">
        <w:rPr>
          <w:color w:val="252525"/>
        </w:rPr>
        <w:tab/>
      </w:r>
      <w:r w:rsidR="00565E25">
        <w:rPr>
          <w:color w:val="252525"/>
        </w:rPr>
        <w:tab/>
      </w:r>
      <w:r w:rsidR="00565E25">
        <w:rPr>
          <w:color w:val="252525"/>
        </w:rPr>
        <w:tab/>
      </w:r>
      <w:r w:rsidR="00E07892">
        <w:rPr>
          <w:color w:val="252525"/>
        </w:rPr>
        <w:t xml:space="preserve"> </w:t>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Pr>
          <w:color w:val="252525"/>
        </w:rPr>
        <w:t>The volume is divided into four sections, each of which consists of 6 to 8 articles.</w:t>
      </w:r>
      <w:r w:rsidR="00E07892">
        <w:rPr>
          <w:color w:val="252525"/>
        </w:rPr>
        <w:t xml:space="preserve"> </w:t>
      </w:r>
      <w:r>
        <w:rPr>
          <w:color w:val="252525"/>
        </w:rPr>
        <w:t xml:space="preserve">The section ‘Kanon, Tradition, </w:t>
      </w:r>
      <w:proofErr w:type="spellStart"/>
      <w:proofErr w:type="gramStart"/>
      <w:r>
        <w:rPr>
          <w:color w:val="252525"/>
        </w:rPr>
        <w:t>Literaturgeschichtsschreibung</w:t>
      </w:r>
      <w:proofErr w:type="spellEnd"/>
      <w:r>
        <w:rPr>
          <w:color w:val="252525"/>
        </w:rPr>
        <w:t>‘ comprises</w:t>
      </w:r>
      <w:proofErr w:type="gramEnd"/>
      <w:r>
        <w:rPr>
          <w:color w:val="252525"/>
        </w:rPr>
        <w:t xml:space="preserve"> articles engaging</w:t>
      </w:r>
      <w:r w:rsidR="00E569AA">
        <w:rPr>
          <w:color w:val="252525"/>
        </w:rPr>
        <w:t xml:space="preserve"> </w:t>
      </w:r>
      <w:r>
        <w:rPr>
          <w:color w:val="252525"/>
        </w:rPr>
        <w:t>with specific features of Austrian literary tradition and literary history, questions of nation-building and canon formation, and the writers’ positioning within the Standard and the Austrian language varieties</w:t>
      </w:r>
      <w:r w:rsidR="00E569AA">
        <w:rPr>
          <w:color w:val="252525"/>
        </w:rPr>
        <w:t>, among other</w:t>
      </w:r>
      <w:r w:rsidR="00E569AA">
        <w:rPr>
          <w:color w:val="252525"/>
        </w:rPr>
        <w:t xml:space="preserve"> themes</w:t>
      </w:r>
      <w:r>
        <w:rPr>
          <w:color w:val="252525"/>
        </w:rPr>
        <w:t xml:space="preserve">. One aspect that becomes apparent is </w:t>
      </w:r>
      <w:proofErr w:type="spellStart"/>
      <w:r>
        <w:rPr>
          <w:color w:val="252525"/>
        </w:rPr>
        <w:t>Scheichl’s</w:t>
      </w:r>
      <w:proofErr w:type="spellEnd"/>
      <w:r>
        <w:rPr>
          <w:color w:val="252525"/>
        </w:rPr>
        <w:t xml:space="preserve"> approach of close reading ("</w:t>
      </w:r>
      <w:proofErr w:type="spellStart"/>
      <w:r>
        <w:rPr>
          <w:color w:val="252525"/>
        </w:rPr>
        <w:t>genaue</w:t>
      </w:r>
      <w:proofErr w:type="spellEnd"/>
      <w:r>
        <w:rPr>
          <w:color w:val="252525"/>
        </w:rPr>
        <w:t xml:space="preserve"> </w:t>
      </w:r>
      <w:proofErr w:type="spellStart"/>
      <w:r>
        <w:rPr>
          <w:color w:val="252525"/>
        </w:rPr>
        <w:t>Textkenntnis</w:t>
      </w:r>
      <w:proofErr w:type="spellEnd"/>
      <w:r>
        <w:rPr>
          <w:color w:val="252525"/>
        </w:rPr>
        <w:t xml:space="preserve">", </w:t>
      </w:r>
      <w:r w:rsidR="00E569AA">
        <w:rPr>
          <w:color w:val="252525"/>
        </w:rPr>
        <w:t xml:space="preserve">p. </w:t>
      </w:r>
      <w:r>
        <w:rPr>
          <w:color w:val="252525"/>
        </w:rPr>
        <w:t>493) and detailed analysis of the texts (hereby in line with Roman Jakobson’s idea that a literary scholar must pay attention to linguistic issues and methods), while linking the linguistic findings closely to the content and the wider literary, cultural and political questions, where the author’s "</w:t>
      </w:r>
      <w:proofErr w:type="spellStart"/>
      <w:r>
        <w:rPr>
          <w:color w:val="252525"/>
        </w:rPr>
        <w:t>enorme</w:t>
      </w:r>
      <w:proofErr w:type="spellEnd"/>
      <w:r>
        <w:rPr>
          <w:color w:val="252525"/>
        </w:rPr>
        <w:t xml:space="preserve"> </w:t>
      </w:r>
      <w:proofErr w:type="spellStart"/>
      <w:r>
        <w:rPr>
          <w:color w:val="252525"/>
        </w:rPr>
        <w:t>Weite</w:t>
      </w:r>
      <w:proofErr w:type="spellEnd"/>
      <w:r>
        <w:rPr>
          <w:color w:val="252525"/>
        </w:rPr>
        <w:t xml:space="preserve"> des </w:t>
      </w:r>
      <w:proofErr w:type="spellStart"/>
      <w:r>
        <w:rPr>
          <w:color w:val="252525"/>
        </w:rPr>
        <w:t>Horizonts</w:t>
      </w:r>
      <w:proofErr w:type="spellEnd"/>
      <w:r>
        <w:rPr>
          <w:color w:val="252525"/>
        </w:rPr>
        <w:t>" (</w:t>
      </w:r>
      <w:r w:rsidR="00E569AA">
        <w:rPr>
          <w:color w:val="252525"/>
        </w:rPr>
        <w:t xml:space="preserve">p. </w:t>
      </w:r>
      <w:r>
        <w:rPr>
          <w:color w:val="252525"/>
        </w:rPr>
        <w:t xml:space="preserve">493) is entirely reflected. Regarding </w:t>
      </w:r>
      <w:proofErr w:type="spellStart"/>
      <w:r>
        <w:rPr>
          <w:color w:val="252525"/>
        </w:rPr>
        <w:t>Scheichl’s</w:t>
      </w:r>
      <w:proofErr w:type="spellEnd"/>
      <w:r>
        <w:rPr>
          <w:color w:val="252525"/>
        </w:rPr>
        <w:t xml:space="preserve"> immense knowledge, the editors point anecdotally to some of </w:t>
      </w:r>
      <w:r w:rsidR="00E569AA">
        <w:rPr>
          <w:color w:val="252525"/>
        </w:rPr>
        <w:t>his</w:t>
      </w:r>
      <w:r>
        <w:rPr>
          <w:color w:val="252525"/>
        </w:rPr>
        <w:t xml:space="preserve"> legendary exam questions, which are well remembered by his students, including myself. I allow myself to add to this that I still hold a vivid image of </w:t>
      </w:r>
      <w:proofErr w:type="spellStart"/>
      <w:r>
        <w:rPr>
          <w:color w:val="252525"/>
        </w:rPr>
        <w:t>Scheichl’s</w:t>
      </w:r>
      <w:proofErr w:type="spellEnd"/>
      <w:r>
        <w:rPr>
          <w:color w:val="252525"/>
        </w:rPr>
        <w:t xml:space="preserve"> office at the University of Innsbruck, where, when entering for the oral examination, I first had to discover him behind numerous stacks of books occupying his entire working space.</w:t>
      </w:r>
      <w:r w:rsidR="00E07892">
        <w:rPr>
          <w:color w:val="252525"/>
        </w:rPr>
        <w:t xml:space="preserve"> </w:t>
      </w:r>
      <w:r w:rsidR="00E07892">
        <w:rPr>
          <w:color w:val="252525"/>
        </w:rPr>
        <w:tab/>
      </w:r>
      <w:r w:rsidR="00E07892">
        <w:rPr>
          <w:color w:val="252525"/>
        </w:rPr>
        <w:tab/>
      </w:r>
      <w:r w:rsidR="00E569AA">
        <w:rPr>
          <w:color w:val="252525"/>
        </w:rPr>
        <w:tab/>
      </w:r>
      <w:r>
        <w:rPr>
          <w:color w:val="252525"/>
        </w:rPr>
        <w:t>The second section, titled ‘</w:t>
      </w:r>
      <w:proofErr w:type="spellStart"/>
      <w:r>
        <w:rPr>
          <w:color w:val="252525"/>
        </w:rPr>
        <w:t>Epochen</w:t>
      </w:r>
      <w:proofErr w:type="spellEnd"/>
      <w:r>
        <w:rPr>
          <w:color w:val="252525"/>
        </w:rPr>
        <w:t xml:space="preserve"> ̶ </w:t>
      </w:r>
      <w:proofErr w:type="spellStart"/>
      <w:r>
        <w:rPr>
          <w:color w:val="252525"/>
        </w:rPr>
        <w:t>Daten</w:t>
      </w:r>
      <w:proofErr w:type="spellEnd"/>
      <w:r>
        <w:rPr>
          <w:color w:val="252525"/>
        </w:rPr>
        <w:t xml:space="preserve"> ̶ </w:t>
      </w:r>
      <w:proofErr w:type="spellStart"/>
      <w:r>
        <w:rPr>
          <w:color w:val="252525"/>
        </w:rPr>
        <w:t>Zusammenhänge</w:t>
      </w:r>
      <w:proofErr w:type="spellEnd"/>
      <w:r w:rsidR="00E07892">
        <w:rPr>
          <w:color w:val="252525"/>
        </w:rPr>
        <w:t>’,</w:t>
      </w:r>
      <w:r>
        <w:rPr>
          <w:color w:val="252525"/>
        </w:rPr>
        <w:t xml:space="preserve"> consists of contributions focusing on aspects of literature during specific periods in time, such as First World War literature, </w:t>
      </w:r>
      <w:proofErr w:type="gramStart"/>
      <w:r>
        <w:rPr>
          <w:color w:val="252525"/>
        </w:rPr>
        <w:t>Jewishness</w:t>
      </w:r>
      <w:proofErr w:type="gramEnd"/>
      <w:r>
        <w:rPr>
          <w:color w:val="252525"/>
        </w:rPr>
        <w:t xml:space="preserve"> and antisemitism during 1918–1938 and the year 1969 in the South Tyrolean Literary Scene. Here, as in most other articles, one notes </w:t>
      </w:r>
      <w:proofErr w:type="spellStart"/>
      <w:r>
        <w:rPr>
          <w:color w:val="252525"/>
        </w:rPr>
        <w:t>Scheichl’s</w:t>
      </w:r>
      <w:proofErr w:type="spellEnd"/>
      <w:r>
        <w:rPr>
          <w:color w:val="252525"/>
        </w:rPr>
        <w:t xml:space="preserve"> clarity about the approach he takes to</w:t>
      </w:r>
      <w:r w:rsidR="00E569AA">
        <w:rPr>
          <w:color w:val="252525"/>
        </w:rPr>
        <w:t xml:space="preserve"> find answers to his questions</w:t>
      </w:r>
      <w:r>
        <w:rPr>
          <w:color w:val="252525"/>
        </w:rPr>
        <w:t xml:space="preserve">, as exemplified by the article on the awardees </w:t>
      </w:r>
      <w:r>
        <w:rPr>
          <w:color w:val="252525"/>
        </w:rPr>
        <w:lastRenderedPageBreak/>
        <w:t xml:space="preserve">of the Austrian State Prizes in the 1950s. Additionally, the outline of the many thoughts the scholar is going through during his </w:t>
      </w:r>
      <w:r w:rsidR="00E569AA">
        <w:rPr>
          <w:color w:val="252525"/>
        </w:rPr>
        <w:t>research process</w:t>
      </w:r>
      <w:r>
        <w:rPr>
          <w:color w:val="252525"/>
        </w:rPr>
        <w:t xml:space="preserve"> is a further significant aspect that makes the reading of </w:t>
      </w:r>
      <w:proofErr w:type="spellStart"/>
      <w:r w:rsidR="00E569AA">
        <w:rPr>
          <w:color w:val="252525"/>
        </w:rPr>
        <w:t>Scheichl’s</w:t>
      </w:r>
      <w:proofErr w:type="spellEnd"/>
      <w:r>
        <w:rPr>
          <w:color w:val="252525"/>
        </w:rPr>
        <w:t xml:space="preserve"> articles always rewarding.</w:t>
      </w:r>
      <w:r w:rsidR="00E07892">
        <w:rPr>
          <w:color w:val="252525"/>
        </w:rPr>
        <w:t xml:space="preserve"> </w:t>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Pr>
          <w:color w:val="252525"/>
        </w:rPr>
        <w:t>‘</w:t>
      </w:r>
      <w:proofErr w:type="spellStart"/>
      <w:r>
        <w:rPr>
          <w:color w:val="252525"/>
        </w:rPr>
        <w:t>Porträts</w:t>
      </w:r>
      <w:proofErr w:type="spellEnd"/>
      <w:r>
        <w:rPr>
          <w:color w:val="252525"/>
        </w:rPr>
        <w:t>/</w:t>
      </w:r>
      <w:proofErr w:type="spellStart"/>
      <w:r>
        <w:rPr>
          <w:color w:val="252525"/>
        </w:rPr>
        <w:t>Figuren</w:t>
      </w:r>
      <w:proofErr w:type="spellEnd"/>
      <w:r>
        <w:rPr>
          <w:color w:val="252525"/>
        </w:rPr>
        <w:t xml:space="preserve">’ collects contributions dedicated to specific authors and their work, including articles on Kraus, </w:t>
      </w:r>
      <w:proofErr w:type="spellStart"/>
      <w:r>
        <w:rPr>
          <w:color w:val="252525"/>
        </w:rPr>
        <w:t>Nestroy</w:t>
      </w:r>
      <w:proofErr w:type="spellEnd"/>
      <w:r>
        <w:rPr>
          <w:color w:val="252525"/>
        </w:rPr>
        <w:t xml:space="preserve">, </w:t>
      </w:r>
      <w:proofErr w:type="spellStart"/>
      <w:r>
        <w:rPr>
          <w:color w:val="252525"/>
        </w:rPr>
        <w:t>Kranewitter</w:t>
      </w:r>
      <w:proofErr w:type="spellEnd"/>
      <w:r>
        <w:rPr>
          <w:color w:val="252525"/>
        </w:rPr>
        <w:t xml:space="preserve">, </w:t>
      </w:r>
      <w:proofErr w:type="spellStart"/>
      <w:r>
        <w:rPr>
          <w:color w:val="252525"/>
        </w:rPr>
        <w:t>Schönherr</w:t>
      </w:r>
      <w:proofErr w:type="spellEnd"/>
      <w:r>
        <w:rPr>
          <w:color w:val="252525"/>
        </w:rPr>
        <w:t xml:space="preserve">, </w:t>
      </w:r>
      <w:proofErr w:type="spellStart"/>
      <w:r>
        <w:rPr>
          <w:color w:val="252525"/>
        </w:rPr>
        <w:t>Perrutz</w:t>
      </w:r>
      <w:proofErr w:type="spellEnd"/>
      <w:r>
        <w:rPr>
          <w:color w:val="252525"/>
        </w:rPr>
        <w:t>, Bernhard and Pataki</w:t>
      </w:r>
      <w:r w:rsidR="00E569AA">
        <w:rPr>
          <w:color w:val="252525"/>
        </w:rPr>
        <w:t>,</w:t>
      </w:r>
      <w:r w:rsidR="00E569AA" w:rsidRPr="00E569AA">
        <w:rPr>
          <w:color w:val="252525"/>
        </w:rPr>
        <w:t xml:space="preserve"> </w:t>
      </w:r>
      <w:r w:rsidR="00E569AA">
        <w:rPr>
          <w:color w:val="252525"/>
        </w:rPr>
        <w:t>among others</w:t>
      </w:r>
      <w:r>
        <w:rPr>
          <w:color w:val="252525"/>
        </w:rPr>
        <w:t xml:space="preserve">. Due to </w:t>
      </w:r>
      <w:proofErr w:type="spellStart"/>
      <w:r>
        <w:rPr>
          <w:color w:val="252525"/>
        </w:rPr>
        <w:t>Scheichl’s</w:t>
      </w:r>
      <w:proofErr w:type="spellEnd"/>
      <w:r>
        <w:rPr>
          <w:color w:val="252525"/>
        </w:rPr>
        <w:t xml:space="preserve"> particular interest in the literary use of language varieties, the tensions between the standard and Austrian varieties are investigated here, as in the article on </w:t>
      </w:r>
      <w:proofErr w:type="spellStart"/>
      <w:r>
        <w:rPr>
          <w:color w:val="252525"/>
        </w:rPr>
        <w:t>Nestroy</w:t>
      </w:r>
      <w:proofErr w:type="spellEnd"/>
      <w:r>
        <w:rPr>
          <w:color w:val="252525"/>
        </w:rPr>
        <w:t>, although this research interest is reflected in several articles in th</w:t>
      </w:r>
      <w:r w:rsidR="00E569AA">
        <w:rPr>
          <w:color w:val="252525"/>
        </w:rPr>
        <w:t>is</w:t>
      </w:r>
      <w:r>
        <w:rPr>
          <w:color w:val="252525"/>
        </w:rPr>
        <w:t xml:space="preserve"> book. Analysis of texts surrounding questions of ‘genres’ and ‘literary categories</w:t>
      </w:r>
      <w:r w:rsidR="00E569AA">
        <w:rPr>
          <w:color w:val="252525"/>
        </w:rPr>
        <w:t>’</w:t>
      </w:r>
      <w:r>
        <w:rPr>
          <w:color w:val="252525"/>
        </w:rPr>
        <w:t xml:space="preserve">, as in the contributions on </w:t>
      </w:r>
      <w:proofErr w:type="spellStart"/>
      <w:r>
        <w:rPr>
          <w:color w:val="252525"/>
        </w:rPr>
        <w:t>Kranewitter</w:t>
      </w:r>
      <w:proofErr w:type="spellEnd"/>
      <w:r>
        <w:rPr>
          <w:color w:val="252525"/>
        </w:rPr>
        <w:t xml:space="preserve"> and </w:t>
      </w:r>
      <w:proofErr w:type="spellStart"/>
      <w:r>
        <w:rPr>
          <w:color w:val="252525"/>
        </w:rPr>
        <w:t>Schönherr</w:t>
      </w:r>
      <w:proofErr w:type="spellEnd"/>
      <w:r>
        <w:rPr>
          <w:color w:val="252525"/>
        </w:rPr>
        <w:t xml:space="preserve"> or on Pataki, reveals </w:t>
      </w:r>
      <w:proofErr w:type="spellStart"/>
      <w:r>
        <w:rPr>
          <w:color w:val="252525"/>
        </w:rPr>
        <w:t>Scheichl’s</w:t>
      </w:r>
      <w:proofErr w:type="spellEnd"/>
      <w:r>
        <w:rPr>
          <w:color w:val="252525"/>
        </w:rPr>
        <w:t xml:space="preserve"> fascination for literary genres, their </w:t>
      </w:r>
      <w:proofErr w:type="gramStart"/>
      <w:r>
        <w:rPr>
          <w:color w:val="252525"/>
        </w:rPr>
        <w:t>forms</w:t>
      </w:r>
      <w:proofErr w:type="gramEnd"/>
      <w:r>
        <w:rPr>
          <w:color w:val="252525"/>
        </w:rPr>
        <w:t xml:space="preserve"> and their potentials.</w:t>
      </w:r>
      <w:r w:rsidR="00E07892">
        <w:rPr>
          <w:color w:val="252525"/>
        </w:rPr>
        <w:t xml:space="preserve"> </w:t>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sidR="00E07892">
        <w:rPr>
          <w:color w:val="252525"/>
        </w:rPr>
        <w:tab/>
      </w:r>
      <w:r>
        <w:rPr>
          <w:color w:val="252525"/>
        </w:rPr>
        <w:t>The final section ‘</w:t>
      </w:r>
      <w:proofErr w:type="spellStart"/>
      <w:r>
        <w:rPr>
          <w:color w:val="252525"/>
        </w:rPr>
        <w:t>Interpretationen</w:t>
      </w:r>
      <w:proofErr w:type="spellEnd"/>
      <w:r>
        <w:rPr>
          <w:color w:val="252525"/>
        </w:rPr>
        <w:t xml:space="preserve">’ comprises close readings of poems, </w:t>
      </w:r>
      <w:proofErr w:type="gramStart"/>
      <w:r>
        <w:rPr>
          <w:color w:val="252525"/>
        </w:rPr>
        <w:t>prose</w:t>
      </w:r>
      <w:proofErr w:type="gramEnd"/>
      <w:r>
        <w:rPr>
          <w:color w:val="252525"/>
        </w:rPr>
        <w:t xml:space="preserve"> and dramatic texts, where some of the articles appear to be a guide to doing literary analysis and interpretation, as in the case of the article on the poem by Gruber, where the reader follows the analytic method step by step. When the editors highlight the readability of </w:t>
      </w:r>
      <w:proofErr w:type="spellStart"/>
      <w:r>
        <w:rPr>
          <w:color w:val="252525"/>
        </w:rPr>
        <w:t>Scheichl’s</w:t>
      </w:r>
      <w:proofErr w:type="spellEnd"/>
      <w:r>
        <w:rPr>
          <w:color w:val="252525"/>
        </w:rPr>
        <w:t xml:space="preserve"> articles ("</w:t>
      </w:r>
      <w:proofErr w:type="spellStart"/>
      <w:r>
        <w:rPr>
          <w:color w:val="252525"/>
        </w:rPr>
        <w:t>ausgesprochen</w:t>
      </w:r>
      <w:proofErr w:type="spellEnd"/>
      <w:r>
        <w:rPr>
          <w:color w:val="252525"/>
        </w:rPr>
        <w:t xml:space="preserve"> gut </w:t>
      </w:r>
      <w:proofErr w:type="spellStart"/>
      <w:r>
        <w:rPr>
          <w:color w:val="252525"/>
        </w:rPr>
        <w:t>lesbar</w:t>
      </w:r>
      <w:proofErr w:type="spellEnd"/>
      <w:r>
        <w:rPr>
          <w:color w:val="252525"/>
        </w:rPr>
        <w:t>",</w:t>
      </w:r>
      <w:r w:rsidR="003258A9">
        <w:rPr>
          <w:color w:val="252525"/>
        </w:rPr>
        <w:t xml:space="preserve"> p.</w:t>
      </w:r>
      <w:r>
        <w:rPr>
          <w:color w:val="252525"/>
        </w:rPr>
        <w:t xml:space="preserve"> 494), which makes this book accessible to </w:t>
      </w:r>
      <w:r w:rsidR="00C17C06">
        <w:rPr>
          <w:color w:val="252525"/>
        </w:rPr>
        <w:t>a wide readership</w:t>
      </w:r>
      <w:r>
        <w:rPr>
          <w:color w:val="252525"/>
        </w:rPr>
        <w:t xml:space="preserve">, it should be added that </w:t>
      </w:r>
      <w:proofErr w:type="spellStart"/>
      <w:r>
        <w:rPr>
          <w:color w:val="252525"/>
        </w:rPr>
        <w:t>Scheichl’s</w:t>
      </w:r>
      <w:proofErr w:type="spellEnd"/>
      <w:r>
        <w:rPr>
          <w:color w:val="252525"/>
        </w:rPr>
        <w:t xml:space="preserve"> work is of a dialogic nature, as exemplified in footnote 18 in the article on </w:t>
      </w:r>
      <w:proofErr w:type="spellStart"/>
      <w:r>
        <w:rPr>
          <w:color w:val="252525"/>
        </w:rPr>
        <w:t>Kofler</w:t>
      </w:r>
      <w:proofErr w:type="spellEnd"/>
      <w:r>
        <w:rPr>
          <w:color w:val="252525"/>
        </w:rPr>
        <w:t xml:space="preserve"> but also apparent in many other articles, where </w:t>
      </w:r>
      <w:proofErr w:type="spellStart"/>
      <w:r>
        <w:rPr>
          <w:color w:val="252525"/>
        </w:rPr>
        <w:t>Scheichl</w:t>
      </w:r>
      <w:proofErr w:type="spellEnd"/>
      <w:r>
        <w:rPr>
          <w:color w:val="252525"/>
        </w:rPr>
        <w:t xml:space="preserve"> acknowledges other </w:t>
      </w:r>
      <w:r w:rsidR="004E279E">
        <w:rPr>
          <w:color w:val="252525"/>
        </w:rPr>
        <w:t>researcher</w:t>
      </w:r>
      <w:r>
        <w:rPr>
          <w:color w:val="252525"/>
        </w:rPr>
        <w:t xml:space="preserve">’s ideas that </w:t>
      </w:r>
      <w:r w:rsidR="00E569AA">
        <w:rPr>
          <w:color w:val="252525"/>
        </w:rPr>
        <w:t>were shared with him at</w:t>
      </w:r>
      <w:r>
        <w:rPr>
          <w:color w:val="252525"/>
        </w:rPr>
        <w:t xml:space="preserve"> workshops and conferences. Noteworthy, of course, are</w:t>
      </w:r>
      <w:r w:rsidR="003258A9">
        <w:rPr>
          <w:color w:val="252525"/>
        </w:rPr>
        <w:t>, in general,</w:t>
      </w:r>
      <w:r>
        <w:rPr>
          <w:color w:val="252525"/>
        </w:rPr>
        <w:t xml:space="preserve"> the footnotes in all his contributions; the superbly detailed footnotes and the significant content they contain </w:t>
      </w:r>
      <w:r w:rsidR="003258A9">
        <w:rPr>
          <w:color w:val="252525"/>
        </w:rPr>
        <w:t xml:space="preserve">are </w:t>
      </w:r>
      <w:r>
        <w:rPr>
          <w:color w:val="252525"/>
        </w:rPr>
        <w:t xml:space="preserve">far more than a </w:t>
      </w:r>
      <w:proofErr w:type="spellStart"/>
      <w:r>
        <w:rPr>
          <w:color w:val="252525"/>
        </w:rPr>
        <w:t>paratext</w:t>
      </w:r>
      <w:proofErr w:type="spellEnd"/>
      <w:r>
        <w:rPr>
          <w:color w:val="252525"/>
        </w:rPr>
        <w:t>.</w:t>
      </w:r>
      <w:r w:rsidR="00E07892">
        <w:rPr>
          <w:color w:val="252525"/>
        </w:rPr>
        <w:t xml:space="preserve"> </w:t>
      </w:r>
      <w:r w:rsidR="00E07892">
        <w:rPr>
          <w:color w:val="252525"/>
        </w:rPr>
        <w:tab/>
      </w:r>
      <w:r w:rsidR="00E07892">
        <w:rPr>
          <w:color w:val="252525"/>
        </w:rPr>
        <w:tab/>
      </w:r>
      <w:r w:rsidR="00E07892">
        <w:rPr>
          <w:color w:val="252525"/>
        </w:rPr>
        <w:tab/>
      </w:r>
      <w:r w:rsidR="00E07892">
        <w:rPr>
          <w:color w:val="252525"/>
        </w:rPr>
        <w:tab/>
      </w:r>
      <w:r w:rsidR="00E07892">
        <w:rPr>
          <w:color w:val="252525"/>
        </w:rPr>
        <w:tab/>
      </w:r>
      <w:r>
        <w:rPr>
          <w:color w:val="252525"/>
        </w:rPr>
        <w:t>This essay collection is a very engaging scholarly book for everyone interested in the wide field of Austrian</w:t>
      </w:r>
      <w:r w:rsidR="003258A9">
        <w:rPr>
          <w:color w:val="252525"/>
        </w:rPr>
        <w:t xml:space="preserve"> </w:t>
      </w:r>
      <w:r>
        <w:rPr>
          <w:color w:val="252525"/>
        </w:rPr>
        <w:t xml:space="preserve">literary and cultural studies. It </w:t>
      </w:r>
      <w:r w:rsidR="00E07892">
        <w:rPr>
          <w:color w:val="252525"/>
        </w:rPr>
        <w:t xml:space="preserve">displays </w:t>
      </w:r>
      <w:proofErr w:type="spellStart"/>
      <w:r>
        <w:rPr>
          <w:color w:val="252525"/>
        </w:rPr>
        <w:t>Scheichl’s</w:t>
      </w:r>
      <w:proofErr w:type="spellEnd"/>
      <w:r>
        <w:rPr>
          <w:color w:val="252525"/>
        </w:rPr>
        <w:t xml:space="preserve"> remarkable work</w:t>
      </w:r>
      <w:r w:rsidR="00C17C06">
        <w:rPr>
          <w:color w:val="252525"/>
        </w:rPr>
        <w:t xml:space="preserve"> which </w:t>
      </w:r>
      <w:r w:rsidR="00C17C06">
        <w:rPr>
          <w:color w:val="252525"/>
        </w:rPr>
        <w:lastRenderedPageBreak/>
        <w:t>the editors aimed at making accessible to a wider audience</w:t>
      </w:r>
      <w:r>
        <w:rPr>
          <w:color w:val="252525"/>
        </w:rPr>
        <w:t>. The</w:t>
      </w:r>
      <w:r w:rsidR="00C17C06">
        <w:rPr>
          <w:color w:val="252525"/>
        </w:rPr>
        <w:t>ir</w:t>
      </w:r>
      <w:r>
        <w:rPr>
          <w:color w:val="252525"/>
        </w:rPr>
        <w:t xml:space="preserve"> choice for a thematic rather than chronological approach is well suited. </w:t>
      </w:r>
      <w:r w:rsidR="00E07892">
        <w:rPr>
          <w:color w:val="252525"/>
        </w:rPr>
        <w:t>Regarding</w:t>
      </w:r>
      <w:r>
        <w:rPr>
          <w:color w:val="252525"/>
        </w:rPr>
        <w:t xml:space="preserve"> the structure, apparently it has been difficult to </w:t>
      </w:r>
      <w:r w:rsidR="00C17C06">
        <w:rPr>
          <w:color w:val="252525"/>
        </w:rPr>
        <w:t xml:space="preserve">divide the </w:t>
      </w:r>
      <w:r>
        <w:rPr>
          <w:color w:val="252525"/>
        </w:rPr>
        <w:t xml:space="preserve">articles into categories due to their strong interconnectedness; for some readers—perhaps those less familiar with </w:t>
      </w:r>
      <w:proofErr w:type="spellStart"/>
      <w:r>
        <w:rPr>
          <w:color w:val="252525"/>
        </w:rPr>
        <w:t>Scheichl’s</w:t>
      </w:r>
      <w:proofErr w:type="spellEnd"/>
      <w:r>
        <w:rPr>
          <w:color w:val="252525"/>
        </w:rPr>
        <w:t xml:space="preserve"> work—the headings might be informative, though the last two headings remain rather generic. The</w:t>
      </w:r>
      <w:r w:rsidR="00565E25">
        <w:rPr>
          <w:color w:val="252525"/>
        </w:rPr>
        <w:t xml:space="preserve"> bibliographical </w:t>
      </w:r>
      <w:r w:rsidR="00C17C06">
        <w:rPr>
          <w:color w:val="252525"/>
        </w:rPr>
        <w:t>reference provided</w:t>
      </w:r>
      <w:r w:rsidR="00565E25">
        <w:rPr>
          <w:color w:val="252525"/>
        </w:rPr>
        <w:t xml:space="preserve"> for</w:t>
      </w:r>
      <w:r w:rsidR="00C17C06">
        <w:rPr>
          <w:color w:val="252525"/>
        </w:rPr>
        <w:t xml:space="preserve"> </w:t>
      </w:r>
      <w:r>
        <w:rPr>
          <w:color w:val="252525"/>
        </w:rPr>
        <w:t xml:space="preserve">each article, the foreword and the afterword offer adequate contextualization of "das </w:t>
      </w:r>
      <w:proofErr w:type="spellStart"/>
      <w:r>
        <w:rPr>
          <w:color w:val="252525"/>
        </w:rPr>
        <w:t>Werk</w:t>
      </w:r>
      <w:proofErr w:type="spellEnd"/>
      <w:r>
        <w:rPr>
          <w:color w:val="252525"/>
        </w:rPr>
        <w:t xml:space="preserve"> </w:t>
      </w:r>
      <w:proofErr w:type="spellStart"/>
      <w:r>
        <w:rPr>
          <w:color w:val="252525"/>
        </w:rPr>
        <w:t>eines</w:t>
      </w:r>
      <w:proofErr w:type="spellEnd"/>
      <w:r>
        <w:rPr>
          <w:color w:val="252525"/>
        </w:rPr>
        <w:t xml:space="preserve"> </w:t>
      </w:r>
      <w:proofErr w:type="spellStart"/>
      <w:r>
        <w:rPr>
          <w:color w:val="252525"/>
        </w:rPr>
        <w:t>ganz</w:t>
      </w:r>
      <w:proofErr w:type="spellEnd"/>
      <w:r>
        <w:rPr>
          <w:color w:val="252525"/>
        </w:rPr>
        <w:t xml:space="preserve"> und gar </w:t>
      </w:r>
      <w:proofErr w:type="spellStart"/>
      <w:r>
        <w:rPr>
          <w:color w:val="252525"/>
        </w:rPr>
        <w:t>europäischen</w:t>
      </w:r>
      <w:proofErr w:type="spellEnd"/>
      <w:r>
        <w:rPr>
          <w:color w:val="252525"/>
        </w:rPr>
        <w:t xml:space="preserve"> </w:t>
      </w:r>
      <w:proofErr w:type="spellStart"/>
      <w:r>
        <w:rPr>
          <w:color w:val="252525"/>
        </w:rPr>
        <w:t>Germanisten</w:t>
      </w:r>
      <w:proofErr w:type="spellEnd"/>
      <w:r>
        <w:rPr>
          <w:color w:val="252525"/>
        </w:rPr>
        <w:t>" (</w:t>
      </w:r>
      <w:r w:rsidR="003258A9">
        <w:rPr>
          <w:color w:val="252525"/>
        </w:rPr>
        <w:t xml:space="preserve">p. </w:t>
      </w:r>
      <w:r>
        <w:rPr>
          <w:color w:val="252525"/>
        </w:rPr>
        <w:t>497).</w:t>
      </w:r>
    </w:p>
    <w:p w14:paraId="2F3EEB01" w14:textId="39C0EBC8" w:rsidR="00E07892" w:rsidRPr="00E07892" w:rsidRDefault="00E07892" w:rsidP="00E07892">
      <w:pPr>
        <w:spacing w:line="480" w:lineRule="auto"/>
        <w:rPr>
          <w:rFonts w:ascii="Times New Roman" w:hAnsi="Times New Roman" w:cs="Times New Roman"/>
          <w:smallCaps/>
          <w:color w:val="333333"/>
          <w:shd w:val="clear" w:color="auto" w:fill="F2F2F2"/>
        </w:rPr>
      </w:pPr>
      <w:r w:rsidRPr="00E07892">
        <w:rPr>
          <w:rFonts w:ascii="Times New Roman" w:hAnsi="Times New Roman" w:cs="Times New Roman"/>
          <w:smallCaps/>
          <w:color w:val="333333"/>
          <w:shd w:val="clear" w:color="auto" w:fill="F2F2F2"/>
        </w:rPr>
        <w:t>UNIVERSITY COLLEGE CORK</w:t>
      </w:r>
      <w:r w:rsidRPr="00E07892">
        <w:rPr>
          <w:rFonts w:ascii="Times New Roman" w:hAnsi="Times New Roman" w:cs="Times New Roman"/>
          <w:smallCaps/>
          <w:color w:val="333333"/>
          <w:shd w:val="clear" w:color="auto" w:fill="F2F2F2"/>
        </w:rPr>
        <w:tab/>
      </w:r>
      <w:r w:rsidRPr="00E07892">
        <w:rPr>
          <w:rFonts w:ascii="Times New Roman" w:hAnsi="Times New Roman" w:cs="Times New Roman"/>
          <w:smallCaps/>
          <w:color w:val="333333"/>
          <w:shd w:val="clear" w:color="auto" w:fill="F2F2F2"/>
        </w:rPr>
        <w:tab/>
      </w:r>
      <w:r w:rsidRPr="00E07892">
        <w:rPr>
          <w:rFonts w:ascii="Times New Roman" w:hAnsi="Times New Roman" w:cs="Times New Roman"/>
          <w:smallCaps/>
          <w:color w:val="333333"/>
          <w:shd w:val="clear" w:color="auto" w:fill="F2F2F2"/>
        </w:rPr>
        <w:tab/>
      </w:r>
      <w:r w:rsidRPr="00E07892">
        <w:rPr>
          <w:rFonts w:ascii="Times New Roman" w:hAnsi="Times New Roman" w:cs="Times New Roman"/>
          <w:smallCaps/>
          <w:color w:val="333333"/>
          <w:shd w:val="clear" w:color="auto" w:fill="F2F2F2"/>
        </w:rPr>
        <w:tab/>
      </w:r>
      <w:r w:rsidRPr="00E07892">
        <w:rPr>
          <w:rFonts w:ascii="Times New Roman" w:hAnsi="Times New Roman" w:cs="Times New Roman"/>
          <w:smallCaps/>
          <w:color w:val="333333"/>
          <w:shd w:val="clear" w:color="auto" w:fill="F2F2F2"/>
        </w:rPr>
        <w:tab/>
      </w:r>
      <w:r w:rsidRPr="00E07892">
        <w:rPr>
          <w:rFonts w:ascii="Times New Roman" w:hAnsi="Times New Roman" w:cs="Times New Roman"/>
          <w:smallCaps/>
          <w:color w:val="333333"/>
          <w:shd w:val="clear" w:color="auto" w:fill="F2F2F2"/>
        </w:rPr>
        <w:tab/>
      </w:r>
      <w:r w:rsidRPr="00E07892">
        <w:rPr>
          <w:rFonts w:ascii="Times New Roman" w:hAnsi="Times New Roman" w:cs="Times New Roman"/>
          <w:smallCaps/>
          <w:color w:val="333333"/>
          <w:shd w:val="clear" w:color="auto" w:fill="F2F2F2"/>
        </w:rPr>
        <w:t>BARBARA SILLER</w:t>
      </w:r>
    </w:p>
    <w:p w14:paraId="473CE229" w14:textId="77777777" w:rsidR="0006406B" w:rsidRPr="00E07892" w:rsidRDefault="0006406B" w:rsidP="00E07892">
      <w:pPr>
        <w:spacing w:line="480" w:lineRule="auto"/>
        <w:rPr>
          <w:smallCaps/>
        </w:rPr>
      </w:pPr>
    </w:p>
    <w:sectPr w:rsidR="0006406B" w:rsidRPr="00E07892" w:rsidSect="00AA7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82"/>
    <w:rsid w:val="0006406B"/>
    <w:rsid w:val="003258A9"/>
    <w:rsid w:val="00340809"/>
    <w:rsid w:val="00486B3E"/>
    <w:rsid w:val="004E279E"/>
    <w:rsid w:val="00565E25"/>
    <w:rsid w:val="007839D8"/>
    <w:rsid w:val="00A41382"/>
    <w:rsid w:val="00AA7A66"/>
    <w:rsid w:val="00C17C06"/>
    <w:rsid w:val="00D0264B"/>
    <w:rsid w:val="00E07892"/>
    <w:rsid w:val="00E569AA"/>
    <w:rsid w:val="00FB70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256AC"/>
  <w15:chartTrackingRefBased/>
  <w15:docId w15:val="{E383F165-775C-984F-A4F0-5887D35B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1382"/>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41382"/>
  </w:style>
  <w:style w:type="character" w:styleId="Emphasis">
    <w:name w:val="Emphasis"/>
    <w:basedOn w:val="DefaultParagraphFont"/>
    <w:uiPriority w:val="20"/>
    <w:qFormat/>
    <w:rsid w:val="00A413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476817">
      <w:bodyDiv w:val="1"/>
      <w:marLeft w:val="0"/>
      <w:marRight w:val="0"/>
      <w:marTop w:val="0"/>
      <w:marBottom w:val="0"/>
      <w:divBdr>
        <w:top w:val="none" w:sz="0" w:space="0" w:color="auto"/>
        <w:left w:val="none" w:sz="0" w:space="0" w:color="auto"/>
        <w:bottom w:val="none" w:sz="0" w:space="0" w:color="auto"/>
        <w:right w:val="none" w:sz="0" w:space="0" w:color="auto"/>
      </w:divBdr>
    </w:div>
    <w:div w:id="1544175451">
      <w:bodyDiv w:val="1"/>
      <w:marLeft w:val="0"/>
      <w:marRight w:val="0"/>
      <w:marTop w:val="0"/>
      <w:marBottom w:val="0"/>
      <w:divBdr>
        <w:top w:val="none" w:sz="0" w:space="0" w:color="auto"/>
        <w:left w:val="none" w:sz="0" w:space="0" w:color="auto"/>
        <w:bottom w:val="none" w:sz="0" w:space="0" w:color="auto"/>
        <w:right w:val="none" w:sz="0" w:space="0" w:color="auto"/>
      </w:divBdr>
    </w:div>
    <w:div w:id="205438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vntry.,,≥bn,,,,bbjjj vk/</dc:creator>
  <cp:keywords/>
  <dc:description/>
  <cp:lastModifiedBy>Barbara Siller</cp:lastModifiedBy>
  <cp:revision>2</cp:revision>
  <dcterms:created xsi:type="dcterms:W3CDTF">2023-08-30T12:32:00Z</dcterms:created>
  <dcterms:modified xsi:type="dcterms:W3CDTF">2023-08-30T12:32:00Z</dcterms:modified>
</cp:coreProperties>
</file>