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9.png" ContentType="image/png"/>
  <Override PartName="/word/media/image13.png" ContentType="image/png"/>
  <Override PartName="/word/media/image14.png" ContentType="image/png"/>
  <Override PartName="/word/media/image10.png" ContentType="image/png"/>
  <Override PartName="/word/media/image2.jpeg" ContentType="image/jpeg"/>
  <Override PartName="/word/media/image5.jpeg" ContentType="image/jpeg"/>
  <Override PartName="/word/media/image15.png" ContentType="image/png"/>
  <Override PartName="/word/media/image3.jpeg" ContentType="image/jpeg"/>
  <Override PartName="/word/media/image4.jpeg" ContentType="image/jpeg"/>
  <Override PartName="/word/media/image6.png" ContentType="image/png"/>
  <Override PartName="/word/media/image11.png" ContentType="image/png"/>
  <Override PartName="/word/media/image1.jpeg" ContentType="image/jpeg"/>
  <Override PartName="/word/media/image7.png" ContentType="image/png"/>
  <Override PartName="/word/media/image12.png" ContentType="image/png"/>
  <Override PartName="/word/media/image8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/>
      </w:pPr>
      <w:r>
        <w:rPr/>
        <mc:AlternateContent>
          <mc:Choice Requires="wps">
            <w:drawing>
              <wp:inline distT="0" distB="0" distL="0" distR="0" wp14:anchorId="30A486F0">
                <wp:extent cx="1525905" cy="2052320"/>
                <wp:effectExtent l="3492" t="0" r="2223" b="2222"/>
                <wp:docPr id="1" name="Picture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"/>
                        <pic:cNvPicPr/>
                      </pic:nvPicPr>
                      <pic:blipFill>
                        <a:blip r:embed="rId2"/>
                        <a:srcRect l="16724" t="17363" r="40834" b="3197"/>
                        <a:stretch/>
                      </pic:blipFill>
                      <pic:spPr>
                        <a:xfrm rot="5400000">
                          <a:off x="0" y="0"/>
                          <a:ext cx="1525320" cy="20516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2" stroked="f" style="position:absolute;margin-left:20.7pt;margin-top:-140.85pt;width:120.05pt;height:161.5pt;rotation:90;mso-position-vertical:top" wp14:anchorId="30A486F0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 wp14:anchorId="19C8A009">
                <wp:extent cx="1517650" cy="1815465"/>
                <wp:effectExtent l="3810" t="0" r="0" b="0"/>
                <wp:docPr id="2" name="Picture 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 descr=""/>
                        <pic:cNvPicPr/>
                      </pic:nvPicPr>
                      <pic:blipFill>
                        <a:blip r:embed="rId3"/>
                        <a:srcRect l="17820" t="12784" r="33842" b="8260"/>
                        <a:stretch/>
                      </pic:blipFill>
                      <pic:spPr>
                        <a:xfrm rot="5400000">
                          <a:off x="0" y="0"/>
                          <a:ext cx="1517040" cy="1814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4" stroked="f" style="position:absolute;margin-left:11.7pt;margin-top:-131.2pt;width:119.4pt;height:142.85pt;rotation:90;mso-position-vertical:top" wp14:anchorId="19C8A009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 wp14:anchorId="52CC4877">
                <wp:extent cx="1612900" cy="2046605"/>
                <wp:effectExtent l="0" t="7302" r="0" b="0"/>
                <wp:docPr id="3" name="Picture 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"/>
                        <pic:cNvPicPr/>
                      </pic:nvPicPr>
                      <pic:blipFill>
                        <a:blip r:embed="rId4"/>
                        <a:srcRect l="13069" t="9562" r="33483" b="0"/>
                        <a:stretch/>
                      </pic:blipFill>
                      <pic:spPr>
                        <a:xfrm rot="5400000">
                          <a:off x="0" y="0"/>
                          <a:ext cx="1612440" cy="2045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6" stroked="f" style="position:absolute;margin-left:17.05pt;margin-top:-144.05pt;width:126.9pt;height:161.05pt;rotation:90;mso-position-vertical:top" wp14:anchorId="52CC4877" type="shapetype_75">
                <v:imagedata r:id="rId4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 wp14:anchorId="091521BD">
                <wp:extent cx="1597025" cy="1841500"/>
                <wp:effectExtent l="0" t="7620" r="0" b="0"/>
                <wp:docPr id="4" name="Picture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8" descr=""/>
                        <pic:cNvPicPr/>
                      </pic:nvPicPr>
                      <pic:blipFill>
                        <a:blip r:embed="rId5"/>
                        <a:srcRect l="21681" t="31699" r="43848" b="12507"/>
                        <a:stretch/>
                      </pic:blipFill>
                      <pic:spPr>
                        <a:xfrm rot="5400000">
                          <a:off x="0" y="0"/>
                          <a:ext cx="1596240" cy="1841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8" stroked="f" style="position:absolute;margin-left:9.6pt;margin-top:-135.35pt;width:125.65pt;height:144.9pt;rotation:90;mso-position-vertical:top" wp14:anchorId="091521BD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Normal"/>
        <w:spacing w:lineRule="auto" w:line="240"/>
        <w:jc w:val="center"/>
        <w:rPr/>
      </w:pPr>
      <w:r>
        <w:rPr/>
        <mc:AlternateContent>
          <mc:Choice Requires="wps">
            <w:drawing>
              <wp:inline distT="0" distB="0" distL="0" distR="0" wp14:anchorId="05303271">
                <wp:extent cx="1737360" cy="1974215"/>
                <wp:effectExtent l="0" t="4127" r="0" b="0"/>
                <wp:docPr id="5" name="Pictur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"/>
                        <pic:cNvPicPr/>
                      </pic:nvPicPr>
                      <pic:blipFill>
                        <a:blip r:embed="rId6"/>
                        <a:srcRect l="0" t="0" r="25816" b="0"/>
                        <a:stretch/>
                      </pic:blipFill>
                      <pic:spPr>
                        <a:xfrm rot="5400000">
                          <a:off x="0" y="0"/>
                          <a:ext cx="1736640" cy="1973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1" stroked="f" style="position:absolute;margin-left:9.3pt;margin-top:-146.1pt;width:136.7pt;height:155.35pt;rotation:90;mso-position-vertical:top" wp14:anchorId="05303271" type="shapetype_75">
                <v:imagedata r:id="rId6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Normal"/>
        <w:spacing w:lineRule="auto" w:line="240"/>
        <w:jc w:val="both"/>
        <w:rPr/>
      </w:pPr>
      <w:r>
        <w:rPr/>
        <w:t xml:space="preserve">Figure S1. Plaque morphology of </w:t>
      </w:r>
      <w:r>
        <w:rPr>
          <w:i/>
          <w:iCs/>
        </w:rPr>
        <w:t>Escherichia</w:t>
      </w:r>
      <w:r>
        <w:rPr/>
        <w:t xml:space="preserve"> phages (on </w:t>
      </w:r>
      <w:r>
        <w:rPr>
          <w:i/>
        </w:rPr>
        <w:t>E. coli</w:t>
      </w:r>
      <w:r>
        <w:rPr/>
        <w:t xml:space="preserve"> LF82) and </w:t>
      </w:r>
      <w:r>
        <w:rPr>
          <w:i/>
          <w:iCs/>
        </w:rPr>
        <w:t>Enterococcus</w:t>
      </w:r>
      <w:r>
        <w:rPr/>
        <w:t xml:space="preserve"> phages (on </w:t>
      </w:r>
      <w:r>
        <w:rPr>
          <w:i/>
        </w:rPr>
        <w:t>E. faecalis</w:t>
      </w:r>
      <w:r>
        <w:rPr/>
        <w:t xml:space="preserve"> OG1RF) </w:t>
      </w:r>
      <w:r>
        <w:rPr/>
        <w:t>using an overlay of 0.2% (w/v) agarose</w:t>
      </w:r>
      <w:r>
        <w:rPr/>
        <w:t>.</w:t>
      </w:r>
    </w:p>
    <w:p>
      <w:pPr>
        <w:pStyle w:val="ListParagraph"/>
        <w:spacing w:lineRule="auto" w:line="240"/>
        <w:ind w:left="360" w:hanging="0"/>
        <w:jc w:val="both"/>
        <w:rPr>
          <w:iCs/>
        </w:rPr>
      </w:pPr>
      <w:r>
        <w:rPr/>
        <w:drawing>
          <wp:inline distT="0" distB="0" distL="0" distR="0">
            <wp:extent cx="5731510" cy="3554095"/>
            <wp:effectExtent l="0" t="0" r="0" b="0"/>
            <wp:docPr id="6" name="Picture 9" descr="C:\Users\colinbuttimer\Downloads\f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 descr="C:\Users\colinbuttimer\Downloads\fix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/>
        <w:ind w:left="0" w:hanging="0"/>
        <w:jc w:val="both"/>
        <w:rPr>
          <w:iCs/>
        </w:rPr>
      </w:pPr>
      <w:r>
        <w:rPr>
          <w:iCs/>
        </w:rPr>
        <w:t xml:space="preserve">Figure S2. Phylogenetic tree of EE phages. Amino acid-based VICTOR-generated phylogenomic Genome-BLAST Distance Phylogeny (GBDP) tree of </w:t>
      </w:r>
      <w:r>
        <w:rPr>
          <w:i/>
        </w:rPr>
        <w:t>Enterococcus</w:t>
      </w:r>
      <w:r>
        <w:rPr>
          <w:iCs/>
        </w:rPr>
        <w:t xml:space="preserve"> phages Sw5 and A2 (highlighted with a blue dot), with members of the </w:t>
      </w:r>
      <w:bookmarkStart w:id="0" w:name="_Hlk37233748"/>
      <w:r>
        <w:rPr>
          <w:i/>
          <w:iCs/>
        </w:rPr>
        <w:t>Herelleviridea</w:t>
      </w:r>
      <w:bookmarkEnd w:id="0"/>
      <w:r>
        <w:rPr>
          <w:iCs/>
        </w:rPr>
        <w:t xml:space="preserve"> family Inferred using the formula D4 and yielding average support of 68%. The numbers below branches are GBDP pseudo-bootstrap support values from 100 replications. Established genera and subfamilies are highlighted</w:t>
      </w:r>
    </w:p>
    <w:p>
      <w:pPr>
        <w:pStyle w:val="ListParagraph"/>
        <w:spacing w:lineRule="auto" w:line="240"/>
        <w:ind w:left="0" w:hanging="0"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/>
        <w:ind w:left="360" w:hanging="0"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/>
        <w:ind w:left="360" w:hanging="0"/>
        <w:jc w:val="both"/>
        <w:rPr>
          <w:iCs/>
        </w:rPr>
      </w:pPr>
      <w:r>
        <w:rPr/>
        <w:drawing>
          <wp:inline distT="0" distB="0" distL="0" distR="0">
            <wp:extent cx="5093970" cy="2707005"/>
            <wp:effectExtent l="0" t="0" r="0" b="0"/>
            <wp:docPr id="7" name="Picture 11" descr="C:\Users\colinbuttimer\OneDrive\Janssen related work\Organising Andrei's work\Lytic Ecoli phages\Ecoli phage compairision\Deeper positioning of the EE phages\Together\VICTOR\Escherichia ph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 descr="C:\Users\colinbuttimer\OneDrive\Janssen related work\Organising Andrei's work\Lytic Ecoli phages\Ecoli phage compairision\Deeper positioning of the EE phages\Together\VICTOR\Escherichia phage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0" t="4050" r="11100" b="7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both"/>
        <w:rPr>
          <w:iCs/>
        </w:rPr>
      </w:pPr>
      <w:r>
        <w:rPr>
          <w:iCs/>
        </w:rPr>
        <w:t xml:space="preserve">Figure S3. Phylogenetic tree of EE phages. Amino acid based VICTOR-generated phylogenomic Genome-BLAST Distance Phylogeny (GBDP) tree of </w:t>
      </w:r>
      <w:r>
        <w:rPr>
          <w:i/>
          <w:iCs/>
        </w:rPr>
        <w:t>Escherichia</w:t>
      </w:r>
      <w:r>
        <w:rPr>
          <w:iCs/>
        </w:rPr>
        <w:t xml:space="preserve"> phages W115, I29, A51.2 and W115 (highlighted with a blue dot), with members of the </w:t>
      </w:r>
      <w:r>
        <w:rPr>
          <w:i/>
          <w:iCs/>
        </w:rPr>
        <w:t>Myoviridae</w:t>
      </w:r>
      <w:r>
        <w:rPr>
          <w:iCs/>
        </w:rPr>
        <w:t xml:space="preserve"> family Inferred using the formula D4 and yielding average support of 72%. The numbers below branches are GBDP pseudo-bootstrap support values from 100 replications. Established genera and subfamilies are highlighted</w:t>
      </w:r>
    </w:p>
    <w:p>
      <w:pPr>
        <w:pStyle w:val="Normal"/>
        <w:spacing w:lineRule="auto" w:line="240"/>
        <w:jc w:val="both"/>
        <w:rPr>
          <w:iCs/>
        </w:rPr>
      </w:pPr>
      <w:r>
        <w:rPr>
          <w:iCs/>
        </w:rPr>
      </w:r>
    </w:p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3305175" cy="2279650"/>
            <wp:effectExtent l="0" t="0" r="0" b="0"/>
            <wp:docPr id="8" name="Pictur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both"/>
        <w:rPr/>
      </w:pPr>
      <w:r>
        <w:rPr/>
        <w:t xml:space="preserve">Figure S4. Inspection of stability of EE phage cocktail (in SM buffer), when stored at 4 °C over a period of six months &amp; 2 years by spot assay on host strains </w:t>
      </w:r>
      <w:r>
        <w:rPr>
          <w:i/>
        </w:rPr>
        <w:t>Escherichia coli</w:t>
      </w:r>
      <w:r>
        <w:rPr/>
        <w:t xml:space="preserve"> LF82 and </w:t>
      </w:r>
      <w:r>
        <w:rPr>
          <w:i/>
        </w:rPr>
        <w:t>Entercoccus faecalis</w:t>
      </w:r>
      <w:r>
        <w:rPr/>
        <w:t xml:space="preserve"> OG1RF.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3848100" cy="3566160"/>
            <wp:effectExtent l="0" t="0" r="0" b="0"/>
            <wp:docPr id="9" name="Pictur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47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both"/>
        <w:rPr>
          <w:iCs/>
        </w:rPr>
      </w:pPr>
      <w:r>
        <w:rPr>
          <w:iCs/>
        </w:rPr>
        <w:t xml:space="preserve">Figure S5. Diagram illustrating the experimental setup of the fermentations conducted in this study. Fermentation vessel inoculated with SIHUMI-6 consortium and grown as a batch fermentation for 24 hrs. After which either viable or heat killed EE phage cocktail was added and the fermentation was switched to a continuous fermentation format. During this time frame samples were collected at 0, 24, 48 and 72 hrs. </w:t>
      </w:r>
    </w:p>
    <w:p>
      <w:pPr>
        <w:pStyle w:val="Normal"/>
        <w:spacing w:lineRule="auto" w:line="240"/>
        <w:jc w:val="both"/>
        <w:rPr>
          <w:iCs/>
        </w:rPr>
      </w:pPr>
      <w:r>
        <w:rPr>
          <w:iCs/>
        </w:rPr>
      </w:r>
    </w:p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3981450" cy="2371725"/>
            <wp:effectExtent l="0" t="0" r="0" b="0"/>
            <wp:docPr id="10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/>
      </w:pPr>
      <w:r>
        <w:rPr/>
        <w:t>Figure S6. Enumeration by of EE phages by spot assay during continuous fermentation at different time points treated with heat-killed or viable phage (bars represent mean ± SD).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  <w:drawing>
          <wp:inline distT="0" distB="0" distL="0" distR="0">
            <wp:extent cx="2435860" cy="2025650"/>
            <wp:effectExtent l="0" t="0" r="0" b="0"/>
            <wp:docPr id="11" name="Pictur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/>
        <w:ind w:left="0" w:hanging="0"/>
        <w:jc w:val="both"/>
        <w:rPr/>
      </w:pPr>
      <w:r>
        <w:rPr/>
        <w:t>Figure S7. Dissimilarity between time points 24 hrs, 48 hrs &amp; 72 hrs vs 0 hrs among continuous fermentations with SIHUMI-6 consortia treated with either heat killed (HK) or viable (V) EE phages.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5581650" cy="2338705"/>
            <wp:effectExtent l="0" t="0" r="0" b="0"/>
            <wp:docPr id="12" name="Picture 13" descr="C:\Users\colinbuttimer\OneDrive - University College Cork\Janssen related work\Lab data\Mouse trails\UNC mouse trail\lay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 descr="C:\Users\colinbuttimer\OneDrive - University College Cork\Janssen related work\Lab data\Mouse trails\UNC mouse trail\layou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0" t="7410" r="15898" b="1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iCs/>
        </w:rPr>
      </w:pPr>
      <w:r>
        <w:rPr>
          <w:iCs/>
        </w:rPr>
        <w:t>Figure S8. Diagram illustrating the experimental setup of the murine trail of this study, indicating time points at which mice were seeded with the SIHUMI-6 consortium and administered the EE phage cocktail.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40"/>
        <w:jc w:val="center"/>
        <w:rPr>
          <w:iCs/>
        </w:rPr>
      </w:pPr>
      <w:r>
        <w:rPr/>
        <w:drawing>
          <wp:inline distT="0" distB="0" distL="0" distR="0">
            <wp:extent cx="5731510" cy="2124075"/>
            <wp:effectExtent l="0" t="0" r="0" b="0"/>
            <wp:docPr id="13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160"/>
        <w:contextualSpacing/>
        <w:jc w:val="both"/>
        <w:rPr>
          <w:iCs/>
        </w:rPr>
      </w:pPr>
      <w:r>
        <w:rPr>
          <w:rFonts w:eastAsia="Times New Roman" w:cs="Times New Roman" w:ascii="Times New Roman" w:hAnsi="Times New Roman"/>
          <w:color w:val="000000"/>
          <w:w w:val="100"/>
          <w:sz w:val="0"/>
          <w:szCs w:val="0"/>
          <w:u w:val="none" w:color="000000"/>
          <w:shd w:fill="000000" w:val="clear"/>
          <w:lang w:eastAsia="x-none" w:bidi="x-none"/>
        </w:rPr>
        <w:t xml:space="preserve"> </w:t>
      </w:r>
      <w:r>
        <w:rPr>
          <w:iCs/>
        </w:rPr>
        <w:t xml:space="preserve">Figure S9. (A) Counts of </w:t>
      </w:r>
      <w:r>
        <w:rPr>
          <w:i/>
          <w:iCs/>
        </w:rPr>
        <w:t>E. coli</w:t>
      </w:r>
      <w:r>
        <w:rPr>
          <w:iCs/>
        </w:rPr>
        <w:t xml:space="preserve"> and (B) </w:t>
      </w:r>
      <w:r>
        <w:rPr>
          <w:i/>
          <w:iCs/>
        </w:rPr>
        <w:t xml:space="preserve">E. faecalis </w:t>
      </w:r>
      <w:r>
        <w:rPr>
          <w:iCs/>
        </w:rPr>
        <w:t xml:space="preserve">in faeces of mice colonised with the SIHUMI-6 consortium and treated with either the viable or heat treated EE phage cocktail. Bars represent mean </w:t>
      </w:r>
      <w:r>
        <w:rPr>
          <w:rFonts w:cs="Calibri" w:cstheme="minorHAnsi"/>
          <w:iCs/>
        </w:rPr>
        <w:t>±</w:t>
      </w:r>
      <w:r>
        <w:rPr>
          <w:iCs/>
        </w:rPr>
        <w:t xml:space="preserve"> </w:t>
      </w:r>
      <w:bookmarkStart w:id="1" w:name="_Hlk96874762"/>
      <w:r>
        <w:rPr>
          <w:iCs/>
        </w:rPr>
        <w:t>SD.</w:t>
      </w:r>
      <w:bookmarkEnd w:id="1"/>
    </w:p>
    <w:p>
      <w:pPr>
        <w:pStyle w:val="Normal"/>
        <w:jc w:val="both"/>
        <w:rPr/>
      </w:pPr>
      <w:r>
        <w:rPr/>
      </w:r>
    </w:p>
    <w:p>
      <w:pPr>
        <w:pStyle w:val="ListParagraph"/>
        <w:spacing w:lineRule="auto" w:line="240"/>
        <w:ind w:left="360" w:hanging="0"/>
        <w:jc w:val="center"/>
        <w:rPr>
          <w:iCs/>
        </w:rPr>
      </w:pPr>
      <w:r>
        <w:rPr/>
        <w:drawing>
          <wp:inline distT="0" distB="0" distL="0" distR="0">
            <wp:extent cx="4143375" cy="2922270"/>
            <wp:effectExtent l="0" t="0" r="0" b="0"/>
            <wp:docPr id="14" name="Pictur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/>
      </w:pPr>
      <w:r>
        <w:rPr/>
        <w:t>Figure S10. Absolute counts of bacterial genomes across viable and heat-killed cohorts. Wilcoxon test employed for tests of significance.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3394075" cy="2203450"/>
            <wp:effectExtent l="0" t="0" r="0" b="0"/>
            <wp:docPr id="15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0" t="9141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/>
      </w:pPr>
      <w:r>
        <w:rPr/>
        <w:t>Figure S11. Cytokine measurements of unstimulated colorectal colonic strip cultures of cytokine measurements of (A) IFN-ƴ and (B) IL12p40 taken from germ free mice cohorts seeded with a bacterium consortium (</w:t>
      </w:r>
      <w:r>
        <w:rPr>
          <w:i/>
          <w:iCs/>
        </w:rPr>
        <w:t>E. coli</w:t>
      </w:r>
      <w:r>
        <w:rPr/>
        <w:t xml:space="preserve">, </w:t>
      </w:r>
      <w:r>
        <w:rPr>
          <w:i/>
          <w:iCs/>
        </w:rPr>
        <w:t>E. faecalis</w:t>
      </w:r>
      <w:r>
        <w:rPr/>
        <w:t xml:space="preserve">, </w:t>
      </w:r>
      <w:r>
        <w:rPr>
          <w:i/>
          <w:iCs/>
        </w:rPr>
        <w:t>L. plantarum</w:t>
      </w:r>
      <w:r>
        <w:rPr/>
        <w:t xml:space="preserve">, </w:t>
      </w:r>
      <w:r>
        <w:rPr>
          <w:i/>
          <w:iCs/>
        </w:rPr>
        <w:t>B. vulgatus</w:t>
      </w:r>
      <w:r>
        <w:rPr/>
        <w:t xml:space="preserve">, </w:t>
      </w:r>
      <w:r>
        <w:rPr>
          <w:i/>
          <w:iCs/>
        </w:rPr>
        <w:t>F. prausnitzii</w:t>
      </w:r>
      <w:r>
        <w:rPr/>
        <w:t xml:space="preserve"> &amp; </w:t>
      </w:r>
      <w:r>
        <w:rPr>
          <w:i/>
          <w:iCs/>
        </w:rPr>
        <w:t>B. longum</w:t>
      </w:r>
      <w:r>
        <w:rPr/>
        <w:t>) and where mice where either treated viable or heat activated phage cocktail targeting</w:t>
      </w:r>
      <w:r>
        <w:rPr>
          <w:i/>
          <w:iCs/>
        </w:rPr>
        <w:t xml:space="preserve"> E. coli </w:t>
      </w:r>
      <w:r>
        <w:rPr/>
        <w:t xml:space="preserve">and </w:t>
      </w:r>
      <w:r>
        <w:rPr>
          <w:i/>
        </w:rPr>
        <w:t>E. faecalis</w:t>
      </w:r>
      <w:r>
        <w:rPr/>
        <w:t>.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I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I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87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572bf"/>
    <w:rPr>
      <w:rFonts w:ascii="Segoe UI" w:hAnsi="Segoe UI" w:cs="Segoe UI"/>
      <w:sz w:val="18"/>
      <w:szCs w:val="18"/>
      <w:lang w:val="en-GB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3777c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33777c"/>
    <w:rPr>
      <w:sz w:val="20"/>
      <w:szCs w:val="20"/>
      <w:lang w:val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c44cfe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572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33777c"/>
    <w:pPr>
      <w:spacing w:lineRule="auto" w:line="2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901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E62D85B233C4EA762D77FC5E40F55" ma:contentTypeVersion="4" ma:contentTypeDescription="Create a new document." ma:contentTypeScope="" ma:versionID="d6ea94f3574f7954c36e19884afee0dd">
  <xsd:schema xmlns:xsd="http://www.w3.org/2001/XMLSchema" xmlns:xs="http://www.w3.org/2001/XMLSchema" xmlns:p="http://schemas.microsoft.com/office/2006/metadata/properties" xmlns:ns2="910f93d5-dddc-4ed5-b3ef-101a23d98306" targetNamespace="http://schemas.microsoft.com/office/2006/metadata/properties" ma:root="true" ma:fieldsID="4ae2255fea9cbf89dfac9abea495cd92" ns2:_="">
    <xsd:import namespace="910f93d5-dddc-4ed5-b3ef-101a23d98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f93d5-dddc-4ed5-b3ef-101a23d98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64834A-DAF4-43AB-83D4-BD82DF941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f93d5-dddc-4ed5-b3ef-101a23d98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883E2C-9772-4FC5-BAA7-7D8E84BAF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C89F23-0C7E-4C6D-9581-F3341A0762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Application>LibreOffice/6.4.7.2$Linux_X86_64 LibreOffice_project/40$Build-2</Application>
  <Pages>6</Pages>
  <Words>466</Words>
  <Characters>2549</Characters>
  <CharactersWithSpaces>3006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2020-03-07T17:15:00Z</dcterms:created>
  <dc:creator>Colin Buttimer</dc:creator>
  <dc:description/>
  <dc:language>en-GB</dc:language>
  <cp:lastModifiedBy/>
  <cp:lastPrinted>2022-05-27T23:05:00Z</cp:lastPrinted>
  <dcterms:modified xsi:type="dcterms:W3CDTF">2022-06-24T17:12:06Z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0x010100D6CE62D85B233C4EA762D77FC5E40F55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