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8A90" w14:textId="77777777" w:rsidR="00266E55" w:rsidRPr="00614603" w:rsidRDefault="00266E55" w:rsidP="00266E55">
      <w:pPr>
        <w:spacing w:line="360" w:lineRule="auto"/>
        <w:rPr>
          <w:rFonts w:cstheme="minorHAnsi"/>
          <w:b/>
          <w:bCs/>
        </w:rPr>
      </w:pPr>
      <w:r w:rsidRPr="00614603">
        <w:rPr>
          <w:b/>
          <w:bCs/>
        </w:rPr>
        <w:t xml:space="preserve">Antimicrobial use and antimicrobial resistance in </w:t>
      </w:r>
      <w:proofErr w:type="spellStart"/>
      <w:r w:rsidRPr="00614603">
        <w:rPr>
          <w:rFonts w:cstheme="minorHAnsi"/>
          <w:b/>
          <w:bCs/>
          <w:i/>
          <w:iCs/>
          <w:shd w:val="clear" w:color="auto" w:fill="FFFFFF"/>
        </w:rPr>
        <w:t>Enterobacterales</w:t>
      </w:r>
      <w:proofErr w:type="spellEnd"/>
      <w:r w:rsidRPr="00614603">
        <w:rPr>
          <w:rFonts w:cstheme="minorHAnsi"/>
          <w:b/>
          <w:bCs/>
          <w:shd w:val="clear" w:color="auto" w:fill="FFFFFF"/>
        </w:rPr>
        <w:t xml:space="preserve"> species and</w:t>
      </w:r>
      <w:r w:rsidRPr="00614603">
        <w:rPr>
          <w:rFonts w:cstheme="minorHAnsi"/>
          <w:b/>
          <w:bCs/>
        </w:rPr>
        <w:t xml:space="preserve"> </w:t>
      </w:r>
      <w:r w:rsidRPr="00614603">
        <w:rPr>
          <w:rFonts w:cstheme="minorHAnsi"/>
          <w:b/>
          <w:bCs/>
          <w:i/>
          <w:iCs/>
        </w:rPr>
        <w:t>Enterococcus faecium</w:t>
      </w:r>
      <w:r w:rsidRPr="00614603">
        <w:rPr>
          <w:rFonts w:cstheme="minorHAnsi"/>
          <w:b/>
          <w:bCs/>
        </w:rPr>
        <w:t>: a time series analysis.</w:t>
      </w:r>
    </w:p>
    <w:p w14:paraId="5CA015D6" w14:textId="77777777" w:rsidR="00266E55" w:rsidRPr="00266E55" w:rsidRDefault="00266E55">
      <w:pPr>
        <w:rPr>
          <w:b/>
          <w:bCs/>
        </w:rPr>
      </w:pPr>
    </w:p>
    <w:p w14:paraId="6B0DC2EB" w14:textId="0841BA98" w:rsidR="00266E55" w:rsidRPr="00266E55" w:rsidRDefault="00266E55">
      <w:pPr>
        <w:rPr>
          <w:b/>
          <w:bCs/>
        </w:rPr>
      </w:pPr>
      <w:r w:rsidRPr="00266E55">
        <w:rPr>
          <w:b/>
          <w:bCs/>
        </w:rPr>
        <w:t>Supplementary data</w:t>
      </w:r>
    </w:p>
    <w:p w14:paraId="4BE34D3F" w14:textId="77777777" w:rsidR="00266E55" w:rsidRDefault="00266E55" w:rsidP="00266E55">
      <w:pPr>
        <w:spacing w:line="360" w:lineRule="auto"/>
      </w:pPr>
    </w:p>
    <w:p w14:paraId="7DEA6404" w14:textId="49E0B096" w:rsidR="00266E55" w:rsidRPr="00173748" w:rsidRDefault="00266E55" w:rsidP="00266E55">
      <w:pPr>
        <w:spacing w:line="360" w:lineRule="auto"/>
      </w:pPr>
      <w:r w:rsidRPr="00173748">
        <w:t>Box-</w:t>
      </w:r>
      <w:proofErr w:type="gramStart"/>
      <w:r w:rsidRPr="00173748">
        <w:t>Jenkins</w:t>
      </w:r>
      <w:proofErr w:type="gramEnd"/>
      <w:r w:rsidRPr="00173748">
        <w:t xml:space="preserve"> method</w:t>
      </w:r>
    </w:p>
    <w:p w14:paraId="240BF261" w14:textId="77777777" w:rsidR="00266E55" w:rsidRPr="00173748" w:rsidRDefault="00266E55" w:rsidP="00266E55">
      <w:pPr>
        <w:spacing w:line="360" w:lineRule="auto"/>
      </w:pPr>
      <w:r w:rsidRPr="00173748">
        <w:t xml:space="preserve">The Box-Jenkins method consisted of the following steps: </w:t>
      </w:r>
    </w:p>
    <w:p w14:paraId="795E2FB4" w14:textId="77777777" w:rsidR="00266E55" w:rsidRPr="00173748" w:rsidRDefault="00266E55" w:rsidP="00266E55">
      <w:pPr>
        <w:spacing w:line="360" w:lineRule="auto"/>
        <w:rPr>
          <w:lang w:val="en-IE"/>
        </w:rPr>
      </w:pPr>
      <w:r w:rsidRPr="00173748">
        <w:t xml:space="preserve">Each time series was checked for stationary </w:t>
      </w:r>
      <w:r w:rsidRPr="00173748">
        <w:rPr>
          <w:lang w:val="en-IE"/>
        </w:rPr>
        <w:t>requirements (constant mean, variance and autocorrelation through time), with the unit root test (augmented Dickey–Fuller test); Some series did not need any transformation while some series required suitable differencing or other types of transformations, e.g., logarithmic transformation, to obtain a stationary series; Once the series was stationary the sample autocorrelation function (ACF) and partial autocorrelation function (PACF) were used to identify the auto-regressive (AR), moving-average (MA) or mixed behaviour (ARMA).  The ARIMA (</w:t>
      </w:r>
      <w:proofErr w:type="spellStart"/>
      <w:r w:rsidRPr="00173748">
        <w:rPr>
          <w:lang w:val="en-IE"/>
        </w:rPr>
        <w:t>p,d,q</w:t>
      </w:r>
      <w:proofErr w:type="spellEnd"/>
      <w:r w:rsidRPr="00173748">
        <w:rPr>
          <w:lang w:val="en-IE"/>
        </w:rPr>
        <w:t xml:space="preserve">) model notation consists of </w:t>
      </w:r>
      <w:r w:rsidRPr="00173748">
        <w:rPr>
          <w:i/>
          <w:iCs/>
          <w:lang w:val="en-IE"/>
        </w:rPr>
        <w:t>p,</w:t>
      </w:r>
      <w:r w:rsidRPr="00173748">
        <w:rPr>
          <w:lang w:val="en-IE"/>
        </w:rPr>
        <w:t xml:space="preserve"> the order of AR terms, </w:t>
      </w:r>
      <w:r w:rsidRPr="00173748">
        <w:rPr>
          <w:i/>
          <w:iCs/>
          <w:lang w:val="en-IE"/>
        </w:rPr>
        <w:t>d,</w:t>
      </w:r>
      <w:r w:rsidRPr="00173748">
        <w:rPr>
          <w:lang w:val="en-IE"/>
        </w:rPr>
        <w:t xml:space="preserve"> the order of non-seasonal differencing operations, and </w:t>
      </w:r>
      <w:r w:rsidRPr="00173748">
        <w:rPr>
          <w:i/>
          <w:iCs/>
          <w:lang w:val="en-IE"/>
        </w:rPr>
        <w:t>q,</w:t>
      </w:r>
      <w:r w:rsidRPr="00173748">
        <w:rPr>
          <w:lang w:val="en-IE"/>
        </w:rPr>
        <w:t xml:space="preserve"> the order of MA terms. Having constructed separate models for each antibiotic and resistance time series, we then diagnosed them for acceptability using the Akaike Information Criterion (AIK) and the </w:t>
      </w:r>
      <w:proofErr w:type="spellStart"/>
      <w:r w:rsidRPr="00173748">
        <w:rPr>
          <w:lang w:val="en-IE"/>
        </w:rPr>
        <w:t>Ljung</w:t>
      </w:r>
      <w:proofErr w:type="spellEnd"/>
      <w:r w:rsidRPr="00173748">
        <w:rPr>
          <w:lang w:val="en-IE"/>
        </w:rPr>
        <w:t xml:space="preserve">- Box statistic for white noise for residuals. </w:t>
      </w:r>
    </w:p>
    <w:p w14:paraId="2D58FCA2" w14:textId="47CD2FDB" w:rsidR="00266E55" w:rsidRPr="00173748" w:rsidRDefault="00266E55" w:rsidP="00266E55">
      <w:pPr>
        <w:spacing w:line="360" w:lineRule="auto"/>
        <w:rPr>
          <w:lang w:val="en-IE"/>
        </w:rPr>
      </w:pPr>
      <w:r w:rsidRPr="00173748">
        <w:rPr>
          <w:lang w:val="en-IE"/>
        </w:rPr>
        <w:t>Following the development of univariate ARIMA models, a linear transfer function modelling method</w:t>
      </w:r>
      <w:r w:rsidR="00054202">
        <w:rPr>
          <w:lang w:val="en-IE"/>
        </w:rPr>
        <w:t xml:space="preserve"> </w:t>
      </w:r>
      <w:r w:rsidR="00054202">
        <w:rPr>
          <w:noProof/>
        </w:rPr>
        <w:t>[</w:t>
      </w:r>
      <w:r w:rsidR="00C1789E">
        <w:rPr>
          <w:noProof/>
        </w:rPr>
        <w:t>16,17</w:t>
      </w:r>
      <w:r w:rsidR="00054202">
        <w:rPr>
          <w:noProof/>
        </w:rPr>
        <w:t>]</w:t>
      </w:r>
      <w:r w:rsidR="00054202" w:rsidRPr="000C4520">
        <w:rPr>
          <w:lang w:val="en-IE"/>
        </w:rPr>
        <w:t xml:space="preserve"> </w:t>
      </w:r>
      <w:r w:rsidRPr="00173748">
        <w:rPr>
          <w:lang w:val="en-IE"/>
        </w:rPr>
        <w:t>was used to investigate the dynamic relationship between antibiotic use and the incidence of resistant isolates, considering possible time delays (lag times). In this study the output or response was the percentage of AMR and the explanatory variable was AC. The cross-correlation function (CCF) between the residuals of the two ARIMA models was used to determine the correlations between the antibiotic use series and the incidence of resistant isolates. The transfer function model was then estimated with significance tests for parameter estimates at a </w:t>
      </w:r>
      <w:r w:rsidRPr="00173748">
        <w:rPr>
          <w:i/>
          <w:iCs/>
          <w:lang w:val="en-IE"/>
        </w:rPr>
        <w:t>p</w:t>
      </w:r>
      <w:r w:rsidRPr="00173748">
        <w:rPr>
          <w:lang w:val="en-IE"/>
        </w:rPr>
        <w:t xml:space="preserve"> value of &lt;0.05 used to eliminate unnecessary terms. The most parsimonious model was chosen, i.e. the model with the fewest parameters and highest biological plausibility. All final model residuals passed a ‘white noise’ test (based on the </w:t>
      </w:r>
      <w:proofErr w:type="spellStart"/>
      <w:r w:rsidRPr="00173748">
        <w:rPr>
          <w:lang w:val="en-IE"/>
        </w:rPr>
        <w:t>Ljung</w:t>
      </w:r>
      <w:proofErr w:type="spellEnd"/>
      <w:r w:rsidRPr="00173748">
        <w:rPr>
          <w:lang w:val="en-IE"/>
        </w:rPr>
        <w:t>–Box statistics). For each model, the </w:t>
      </w:r>
      <w:r w:rsidRPr="00173748">
        <w:rPr>
          <w:i/>
          <w:iCs/>
          <w:lang w:val="en-IE"/>
        </w:rPr>
        <w:t>R</w:t>
      </w:r>
      <w:r w:rsidRPr="00173748">
        <w:rPr>
          <w:vertAlign w:val="superscript"/>
          <w:lang w:val="en-IE"/>
        </w:rPr>
        <w:t>2</w:t>
      </w:r>
      <w:r w:rsidRPr="00173748">
        <w:rPr>
          <w:lang w:val="en-IE"/>
        </w:rPr>
        <w:t> coefficient was calculated as goodness-of-fit measure, expressing the fraction of the variance of the dependent variable explained by the dynamic regression model. For the purposes of this manuscript only the significant findings are reported.</w:t>
      </w:r>
    </w:p>
    <w:p w14:paraId="11E7DC83" w14:textId="393A654B" w:rsidR="00266E55" w:rsidRPr="00E72380" w:rsidRDefault="00266E55" w:rsidP="00266E55">
      <w:r>
        <w:br w:type="page"/>
      </w:r>
      <w:r w:rsidRPr="00D22A48">
        <w:rPr>
          <w:b/>
          <w:bCs/>
        </w:rPr>
        <w:lastRenderedPageBreak/>
        <w:t>Supplementary Table I.</w:t>
      </w:r>
      <w:r w:rsidRPr="00E72380">
        <w:t xml:space="preserve"> Chronology of important events in the </w:t>
      </w:r>
      <w:r>
        <w:t xml:space="preserve">hospital </w:t>
      </w:r>
      <w:r w:rsidRPr="00E72380">
        <w:t>AMS programme</w:t>
      </w:r>
    </w:p>
    <w:tbl>
      <w:tblPr>
        <w:tblStyle w:val="TableGrid"/>
        <w:tblW w:w="0" w:type="auto"/>
        <w:tblLook w:val="04A0" w:firstRow="1" w:lastRow="0" w:firstColumn="1" w:lastColumn="0" w:noHBand="0" w:noVBand="1"/>
      </w:tblPr>
      <w:tblGrid>
        <w:gridCol w:w="1413"/>
        <w:gridCol w:w="3685"/>
        <w:gridCol w:w="3912"/>
      </w:tblGrid>
      <w:tr w:rsidR="00054202" w:rsidRPr="00E72380" w14:paraId="2CC6702A" w14:textId="77777777" w:rsidTr="005C59CB">
        <w:tc>
          <w:tcPr>
            <w:tcW w:w="1413" w:type="dxa"/>
          </w:tcPr>
          <w:p w14:paraId="00B4A0C5" w14:textId="77777777" w:rsidR="00054202" w:rsidRPr="00E72380" w:rsidRDefault="00054202" w:rsidP="005C59CB">
            <w:pPr>
              <w:rPr>
                <w:sz w:val="20"/>
                <w:szCs w:val="20"/>
              </w:rPr>
            </w:pPr>
            <w:r w:rsidRPr="00E72380">
              <w:rPr>
                <w:sz w:val="20"/>
                <w:szCs w:val="20"/>
              </w:rPr>
              <w:t>Year</w:t>
            </w:r>
          </w:p>
        </w:tc>
        <w:tc>
          <w:tcPr>
            <w:tcW w:w="3685" w:type="dxa"/>
          </w:tcPr>
          <w:p w14:paraId="2C885167" w14:textId="77777777" w:rsidR="00054202" w:rsidRPr="00E72380" w:rsidRDefault="00054202" w:rsidP="005C59CB">
            <w:pPr>
              <w:rPr>
                <w:sz w:val="20"/>
                <w:szCs w:val="20"/>
              </w:rPr>
            </w:pPr>
            <w:r w:rsidRPr="00E72380">
              <w:rPr>
                <w:sz w:val="20"/>
                <w:szCs w:val="20"/>
              </w:rPr>
              <w:t>Event/intervention</w:t>
            </w:r>
          </w:p>
        </w:tc>
        <w:tc>
          <w:tcPr>
            <w:tcW w:w="3912" w:type="dxa"/>
          </w:tcPr>
          <w:p w14:paraId="04A799DD" w14:textId="77777777" w:rsidR="00054202" w:rsidRPr="00E72380" w:rsidRDefault="00054202" w:rsidP="005C59CB">
            <w:pPr>
              <w:rPr>
                <w:sz w:val="20"/>
                <w:szCs w:val="20"/>
              </w:rPr>
            </w:pPr>
            <w:r w:rsidRPr="00E72380">
              <w:rPr>
                <w:sz w:val="20"/>
                <w:szCs w:val="20"/>
              </w:rPr>
              <w:t>Effect and/or rational</w:t>
            </w:r>
          </w:p>
        </w:tc>
      </w:tr>
      <w:tr w:rsidR="00054202" w:rsidRPr="00E72380" w14:paraId="4361ADA5" w14:textId="77777777" w:rsidTr="005C59CB">
        <w:tc>
          <w:tcPr>
            <w:tcW w:w="1413" w:type="dxa"/>
          </w:tcPr>
          <w:p w14:paraId="53C9D848" w14:textId="77777777" w:rsidR="00054202" w:rsidRPr="00E72380" w:rsidRDefault="00054202" w:rsidP="005C59CB">
            <w:pPr>
              <w:rPr>
                <w:sz w:val="20"/>
                <w:szCs w:val="20"/>
              </w:rPr>
            </w:pPr>
            <w:r w:rsidRPr="00E72380">
              <w:rPr>
                <w:sz w:val="20"/>
                <w:szCs w:val="20"/>
              </w:rPr>
              <w:t>2007</w:t>
            </w:r>
          </w:p>
        </w:tc>
        <w:tc>
          <w:tcPr>
            <w:tcW w:w="3685" w:type="dxa"/>
          </w:tcPr>
          <w:p w14:paraId="017B1C43" w14:textId="77777777" w:rsidR="00054202" w:rsidRPr="00E72380" w:rsidRDefault="00054202" w:rsidP="005C59CB">
            <w:pPr>
              <w:rPr>
                <w:sz w:val="20"/>
                <w:szCs w:val="20"/>
              </w:rPr>
            </w:pPr>
            <w:r w:rsidRPr="00E72380">
              <w:rPr>
                <w:sz w:val="20"/>
                <w:szCs w:val="20"/>
              </w:rPr>
              <w:t>Appointment of an antimicrobial pharmacist</w:t>
            </w:r>
          </w:p>
        </w:tc>
        <w:tc>
          <w:tcPr>
            <w:tcW w:w="3912" w:type="dxa"/>
          </w:tcPr>
          <w:p w14:paraId="6AF7E6E4" w14:textId="77777777" w:rsidR="00054202" w:rsidRPr="00E72380" w:rsidRDefault="00054202" w:rsidP="005C59CB">
            <w:pPr>
              <w:rPr>
                <w:sz w:val="20"/>
                <w:szCs w:val="20"/>
              </w:rPr>
            </w:pPr>
            <w:r w:rsidRPr="00E72380">
              <w:rPr>
                <w:sz w:val="20"/>
                <w:szCs w:val="20"/>
              </w:rPr>
              <w:t>Establishment of a formal hospital AMS programme</w:t>
            </w:r>
            <w:r>
              <w:rPr>
                <w:sz w:val="20"/>
                <w:szCs w:val="20"/>
              </w:rPr>
              <w:t xml:space="preserve"> including annual point prevalence surveys and quarterly AC monitoring with feedback to hospital staff and at grand rounds</w:t>
            </w:r>
          </w:p>
        </w:tc>
      </w:tr>
      <w:tr w:rsidR="00054202" w:rsidRPr="00E72380" w14:paraId="69434591" w14:textId="77777777" w:rsidTr="005C59CB">
        <w:tc>
          <w:tcPr>
            <w:tcW w:w="1413" w:type="dxa"/>
          </w:tcPr>
          <w:p w14:paraId="154F58DA" w14:textId="77777777" w:rsidR="00054202" w:rsidRPr="00E72380" w:rsidRDefault="00054202" w:rsidP="005C59CB">
            <w:pPr>
              <w:rPr>
                <w:sz w:val="20"/>
                <w:szCs w:val="20"/>
              </w:rPr>
            </w:pPr>
            <w:r w:rsidRPr="00E72380">
              <w:rPr>
                <w:sz w:val="20"/>
                <w:szCs w:val="20"/>
              </w:rPr>
              <w:t>2009</w:t>
            </w:r>
          </w:p>
        </w:tc>
        <w:tc>
          <w:tcPr>
            <w:tcW w:w="3685" w:type="dxa"/>
          </w:tcPr>
          <w:p w14:paraId="201068BB" w14:textId="4E08F469" w:rsidR="00054202" w:rsidRPr="00E72380" w:rsidRDefault="00054202" w:rsidP="005C59CB">
            <w:pPr>
              <w:rPr>
                <w:sz w:val="20"/>
                <w:szCs w:val="20"/>
              </w:rPr>
            </w:pPr>
            <w:r w:rsidRPr="00E72380">
              <w:rPr>
                <w:sz w:val="20"/>
                <w:szCs w:val="20"/>
              </w:rPr>
              <w:t>Publication of the SARI Guidelines for antimicrobial stewardship in hospitals in Ireland</w:t>
            </w:r>
            <w:r>
              <w:rPr>
                <w:sz w:val="20"/>
                <w:szCs w:val="20"/>
              </w:rPr>
              <w:t xml:space="preserve"> </w:t>
            </w:r>
            <w:r>
              <w:rPr>
                <w:noProof/>
                <w:sz w:val="20"/>
                <w:szCs w:val="20"/>
              </w:rPr>
              <w:t>[1]</w:t>
            </w:r>
          </w:p>
        </w:tc>
        <w:tc>
          <w:tcPr>
            <w:tcW w:w="3912" w:type="dxa"/>
          </w:tcPr>
          <w:p w14:paraId="308E96FD" w14:textId="77777777" w:rsidR="00054202" w:rsidRPr="00E72380" w:rsidRDefault="00054202" w:rsidP="005C59CB">
            <w:pPr>
              <w:rPr>
                <w:sz w:val="20"/>
                <w:szCs w:val="20"/>
              </w:rPr>
            </w:pPr>
            <w:r w:rsidRPr="00E72380">
              <w:rPr>
                <w:sz w:val="20"/>
                <w:szCs w:val="20"/>
              </w:rPr>
              <w:t xml:space="preserve">Rationale for AMS in Irish hospitals and recommended AMS structures and interventions </w:t>
            </w:r>
          </w:p>
        </w:tc>
      </w:tr>
      <w:tr w:rsidR="00054202" w:rsidRPr="00E72380" w14:paraId="11C827FC" w14:textId="77777777" w:rsidTr="005C59CB">
        <w:tc>
          <w:tcPr>
            <w:tcW w:w="1413" w:type="dxa"/>
          </w:tcPr>
          <w:p w14:paraId="54D0CDD3" w14:textId="77777777" w:rsidR="00054202" w:rsidRPr="00E72380" w:rsidRDefault="00054202" w:rsidP="005C59CB">
            <w:pPr>
              <w:rPr>
                <w:sz w:val="20"/>
                <w:szCs w:val="20"/>
              </w:rPr>
            </w:pPr>
            <w:r w:rsidRPr="00E72380">
              <w:rPr>
                <w:sz w:val="20"/>
                <w:szCs w:val="20"/>
              </w:rPr>
              <w:t>2016</w:t>
            </w:r>
          </w:p>
        </w:tc>
        <w:tc>
          <w:tcPr>
            <w:tcW w:w="3685" w:type="dxa"/>
          </w:tcPr>
          <w:p w14:paraId="6975050C" w14:textId="77777777" w:rsidR="00054202" w:rsidRPr="00E72380" w:rsidRDefault="00054202" w:rsidP="005C59CB">
            <w:pPr>
              <w:rPr>
                <w:sz w:val="20"/>
                <w:szCs w:val="20"/>
              </w:rPr>
            </w:pPr>
            <w:r w:rsidRPr="00E72380">
              <w:rPr>
                <w:sz w:val="20"/>
                <w:szCs w:val="20"/>
              </w:rPr>
              <w:t>SPC changes to piperacillin/tazobactam dosing recommendations for nosocomial infections &amp; severe pneumonia from 8</w:t>
            </w:r>
            <w:r>
              <w:rPr>
                <w:sz w:val="20"/>
                <w:szCs w:val="20"/>
              </w:rPr>
              <w:t>-</w:t>
            </w:r>
            <w:r w:rsidRPr="00E72380">
              <w:rPr>
                <w:sz w:val="20"/>
                <w:szCs w:val="20"/>
              </w:rPr>
              <w:t>hourly intervals to 6</w:t>
            </w:r>
            <w:r>
              <w:rPr>
                <w:sz w:val="20"/>
                <w:szCs w:val="20"/>
              </w:rPr>
              <w:t>-</w:t>
            </w:r>
            <w:r w:rsidRPr="00E72380">
              <w:rPr>
                <w:sz w:val="20"/>
                <w:szCs w:val="20"/>
              </w:rPr>
              <w:t>hourly.</w:t>
            </w:r>
          </w:p>
        </w:tc>
        <w:tc>
          <w:tcPr>
            <w:tcW w:w="3912" w:type="dxa"/>
          </w:tcPr>
          <w:p w14:paraId="494F7EB1" w14:textId="77777777" w:rsidR="00054202" w:rsidRPr="00E72380" w:rsidRDefault="00054202" w:rsidP="005C59CB">
            <w:pPr>
              <w:rPr>
                <w:sz w:val="20"/>
                <w:szCs w:val="20"/>
              </w:rPr>
            </w:pPr>
            <w:r w:rsidRPr="00E72380">
              <w:rPr>
                <w:sz w:val="20"/>
                <w:szCs w:val="20"/>
              </w:rPr>
              <w:t>Increased consumption which has not been accounted for in revised versions of the WHO DDD values.</w:t>
            </w:r>
          </w:p>
          <w:p w14:paraId="09BC2445" w14:textId="77777777" w:rsidR="00054202" w:rsidRPr="00E72380" w:rsidRDefault="00054202" w:rsidP="005C59CB">
            <w:pPr>
              <w:rPr>
                <w:sz w:val="20"/>
                <w:szCs w:val="20"/>
              </w:rPr>
            </w:pPr>
          </w:p>
        </w:tc>
      </w:tr>
      <w:tr w:rsidR="00054202" w:rsidRPr="00E72380" w14:paraId="0B092BAD" w14:textId="77777777" w:rsidTr="005C59CB">
        <w:tc>
          <w:tcPr>
            <w:tcW w:w="1413" w:type="dxa"/>
          </w:tcPr>
          <w:p w14:paraId="46B2BBDF" w14:textId="77777777" w:rsidR="00054202" w:rsidRPr="00E72380" w:rsidRDefault="00054202" w:rsidP="005C59CB">
            <w:pPr>
              <w:rPr>
                <w:sz w:val="20"/>
                <w:szCs w:val="20"/>
              </w:rPr>
            </w:pPr>
            <w:r w:rsidRPr="00E72380">
              <w:rPr>
                <w:sz w:val="20"/>
                <w:szCs w:val="20"/>
              </w:rPr>
              <w:t>2017</w:t>
            </w:r>
          </w:p>
        </w:tc>
        <w:tc>
          <w:tcPr>
            <w:tcW w:w="3685" w:type="dxa"/>
          </w:tcPr>
          <w:p w14:paraId="51DE453C" w14:textId="77777777" w:rsidR="00054202" w:rsidRPr="00E72380" w:rsidRDefault="00054202" w:rsidP="005C59CB">
            <w:pPr>
              <w:rPr>
                <w:sz w:val="20"/>
                <w:szCs w:val="20"/>
              </w:rPr>
            </w:pPr>
            <w:r w:rsidRPr="00E72380">
              <w:rPr>
                <w:sz w:val="20"/>
                <w:szCs w:val="20"/>
              </w:rPr>
              <w:t>World-wide supply shortage of piperacillin/tazobactam</w:t>
            </w:r>
          </w:p>
        </w:tc>
        <w:tc>
          <w:tcPr>
            <w:tcW w:w="3912" w:type="dxa"/>
          </w:tcPr>
          <w:p w14:paraId="5712E5DD" w14:textId="77777777" w:rsidR="00054202" w:rsidRPr="00E72380" w:rsidRDefault="00054202" w:rsidP="005C59CB">
            <w:pPr>
              <w:rPr>
                <w:sz w:val="20"/>
                <w:szCs w:val="20"/>
              </w:rPr>
            </w:pPr>
            <w:r w:rsidRPr="00E72380">
              <w:rPr>
                <w:sz w:val="20"/>
                <w:szCs w:val="20"/>
              </w:rPr>
              <w:t>Reduced availability and adjustment of antimicrobial prescribing guidelines</w:t>
            </w:r>
          </w:p>
        </w:tc>
      </w:tr>
      <w:tr w:rsidR="00054202" w:rsidRPr="00E72380" w14:paraId="67BA3C3D" w14:textId="77777777" w:rsidTr="005C59CB">
        <w:tc>
          <w:tcPr>
            <w:tcW w:w="1413" w:type="dxa"/>
          </w:tcPr>
          <w:p w14:paraId="79DD3DE6" w14:textId="77777777" w:rsidR="00054202" w:rsidRPr="00D666EF" w:rsidRDefault="00054202" w:rsidP="005C59CB">
            <w:pPr>
              <w:rPr>
                <w:sz w:val="20"/>
                <w:szCs w:val="20"/>
              </w:rPr>
            </w:pPr>
            <w:r w:rsidRPr="00D666EF">
              <w:rPr>
                <w:sz w:val="20"/>
                <w:szCs w:val="20"/>
              </w:rPr>
              <w:t>2017-2018</w:t>
            </w:r>
          </w:p>
        </w:tc>
        <w:tc>
          <w:tcPr>
            <w:tcW w:w="3685" w:type="dxa"/>
          </w:tcPr>
          <w:p w14:paraId="379C8748" w14:textId="471E6FAE" w:rsidR="00054202" w:rsidRPr="00D666EF" w:rsidRDefault="00054202" w:rsidP="005C59CB">
            <w:pPr>
              <w:rPr>
                <w:sz w:val="20"/>
                <w:szCs w:val="20"/>
              </w:rPr>
            </w:pPr>
            <w:r w:rsidRPr="00D666EF">
              <w:rPr>
                <w:sz w:val="20"/>
                <w:szCs w:val="20"/>
              </w:rPr>
              <w:t>Procalcitonin feasibility study in the hospital</w:t>
            </w:r>
            <w:r>
              <w:rPr>
                <w:sz w:val="20"/>
                <w:szCs w:val="20"/>
              </w:rPr>
              <w:t xml:space="preserve"> </w:t>
            </w:r>
            <w:r>
              <w:rPr>
                <w:noProof/>
                <w:sz w:val="20"/>
                <w:szCs w:val="20"/>
              </w:rPr>
              <w:t>[</w:t>
            </w:r>
            <w:r w:rsidR="00223CF0">
              <w:rPr>
                <w:noProof/>
                <w:sz w:val="20"/>
                <w:szCs w:val="20"/>
              </w:rPr>
              <w:t>2,3</w:t>
            </w:r>
            <w:r>
              <w:rPr>
                <w:noProof/>
                <w:sz w:val="20"/>
                <w:szCs w:val="20"/>
              </w:rPr>
              <w:t>]</w:t>
            </w:r>
            <w:r w:rsidRPr="00D666EF">
              <w:rPr>
                <w:sz w:val="20"/>
                <w:szCs w:val="20"/>
              </w:rPr>
              <w:t xml:space="preserve"> Investigation of its effect on antimicrobial prescribing in respiratory tract infections</w:t>
            </w:r>
          </w:p>
        </w:tc>
        <w:tc>
          <w:tcPr>
            <w:tcW w:w="3912" w:type="dxa"/>
          </w:tcPr>
          <w:p w14:paraId="0AFEB033" w14:textId="77777777" w:rsidR="00054202" w:rsidRPr="00D666EF" w:rsidRDefault="00054202" w:rsidP="005C59CB">
            <w:pPr>
              <w:rPr>
                <w:sz w:val="20"/>
                <w:szCs w:val="20"/>
              </w:rPr>
            </w:pPr>
            <w:r w:rsidRPr="00D666EF">
              <w:rPr>
                <w:sz w:val="20"/>
                <w:szCs w:val="20"/>
              </w:rPr>
              <w:t>Routine PCT testing has not yet been implemented</w:t>
            </w:r>
          </w:p>
        </w:tc>
      </w:tr>
      <w:tr w:rsidR="00054202" w:rsidRPr="00E72380" w14:paraId="4A5D69A8" w14:textId="77777777" w:rsidTr="005C59CB">
        <w:tc>
          <w:tcPr>
            <w:tcW w:w="1413" w:type="dxa"/>
          </w:tcPr>
          <w:p w14:paraId="6EA5D456" w14:textId="77777777" w:rsidR="00054202" w:rsidRPr="00E72380" w:rsidRDefault="00054202" w:rsidP="005C59CB">
            <w:pPr>
              <w:rPr>
                <w:sz w:val="20"/>
                <w:szCs w:val="20"/>
              </w:rPr>
            </w:pPr>
            <w:r w:rsidRPr="00E72380">
              <w:rPr>
                <w:sz w:val="20"/>
                <w:szCs w:val="20"/>
              </w:rPr>
              <w:t>2018</w:t>
            </w:r>
          </w:p>
        </w:tc>
        <w:tc>
          <w:tcPr>
            <w:tcW w:w="3685" w:type="dxa"/>
          </w:tcPr>
          <w:p w14:paraId="6ACFE1D3" w14:textId="5FA74F23" w:rsidR="00054202" w:rsidRPr="00E72380" w:rsidRDefault="00054202" w:rsidP="005C59CB">
            <w:pPr>
              <w:rPr>
                <w:sz w:val="20"/>
                <w:szCs w:val="20"/>
              </w:rPr>
            </w:pPr>
            <w:r w:rsidRPr="00E72380">
              <w:rPr>
                <w:sz w:val="20"/>
                <w:szCs w:val="20"/>
              </w:rPr>
              <w:t xml:space="preserve">The first </w:t>
            </w:r>
            <w:r>
              <w:rPr>
                <w:sz w:val="20"/>
                <w:szCs w:val="20"/>
              </w:rPr>
              <w:t>hospital-</w:t>
            </w:r>
            <w:r w:rsidRPr="00E72380">
              <w:rPr>
                <w:sz w:val="20"/>
                <w:szCs w:val="20"/>
              </w:rPr>
              <w:t>acquired CPE case was identified in</w:t>
            </w:r>
            <w:r>
              <w:rPr>
                <w:sz w:val="20"/>
                <w:szCs w:val="20"/>
              </w:rPr>
              <w:t xml:space="preserve"> the study hospital in</w:t>
            </w:r>
            <w:r w:rsidRPr="00E72380">
              <w:rPr>
                <w:sz w:val="20"/>
                <w:szCs w:val="20"/>
              </w:rPr>
              <w:t xml:space="preserve"> December 2017 with a further four cases identified in January 201</w:t>
            </w:r>
            <w:r>
              <w:rPr>
                <w:sz w:val="20"/>
                <w:szCs w:val="20"/>
              </w:rPr>
              <w:t xml:space="preserve">8 </w:t>
            </w:r>
            <w:r>
              <w:rPr>
                <w:noProof/>
                <w:sz w:val="20"/>
                <w:szCs w:val="20"/>
              </w:rPr>
              <w:t>[</w:t>
            </w:r>
            <w:r w:rsidR="00223CF0">
              <w:rPr>
                <w:noProof/>
                <w:sz w:val="20"/>
                <w:szCs w:val="20"/>
              </w:rPr>
              <w:t>4</w:t>
            </w:r>
            <w:r>
              <w:rPr>
                <w:noProof/>
                <w:sz w:val="20"/>
                <w:szCs w:val="20"/>
              </w:rPr>
              <w:t>]</w:t>
            </w:r>
            <w:r w:rsidRPr="00E72380">
              <w:rPr>
                <w:sz w:val="20"/>
                <w:szCs w:val="20"/>
              </w:rPr>
              <w:t xml:space="preserve"> </w:t>
            </w:r>
          </w:p>
        </w:tc>
        <w:tc>
          <w:tcPr>
            <w:tcW w:w="3912" w:type="dxa"/>
          </w:tcPr>
          <w:p w14:paraId="44173BC9" w14:textId="77777777" w:rsidR="00054202" w:rsidRPr="00E72380" w:rsidRDefault="00054202" w:rsidP="005C59CB">
            <w:pPr>
              <w:rPr>
                <w:sz w:val="20"/>
                <w:szCs w:val="20"/>
              </w:rPr>
            </w:pPr>
            <w:r w:rsidRPr="00E72380">
              <w:rPr>
                <w:sz w:val="20"/>
                <w:szCs w:val="20"/>
              </w:rPr>
              <w:t>Universal screening</w:t>
            </w:r>
            <w:r>
              <w:rPr>
                <w:sz w:val="20"/>
                <w:szCs w:val="20"/>
              </w:rPr>
              <w:t xml:space="preserve"> commencement for CPE for all hospital inpatients</w:t>
            </w:r>
            <w:r w:rsidRPr="00E72380">
              <w:rPr>
                <w:sz w:val="20"/>
                <w:szCs w:val="20"/>
              </w:rPr>
              <w:t xml:space="preserve"> and grand round presentation in 2018</w:t>
            </w:r>
          </w:p>
        </w:tc>
      </w:tr>
      <w:tr w:rsidR="00054202" w:rsidRPr="00E72380" w14:paraId="13F6AE09" w14:textId="77777777" w:rsidTr="005C59CB">
        <w:tc>
          <w:tcPr>
            <w:tcW w:w="1413" w:type="dxa"/>
          </w:tcPr>
          <w:p w14:paraId="7CAB317D" w14:textId="77777777" w:rsidR="00054202" w:rsidRPr="00E72380" w:rsidRDefault="00054202" w:rsidP="005C59CB">
            <w:pPr>
              <w:rPr>
                <w:sz w:val="20"/>
                <w:szCs w:val="20"/>
              </w:rPr>
            </w:pPr>
            <w:r w:rsidRPr="00E72380">
              <w:rPr>
                <w:sz w:val="20"/>
                <w:szCs w:val="20"/>
              </w:rPr>
              <w:t>2018</w:t>
            </w:r>
          </w:p>
        </w:tc>
        <w:tc>
          <w:tcPr>
            <w:tcW w:w="3685" w:type="dxa"/>
          </w:tcPr>
          <w:p w14:paraId="4E9671FC" w14:textId="1A6DB4EC" w:rsidR="00054202" w:rsidRPr="00E72380" w:rsidRDefault="00054202" w:rsidP="005C59CB">
            <w:pPr>
              <w:rPr>
                <w:sz w:val="20"/>
                <w:szCs w:val="20"/>
              </w:rPr>
            </w:pPr>
            <w:r w:rsidRPr="00E72380">
              <w:rPr>
                <w:sz w:val="20"/>
                <w:szCs w:val="20"/>
              </w:rPr>
              <w:t>JAMA</w:t>
            </w:r>
            <w:r>
              <w:rPr>
                <w:sz w:val="20"/>
                <w:szCs w:val="20"/>
              </w:rPr>
              <w:t xml:space="preserve"> </w:t>
            </w:r>
            <w:r>
              <w:rPr>
                <w:noProof/>
                <w:sz w:val="20"/>
                <w:szCs w:val="20"/>
              </w:rPr>
              <w:t>[</w:t>
            </w:r>
            <w:r w:rsidR="00223CF0">
              <w:rPr>
                <w:noProof/>
                <w:sz w:val="20"/>
                <w:szCs w:val="20"/>
              </w:rPr>
              <w:t>5</w:t>
            </w:r>
            <w:r>
              <w:rPr>
                <w:noProof/>
                <w:sz w:val="20"/>
                <w:szCs w:val="20"/>
              </w:rPr>
              <w:t>]</w:t>
            </w:r>
            <w:r w:rsidRPr="00E72380">
              <w:rPr>
                <w:sz w:val="20"/>
                <w:szCs w:val="20"/>
              </w:rPr>
              <w:t xml:space="preserve"> clinical trial comparing Piperacillin-Tazobactam vs Meropenem on 30-Day Mortality for patients with </w:t>
            </w:r>
            <w:r w:rsidRPr="00E72380">
              <w:rPr>
                <w:i/>
                <w:iCs/>
                <w:sz w:val="20"/>
                <w:szCs w:val="20"/>
              </w:rPr>
              <w:t>E coli</w:t>
            </w:r>
            <w:r w:rsidRPr="00E72380">
              <w:rPr>
                <w:sz w:val="20"/>
                <w:szCs w:val="20"/>
              </w:rPr>
              <w:t xml:space="preserve"> or </w:t>
            </w:r>
            <w:r w:rsidRPr="00E72380">
              <w:rPr>
                <w:i/>
                <w:iCs/>
                <w:sz w:val="20"/>
                <w:szCs w:val="20"/>
              </w:rPr>
              <w:t>Klebsiella pneumoniae</w:t>
            </w:r>
            <w:r w:rsidRPr="00E72380">
              <w:rPr>
                <w:sz w:val="20"/>
                <w:szCs w:val="20"/>
              </w:rPr>
              <w:t xml:space="preserve"> Bloodstream Infection and Ceftriaxone Resistance</w:t>
            </w:r>
          </w:p>
        </w:tc>
        <w:tc>
          <w:tcPr>
            <w:tcW w:w="3912" w:type="dxa"/>
          </w:tcPr>
          <w:p w14:paraId="7C9FA7D6" w14:textId="77777777" w:rsidR="00054202" w:rsidRPr="00E72380" w:rsidRDefault="00054202" w:rsidP="005C59CB">
            <w:pPr>
              <w:rPr>
                <w:sz w:val="20"/>
                <w:szCs w:val="20"/>
              </w:rPr>
            </w:pPr>
            <w:r w:rsidRPr="00E72380">
              <w:rPr>
                <w:sz w:val="20"/>
                <w:szCs w:val="20"/>
              </w:rPr>
              <w:t xml:space="preserve">Increased use of meropenem to treat blood stream infections caused by </w:t>
            </w:r>
            <w:r w:rsidRPr="00E72380">
              <w:rPr>
                <w:i/>
                <w:iCs/>
                <w:sz w:val="20"/>
                <w:szCs w:val="20"/>
              </w:rPr>
              <w:t>E coli</w:t>
            </w:r>
            <w:r w:rsidRPr="00E72380">
              <w:rPr>
                <w:sz w:val="20"/>
                <w:szCs w:val="20"/>
              </w:rPr>
              <w:t xml:space="preserve"> or </w:t>
            </w:r>
            <w:r w:rsidRPr="00E72380">
              <w:rPr>
                <w:i/>
                <w:iCs/>
                <w:sz w:val="20"/>
                <w:szCs w:val="20"/>
              </w:rPr>
              <w:t>Klebsiella pneumoniae</w:t>
            </w:r>
            <w:r w:rsidRPr="00E72380">
              <w:rPr>
                <w:sz w:val="20"/>
                <w:szCs w:val="20"/>
              </w:rPr>
              <w:t xml:space="preserve"> resistant to cef</w:t>
            </w:r>
            <w:r>
              <w:rPr>
                <w:sz w:val="20"/>
                <w:szCs w:val="20"/>
              </w:rPr>
              <w:t>t</w:t>
            </w:r>
            <w:r w:rsidRPr="00E72380">
              <w:rPr>
                <w:sz w:val="20"/>
                <w:szCs w:val="20"/>
              </w:rPr>
              <w:t>riaxone</w:t>
            </w:r>
          </w:p>
        </w:tc>
      </w:tr>
      <w:tr w:rsidR="00054202" w:rsidRPr="00E72380" w14:paraId="53084394" w14:textId="77777777" w:rsidTr="005C59CB">
        <w:tc>
          <w:tcPr>
            <w:tcW w:w="1413" w:type="dxa"/>
          </w:tcPr>
          <w:p w14:paraId="797F5B52" w14:textId="77777777" w:rsidR="00054202" w:rsidRPr="00E72380" w:rsidRDefault="00054202" w:rsidP="005C59CB">
            <w:pPr>
              <w:rPr>
                <w:sz w:val="20"/>
                <w:szCs w:val="20"/>
              </w:rPr>
            </w:pPr>
            <w:r w:rsidRPr="00E72380">
              <w:rPr>
                <w:sz w:val="20"/>
                <w:szCs w:val="20"/>
              </w:rPr>
              <w:t>2018</w:t>
            </w:r>
          </w:p>
        </w:tc>
        <w:tc>
          <w:tcPr>
            <w:tcW w:w="3685" w:type="dxa"/>
          </w:tcPr>
          <w:p w14:paraId="25DF40A4" w14:textId="77777777" w:rsidR="00054202" w:rsidRPr="00E72380" w:rsidRDefault="00054202" w:rsidP="005C59CB">
            <w:pPr>
              <w:rPr>
                <w:sz w:val="20"/>
                <w:szCs w:val="20"/>
              </w:rPr>
            </w:pPr>
            <w:r w:rsidRPr="00E72380">
              <w:rPr>
                <w:sz w:val="20"/>
                <w:szCs w:val="20"/>
              </w:rPr>
              <w:t>Update of hospital antimicrobial prescribing guidelines</w:t>
            </w:r>
          </w:p>
        </w:tc>
        <w:tc>
          <w:tcPr>
            <w:tcW w:w="3912" w:type="dxa"/>
          </w:tcPr>
          <w:p w14:paraId="00BFA421" w14:textId="77777777" w:rsidR="00054202" w:rsidRPr="00E72380" w:rsidRDefault="00054202" w:rsidP="005C59CB">
            <w:pPr>
              <w:rPr>
                <w:sz w:val="20"/>
                <w:szCs w:val="20"/>
              </w:rPr>
            </w:pPr>
            <w:r w:rsidRPr="00E72380">
              <w:rPr>
                <w:sz w:val="20"/>
                <w:szCs w:val="20"/>
              </w:rPr>
              <w:t>Empiric guidelines included recommendations for the use of carbapenems</w:t>
            </w:r>
            <w:r>
              <w:rPr>
                <w:sz w:val="20"/>
                <w:szCs w:val="20"/>
              </w:rPr>
              <w:t xml:space="preserve"> for multi-drug resistant infections</w:t>
            </w:r>
          </w:p>
        </w:tc>
      </w:tr>
      <w:tr w:rsidR="00054202" w:rsidRPr="00E72380" w14:paraId="3273D5E2" w14:textId="77777777" w:rsidTr="005C59CB">
        <w:tc>
          <w:tcPr>
            <w:tcW w:w="1413" w:type="dxa"/>
          </w:tcPr>
          <w:p w14:paraId="7F156A71" w14:textId="77777777" w:rsidR="00054202" w:rsidRPr="00E72380" w:rsidRDefault="00054202" w:rsidP="005C59CB">
            <w:pPr>
              <w:rPr>
                <w:sz w:val="20"/>
                <w:szCs w:val="20"/>
              </w:rPr>
            </w:pPr>
            <w:r w:rsidRPr="00E72380">
              <w:rPr>
                <w:sz w:val="20"/>
                <w:szCs w:val="20"/>
              </w:rPr>
              <w:t>2019</w:t>
            </w:r>
          </w:p>
        </w:tc>
        <w:tc>
          <w:tcPr>
            <w:tcW w:w="3685" w:type="dxa"/>
          </w:tcPr>
          <w:p w14:paraId="73A16902" w14:textId="3448546E" w:rsidR="00054202" w:rsidRPr="00E72380" w:rsidRDefault="00054202" w:rsidP="005C59CB">
            <w:pPr>
              <w:rPr>
                <w:sz w:val="20"/>
                <w:szCs w:val="20"/>
                <w:lang w:val="en-IE"/>
              </w:rPr>
            </w:pPr>
            <w:r w:rsidRPr="00E72380">
              <w:rPr>
                <w:sz w:val="20"/>
                <w:szCs w:val="20"/>
                <w:lang w:val="en-IE"/>
              </w:rPr>
              <w:t>EUCAST clinical breakpoint (v 9.0, valid from 1 January 2019</w:t>
            </w:r>
            <w:r>
              <w:rPr>
                <w:sz w:val="20"/>
                <w:szCs w:val="20"/>
                <w:lang w:val="en-IE"/>
              </w:rPr>
              <w:t xml:space="preserve"> </w:t>
            </w:r>
            <w:r>
              <w:rPr>
                <w:noProof/>
                <w:sz w:val="20"/>
                <w:szCs w:val="20"/>
                <w:lang w:val="en-IE"/>
              </w:rPr>
              <w:t>[</w:t>
            </w:r>
            <w:r w:rsidR="00223CF0">
              <w:rPr>
                <w:noProof/>
                <w:sz w:val="20"/>
                <w:szCs w:val="20"/>
                <w:lang w:val="en-IE"/>
              </w:rPr>
              <w:t>6</w:t>
            </w:r>
            <w:r>
              <w:rPr>
                <w:noProof/>
                <w:sz w:val="20"/>
                <w:szCs w:val="20"/>
                <w:lang w:val="en-IE"/>
              </w:rPr>
              <w:t>]</w:t>
            </w:r>
          </w:p>
        </w:tc>
        <w:tc>
          <w:tcPr>
            <w:tcW w:w="3912" w:type="dxa"/>
          </w:tcPr>
          <w:p w14:paraId="12466A97" w14:textId="77777777" w:rsidR="00054202" w:rsidRPr="00E72380" w:rsidRDefault="00054202" w:rsidP="005C59CB">
            <w:pPr>
              <w:rPr>
                <w:sz w:val="20"/>
                <w:szCs w:val="20"/>
              </w:rPr>
            </w:pPr>
            <w:r w:rsidRPr="00E72380">
              <w:rPr>
                <w:sz w:val="20"/>
                <w:szCs w:val="20"/>
              </w:rPr>
              <w:t xml:space="preserve">Recommended changes included higher antimicrobial doses for the treatment of </w:t>
            </w:r>
            <w:proofErr w:type="spellStart"/>
            <w:r w:rsidRPr="00E72380">
              <w:rPr>
                <w:i/>
                <w:iCs/>
                <w:sz w:val="20"/>
                <w:szCs w:val="20"/>
                <w:lang w:val="en-IE"/>
              </w:rPr>
              <w:t>Enterobacterales</w:t>
            </w:r>
            <w:proofErr w:type="spellEnd"/>
            <w:r w:rsidRPr="00E72380">
              <w:rPr>
                <w:sz w:val="20"/>
                <w:szCs w:val="20"/>
                <w:lang w:val="en-IE"/>
              </w:rPr>
              <w:t xml:space="preserve"> </w:t>
            </w:r>
            <w:r w:rsidRPr="00E72380">
              <w:rPr>
                <w:sz w:val="20"/>
                <w:szCs w:val="20"/>
              </w:rPr>
              <w:t>(gentamicin</w:t>
            </w:r>
            <w:r>
              <w:rPr>
                <w:sz w:val="20"/>
                <w:szCs w:val="20"/>
              </w:rPr>
              <w:t>)</w:t>
            </w:r>
            <w:r w:rsidRPr="00E72380">
              <w:rPr>
                <w:sz w:val="20"/>
                <w:szCs w:val="20"/>
                <w:lang w:val="en-IE"/>
              </w:rPr>
              <w:t xml:space="preserve"> and </w:t>
            </w:r>
            <w:r w:rsidRPr="00E72380">
              <w:rPr>
                <w:i/>
                <w:iCs/>
                <w:sz w:val="20"/>
                <w:szCs w:val="20"/>
                <w:lang w:val="en-IE"/>
              </w:rPr>
              <w:t>Pseudomonas</w:t>
            </w:r>
            <w:r w:rsidRPr="00E72380">
              <w:rPr>
                <w:sz w:val="20"/>
                <w:szCs w:val="20"/>
                <w:lang w:val="en-IE"/>
              </w:rPr>
              <w:t xml:space="preserve"> (piperacillin/tazobactam, ceftazidime, ciprofloxacin, amikacin and gentamicin)  </w:t>
            </w:r>
          </w:p>
        </w:tc>
      </w:tr>
      <w:tr w:rsidR="00054202" w:rsidRPr="00E72380" w14:paraId="3465FC00" w14:textId="77777777" w:rsidTr="005C59CB">
        <w:tc>
          <w:tcPr>
            <w:tcW w:w="1413" w:type="dxa"/>
          </w:tcPr>
          <w:p w14:paraId="20E10D54" w14:textId="77777777" w:rsidR="00054202" w:rsidRPr="00E72380" w:rsidRDefault="00054202" w:rsidP="005C59CB">
            <w:pPr>
              <w:rPr>
                <w:sz w:val="20"/>
                <w:szCs w:val="20"/>
              </w:rPr>
            </w:pPr>
            <w:r w:rsidRPr="00E72380">
              <w:rPr>
                <w:sz w:val="20"/>
                <w:szCs w:val="20"/>
              </w:rPr>
              <w:t>2019</w:t>
            </w:r>
          </w:p>
        </w:tc>
        <w:tc>
          <w:tcPr>
            <w:tcW w:w="3685" w:type="dxa"/>
          </w:tcPr>
          <w:p w14:paraId="74C91B44" w14:textId="4B519090" w:rsidR="00054202" w:rsidRPr="00E72380" w:rsidRDefault="00054202" w:rsidP="005C59CB">
            <w:pPr>
              <w:rPr>
                <w:sz w:val="20"/>
                <w:szCs w:val="20"/>
              </w:rPr>
            </w:pPr>
            <w:r w:rsidRPr="00E72380">
              <w:rPr>
                <w:sz w:val="20"/>
                <w:szCs w:val="20"/>
              </w:rPr>
              <w:t xml:space="preserve">The European </w:t>
            </w:r>
            <w:r>
              <w:rPr>
                <w:sz w:val="20"/>
                <w:szCs w:val="20"/>
              </w:rPr>
              <w:t>M</w:t>
            </w:r>
            <w:r w:rsidRPr="00E72380">
              <w:rPr>
                <w:sz w:val="20"/>
                <w:szCs w:val="20"/>
              </w:rPr>
              <w:t xml:space="preserve">edicines </w:t>
            </w:r>
            <w:r>
              <w:rPr>
                <w:sz w:val="20"/>
                <w:szCs w:val="20"/>
              </w:rPr>
              <w:t>A</w:t>
            </w:r>
            <w:r w:rsidRPr="00E72380">
              <w:rPr>
                <w:sz w:val="20"/>
                <w:szCs w:val="20"/>
              </w:rPr>
              <w:t>gency (safety committee PRAC) review of serious, disabling and potentially permanent side effects with quinolone and fluoroquinolone antibiotics</w:t>
            </w:r>
            <w:r>
              <w:rPr>
                <w:sz w:val="20"/>
                <w:szCs w:val="20"/>
              </w:rPr>
              <w:t xml:space="preserve"> </w:t>
            </w:r>
            <w:r>
              <w:rPr>
                <w:noProof/>
                <w:sz w:val="20"/>
                <w:szCs w:val="20"/>
              </w:rPr>
              <w:t>[</w:t>
            </w:r>
            <w:r w:rsidR="00223CF0">
              <w:rPr>
                <w:noProof/>
                <w:sz w:val="20"/>
                <w:szCs w:val="20"/>
              </w:rPr>
              <w:t>7</w:t>
            </w:r>
            <w:r>
              <w:rPr>
                <w:noProof/>
                <w:sz w:val="20"/>
                <w:szCs w:val="20"/>
              </w:rPr>
              <w:t>]</w:t>
            </w:r>
          </w:p>
        </w:tc>
        <w:tc>
          <w:tcPr>
            <w:tcW w:w="3912" w:type="dxa"/>
          </w:tcPr>
          <w:p w14:paraId="6227F20B" w14:textId="77777777" w:rsidR="00054202" w:rsidRPr="00E72380" w:rsidRDefault="00054202" w:rsidP="005C59CB">
            <w:pPr>
              <w:rPr>
                <w:sz w:val="20"/>
                <w:szCs w:val="20"/>
              </w:rPr>
            </w:pPr>
            <w:r w:rsidRPr="00E72380">
              <w:rPr>
                <w:sz w:val="20"/>
                <w:szCs w:val="20"/>
              </w:rPr>
              <w:t>A final legally binding decision by the European Commission in March 2019 recommended increased caution with usage</w:t>
            </w:r>
          </w:p>
          <w:p w14:paraId="317D7108" w14:textId="77777777" w:rsidR="00054202" w:rsidRPr="00E72380" w:rsidRDefault="00054202" w:rsidP="005C59CB">
            <w:pPr>
              <w:rPr>
                <w:sz w:val="20"/>
                <w:szCs w:val="20"/>
              </w:rPr>
            </w:pPr>
          </w:p>
        </w:tc>
      </w:tr>
      <w:tr w:rsidR="00054202" w:rsidRPr="00E72380" w14:paraId="33FD2F24" w14:textId="77777777" w:rsidTr="005C59CB">
        <w:tc>
          <w:tcPr>
            <w:tcW w:w="1413" w:type="dxa"/>
          </w:tcPr>
          <w:p w14:paraId="47815967" w14:textId="77777777" w:rsidR="00054202" w:rsidRPr="00E72380" w:rsidRDefault="00054202" w:rsidP="005C59CB">
            <w:pPr>
              <w:rPr>
                <w:sz w:val="20"/>
                <w:szCs w:val="20"/>
              </w:rPr>
            </w:pPr>
            <w:r w:rsidRPr="00E72380">
              <w:rPr>
                <w:sz w:val="20"/>
                <w:szCs w:val="20"/>
              </w:rPr>
              <w:t>2019</w:t>
            </w:r>
          </w:p>
        </w:tc>
        <w:tc>
          <w:tcPr>
            <w:tcW w:w="3685" w:type="dxa"/>
          </w:tcPr>
          <w:p w14:paraId="484F903F" w14:textId="77777777" w:rsidR="00054202" w:rsidRPr="00E72380" w:rsidRDefault="00054202" w:rsidP="005C59CB">
            <w:pPr>
              <w:rPr>
                <w:sz w:val="20"/>
                <w:szCs w:val="20"/>
              </w:rPr>
            </w:pPr>
            <w:r w:rsidRPr="00E72380">
              <w:rPr>
                <w:sz w:val="20"/>
                <w:szCs w:val="20"/>
              </w:rPr>
              <w:t>Grand rounds presentation</w:t>
            </w:r>
            <w:r>
              <w:rPr>
                <w:sz w:val="20"/>
                <w:szCs w:val="20"/>
              </w:rPr>
              <w:t xml:space="preserve"> including presentation of a r</w:t>
            </w:r>
            <w:r w:rsidRPr="00E72380">
              <w:rPr>
                <w:sz w:val="20"/>
                <w:szCs w:val="20"/>
              </w:rPr>
              <w:t>eview of the restricted anti</w:t>
            </w:r>
            <w:r>
              <w:rPr>
                <w:sz w:val="20"/>
                <w:szCs w:val="20"/>
              </w:rPr>
              <w:t>microbial</w:t>
            </w:r>
            <w:r w:rsidRPr="00E72380">
              <w:rPr>
                <w:sz w:val="20"/>
                <w:szCs w:val="20"/>
              </w:rPr>
              <w:t xml:space="preserve"> prescribing process</w:t>
            </w:r>
          </w:p>
        </w:tc>
        <w:tc>
          <w:tcPr>
            <w:tcW w:w="3912" w:type="dxa"/>
          </w:tcPr>
          <w:p w14:paraId="2F5D93D5" w14:textId="77777777" w:rsidR="00054202" w:rsidRPr="00E72380" w:rsidRDefault="00054202" w:rsidP="005C59CB">
            <w:pPr>
              <w:rPr>
                <w:sz w:val="20"/>
                <w:szCs w:val="20"/>
              </w:rPr>
            </w:pPr>
            <w:r>
              <w:rPr>
                <w:sz w:val="20"/>
                <w:szCs w:val="20"/>
              </w:rPr>
              <w:t>Update of the restricted antimicrobial</w:t>
            </w:r>
            <w:r w:rsidRPr="00E72380">
              <w:rPr>
                <w:sz w:val="20"/>
                <w:szCs w:val="20"/>
              </w:rPr>
              <w:t xml:space="preserve"> prescribing</w:t>
            </w:r>
            <w:r>
              <w:rPr>
                <w:sz w:val="20"/>
                <w:szCs w:val="20"/>
              </w:rPr>
              <w:t xml:space="preserve"> policy</w:t>
            </w:r>
          </w:p>
        </w:tc>
      </w:tr>
      <w:tr w:rsidR="00054202" w:rsidRPr="00E72380" w14:paraId="38DE1612" w14:textId="77777777" w:rsidTr="005C59CB">
        <w:tc>
          <w:tcPr>
            <w:tcW w:w="1413" w:type="dxa"/>
          </w:tcPr>
          <w:p w14:paraId="13064CFA" w14:textId="77777777" w:rsidR="00054202" w:rsidRPr="00E72380" w:rsidRDefault="00054202" w:rsidP="005C59CB">
            <w:pPr>
              <w:rPr>
                <w:sz w:val="20"/>
                <w:szCs w:val="20"/>
              </w:rPr>
            </w:pPr>
            <w:r w:rsidRPr="00E72380">
              <w:rPr>
                <w:sz w:val="20"/>
                <w:szCs w:val="20"/>
              </w:rPr>
              <w:t>2020</w:t>
            </w:r>
          </w:p>
        </w:tc>
        <w:tc>
          <w:tcPr>
            <w:tcW w:w="3685" w:type="dxa"/>
          </w:tcPr>
          <w:p w14:paraId="73C3BE93" w14:textId="77777777" w:rsidR="00054202" w:rsidRPr="00E72380" w:rsidRDefault="00054202" w:rsidP="005C59CB">
            <w:pPr>
              <w:rPr>
                <w:sz w:val="20"/>
                <w:szCs w:val="20"/>
              </w:rPr>
            </w:pPr>
            <w:r w:rsidRPr="00E72380">
              <w:rPr>
                <w:sz w:val="20"/>
                <w:szCs w:val="20"/>
              </w:rPr>
              <w:t>March 9</w:t>
            </w:r>
            <w:r w:rsidRPr="00E72380">
              <w:rPr>
                <w:sz w:val="20"/>
                <w:szCs w:val="20"/>
                <w:vertAlign w:val="superscript"/>
              </w:rPr>
              <w:t>th</w:t>
            </w:r>
            <w:proofErr w:type="gramStart"/>
            <w:r w:rsidRPr="00E72380">
              <w:rPr>
                <w:sz w:val="20"/>
                <w:szCs w:val="20"/>
              </w:rPr>
              <w:t xml:space="preserve"> 2020</w:t>
            </w:r>
            <w:proofErr w:type="gramEnd"/>
            <w:r w:rsidRPr="00E72380">
              <w:rPr>
                <w:sz w:val="20"/>
                <w:szCs w:val="20"/>
              </w:rPr>
              <w:t xml:space="preserve"> 1</w:t>
            </w:r>
            <w:r w:rsidRPr="00E72380">
              <w:rPr>
                <w:sz w:val="20"/>
                <w:szCs w:val="20"/>
                <w:vertAlign w:val="superscript"/>
              </w:rPr>
              <w:t>st</w:t>
            </w:r>
            <w:r w:rsidRPr="00E72380">
              <w:rPr>
                <w:sz w:val="20"/>
                <w:szCs w:val="20"/>
              </w:rPr>
              <w:t xml:space="preserve"> in-patient diagnosed with Covid-19</w:t>
            </w:r>
          </w:p>
        </w:tc>
        <w:tc>
          <w:tcPr>
            <w:tcW w:w="3912" w:type="dxa"/>
          </w:tcPr>
          <w:p w14:paraId="3773109A" w14:textId="77777777" w:rsidR="00054202" w:rsidRDefault="00054202" w:rsidP="005C59CB">
            <w:pPr>
              <w:rPr>
                <w:sz w:val="20"/>
                <w:szCs w:val="20"/>
              </w:rPr>
            </w:pPr>
            <w:r>
              <w:rPr>
                <w:sz w:val="20"/>
                <w:szCs w:val="20"/>
              </w:rPr>
              <w:t>Reduced core AMS activity (in person ward rounds, audits, AMS meetings, education and training activities)</w:t>
            </w:r>
          </w:p>
          <w:p w14:paraId="5450BFE2" w14:textId="77777777" w:rsidR="00054202" w:rsidRPr="00E72380" w:rsidRDefault="00054202" w:rsidP="005C59CB">
            <w:pPr>
              <w:rPr>
                <w:sz w:val="20"/>
                <w:szCs w:val="20"/>
              </w:rPr>
            </w:pPr>
            <w:r>
              <w:rPr>
                <w:sz w:val="20"/>
                <w:szCs w:val="20"/>
              </w:rPr>
              <w:t>HSE interim guidelines on COVID-19 treatment guidelines</w:t>
            </w:r>
          </w:p>
        </w:tc>
      </w:tr>
    </w:tbl>
    <w:p w14:paraId="3EC5AB78" w14:textId="2403E03F" w:rsidR="00266E55" w:rsidRDefault="00266E55" w:rsidP="00266E55">
      <w:pPr>
        <w:rPr>
          <w:sz w:val="20"/>
          <w:szCs w:val="20"/>
          <w:lang w:val="en-IE"/>
        </w:rPr>
      </w:pPr>
      <w:r>
        <w:rPr>
          <w:sz w:val="20"/>
          <w:szCs w:val="20"/>
          <w:lang w:val="en-IE"/>
        </w:rPr>
        <w:t>Abbreviations: SARI-Strategy for the control of Antimicrobial Resistance in Ireland</w:t>
      </w:r>
    </w:p>
    <w:p w14:paraId="404FF88E" w14:textId="77777777" w:rsidR="00266E55" w:rsidRDefault="00266E55" w:rsidP="00266E55">
      <w:pPr>
        <w:rPr>
          <w:sz w:val="20"/>
          <w:szCs w:val="20"/>
          <w:lang w:val="en-IE"/>
        </w:rPr>
      </w:pPr>
      <w:r>
        <w:rPr>
          <w:sz w:val="20"/>
          <w:szCs w:val="20"/>
          <w:lang w:val="en-IE"/>
        </w:rPr>
        <w:t>SPC-Summaries of Product Characteristics</w:t>
      </w:r>
    </w:p>
    <w:p w14:paraId="56FF30E2" w14:textId="77777777" w:rsidR="00266E55" w:rsidRDefault="00266E55" w:rsidP="00266E55">
      <w:pPr>
        <w:rPr>
          <w:sz w:val="20"/>
          <w:szCs w:val="20"/>
          <w:lang w:val="en-IE"/>
        </w:rPr>
      </w:pPr>
      <w:r>
        <w:rPr>
          <w:sz w:val="20"/>
          <w:szCs w:val="20"/>
          <w:lang w:val="en-IE"/>
        </w:rPr>
        <w:t>EUCAST- European Committee on Antimicrobial Susceptibility Testing</w:t>
      </w:r>
    </w:p>
    <w:p w14:paraId="13B375F3" w14:textId="56EF24C2" w:rsidR="00223CF0" w:rsidRDefault="00266E55">
      <w:pPr>
        <w:rPr>
          <w:rFonts w:eastAsia="Times New Roman" w:cstheme="minorHAnsi"/>
          <w:sz w:val="20"/>
          <w:szCs w:val="20"/>
          <w:shd w:val="clear" w:color="auto" w:fill="FFFFFF"/>
          <w:lang w:val="en-IE" w:eastAsia="en-GB"/>
        </w:rPr>
      </w:pPr>
      <w:r>
        <w:rPr>
          <w:sz w:val="20"/>
          <w:szCs w:val="20"/>
          <w:lang w:val="en-IE"/>
        </w:rPr>
        <w:t>PRAC</w:t>
      </w:r>
      <w:r w:rsidRPr="00630B11">
        <w:rPr>
          <w:rFonts w:cstheme="minorHAnsi"/>
          <w:sz w:val="20"/>
          <w:szCs w:val="20"/>
          <w:lang w:val="en-IE"/>
        </w:rPr>
        <w:t>-</w:t>
      </w:r>
      <w:r w:rsidRPr="00630B11">
        <w:rPr>
          <w:rFonts w:eastAsia="Times New Roman" w:cstheme="minorHAnsi"/>
          <w:sz w:val="20"/>
          <w:szCs w:val="20"/>
          <w:lang w:val="en-IE" w:eastAsia="en-GB"/>
        </w:rPr>
        <w:t>Pharmacovigilance Risk Assessment Committee</w:t>
      </w:r>
      <w:r w:rsidRPr="00630B11">
        <w:rPr>
          <w:rFonts w:eastAsia="Times New Roman" w:cstheme="minorHAnsi"/>
          <w:sz w:val="20"/>
          <w:szCs w:val="20"/>
          <w:shd w:val="clear" w:color="auto" w:fill="FFFFFF"/>
          <w:lang w:val="en-IE" w:eastAsia="en-GB"/>
        </w:rPr>
        <w:t> </w:t>
      </w:r>
      <w:r>
        <w:rPr>
          <w:rFonts w:eastAsia="Times New Roman" w:cstheme="minorHAnsi"/>
          <w:sz w:val="20"/>
          <w:szCs w:val="20"/>
          <w:shd w:val="clear" w:color="auto" w:fill="FFFFFF"/>
          <w:lang w:val="en-IE" w:eastAsia="en-GB"/>
        </w:rPr>
        <w:t>of</w:t>
      </w:r>
      <w:r w:rsidRPr="00630B11">
        <w:rPr>
          <w:rFonts w:eastAsia="Times New Roman" w:cstheme="minorHAnsi"/>
          <w:sz w:val="20"/>
          <w:szCs w:val="20"/>
          <w:shd w:val="clear" w:color="auto" w:fill="FFFFFF"/>
          <w:lang w:val="en-IE" w:eastAsia="en-GB"/>
        </w:rPr>
        <w:t xml:space="preserve"> the European Medicines Agency</w:t>
      </w:r>
    </w:p>
    <w:p w14:paraId="1FA4D474" w14:textId="77777777" w:rsidR="00223CF0" w:rsidRPr="00223CF0" w:rsidRDefault="00223CF0" w:rsidP="00223CF0">
      <w:pPr>
        <w:contextualSpacing/>
        <w:rPr>
          <w:rFonts w:eastAsia="Times New Roman" w:cstheme="minorHAnsi"/>
          <w:sz w:val="20"/>
          <w:szCs w:val="20"/>
          <w:shd w:val="clear" w:color="auto" w:fill="FFFFFF"/>
          <w:lang w:val="en-IE" w:eastAsia="en-GB"/>
        </w:rPr>
      </w:pPr>
      <w:r w:rsidRPr="00223CF0">
        <w:rPr>
          <w:rFonts w:eastAsia="Times New Roman" w:cstheme="minorHAnsi"/>
          <w:sz w:val="20"/>
          <w:szCs w:val="20"/>
          <w:shd w:val="clear" w:color="auto" w:fill="FFFFFF"/>
          <w:lang w:val="en-IE" w:eastAsia="en-GB"/>
        </w:rPr>
        <w:lastRenderedPageBreak/>
        <w:t>References</w:t>
      </w:r>
    </w:p>
    <w:p w14:paraId="5C82EBBC" w14:textId="24276B26" w:rsidR="00223CF0" w:rsidRPr="00223CF0" w:rsidRDefault="00223CF0" w:rsidP="00223CF0">
      <w:pPr>
        <w:contextualSpacing/>
        <w:rPr>
          <w:rFonts w:cstheme="minorHAnsi"/>
          <w:color w:val="000000" w:themeColor="text1"/>
          <w:sz w:val="20"/>
          <w:szCs w:val="20"/>
        </w:rPr>
      </w:pPr>
      <w:r w:rsidRPr="00223CF0">
        <w:rPr>
          <w:rFonts w:eastAsia="Times New Roman" w:cstheme="minorHAnsi"/>
          <w:sz w:val="20"/>
          <w:szCs w:val="20"/>
          <w:shd w:val="clear" w:color="auto" w:fill="FFFFFF"/>
          <w:lang w:val="en-IE" w:eastAsia="en-GB"/>
        </w:rPr>
        <w:t xml:space="preserve">1 </w:t>
      </w:r>
      <w:r w:rsidRPr="00223CF0">
        <w:rPr>
          <w:noProof/>
          <w:color w:val="000000" w:themeColor="text1"/>
          <w:sz w:val="20"/>
          <w:szCs w:val="20"/>
        </w:rPr>
        <w:t xml:space="preserve">SARI Guidelines for Antimicrobial Stewardship in Hospitals in Ireland, 2009. </w:t>
      </w:r>
      <w:hyperlink r:id="rId6" w:history="1">
        <w:r w:rsidRPr="00223CF0">
          <w:rPr>
            <w:rStyle w:val="Hyperlink"/>
            <w:rFonts w:cstheme="minorHAnsi"/>
            <w:color w:val="000000" w:themeColor="text1"/>
            <w:sz w:val="20"/>
            <w:szCs w:val="20"/>
          </w:rPr>
          <w:t>https://www.hpsc.ie/a-z/microbiologyantimicrobialresistance/infectioncontrolandhai/guidelines/File,4116,en.pdf</w:t>
        </w:r>
      </w:hyperlink>
      <w:r w:rsidRPr="00223CF0">
        <w:rPr>
          <w:rFonts w:cstheme="minorHAnsi"/>
          <w:color w:val="000000" w:themeColor="text1"/>
          <w:sz w:val="20"/>
          <w:szCs w:val="20"/>
        </w:rPr>
        <w:t>.</w:t>
      </w:r>
    </w:p>
    <w:p w14:paraId="605E3734" w14:textId="2D570368" w:rsidR="00223CF0" w:rsidRPr="00223CF0" w:rsidRDefault="00223CF0" w:rsidP="00223CF0">
      <w:pPr>
        <w:pStyle w:val="EndNoteBibliography"/>
        <w:spacing w:after="0"/>
        <w:contextualSpacing/>
        <w:jc w:val="left"/>
        <w:rPr>
          <w:noProof/>
          <w:color w:val="000000" w:themeColor="text1"/>
          <w:sz w:val="20"/>
          <w:szCs w:val="20"/>
        </w:rPr>
      </w:pPr>
      <w:proofErr w:type="gramStart"/>
      <w:r w:rsidRPr="00223CF0">
        <w:rPr>
          <w:rFonts w:cstheme="minorHAnsi"/>
          <w:color w:val="000000" w:themeColor="text1"/>
          <w:sz w:val="20"/>
          <w:szCs w:val="20"/>
        </w:rPr>
        <w:t xml:space="preserve">2 </w:t>
      </w:r>
      <w:r w:rsidRPr="00223CF0">
        <w:rPr>
          <w:noProof/>
          <w:color w:val="000000" w:themeColor="text1"/>
          <w:sz w:val="20"/>
          <w:szCs w:val="20"/>
        </w:rPr>
        <w:t xml:space="preserve"> O'Riordan</w:t>
      </w:r>
      <w:proofErr w:type="gramEnd"/>
      <w:r w:rsidRPr="00223CF0">
        <w:rPr>
          <w:noProof/>
          <w:color w:val="000000" w:themeColor="text1"/>
          <w:sz w:val="20"/>
          <w:szCs w:val="20"/>
        </w:rPr>
        <w:t xml:space="preserve"> et al. J Antimicrob Chemother 2019;74(11):3352-61. </w:t>
      </w:r>
    </w:p>
    <w:p w14:paraId="1978A0EE" w14:textId="29A4F09E" w:rsidR="00223CF0" w:rsidRPr="00223CF0" w:rsidRDefault="00223CF0" w:rsidP="00223CF0">
      <w:pPr>
        <w:pStyle w:val="EndNoteBibliography"/>
        <w:spacing w:after="0"/>
        <w:contextualSpacing/>
        <w:jc w:val="left"/>
        <w:rPr>
          <w:noProof/>
          <w:color w:val="000000" w:themeColor="text1"/>
          <w:sz w:val="20"/>
          <w:szCs w:val="20"/>
        </w:rPr>
      </w:pPr>
      <w:r w:rsidRPr="00223CF0">
        <w:rPr>
          <w:noProof/>
          <w:color w:val="000000" w:themeColor="text1"/>
          <w:sz w:val="20"/>
          <w:szCs w:val="20"/>
        </w:rPr>
        <w:t>3 O'Riordan et al. Int J Clin Pharm 2021;43(3):532-40.</w:t>
      </w:r>
    </w:p>
    <w:p w14:paraId="37AFA4A8" w14:textId="6C1E2055" w:rsidR="00223CF0" w:rsidRPr="00223CF0" w:rsidRDefault="00223CF0" w:rsidP="00223CF0">
      <w:pPr>
        <w:pStyle w:val="EndNoteBibliography"/>
        <w:spacing w:after="0"/>
        <w:contextualSpacing/>
        <w:jc w:val="left"/>
        <w:rPr>
          <w:noProof/>
          <w:color w:val="000000" w:themeColor="text1"/>
          <w:sz w:val="20"/>
          <w:szCs w:val="20"/>
        </w:rPr>
      </w:pPr>
      <w:r w:rsidRPr="00223CF0">
        <w:rPr>
          <w:noProof/>
          <w:color w:val="000000" w:themeColor="text1"/>
          <w:sz w:val="20"/>
          <w:szCs w:val="20"/>
        </w:rPr>
        <w:t>4 Fahy et al. Infection Prevention in Practice 2020;2(4):100100.</w:t>
      </w:r>
    </w:p>
    <w:p w14:paraId="2EE4A45D" w14:textId="3E69924E" w:rsidR="00223CF0" w:rsidRPr="00223CF0" w:rsidRDefault="00223CF0" w:rsidP="00223CF0">
      <w:pPr>
        <w:contextualSpacing/>
        <w:rPr>
          <w:noProof/>
          <w:color w:val="000000" w:themeColor="text1"/>
          <w:sz w:val="20"/>
          <w:szCs w:val="20"/>
        </w:rPr>
      </w:pPr>
      <w:r w:rsidRPr="00223CF0">
        <w:rPr>
          <w:rFonts w:eastAsia="Times New Roman" w:cstheme="minorHAnsi"/>
          <w:sz w:val="20"/>
          <w:szCs w:val="20"/>
          <w:shd w:val="clear" w:color="auto" w:fill="FFFFFF"/>
          <w:lang w:val="en-IE" w:eastAsia="en-GB"/>
        </w:rPr>
        <w:t xml:space="preserve">5 </w:t>
      </w:r>
      <w:r w:rsidRPr="00223CF0">
        <w:rPr>
          <w:noProof/>
          <w:color w:val="000000" w:themeColor="text1"/>
          <w:sz w:val="20"/>
          <w:szCs w:val="20"/>
        </w:rPr>
        <w:t>Harris et al. Jama 2018;320(10):984-94.</w:t>
      </w:r>
    </w:p>
    <w:p w14:paraId="731E7E5E" w14:textId="65AA7CD0" w:rsidR="00223CF0" w:rsidRPr="00223CF0" w:rsidRDefault="00223CF0" w:rsidP="00223CF0">
      <w:pPr>
        <w:contextualSpacing/>
        <w:rPr>
          <w:noProof/>
          <w:color w:val="000000" w:themeColor="text1"/>
          <w:sz w:val="20"/>
          <w:szCs w:val="20"/>
        </w:rPr>
      </w:pPr>
      <w:r w:rsidRPr="00223CF0">
        <w:rPr>
          <w:noProof/>
          <w:color w:val="000000" w:themeColor="text1"/>
          <w:sz w:val="20"/>
          <w:szCs w:val="20"/>
        </w:rPr>
        <w:t xml:space="preserve">6 EUCAST. The European Committee on Antimicrobial Susceptibility Testing. Breakpoint tables for interpretation of MICs and zone diameters., 2019. </w:t>
      </w:r>
      <w:r w:rsidRPr="00223CF0">
        <w:rPr>
          <w:rFonts w:eastAsiaTheme="majorEastAsia"/>
          <w:noProof/>
          <w:color w:val="000000" w:themeColor="text1"/>
          <w:sz w:val="20"/>
          <w:szCs w:val="20"/>
        </w:rPr>
        <w:t>http://www.eucast.org</w:t>
      </w:r>
      <w:r w:rsidRPr="00223CF0">
        <w:rPr>
          <w:noProof/>
          <w:color w:val="000000" w:themeColor="text1"/>
          <w:sz w:val="20"/>
          <w:szCs w:val="20"/>
        </w:rPr>
        <w:t xml:space="preserve"> 2019</w:t>
      </w:r>
    </w:p>
    <w:p w14:paraId="58831C44" w14:textId="472821EB" w:rsidR="00223CF0" w:rsidRPr="00223CF0" w:rsidRDefault="00223CF0" w:rsidP="00223CF0">
      <w:pPr>
        <w:contextualSpacing/>
        <w:rPr>
          <w:rFonts w:eastAsia="Times New Roman" w:cstheme="minorHAnsi"/>
          <w:sz w:val="20"/>
          <w:szCs w:val="20"/>
          <w:shd w:val="clear" w:color="auto" w:fill="FFFFFF"/>
          <w:lang w:val="en-IE" w:eastAsia="en-GB"/>
        </w:rPr>
      </w:pPr>
      <w:r w:rsidRPr="00223CF0">
        <w:rPr>
          <w:noProof/>
          <w:color w:val="000000" w:themeColor="text1"/>
          <w:sz w:val="20"/>
          <w:szCs w:val="20"/>
        </w:rPr>
        <w:t xml:space="preserve">7 EMA. Disabling and potentially permanent side effects lead to suspension or restrictions of quinolone and fluoroquinolone antibiotics, 2019. </w:t>
      </w:r>
      <w:hyperlink r:id="rId7" w:history="1">
        <w:r w:rsidRPr="00223CF0">
          <w:rPr>
            <w:rStyle w:val="Hyperlink"/>
            <w:noProof/>
            <w:color w:val="000000" w:themeColor="text1"/>
            <w:sz w:val="20"/>
            <w:szCs w:val="20"/>
          </w:rPr>
          <w:t>https://www.ema.europa.eu/en/news/disabling-potentially-permanent-side-effects-lead-suspension-restrictions-quinolone-fluoroquinolone</w:t>
        </w:r>
      </w:hyperlink>
    </w:p>
    <w:p w14:paraId="2F620A82" w14:textId="20DF56EB" w:rsidR="00223CF0" w:rsidRPr="00223CF0" w:rsidRDefault="00223CF0" w:rsidP="00223CF0">
      <w:pPr>
        <w:contextualSpacing/>
        <w:rPr>
          <w:rFonts w:eastAsia="Times New Roman" w:cstheme="minorHAnsi"/>
          <w:sz w:val="20"/>
          <w:szCs w:val="20"/>
          <w:shd w:val="clear" w:color="auto" w:fill="FFFFFF"/>
          <w:lang w:val="en-IE" w:eastAsia="en-GB"/>
        </w:rPr>
      </w:pPr>
      <w:r w:rsidRPr="00223CF0">
        <w:rPr>
          <w:rFonts w:eastAsia="Times New Roman" w:cstheme="minorHAnsi"/>
          <w:sz w:val="20"/>
          <w:szCs w:val="20"/>
          <w:shd w:val="clear" w:color="auto" w:fill="FFFFFF"/>
          <w:lang w:val="en-IE" w:eastAsia="en-GB"/>
        </w:rPr>
        <w:br w:type="page"/>
      </w:r>
    </w:p>
    <w:p w14:paraId="5A0ED692" w14:textId="6C00ED09" w:rsidR="00266E55" w:rsidRDefault="00266E55" w:rsidP="00266E55">
      <w:r w:rsidRPr="00D22A48">
        <w:rPr>
          <w:b/>
          <w:bCs/>
        </w:rPr>
        <w:lastRenderedPageBreak/>
        <w:t>Supplementary Table II</w:t>
      </w:r>
      <w:r>
        <w:t>: Annual antimicrobial consumption trends for in-patient antibiotic use in the study hospital 2017-2020 (Mean annual DDD/100 bed days)</w:t>
      </w:r>
    </w:p>
    <w:p w14:paraId="064A8159" w14:textId="77777777" w:rsidR="00266E55" w:rsidRDefault="00266E55" w:rsidP="00266E55"/>
    <w:tbl>
      <w:tblPr>
        <w:tblStyle w:val="PlainTable2"/>
        <w:tblW w:w="0" w:type="auto"/>
        <w:tblLayout w:type="fixed"/>
        <w:tblLook w:val="0420" w:firstRow="1" w:lastRow="0" w:firstColumn="0" w:lastColumn="0" w:noHBand="0" w:noVBand="1"/>
      </w:tblPr>
      <w:tblGrid>
        <w:gridCol w:w="2410"/>
        <w:gridCol w:w="1147"/>
        <w:gridCol w:w="1107"/>
        <w:gridCol w:w="1107"/>
        <w:gridCol w:w="871"/>
        <w:gridCol w:w="1388"/>
        <w:gridCol w:w="990"/>
      </w:tblGrid>
      <w:tr w:rsidR="00266E55" w14:paraId="4FE596E5" w14:textId="77777777" w:rsidTr="00423FDB">
        <w:trPr>
          <w:cnfStyle w:val="100000000000" w:firstRow="1" w:lastRow="0" w:firstColumn="0" w:lastColumn="0" w:oddVBand="0" w:evenVBand="0" w:oddHBand="0" w:evenHBand="0" w:firstRowFirstColumn="0" w:firstRowLastColumn="0" w:lastRowFirstColumn="0" w:lastRowLastColumn="0"/>
        </w:trPr>
        <w:tc>
          <w:tcPr>
            <w:tcW w:w="2410" w:type="dxa"/>
          </w:tcPr>
          <w:p w14:paraId="7350F2CB" w14:textId="77777777" w:rsidR="00266E55" w:rsidRPr="002E747B" w:rsidRDefault="00266E55" w:rsidP="00423FDB">
            <w:pPr>
              <w:spacing w:before="40" w:after="40"/>
              <w:ind w:right="120"/>
              <w:rPr>
                <w:rFonts w:cstheme="minorHAnsi"/>
                <w:sz w:val="22"/>
                <w:szCs w:val="22"/>
              </w:rPr>
            </w:pPr>
            <w:r w:rsidRPr="002E747B">
              <w:rPr>
                <w:rFonts w:eastAsia="Helvetica" w:cstheme="minorHAnsi"/>
                <w:b w:val="0"/>
                <w:color w:val="000000"/>
                <w:sz w:val="22"/>
                <w:szCs w:val="22"/>
              </w:rPr>
              <w:t>Anti</w:t>
            </w:r>
            <w:r>
              <w:rPr>
                <w:rFonts w:eastAsia="Helvetica" w:cstheme="minorHAnsi"/>
                <w:b w:val="0"/>
                <w:color w:val="000000"/>
                <w:sz w:val="22"/>
                <w:szCs w:val="22"/>
              </w:rPr>
              <w:t>microbial</w:t>
            </w:r>
          </w:p>
        </w:tc>
        <w:tc>
          <w:tcPr>
            <w:tcW w:w="1147" w:type="dxa"/>
          </w:tcPr>
          <w:p w14:paraId="037F502F"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b w:val="0"/>
                <w:color w:val="000000"/>
                <w:sz w:val="22"/>
                <w:szCs w:val="22"/>
              </w:rPr>
              <w:t>2017</w:t>
            </w:r>
          </w:p>
        </w:tc>
        <w:tc>
          <w:tcPr>
            <w:tcW w:w="1107" w:type="dxa"/>
          </w:tcPr>
          <w:p w14:paraId="4633C70F"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b w:val="0"/>
                <w:color w:val="000000"/>
                <w:sz w:val="22"/>
                <w:szCs w:val="22"/>
              </w:rPr>
              <w:t>2018</w:t>
            </w:r>
          </w:p>
        </w:tc>
        <w:tc>
          <w:tcPr>
            <w:tcW w:w="1107" w:type="dxa"/>
          </w:tcPr>
          <w:p w14:paraId="4B6855D4"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b w:val="0"/>
                <w:color w:val="000000"/>
                <w:sz w:val="22"/>
                <w:szCs w:val="22"/>
              </w:rPr>
              <w:t>2019</w:t>
            </w:r>
          </w:p>
        </w:tc>
        <w:tc>
          <w:tcPr>
            <w:tcW w:w="871" w:type="dxa"/>
          </w:tcPr>
          <w:p w14:paraId="7CB17583"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b w:val="0"/>
                <w:color w:val="000000"/>
                <w:sz w:val="22"/>
                <w:szCs w:val="22"/>
              </w:rPr>
              <w:t>2020</w:t>
            </w:r>
          </w:p>
        </w:tc>
        <w:tc>
          <w:tcPr>
            <w:tcW w:w="1388" w:type="dxa"/>
          </w:tcPr>
          <w:p w14:paraId="3EF61814" w14:textId="77777777" w:rsidR="00266E55" w:rsidRPr="002E747B" w:rsidRDefault="00266E55" w:rsidP="00423FDB">
            <w:pPr>
              <w:spacing w:before="40" w:after="40"/>
              <w:ind w:left="120"/>
              <w:jc w:val="center"/>
              <w:rPr>
                <w:rFonts w:eastAsia="Helvetica" w:cstheme="minorHAnsi"/>
                <w:b w:val="0"/>
                <w:bCs w:val="0"/>
                <w:color w:val="000000"/>
                <w:sz w:val="22"/>
                <w:szCs w:val="22"/>
              </w:rPr>
            </w:pPr>
            <w:r w:rsidRPr="002E747B">
              <w:rPr>
                <w:rFonts w:eastAsia="Helvetica" w:cstheme="minorHAnsi"/>
                <w:b w:val="0"/>
                <w:bCs w:val="0"/>
                <w:color w:val="000000"/>
                <w:sz w:val="22"/>
                <w:szCs w:val="22"/>
              </w:rPr>
              <w:t>Trend</w:t>
            </w:r>
          </w:p>
        </w:tc>
        <w:tc>
          <w:tcPr>
            <w:tcW w:w="990" w:type="dxa"/>
          </w:tcPr>
          <w:p w14:paraId="020689EA"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b w:val="0"/>
                <w:color w:val="000000"/>
                <w:sz w:val="22"/>
                <w:szCs w:val="22"/>
              </w:rPr>
              <w:t>p-value of trend</w:t>
            </w:r>
          </w:p>
        </w:tc>
      </w:tr>
      <w:tr w:rsidR="00266E55" w14:paraId="224E2CAB" w14:textId="77777777" w:rsidTr="00423FDB">
        <w:trPr>
          <w:cnfStyle w:val="000000100000" w:firstRow="0" w:lastRow="0" w:firstColumn="0" w:lastColumn="0" w:oddVBand="0" w:evenVBand="0" w:oddHBand="1" w:evenHBand="0" w:firstRowFirstColumn="0" w:firstRowLastColumn="0" w:lastRowFirstColumn="0" w:lastRowLastColumn="0"/>
        </w:trPr>
        <w:tc>
          <w:tcPr>
            <w:tcW w:w="9020" w:type="dxa"/>
            <w:gridSpan w:val="7"/>
          </w:tcPr>
          <w:p w14:paraId="35DAB493" w14:textId="77777777" w:rsidR="00266E55" w:rsidRPr="002E747B" w:rsidRDefault="00266E55" w:rsidP="00423FDB">
            <w:pPr>
              <w:spacing w:before="40" w:after="40"/>
              <w:ind w:left="120"/>
              <w:rPr>
                <w:rFonts w:eastAsia="Helvetica" w:cstheme="minorHAnsi"/>
                <w:color w:val="000000"/>
                <w:sz w:val="22"/>
                <w:szCs w:val="22"/>
              </w:rPr>
            </w:pPr>
            <w:r w:rsidRPr="002E747B">
              <w:rPr>
                <w:rFonts w:eastAsia="Helvetica" w:cstheme="minorHAnsi"/>
                <w:color w:val="000000"/>
                <w:sz w:val="22"/>
                <w:szCs w:val="22"/>
              </w:rPr>
              <w:t>Third Generation cephalosporin</w:t>
            </w:r>
          </w:p>
        </w:tc>
      </w:tr>
      <w:tr w:rsidR="00266E55" w14:paraId="693832BA" w14:textId="77777777" w:rsidTr="00423FDB">
        <w:tc>
          <w:tcPr>
            <w:tcW w:w="2410" w:type="dxa"/>
          </w:tcPr>
          <w:p w14:paraId="2C14579E" w14:textId="77777777" w:rsidR="00266E55" w:rsidRPr="002E747B" w:rsidRDefault="00266E55" w:rsidP="00423FDB">
            <w:pPr>
              <w:spacing w:before="40" w:after="40"/>
              <w:ind w:right="120"/>
              <w:rPr>
                <w:rFonts w:eastAsia="Helvetica" w:cstheme="minorHAnsi"/>
                <w:color w:val="000000"/>
                <w:sz w:val="22"/>
                <w:szCs w:val="22"/>
              </w:rPr>
            </w:pPr>
            <w:r w:rsidRPr="002E747B">
              <w:rPr>
                <w:rFonts w:eastAsia="Helvetica" w:cstheme="minorHAnsi"/>
                <w:color w:val="000000"/>
                <w:sz w:val="22"/>
                <w:szCs w:val="22"/>
              </w:rPr>
              <w:t>Ceftriaxone</w:t>
            </w:r>
          </w:p>
        </w:tc>
        <w:tc>
          <w:tcPr>
            <w:tcW w:w="1147" w:type="dxa"/>
          </w:tcPr>
          <w:p w14:paraId="2372046B"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1.8</w:t>
            </w:r>
          </w:p>
        </w:tc>
        <w:tc>
          <w:tcPr>
            <w:tcW w:w="1107" w:type="dxa"/>
          </w:tcPr>
          <w:p w14:paraId="6820434D"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2.27</w:t>
            </w:r>
          </w:p>
        </w:tc>
        <w:tc>
          <w:tcPr>
            <w:tcW w:w="1107" w:type="dxa"/>
          </w:tcPr>
          <w:p w14:paraId="38C2D749"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2.8</w:t>
            </w:r>
          </w:p>
        </w:tc>
        <w:tc>
          <w:tcPr>
            <w:tcW w:w="871" w:type="dxa"/>
          </w:tcPr>
          <w:p w14:paraId="25C9DE18"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4.59</w:t>
            </w:r>
          </w:p>
        </w:tc>
        <w:tc>
          <w:tcPr>
            <w:tcW w:w="1388" w:type="dxa"/>
          </w:tcPr>
          <w:p w14:paraId="4C59F8A3" w14:textId="77777777" w:rsidR="00266E55" w:rsidRPr="002E747B" w:rsidRDefault="00266E55" w:rsidP="00423FDB">
            <w:pPr>
              <w:spacing w:before="40" w:after="40"/>
              <w:ind w:left="120"/>
              <w:jc w:val="center"/>
              <w:rPr>
                <w:rFonts w:eastAsia="Helvetica" w:cstheme="minorHAnsi"/>
                <w:b/>
                <w:bCs/>
                <w:color w:val="000000"/>
                <w:sz w:val="22"/>
                <w:szCs w:val="22"/>
              </w:rPr>
            </w:pPr>
            <w:r w:rsidRPr="002E747B">
              <w:rPr>
                <w:rFonts w:eastAsia="Helvetica" w:cstheme="minorHAnsi"/>
                <w:color w:val="000000"/>
                <w:sz w:val="22"/>
                <w:szCs w:val="22"/>
              </w:rPr>
              <w:t>Increasing</w:t>
            </w:r>
          </w:p>
        </w:tc>
        <w:tc>
          <w:tcPr>
            <w:tcW w:w="990" w:type="dxa"/>
          </w:tcPr>
          <w:p w14:paraId="32A46EB7"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0.0006</w:t>
            </w:r>
          </w:p>
        </w:tc>
      </w:tr>
      <w:tr w:rsidR="00266E55" w14:paraId="6F7D8140" w14:textId="77777777" w:rsidTr="00423FDB">
        <w:trPr>
          <w:cnfStyle w:val="000000100000" w:firstRow="0" w:lastRow="0" w:firstColumn="0" w:lastColumn="0" w:oddVBand="0" w:evenVBand="0" w:oddHBand="1" w:evenHBand="0" w:firstRowFirstColumn="0" w:firstRowLastColumn="0" w:lastRowFirstColumn="0" w:lastRowLastColumn="0"/>
        </w:trPr>
        <w:tc>
          <w:tcPr>
            <w:tcW w:w="9020" w:type="dxa"/>
            <w:gridSpan w:val="7"/>
          </w:tcPr>
          <w:p w14:paraId="2BFEF804" w14:textId="77777777" w:rsidR="00266E55" w:rsidRPr="002E747B" w:rsidRDefault="00266E55" w:rsidP="00423FDB">
            <w:pPr>
              <w:spacing w:before="40" w:after="40"/>
              <w:ind w:left="120"/>
              <w:rPr>
                <w:rFonts w:eastAsia="Helvetica" w:cstheme="minorHAnsi"/>
                <w:color w:val="000000"/>
                <w:sz w:val="22"/>
                <w:szCs w:val="22"/>
              </w:rPr>
            </w:pPr>
            <w:r w:rsidRPr="002E747B">
              <w:rPr>
                <w:rFonts w:eastAsia="Helvetica" w:cstheme="minorHAnsi"/>
                <w:color w:val="000000"/>
                <w:sz w:val="22"/>
                <w:szCs w:val="22"/>
              </w:rPr>
              <w:t>Carbapenems</w:t>
            </w:r>
          </w:p>
        </w:tc>
      </w:tr>
      <w:tr w:rsidR="00266E55" w14:paraId="3AF95DAF" w14:textId="77777777" w:rsidTr="00423FDB">
        <w:tc>
          <w:tcPr>
            <w:tcW w:w="2410" w:type="dxa"/>
          </w:tcPr>
          <w:p w14:paraId="3CD45F40" w14:textId="77777777" w:rsidR="00266E55" w:rsidRPr="002E747B" w:rsidRDefault="00266E55" w:rsidP="00423FDB">
            <w:pPr>
              <w:spacing w:before="40" w:after="40"/>
              <w:ind w:right="120"/>
              <w:rPr>
                <w:rFonts w:cstheme="minorHAnsi"/>
                <w:sz w:val="22"/>
                <w:szCs w:val="22"/>
              </w:rPr>
            </w:pPr>
            <w:r w:rsidRPr="002E747B">
              <w:rPr>
                <w:rFonts w:eastAsia="Helvetica" w:cstheme="minorHAnsi"/>
                <w:color w:val="000000"/>
                <w:sz w:val="22"/>
                <w:szCs w:val="22"/>
              </w:rPr>
              <w:t>Ertapenem</w:t>
            </w:r>
          </w:p>
        </w:tc>
        <w:tc>
          <w:tcPr>
            <w:tcW w:w="1147" w:type="dxa"/>
          </w:tcPr>
          <w:p w14:paraId="3A56DC6A"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0</w:t>
            </w:r>
          </w:p>
        </w:tc>
        <w:tc>
          <w:tcPr>
            <w:tcW w:w="1107" w:type="dxa"/>
          </w:tcPr>
          <w:p w14:paraId="315290E5"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0</w:t>
            </w:r>
          </w:p>
        </w:tc>
        <w:tc>
          <w:tcPr>
            <w:tcW w:w="1107" w:type="dxa"/>
          </w:tcPr>
          <w:p w14:paraId="478D787C"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0.0497</w:t>
            </w:r>
          </w:p>
        </w:tc>
        <w:tc>
          <w:tcPr>
            <w:tcW w:w="871" w:type="dxa"/>
          </w:tcPr>
          <w:p w14:paraId="1953F7FA"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color w:val="000000"/>
                <w:sz w:val="22"/>
                <w:szCs w:val="22"/>
              </w:rPr>
              <w:t>0.212</w:t>
            </w:r>
          </w:p>
        </w:tc>
        <w:tc>
          <w:tcPr>
            <w:tcW w:w="1388" w:type="dxa"/>
          </w:tcPr>
          <w:p w14:paraId="455CFDDF"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Increasing</w:t>
            </w:r>
          </w:p>
        </w:tc>
        <w:tc>
          <w:tcPr>
            <w:tcW w:w="990" w:type="dxa"/>
          </w:tcPr>
          <w:p w14:paraId="1B843BDD"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color w:val="000000"/>
                <w:sz w:val="22"/>
                <w:szCs w:val="22"/>
              </w:rPr>
              <w:t>0.011</w:t>
            </w:r>
          </w:p>
        </w:tc>
      </w:tr>
      <w:tr w:rsidR="00266E55" w14:paraId="304E8506" w14:textId="77777777" w:rsidTr="00423FDB">
        <w:trPr>
          <w:cnfStyle w:val="000000100000" w:firstRow="0" w:lastRow="0" w:firstColumn="0" w:lastColumn="0" w:oddVBand="0" w:evenVBand="0" w:oddHBand="1" w:evenHBand="0" w:firstRowFirstColumn="0" w:firstRowLastColumn="0" w:lastRowFirstColumn="0" w:lastRowLastColumn="0"/>
        </w:trPr>
        <w:tc>
          <w:tcPr>
            <w:tcW w:w="2410" w:type="dxa"/>
          </w:tcPr>
          <w:p w14:paraId="0B8BD898" w14:textId="77777777" w:rsidR="00266E55" w:rsidRPr="002E747B" w:rsidRDefault="00266E55" w:rsidP="00423FDB">
            <w:pPr>
              <w:spacing w:before="40" w:after="40"/>
              <w:ind w:right="120"/>
              <w:rPr>
                <w:rFonts w:eastAsia="Helvetica" w:cstheme="minorHAnsi"/>
                <w:color w:val="000000"/>
                <w:sz w:val="22"/>
                <w:szCs w:val="22"/>
              </w:rPr>
            </w:pPr>
            <w:r w:rsidRPr="002E747B">
              <w:rPr>
                <w:rFonts w:eastAsia="Helvetica" w:cstheme="minorHAnsi"/>
                <w:color w:val="000000"/>
                <w:sz w:val="22"/>
                <w:szCs w:val="22"/>
              </w:rPr>
              <w:t>Meropenem</w:t>
            </w:r>
          </w:p>
        </w:tc>
        <w:tc>
          <w:tcPr>
            <w:tcW w:w="1147" w:type="dxa"/>
          </w:tcPr>
          <w:p w14:paraId="0F0106C7"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2.75</w:t>
            </w:r>
          </w:p>
        </w:tc>
        <w:tc>
          <w:tcPr>
            <w:tcW w:w="1107" w:type="dxa"/>
          </w:tcPr>
          <w:p w14:paraId="356DC5AD"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2.76</w:t>
            </w:r>
          </w:p>
        </w:tc>
        <w:tc>
          <w:tcPr>
            <w:tcW w:w="1107" w:type="dxa"/>
          </w:tcPr>
          <w:p w14:paraId="4F455F54"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2.98</w:t>
            </w:r>
          </w:p>
        </w:tc>
        <w:tc>
          <w:tcPr>
            <w:tcW w:w="871" w:type="dxa"/>
          </w:tcPr>
          <w:p w14:paraId="3366FF6B"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3.53</w:t>
            </w:r>
          </w:p>
        </w:tc>
        <w:tc>
          <w:tcPr>
            <w:tcW w:w="1388" w:type="dxa"/>
          </w:tcPr>
          <w:p w14:paraId="116186EA"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Increasing</w:t>
            </w:r>
          </w:p>
        </w:tc>
        <w:tc>
          <w:tcPr>
            <w:tcW w:w="990" w:type="dxa"/>
          </w:tcPr>
          <w:p w14:paraId="658166B8"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0.054</w:t>
            </w:r>
          </w:p>
        </w:tc>
      </w:tr>
      <w:tr w:rsidR="00266E55" w14:paraId="198C2831" w14:textId="77777777" w:rsidTr="00423FDB">
        <w:tc>
          <w:tcPr>
            <w:tcW w:w="9020" w:type="dxa"/>
            <w:gridSpan w:val="7"/>
          </w:tcPr>
          <w:p w14:paraId="4F520B66" w14:textId="77777777" w:rsidR="00266E55" w:rsidRPr="002E747B" w:rsidRDefault="00266E55" w:rsidP="00423FDB">
            <w:pPr>
              <w:spacing w:before="40" w:after="40"/>
              <w:ind w:left="120"/>
              <w:rPr>
                <w:rFonts w:eastAsia="Helvetica" w:cstheme="minorHAnsi"/>
                <w:color w:val="000000"/>
                <w:sz w:val="22"/>
                <w:szCs w:val="22"/>
              </w:rPr>
            </w:pPr>
            <w:r w:rsidRPr="002E747B">
              <w:rPr>
                <w:rFonts w:eastAsia="Helvetica" w:cstheme="minorHAnsi"/>
                <w:color w:val="000000"/>
                <w:sz w:val="22"/>
                <w:szCs w:val="22"/>
              </w:rPr>
              <w:t>Fluroquinolones</w:t>
            </w:r>
          </w:p>
        </w:tc>
      </w:tr>
      <w:tr w:rsidR="00266E55" w14:paraId="3DDDB477" w14:textId="77777777" w:rsidTr="00423FDB">
        <w:trPr>
          <w:cnfStyle w:val="000000100000" w:firstRow="0" w:lastRow="0" w:firstColumn="0" w:lastColumn="0" w:oddVBand="0" w:evenVBand="0" w:oddHBand="1" w:evenHBand="0" w:firstRowFirstColumn="0" w:firstRowLastColumn="0" w:lastRowFirstColumn="0" w:lastRowLastColumn="0"/>
        </w:trPr>
        <w:tc>
          <w:tcPr>
            <w:tcW w:w="2410" w:type="dxa"/>
          </w:tcPr>
          <w:p w14:paraId="30EE9500" w14:textId="77777777" w:rsidR="00266E55" w:rsidRPr="002E747B" w:rsidRDefault="00266E55" w:rsidP="00423FDB">
            <w:pPr>
              <w:spacing w:before="40" w:after="40"/>
              <w:ind w:right="120"/>
              <w:rPr>
                <w:rFonts w:cstheme="minorHAnsi"/>
                <w:sz w:val="22"/>
                <w:szCs w:val="22"/>
              </w:rPr>
            </w:pPr>
            <w:r w:rsidRPr="002E747B">
              <w:rPr>
                <w:rFonts w:eastAsia="Helvetica" w:cstheme="minorHAnsi"/>
                <w:color w:val="000000"/>
                <w:sz w:val="22"/>
                <w:szCs w:val="22"/>
              </w:rPr>
              <w:t>Ciprofloxacin</w:t>
            </w:r>
          </w:p>
        </w:tc>
        <w:tc>
          <w:tcPr>
            <w:tcW w:w="1147" w:type="dxa"/>
          </w:tcPr>
          <w:p w14:paraId="4BD6F97D"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7.1</w:t>
            </w:r>
          </w:p>
        </w:tc>
        <w:tc>
          <w:tcPr>
            <w:tcW w:w="1107" w:type="dxa"/>
          </w:tcPr>
          <w:p w14:paraId="112E1E1C"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6.11</w:t>
            </w:r>
          </w:p>
        </w:tc>
        <w:tc>
          <w:tcPr>
            <w:tcW w:w="1107" w:type="dxa"/>
          </w:tcPr>
          <w:p w14:paraId="3145C8A7"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6.24</w:t>
            </w:r>
          </w:p>
        </w:tc>
        <w:tc>
          <w:tcPr>
            <w:tcW w:w="871" w:type="dxa"/>
          </w:tcPr>
          <w:p w14:paraId="5D2F7626"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color w:val="000000"/>
                <w:sz w:val="22"/>
                <w:szCs w:val="22"/>
              </w:rPr>
              <w:t>5.24</w:t>
            </w:r>
          </w:p>
        </w:tc>
        <w:tc>
          <w:tcPr>
            <w:tcW w:w="1388" w:type="dxa"/>
          </w:tcPr>
          <w:p w14:paraId="00D47496"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Decreasing</w:t>
            </w:r>
          </w:p>
        </w:tc>
        <w:tc>
          <w:tcPr>
            <w:tcW w:w="990" w:type="dxa"/>
          </w:tcPr>
          <w:p w14:paraId="71895DBB"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color w:val="000000"/>
                <w:sz w:val="22"/>
                <w:szCs w:val="22"/>
              </w:rPr>
              <w:t>0.0012</w:t>
            </w:r>
          </w:p>
        </w:tc>
      </w:tr>
      <w:tr w:rsidR="00266E55" w14:paraId="4EC8B47D" w14:textId="77777777" w:rsidTr="00423FDB">
        <w:tc>
          <w:tcPr>
            <w:tcW w:w="2410" w:type="dxa"/>
          </w:tcPr>
          <w:p w14:paraId="7D60FD0A" w14:textId="77777777" w:rsidR="00266E55" w:rsidRPr="002E747B" w:rsidRDefault="00266E55" w:rsidP="00423FDB">
            <w:pPr>
              <w:spacing w:before="40" w:after="40"/>
              <w:ind w:right="120"/>
              <w:rPr>
                <w:rFonts w:cstheme="minorHAnsi"/>
                <w:sz w:val="22"/>
                <w:szCs w:val="22"/>
              </w:rPr>
            </w:pPr>
            <w:r w:rsidRPr="002E747B">
              <w:rPr>
                <w:rFonts w:eastAsia="Helvetica" w:cstheme="minorHAnsi"/>
                <w:color w:val="000000"/>
                <w:sz w:val="22"/>
                <w:szCs w:val="22"/>
              </w:rPr>
              <w:t>Levofloxacin</w:t>
            </w:r>
          </w:p>
        </w:tc>
        <w:tc>
          <w:tcPr>
            <w:tcW w:w="1147" w:type="dxa"/>
          </w:tcPr>
          <w:p w14:paraId="0CD8513C"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1.01</w:t>
            </w:r>
          </w:p>
        </w:tc>
        <w:tc>
          <w:tcPr>
            <w:tcW w:w="1107" w:type="dxa"/>
          </w:tcPr>
          <w:p w14:paraId="61B13426"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1.01</w:t>
            </w:r>
          </w:p>
        </w:tc>
        <w:tc>
          <w:tcPr>
            <w:tcW w:w="1107" w:type="dxa"/>
          </w:tcPr>
          <w:p w14:paraId="662A8F56"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2.89</w:t>
            </w:r>
          </w:p>
        </w:tc>
        <w:tc>
          <w:tcPr>
            <w:tcW w:w="871" w:type="dxa"/>
          </w:tcPr>
          <w:p w14:paraId="09C9C7E9"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color w:val="000000"/>
                <w:sz w:val="22"/>
                <w:szCs w:val="22"/>
              </w:rPr>
              <w:t>1.61</w:t>
            </w:r>
          </w:p>
        </w:tc>
        <w:tc>
          <w:tcPr>
            <w:tcW w:w="1388" w:type="dxa"/>
          </w:tcPr>
          <w:p w14:paraId="1D06FE2D"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Increasing</w:t>
            </w:r>
          </w:p>
        </w:tc>
        <w:tc>
          <w:tcPr>
            <w:tcW w:w="990" w:type="dxa"/>
          </w:tcPr>
          <w:p w14:paraId="3051D798"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color w:val="000000"/>
                <w:sz w:val="22"/>
                <w:szCs w:val="22"/>
              </w:rPr>
              <w:t>0.076</w:t>
            </w:r>
          </w:p>
        </w:tc>
      </w:tr>
      <w:tr w:rsidR="00266E55" w14:paraId="7CB080B1" w14:textId="77777777" w:rsidTr="00423FDB">
        <w:trPr>
          <w:cnfStyle w:val="000000100000" w:firstRow="0" w:lastRow="0" w:firstColumn="0" w:lastColumn="0" w:oddVBand="0" w:evenVBand="0" w:oddHBand="1" w:evenHBand="0" w:firstRowFirstColumn="0" w:firstRowLastColumn="0" w:lastRowFirstColumn="0" w:lastRowLastColumn="0"/>
        </w:trPr>
        <w:tc>
          <w:tcPr>
            <w:tcW w:w="9020" w:type="dxa"/>
            <w:gridSpan w:val="7"/>
          </w:tcPr>
          <w:p w14:paraId="04C10A30" w14:textId="77777777" w:rsidR="00266E55" w:rsidRPr="002E747B" w:rsidRDefault="00266E55" w:rsidP="00423FDB">
            <w:pPr>
              <w:spacing w:before="40" w:after="40"/>
              <w:ind w:left="120"/>
              <w:rPr>
                <w:rFonts w:eastAsia="Helvetica" w:cstheme="minorHAnsi"/>
                <w:color w:val="000000"/>
                <w:sz w:val="22"/>
                <w:szCs w:val="22"/>
              </w:rPr>
            </w:pPr>
            <w:r w:rsidRPr="002E747B">
              <w:rPr>
                <w:rFonts w:eastAsia="Helvetica" w:cstheme="minorHAnsi"/>
                <w:color w:val="000000"/>
                <w:sz w:val="22"/>
                <w:szCs w:val="22"/>
              </w:rPr>
              <w:t>Aminoglycosides</w:t>
            </w:r>
          </w:p>
        </w:tc>
      </w:tr>
      <w:tr w:rsidR="00266E55" w14:paraId="1D354CAD" w14:textId="77777777" w:rsidTr="00423FDB">
        <w:tc>
          <w:tcPr>
            <w:tcW w:w="2410" w:type="dxa"/>
          </w:tcPr>
          <w:p w14:paraId="1A45FB6B" w14:textId="77777777" w:rsidR="00266E55" w:rsidRPr="002E747B" w:rsidRDefault="00266E55" w:rsidP="00423FDB">
            <w:pPr>
              <w:spacing w:before="40" w:after="40"/>
              <w:ind w:right="120"/>
              <w:rPr>
                <w:rFonts w:eastAsia="Helvetica" w:cstheme="minorHAnsi"/>
                <w:color w:val="000000"/>
                <w:sz w:val="22"/>
                <w:szCs w:val="22"/>
              </w:rPr>
            </w:pPr>
            <w:r w:rsidRPr="002E747B">
              <w:rPr>
                <w:rFonts w:eastAsia="Helvetica" w:cstheme="minorHAnsi"/>
                <w:color w:val="000000"/>
                <w:sz w:val="22"/>
                <w:szCs w:val="22"/>
              </w:rPr>
              <w:t>Gentamicin</w:t>
            </w:r>
          </w:p>
        </w:tc>
        <w:tc>
          <w:tcPr>
            <w:tcW w:w="1147" w:type="dxa"/>
          </w:tcPr>
          <w:p w14:paraId="09CAE7C1"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4.45</w:t>
            </w:r>
          </w:p>
        </w:tc>
        <w:tc>
          <w:tcPr>
            <w:tcW w:w="1107" w:type="dxa"/>
          </w:tcPr>
          <w:p w14:paraId="48298D36"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5.32</w:t>
            </w:r>
          </w:p>
        </w:tc>
        <w:tc>
          <w:tcPr>
            <w:tcW w:w="1107" w:type="dxa"/>
          </w:tcPr>
          <w:p w14:paraId="7D1B2FFF"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4.38</w:t>
            </w:r>
          </w:p>
        </w:tc>
        <w:tc>
          <w:tcPr>
            <w:tcW w:w="871" w:type="dxa"/>
          </w:tcPr>
          <w:p w14:paraId="170D529C"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3.88</w:t>
            </w:r>
          </w:p>
        </w:tc>
        <w:tc>
          <w:tcPr>
            <w:tcW w:w="1388" w:type="dxa"/>
          </w:tcPr>
          <w:p w14:paraId="7526DFA5"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Decreasing</w:t>
            </w:r>
          </w:p>
        </w:tc>
        <w:tc>
          <w:tcPr>
            <w:tcW w:w="990" w:type="dxa"/>
          </w:tcPr>
          <w:p w14:paraId="6F5EA6E3"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0.057</w:t>
            </w:r>
          </w:p>
        </w:tc>
      </w:tr>
      <w:tr w:rsidR="00266E55" w14:paraId="31517CC1" w14:textId="77777777" w:rsidTr="00423FDB">
        <w:trPr>
          <w:cnfStyle w:val="000000100000" w:firstRow="0" w:lastRow="0" w:firstColumn="0" w:lastColumn="0" w:oddVBand="0" w:evenVBand="0" w:oddHBand="1" w:evenHBand="0" w:firstRowFirstColumn="0" w:firstRowLastColumn="0" w:lastRowFirstColumn="0" w:lastRowLastColumn="0"/>
        </w:trPr>
        <w:tc>
          <w:tcPr>
            <w:tcW w:w="9020" w:type="dxa"/>
            <w:gridSpan w:val="7"/>
          </w:tcPr>
          <w:p w14:paraId="20CB4637" w14:textId="77777777" w:rsidR="00266E55" w:rsidRPr="002E747B" w:rsidRDefault="00266E55" w:rsidP="00423FDB">
            <w:pPr>
              <w:spacing w:before="40" w:after="40"/>
              <w:ind w:left="120"/>
              <w:rPr>
                <w:rFonts w:eastAsia="Helvetica" w:cstheme="minorHAnsi"/>
                <w:color w:val="000000"/>
                <w:sz w:val="22"/>
                <w:szCs w:val="22"/>
              </w:rPr>
            </w:pPr>
            <w:r w:rsidRPr="002E747B">
              <w:rPr>
                <w:rFonts w:eastAsia="Helvetica" w:cstheme="minorHAnsi"/>
                <w:color w:val="000000"/>
                <w:sz w:val="22"/>
                <w:szCs w:val="22"/>
              </w:rPr>
              <w:t>Broad spectrum penicillin combination</w:t>
            </w:r>
          </w:p>
        </w:tc>
      </w:tr>
      <w:tr w:rsidR="00266E55" w14:paraId="2B528009" w14:textId="77777777" w:rsidTr="00423FDB">
        <w:tc>
          <w:tcPr>
            <w:tcW w:w="2410" w:type="dxa"/>
          </w:tcPr>
          <w:p w14:paraId="1E2BCA9D" w14:textId="77777777" w:rsidR="00266E55" w:rsidRPr="002E747B" w:rsidRDefault="00266E55" w:rsidP="00423FDB">
            <w:pPr>
              <w:spacing w:before="40" w:after="40"/>
              <w:ind w:right="120"/>
              <w:rPr>
                <w:rFonts w:eastAsia="Helvetica" w:cstheme="minorHAnsi"/>
                <w:color w:val="000000"/>
                <w:sz w:val="22"/>
                <w:szCs w:val="22"/>
              </w:rPr>
            </w:pPr>
            <w:r w:rsidRPr="002E747B">
              <w:rPr>
                <w:rFonts w:eastAsia="Helvetica" w:cstheme="minorHAnsi"/>
                <w:color w:val="000000"/>
                <w:sz w:val="22"/>
                <w:szCs w:val="22"/>
              </w:rPr>
              <w:t>Piperacillin- tazobactam</w:t>
            </w:r>
          </w:p>
        </w:tc>
        <w:tc>
          <w:tcPr>
            <w:tcW w:w="1147" w:type="dxa"/>
          </w:tcPr>
          <w:p w14:paraId="11089BFD"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11.7</w:t>
            </w:r>
          </w:p>
        </w:tc>
        <w:tc>
          <w:tcPr>
            <w:tcW w:w="1107" w:type="dxa"/>
          </w:tcPr>
          <w:p w14:paraId="1255002C"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14.2</w:t>
            </w:r>
          </w:p>
        </w:tc>
        <w:tc>
          <w:tcPr>
            <w:tcW w:w="1107" w:type="dxa"/>
          </w:tcPr>
          <w:p w14:paraId="61F4417E"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13.8</w:t>
            </w:r>
          </w:p>
        </w:tc>
        <w:tc>
          <w:tcPr>
            <w:tcW w:w="871" w:type="dxa"/>
          </w:tcPr>
          <w:p w14:paraId="728170BD"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16.8</w:t>
            </w:r>
          </w:p>
        </w:tc>
        <w:tc>
          <w:tcPr>
            <w:tcW w:w="1388" w:type="dxa"/>
          </w:tcPr>
          <w:p w14:paraId="6ACEE710"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Increasing</w:t>
            </w:r>
          </w:p>
        </w:tc>
        <w:tc>
          <w:tcPr>
            <w:tcW w:w="990" w:type="dxa"/>
          </w:tcPr>
          <w:p w14:paraId="1E8339F0"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0.03</w:t>
            </w:r>
          </w:p>
        </w:tc>
      </w:tr>
      <w:tr w:rsidR="00266E55" w14:paraId="72CADC1D" w14:textId="77777777" w:rsidTr="00423FDB">
        <w:trPr>
          <w:cnfStyle w:val="000000100000" w:firstRow="0" w:lastRow="0" w:firstColumn="0" w:lastColumn="0" w:oddVBand="0" w:evenVBand="0" w:oddHBand="1" w:evenHBand="0" w:firstRowFirstColumn="0" w:firstRowLastColumn="0" w:lastRowFirstColumn="0" w:lastRowLastColumn="0"/>
        </w:trPr>
        <w:tc>
          <w:tcPr>
            <w:tcW w:w="9020" w:type="dxa"/>
            <w:gridSpan w:val="7"/>
          </w:tcPr>
          <w:p w14:paraId="17069690" w14:textId="77777777" w:rsidR="00266E55" w:rsidRPr="002E747B" w:rsidRDefault="00266E55" w:rsidP="00423FDB">
            <w:pPr>
              <w:spacing w:before="40" w:after="40"/>
              <w:ind w:left="120"/>
              <w:rPr>
                <w:rFonts w:eastAsia="Helvetica" w:cstheme="minorHAnsi"/>
                <w:color w:val="000000"/>
                <w:sz w:val="22"/>
                <w:szCs w:val="22"/>
              </w:rPr>
            </w:pPr>
            <w:r w:rsidRPr="002E747B">
              <w:rPr>
                <w:rFonts w:eastAsia="Helvetica" w:cstheme="minorHAnsi"/>
                <w:color w:val="000000"/>
                <w:sz w:val="22"/>
                <w:szCs w:val="22"/>
              </w:rPr>
              <w:t>Other antimicrobials</w:t>
            </w:r>
          </w:p>
        </w:tc>
      </w:tr>
      <w:tr w:rsidR="00266E55" w14:paraId="14375B20" w14:textId="77777777" w:rsidTr="00423FDB">
        <w:tc>
          <w:tcPr>
            <w:tcW w:w="2410" w:type="dxa"/>
          </w:tcPr>
          <w:p w14:paraId="6B6B4183" w14:textId="77777777" w:rsidR="00266E55" w:rsidRPr="002E747B" w:rsidRDefault="00266E55" w:rsidP="00423FDB">
            <w:pPr>
              <w:spacing w:before="40" w:after="40"/>
              <w:ind w:right="120"/>
              <w:rPr>
                <w:rFonts w:cstheme="minorHAnsi"/>
                <w:sz w:val="22"/>
                <w:szCs w:val="22"/>
              </w:rPr>
            </w:pPr>
            <w:r w:rsidRPr="002E747B">
              <w:rPr>
                <w:rFonts w:eastAsia="Helvetica" w:cstheme="minorHAnsi"/>
                <w:color w:val="000000"/>
                <w:sz w:val="22"/>
                <w:szCs w:val="22"/>
              </w:rPr>
              <w:t>Aztreonam</w:t>
            </w:r>
          </w:p>
        </w:tc>
        <w:tc>
          <w:tcPr>
            <w:tcW w:w="1147" w:type="dxa"/>
          </w:tcPr>
          <w:p w14:paraId="0CBD3DE5"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0.18</w:t>
            </w:r>
          </w:p>
        </w:tc>
        <w:tc>
          <w:tcPr>
            <w:tcW w:w="1107" w:type="dxa"/>
          </w:tcPr>
          <w:p w14:paraId="52FC450B"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0.0422</w:t>
            </w:r>
          </w:p>
        </w:tc>
        <w:tc>
          <w:tcPr>
            <w:tcW w:w="1107" w:type="dxa"/>
          </w:tcPr>
          <w:p w14:paraId="32F1A272"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0.0347</w:t>
            </w:r>
          </w:p>
        </w:tc>
        <w:tc>
          <w:tcPr>
            <w:tcW w:w="871" w:type="dxa"/>
          </w:tcPr>
          <w:p w14:paraId="7AF1B505"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color w:val="000000"/>
                <w:sz w:val="22"/>
                <w:szCs w:val="22"/>
              </w:rPr>
              <w:t>0.296</w:t>
            </w:r>
          </w:p>
        </w:tc>
        <w:tc>
          <w:tcPr>
            <w:tcW w:w="1388" w:type="dxa"/>
          </w:tcPr>
          <w:p w14:paraId="25BA7734"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Increasing</w:t>
            </w:r>
          </w:p>
        </w:tc>
        <w:tc>
          <w:tcPr>
            <w:tcW w:w="990" w:type="dxa"/>
          </w:tcPr>
          <w:p w14:paraId="7D7BDF6D"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color w:val="000000"/>
                <w:sz w:val="22"/>
                <w:szCs w:val="22"/>
              </w:rPr>
              <w:t>0.371</w:t>
            </w:r>
          </w:p>
        </w:tc>
      </w:tr>
      <w:tr w:rsidR="00266E55" w14:paraId="01B40CB2" w14:textId="77777777" w:rsidTr="00423FDB">
        <w:trPr>
          <w:cnfStyle w:val="000000100000" w:firstRow="0" w:lastRow="0" w:firstColumn="0" w:lastColumn="0" w:oddVBand="0" w:evenVBand="0" w:oddHBand="1" w:evenHBand="0" w:firstRowFirstColumn="0" w:firstRowLastColumn="0" w:lastRowFirstColumn="0" w:lastRowLastColumn="0"/>
        </w:trPr>
        <w:tc>
          <w:tcPr>
            <w:tcW w:w="2410" w:type="dxa"/>
          </w:tcPr>
          <w:p w14:paraId="2AAF9E49" w14:textId="77777777" w:rsidR="00266E55" w:rsidRPr="002E747B" w:rsidRDefault="00266E55" w:rsidP="00423FDB">
            <w:pPr>
              <w:spacing w:before="40" w:after="40"/>
              <w:ind w:right="120"/>
              <w:rPr>
                <w:rFonts w:eastAsia="Helvetica" w:cstheme="minorHAnsi"/>
                <w:color w:val="000000"/>
                <w:sz w:val="22"/>
                <w:szCs w:val="22"/>
              </w:rPr>
            </w:pPr>
            <w:r w:rsidRPr="002E747B">
              <w:rPr>
                <w:rFonts w:eastAsia="Helvetica" w:cstheme="minorHAnsi"/>
                <w:color w:val="000000"/>
                <w:sz w:val="22"/>
                <w:szCs w:val="22"/>
              </w:rPr>
              <w:t>Co-trimoxazole</w:t>
            </w:r>
          </w:p>
        </w:tc>
        <w:tc>
          <w:tcPr>
            <w:tcW w:w="1147" w:type="dxa"/>
          </w:tcPr>
          <w:p w14:paraId="2E58312F"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1.07</w:t>
            </w:r>
          </w:p>
        </w:tc>
        <w:tc>
          <w:tcPr>
            <w:tcW w:w="1107" w:type="dxa"/>
          </w:tcPr>
          <w:p w14:paraId="0863A9AD"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0.902</w:t>
            </w:r>
          </w:p>
        </w:tc>
        <w:tc>
          <w:tcPr>
            <w:tcW w:w="1107" w:type="dxa"/>
          </w:tcPr>
          <w:p w14:paraId="7270FDE7" w14:textId="77777777" w:rsidR="00266E55" w:rsidRPr="002E747B" w:rsidRDefault="00266E55" w:rsidP="00423FDB">
            <w:pPr>
              <w:spacing w:before="40" w:after="40"/>
              <w:ind w:left="120" w:right="120"/>
              <w:jc w:val="center"/>
              <w:rPr>
                <w:rFonts w:eastAsia="Helvetica" w:cstheme="minorHAnsi"/>
                <w:color w:val="000000"/>
                <w:sz w:val="22"/>
                <w:szCs w:val="22"/>
              </w:rPr>
            </w:pPr>
            <w:r w:rsidRPr="002E747B">
              <w:rPr>
                <w:rFonts w:eastAsia="Helvetica" w:cstheme="minorHAnsi"/>
                <w:color w:val="000000"/>
                <w:sz w:val="22"/>
                <w:szCs w:val="22"/>
              </w:rPr>
              <w:t>0.966</w:t>
            </w:r>
          </w:p>
        </w:tc>
        <w:tc>
          <w:tcPr>
            <w:tcW w:w="871" w:type="dxa"/>
          </w:tcPr>
          <w:p w14:paraId="73C97FA0"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2.03</w:t>
            </w:r>
          </w:p>
        </w:tc>
        <w:tc>
          <w:tcPr>
            <w:tcW w:w="1388" w:type="dxa"/>
          </w:tcPr>
          <w:p w14:paraId="14320EF2"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Increasing</w:t>
            </w:r>
          </w:p>
        </w:tc>
        <w:tc>
          <w:tcPr>
            <w:tcW w:w="990" w:type="dxa"/>
          </w:tcPr>
          <w:p w14:paraId="5F740A17"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0.15</w:t>
            </w:r>
          </w:p>
        </w:tc>
      </w:tr>
      <w:tr w:rsidR="00266E55" w14:paraId="054998C6" w14:textId="77777777" w:rsidTr="00423FDB">
        <w:tc>
          <w:tcPr>
            <w:tcW w:w="2410" w:type="dxa"/>
          </w:tcPr>
          <w:p w14:paraId="7357B133" w14:textId="77777777" w:rsidR="00266E55" w:rsidRPr="002E747B" w:rsidRDefault="00266E55" w:rsidP="00423FDB">
            <w:pPr>
              <w:spacing w:before="40" w:after="40"/>
              <w:ind w:right="120"/>
              <w:rPr>
                <w:rFonts w:cstheme="minorHAnsi"/>
                <w:sz w:val="22"/>
                <w:szCs w:val="22"/>
              </w:rPr>
            </w:pPr>
            <w:r w:rsidRPr="002E747B">
              <w:rPr>
                <w:rFonts w:eastAsia="Helvetica" w:cstheme="minorHAnsi"/>
                <w:color w:val="000000"/>
                <w:sz w:val="22"/>
                <w:szCs w:val="22"/>
              </w:rPr>
              <w:t>Vancomycin</w:t>
            </w:r>
          </w:p>
        </w:tc>
        <w:tc>
          <w:tcPr>
            <w:tcW w:w="1147" w:type="dxa"/>
          </w:tcPr>
          <w:p w14:paraId="0635D5A3"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3.41</w:t>
            </w:r>
          </w:p>
        </w:tc>
        <w:tc>
          <w:tcPr>
            <w:tcW w:w="1107" w:type="dxa"/>
          </w:tcPr>
          <w:p w14:paraId="5A518C2E"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3.71</w:t>
            </w:r>
          </w:p>
        </w:tc>
        <w:tc>
          <w:tcPr>
            <w:tcW w:w="1107" w:type="dxa"/>
          </w:tcPr>
          <w:p w14:paraId="057BA2DF" w14:textId="77777777" w:rsidR="00266E55" w:rsidRPr="002E747B" w:rsidRDefault="00266E55" w:rsidP="00423FDB">
            <w:pPr>
              <w:spacing w:before="40" w:after="40"/>
              <w:ind w:left="120" w:right="120"/>
              <w:jc w:val="center"/>
              <w:rPr>
                <w:rFonts w:cstheme="minorHAnsi"/>
                <w:sz w:val="22"/>
                <w:szCs w:val="22"/>
              </w:rPr>
            </w:pPr>
            <w:r w:rsidRPr="002E747B">
              <w:rPr>
                <w:rFonts w:eastAsia="Helvetica" w:cstheme="minorHAnsi"/>
                <w:color w:val="000000"/>
                <w:sz w:val="22"/>
                <w:szCs w:val="22"/>
              </w:rPr>
              <w:t>3.15</w:t>
            </w:r>
          </w:p>
        </w:tc>
        <w:tc>
          <w:tcPr>
            <w:tcW w:w="871" w:type="dxa"/>
          </w:tcPr>
          <w:p w14:paraId="7323F689"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color w:val="000000"/>
                <w:sz w:val="22"/>
                <w:szCs w:val="22"/>
              </w:rPr>
              <w:t>3.64</w:t>
            </w:r>
          </w:p>
        </w:tc>
        <w:tc>
          <w:tcPr>
            <w:tcW w:w="1388" w:type="dxa"/>
          </w:tcPr>
          <w:p w14:paraId="45B5E872" w14:textId="77777777" w:rsidR="00266E55" w:rsidRPr="002E747B" w:rsidRDefault="00266E55" w:rsidP="00423FDB">
            <w:pPr>
              <w:spacing w:before="40" w:after="40"/>
              <w:ind w:left="120"/>
              <w:jc w:val="center"/>
              <w:rPr>
                <w:rFonts w:eastAsia="Helvetica" w:cstheme="minorHAnsi"/>
                <w:color w:val="000000"/>
                <w:sz w:val="22"/>
                <w:szCs w:val="22"/>
              </w:rPr>
            </w:pPr>
            <w:r w:rsidRPr="002E747B">
              <w:rPr>
                <w:rFonts w:eastAsia="Helvetica" w:cstheme="minorHAnsi"/>
                <w:color w:val="000000"/>
                <w:sz w:val="22"/>
                <w:szCs w:val="22"/>
              </w:rPr>
              <w:t>Stable</w:t>
            </w:r>
          </w:p>
        </w:tc>
        <w:tc>
          <w:tcPr>
            <w:tcW w:w="990" w:type="dxa"/>
          </w:tcPr>
          <w:p w14:paraId="6EA32EDC" w14:textId="77777777" w:rsidR="00266E55" w:rsidRPr="002E747B" w:rsidRDefault="00266E55" w:rsidP="00423FDB">
            <w:pPr>
              <w:spacing w:before="40" w:after="40"/>
              <w:ind w:left="120"/>
              <w:jc w:val="center"/>
              <w:rPr>
                <w:rFonts w:cstheme="minorHAnsi"/>
                <w:sz w:val="22"/>
                <w:szCs w:val="22"/>
              </w:rPr>
            </w:pPr>
            <w:r w:rsidRPr="002E747B">
              <w:rPr>
                <w:rFonts w:eastAsia="Helvetica" w:cstheme="minorHAnsi"/>
                <w:color w:val="000000"/>
                <w:sz w:val="22"/>
                <w:szCs w:val="22"/>
              </w:rPr>
              <w:t>0.86</w:t>
            </w:r>
          </w:p>
        </w:tc>
      </w:tr>
    </w:tbl>
    <w:p w14:paraId="43CE3D34" w14:textId="438F3B2B" w:rsidR="00266E55" w:rsidRDefault="00266E55"/>
    <w:p w14:paraId="68DDBD15" w14:textId="77777777" w:rsidR="00266E55" w:rsidRDefault="00266E55">
      <w:r>
        <w:br w:type="page"/>
      </w:r>
    </w:p>
    <w:p w14:paraId="1DABAE04" w14:textId="7A925060" w:rsidR="00266E55" w:rsidRDefault="00266E55" w:rsidP="00266E55">
      <w:r w:rsidRPr="00D22A48">
        <w:rPr>
          <w:b/>
          <w:bCs/>
        </w:rPr>
        <w:lastRenderedPageBreak/>
        <w:t>Supplementary Table III</w:t>
      </w:r>
      <w:r>
        <w:t xml:space="preserve">: Percentage of non-duplicate clinical isolates of </w:t>
      </w:r>
      <w:proofErr w:type="gramStart"/>
      <w:r w:rsidRPr="00A0751E">
        <w:rPr>
          <w:i/>
          <w:iCs/>
        </w:rPr>
        <w:t>E.coli</w:t>
      </w:r>
      <w:proofErr w:type="gramEnd"/>
      <w:r>
        <w:t xml:space="preserve"> antibiotic resistance trends in the MUH (Annual mean quarterly resistance %)</w:t>
      </w:r>
    </w:p>
    <w:p w14:paraId="5E3F8BB2" w14:textId="77777777" w:rsidR="00266E55" w:rsidRDefault="00266E55" w:rsidP="00266E55"/>
    <w:tbl>
      <w:tblPr>
        <w:tblStyle w:val="PlainTable2"/>
        <w:tblW w:w="0" w:type="auto"/>
        <w:tblInd w:w="-142" w:type="dxa"/>
        <w:tblLayout w:type="fixed"/>
        <w:tblLook w:val="0420" w:firstRow="1" w:lastRow="0" w:firstColumn="0" w:lastColumn="0" w:noHBand="0" w:noVBand="1"/>
      </w:tblPr>
      <w:tblGrid>
        <w:gridCol w:w="2127"/>
        <w:gridCol w:w="1134"/>
        <w:gridCol w:w="992"/>
        <w:gridCol w:w="1082"/>
        <w:gridCol w:w="921"/>
        <w:gridCol w:w="1453"/>
        <w:gridCol w:w="1453"/>
      </w:tblGrid>
      <w:tr w:rsidR="00266E55" w14:paraId="4A48C9D2" w14:textId="77777777" w:rsidTr="00423FDB">
        <w:trPr>
          <w:cnfStyle w:val="100000000000" w:firstRow="1" w:lastRow="0" w:firstColumn="0" w:lastColumn="0" w:oddVBand="0" w:evenVBand="0" w:oddHBand="0" w:evenHBand="0" w:firstRowFirstColumn="0" w:firstRowLastColumn="0" w:lastRowFirstColumn="0" w:lastRowLastColumn="0"/>
        </w:trPr>
        <w:tc>
          <w:tcPr>
            <w:tcW w:w="2127" w:type="dxa"/>
          </w:tcPr>
          <w:p w14:paraId="46DF0700" w14:textId="77777777" w:rsidR="00266E55" w:rsidRDefault="00266E55" w:rsidP="00423FDB">
            <w:pPr>
              <w:spacing w:before="40" w:after="40"/>
              <w:ind w:right="120"/>
            </w:pPr>
            <w:r>
              <w:rPr>
                <w:rFonts w:ascii="Helvetica" w:eastAsia="Helvetica" w:hAnsi="Helvetica" w:cs="Helvetica"/>
                <w:b w:val="0"/>
                <w:color w:val="000000"/>
                <w:sz w:val="22"/>
                <w:szCs w:val="22"/>
              </w:rPr>
              <w:t>Antibiotics</w:t>
            </w:r>
          </w:p>
        </w:tc>
        <w:tc>
          <w:tcPr>
            <w:tcW w:w="1134" w:type="dxa"/>
          </w:tcPr>
          <w:p w14:paraId="751C74F2" w14:textId="77777777" w:rsidR="00266E55" w:rsidRDefault="00266E55" w:rsidP="00423FDB">
            <w:pPr>
              <w:spacing w:before="40" w:after="40"/>
              <w:ind w:left="120" w:right="120"/>
              <w:jc w:val="center"/>
            </w:pPr>
            <w:r>
              <w:rPr>
                <w:rFonts w:ascii="Helvetica" w:eastAsia="Helvetica" w:hAnsi="Helvetica" w:cs="Helvetica"/>
                <w:b w:val="0"/>
                <w:color w:val="000000"/>
                <w:sz w:val="22"/>
                <w:szCs w:val="22"/>
              </w:rPr>
              <w:t>2017</w:t>
            </w:r>
          </w:p>
        </w:tc>
        <w:tc>
          <w:tcPr>
            <w:tcW w:w="992" w:type="dxa"/>
          </w:tcPr>
          <w:p w14:paraId="5FBF61F8" w14:textId="77777777" w:rsidR="00266E55" w:rsidRDefault="00266E55" w:rsidP="00423FDB">
            <w:pPr>
              <w:spacing w:before="40" w:after="40"/>
              <w:ind w:left="120" w:right="120"/>
              <w:jc w:val="center"/>
            </w:pPr>
            <w:r>
              <w:rPr>
                <w:rFonts w:ascii="Helvetica" w:eastAsia="Helvetica" w:hAnsi="Helvetica" w:cs="Helvetica"/>
                <w:b w:val="0"/>
                <w:color w:val="000000"/>
                <w:sz w:val="22"/>
                <w:szCs w:val="22"/>
              </w:rPr>
              <w:t>2018</w:t>
            </w:r>
          </w:p>
        </w:tc>
        <w:tc>
          <w:tcPr>
            <w:tcW w:w="1082" w:type="dxa"/>
          </w:tcPr>
          <w:p w14:paraId="4C1E6340" w14:textId="77777777" w:rsidR="00266E55" w:rsidRDefault="00266E55" w:rsidP="00423FDB">
            <w:pPr>
              <w:spacing w:before="40" w:after="40"/>
              <w:ind w:left="120" w:right="120"/>
              <w:jc w:val="center"/>
            </w:pPr>
            <w:r>
              <w:rPr>
                <w:rFonts w:ascii="Helvetica" w:eastAsia="Helvetica" w:hAnsi="Helvetica" w:cs="Helvetica"/>
                <w:b w:val="0"/>
                <w:color w:val="000000"/>
                <w:sz w:val="22"/>
                <w:szCs w:val="22"/>
              </w:rPr>
              <w:t>2019</w:t>
            </w:r>
          </w:p>
        </w:tc>
        <w:tc>
          <w:tcPr>
            <w:tcW w:w="921" w:type="dxa"/>
          </w:tcPr>
          <w:p w14:paraId="44D26744" w14:textId="77777777" w:rsidR="00266E55" w:rsidRDefault="00266E55" w:rsidP="00423FDB">
            <w:pPr>
              <w:spacing w:before="40" w:after="40"/>
              <w:ind w:left="120"/>
              <w:jc w:val="center"/>
            </w:pPr>
            <w:r>
              <w:rPr>
                <w:rFonts w:ascii="Helvetica" w:eastAsia="Helvetica" w:hAnsi="Helvetica" w:cs="Helvetica"/>
                <w:b w:val="0"/>
                <w:color w:val="000000"/>
                <w:sz w:val="22"/>
                <w:szCs w:val="22"/>
              </w:rPr>
              <w:t>2020</w:t>
            </w:r>
          </w:p>
        </w:tc>
        <w:tc>
          <w:tcPr>
            <w:tcW w:w="1453" w:type="dxa"/>
          </w:tcPr>
          <w:p w14:paraId="56D06D73" w14:textId="77777777" w:rsidR="00266E55" w:rsidRPr="002E747B" w:rsidRDefault="00266E55" w:rsidP="00423FDB">
            <w:pPr>
              <w:spacing w:before="40" w:after="40"/>
              <w:ind w:left="120"/>
              <w:jc w:val="center"/>
              <w:rPr>
                <w:rFonts w:ascii="Helvetica" w:eastAsia="Helvetica" w:hAnsi="Helvetica" w:cs="Helvetica"/>
                <w:b w:val="0"/>
                <w:bCs w:val="0"/>
                <w:color w:val="000000"/>
                <w:sz w:val="22"/>
                <w:szCs w:val="22"/>
              </w:rPr>
            </w:pPr>
            <w:r w:rsidRPr="002E747B">
              <w:rPr>
                <w:rFonts w:ascii="Helvetica" w:eastAsia="Helvetica" w:hAnsi="Helvetica" w:cs="Helvetica"/>
                <w:b w:val="0"/>
                <w:bCs w:val="0"/>
                <w:color w:val="000000"/>
                <w:sz w:val="22"/>
                <w:szCs w:val="22"/>
              </w:rPr>
              <w:t>Trend</w:t>
            </w:r>
          </w:p>
        </w:tc>
        <w:tc>
          <w:tcPr>
            <w:tcW w:w="1453" w:type="dxa"/>
          </w:tcPr>
          <w:p w14:paraId="1503B523" w14:textId="77777777" w:rsidR="00266E55" w:rsidRDefault="00266E55" w:rsidP="00423FDB">
            <w:pPr>
              <w:spacing w:before="40" w:after="40"/>
              <w:ind w:left="120"/>
              <w:jc w:val="center"/>
            </w:pPr>
            <w:r>
              <w:rPr>
                <w:rFonts w:ascii="Helvetica" w:eastAsia="Helvetica" w:hAnsi="Helvetica" w:cs="Helvetica"/>
                <w:b w:val="0"/>
                <w:color w:val="000000"/>
                <w:sz w:val="22"/>
                <w:szCs w:val="22"/>
              </w:rPr>
              <w:t>p-value of trend</w:t>
            </w:r>
          </w:p>
        </w:tc>
      </w:tr>
      <w:tr w:rsidR="00266E55" w14:paraId="67279F47" w14:textId="77777777" w:rsidTr="00423FDB">
        <w:trPr>
          <w:cnfStyle w:val="000000100000" w:firstRow="0" w:lastRow="0" w:firstColumn="0" w:lastColumn="0" w:oddVBand="0" w:evenVBand="0" w:oddHBand="1" w:evenHBand="0" w:firstRowFirstColumn="0" w:firstRowLastColumn="0" w:lastRowFirstColumn="0" w:lastRowLastColumn="0"/>
        </w:trPr>
        <w:tc>
          <w:tcPr>
            <w:tcW w:w="2127" w:type="dxa"/>
          </w:tcPr>
          <w:p w14:paraId="6573496A" w14:textId="77777777" w:rsidR="00266E55" w:rsidRDefault="00266E55" w:rsidP="00423FDB">
            <w:pPr>
              <w:spacing w:before="40" w:after="40"/>
              <w:ind w:right="120"/>
              <w:rPr>
                <w:rFonts w:ascii="Helvetica" w:eastAsia="Helvetica" w:hAnsi="Helvetica" w:cs="Helvetica"/>
                <w:color w:val="000000"/>
                <w:sz w:val="22"/>
                <w:szCs w:val="22"/>
              </w:rPr>
            </w:pPr>
            <w:r>
              <w:rPr>
                <w:rFonts w:ascii="Helvetica" w:eastAsia="Helvetica" w:hAnsi="Helvetica" w:cs="Helvetica"/>
                <w:color w:val="000000"/>
                <w:sz w:val="22"/>
                <w:szCs w:val="22"/>
              </w:rPr>
              <w:t>Number of Isolates</w:t>
            </w:r>
          </w:p>
        </w:tc>
        <w:tc>
          <w:tcPr>
            <w:tcW w:w="1134" w:type="dxa"/>
          </w:tcPr>
          <w:p w14:paraId="12D45654"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233</w:t>
            </w:r>
          </w:p>
        </w:tc>
        <w:tc>
          <w:tcPr>
            <w:tcW w:w="992" w:type="dxa"/>
          </w:tcPr>
          <w:p w14:paraId="7700A0CA"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258</w:t>
            </w:r>
          </w:p>
        </w:tc>
        <w:tc>
          <w:tcPr>
            <w:tcW w:w="1082" w:type="dxa"/>
          </w:tcPr>
          <w:p w14:paraId="6E256223"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255</w:t>
            </w:r>
          </w:p>
        </w:tc>
        <w:tc>
          <w:tcPr>
            <w:tcW w:w="921" w:type="dxa"/>
          </w:tcPr>
          <w:p w14:paraId="2B32C331"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211</w:t>
            </w:r>
          </w:p>
        </w:tc>
        <w:tc>
          <w:tcPr>
            <w:tcW w:w="1453" w:type="dxa"/>
          </w:tcPr>
          <w:p w14:paraId="5576E69F" w14:textId="77777777" w:rsidR="00266E55" w:rsidRDefault="00266E55" w:rsidP="00423FDB">
            <w:pPr>
              <w:spacing w:before="40" w:after="40"/>
              <w:ind w:left="120"/>
              <w:jc w:val="center"/>
              <w:rPr>
                <w:rFonts w:ascii="Helvetica" w:eastAsia="Helvetica" w:hAnsi="Helvetica" w:cs="Helvetica"/>
                <w:color w:val="000000"/>
                <w:sz w:val="22"/>
                <w:szCs w:val="22"/>
              </w:rPr>
            </w:pPr>
          </w:p>
        </w:tc>
        <w:tc>
          <w:tcPr>
            <w:tcW w:w="1453" w:type="dxa"/>
          </w:tcPr>
          <w:p w14:paraId="4D7A47F7" w14:textId="77777777" w:rsidR="00266E55" w:rsidRDefault="00266E55" w:rsidP="00423FDB">
            <w:pPr>
              <w:spacing w:before="40" w:after="40"/>
              <w:ind w:left="120"/>
              <w:jc w:val="center"/>
              <w:rPr>
                <w:rFonts w:ascii="Helvetica" w:eastAsia="Helvetica" w:hAnsi="Helvetica" w:cs="Helvetica"/>
                <w:color w:val="000000"/>
                <w:sz w:val="22"/>
                <w:szCs w:val="22"/>
              </w:rPr>
            </w:pPr>
          </w:p>
        </w:tc>
      </w:tr>
      <w:tr w:rsidR="00266E55" w14:paraId="0865ABF7" w14:textId="77777777" w:rsidTr="00423FDB">
        <w:tc>
          <w:tcPr>
            <w:tcW w:w="2127" w:type="dxa"/>
          </w:tcPr>
          <w:p w14:paraId="76164ABF" w14:textId="77777777" w:rsidR="00266E55" w:rsidRDefault="00266E55" w:rsidP="00423FDB">
            <w:pPr>
              <w:spacing w:before="40" w:after="40"/>
              <w:ind w:right="120"/>
            </w:pPr>
            <w:r>
              <w:rPr>
                <w:rFonts w:ascii="Helvetica" w:eastAsia="Helvetica" w:hAnsi="Helvetica" w:cs="Helvetica"/>
                <w:color w:val="000000"/>
                <w:sz w:val="22"/>
                <w:szCs w:val="22"/>
              </w:rPr>
              <w:t>Ceftriaxone</w:t>
            </w:r>
          </w:p>
        </w:tc>
        <w:tc>
          <w:tcPr>
            <w:tcW w:w="1134" w:type="dxa"/>
          </w:tcPr>
          <w:p w14:paraId="503E6710" w14:textId="77777777" w:rsidR="00266E55" w:rsidRDefault="00266E55" w:rsidP="00423FDB">
            <w:pPr>
              <w:spacing w:before="40" w:after="40"/>
              <w:ind w:left="120" w:right="120"/>
              <w:jc w:val="center"/>
            </w:pPr>
            <w:r>
              <w:rPr>
                <w:rFonts w:ascii="Helvetica" w:eastAsia="Helvetica" w:hAnsi="Helvetica" w:cs="Helvetica"/>
                <w:color w:val="000000"/>
                <w:sz w:val="22"/>
                <w:szCs w:val="22"/>
              </w:rPr>
              <w:t>21</w:t>
            </w:r>
          </w:p>
        </w:tc>
        <w:tc>
          <w:tcPr>
            <w:tcW w:w="992" w:type="dxa"/>
          </w:tcPr>
          <w:p w14:paraId="0504BD63" w14:textId="77777777" w:rsidR="00266E55" w:rsidRDefault="00266E55" w:rsidP="00423FDB">
            <w:pPr>
              <w:spacing w:before="40" w:after="40"/>
              <w:ind w:left="120" w:right="120"/>
              <w:jc w:val="center"/>
            </w:pPr>
            <w:r>
              <w:rPr>
                <w:rFonts w:ascii="Helvetica" w:eastAsia="Helvetica" w:hAnsi="Helvetica" w:cs="Helvetica"/>
                <w:color w:val="000000"/>
                <w:sz w:val="22"/>
                <w:szCs w:val="22"/>
              </w:rPr>
              <w:t>15.8</w:t>
            </w:r>
          </w:p>
        </w:tc>
        <w:tc>
          <w:tcPr>
            <w:tcW w:w="1082" w:type="dxa"/>
          </w:tcPr>
          <w:p w14:paraId="21E23A03" w14:textId="77777777" w:rsidR="00266E55" w:rsidRDefault="00266E55" w:rsidP="00423FDB">
            <w:pPr>
              <w:spacing w:before="40" w:after="40"/>
              <w:ind w:left="120" w:right="120"/>
              <w:jc w:val="center"/>
            </w:pPr>
            <w:r>
              <w:rPr>
                <w:rFonts w:ascii="Helvetica" w:eastAsia="Helvetica" w:hAnsi="Helvetica" w:cs="Helvetica"/>
                <w:color w:val="000000"/>
                <w:sz w:val="22"/>
                <w:szCs w:val="22"/>
              </w:rPr>
              <w:t>13.2</w:t>
            </w:r>
          </w:p>
        </w:tc>
        <w:tc>
          <w:tcPr>
            <w:tcW w:w="921" w:type="dxa"/>
          </w:tcPr>
          <w:p w14:paraId="7ED83DA8" w14:textId="77777777" w:rsidR="00266E55" w:rsidRDefault="00266E55" w:rsidP="00423FDB">
            <w:pPr>
              <w:spacing w:before="40" w:after="40"/>
              <w:ind w:left="120"/>
              <w:jc w:val="center"/>
            </w:pPr>
            <w:r>
              <w:rPr>
                <w:rFonts w:ascii="Helvetica" w:eastAsia="Helvetica" w:hAnsi="Helvetica" w:cs="Helvetica"/>
                <w:color w:val="000000"/>
                <w:sz w:val="22"/>
                <w:szCs w:val="22"/>
              </w:rPr>
              <w:t>14.2</w:t>
            </w:r>
          </w:p>
        </w:tc>
        <w:tc>
          <w:tcPr>
            <w:tcW w:w="1453" w:type="dxa"/>
          </w:tcPr>
          <w:p w14:paraId="48C25B8E"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453" w:type="dxa"/>
          </w:tcPr>
          <w:p w14:paraId="633F246F" w14:textId="77777777" w:rsidR="00266E55" w:rsidRDefault="00266E55" w:rsidP="00423FDB">
            <w:pPr>
              <w:spacing w:before="40" w:after="40"/>
              <w:ind w:left="120"/>
              <w:jc w:val="center"/>
            </w:pPr>
            <w:r>
              <w:rPr>
                <w:rFonts w:ascii="Helvetica" w:eastAsia="Helvetica" w:hAnsi="Helvetica" w:cs="Helvetica"/>
                <w:color w:val="000000"/>
                <w:sz w:val="22"/>
                <w:szCs w:val="22"/>
              </w:rPr>
              <w:t>0.136</w:t>
            </w:r>
          </w:p>
        </w:tc>
      </w:tr>
      <w:tr w:rsidR="00266E55" w14:paraId="5FA7F021" w14:textId="77777777" w:rsidTr="00423FDB">
        <w:trPr>
          <w:cnfStyle w:val="000000100000" w:firstRow="0" w:lastRow="0" w:firstColumn="0" w:lastColumn="0" w:oddVBand="0" w:evenVBand="0" w:oddHBand="1" w:evenHBand="0" w:firstRowFirstColumn="0" w:firstRowLastColumn="0" w:lastRowFirstColumn="0" w:lastRowLastColumn="0"/>
        </w:trPr>
        <w:tc>
          <w:tcPr>
            <w:tcW w:w="2127" w:type="dxa"/>
          </w:tcPr>
          <w:p w14:paraId="3F82DCF3" w14:textId="77777777" w:rsidR="00266E55" w:rsidRDefault="00266E55" w:rsidP="00423FDB">
            <w:pPr>
              <w:spacing w:before="40" w:after="40"/>
              <w:ind w:right="120"/>
            </w:pPr>
            <w:r>
              <w:rPr>
                <w:rFonts w:ascii="Helvetica" w:eastAsia="Helvetica" w:hAnsi="Helvetica" w:cs="Helvetica"/>
                <w:color w:val="000000"/>
                <w:sz w:val="22"/>
                <w:szCs w:val="22"/>
              </w:rPr>
              <w:t>Ciprofloxacin</w:t>
            </w:r>
          </w:p>
        </w:tc>
        <w:tc>
          <w:tcPr>
            <w:tcW w:w="1134" w:type="dxa"/>
          </w:tcPr>
          <w:p w14:paraId="1A63354A" w14:textId="77777777" w:rsidR="00266E55" w:rsidRDefault="00266E55" w:rsidP="00423FDB">
            <w:pPr>
              <w:spacing w:before="40" w:after="40"/>
              <w:ind w:left="120" w:right="120"/>
              <w:jc w:val="center"/>
            </w:pPr>
            <w:r>
              <w:rPr>
                <w:rFonts w:ascii="Helvetica" w:eastAsia="Helvetica" w:hAnsi="Helvetica" w:cs="Helvetica"/>
                <w:color w:val="000000"/>
                <w:sz w:val="22"/>
                <w:szCs w:val="22"/>
              </w:rPr>
              <w:t>32.5</w:t>
            </w:r>
          </w:p>
        </w:tc>
        <w:tc>
          <w:tcPr>
            <w:tcW w:w="992" w:type="dxa"/>
          </w:tcPr>
          <w:p w14:paraId="6B0017A5" w14:textId="77777777" w:rsidR="00266E55" w:rsidRDefault="00266E55" w:rsidP="00423FDB">
            <w:pPr>
              <w:spacing w:before="40" w:after="40"/>
              <w:ind w:left="120" w:right="120"/>
              <w:jc w:val="center"/>
            </w:pPr>
            <w:r>
              <w:rPr>
                <w:rFonts w:ascii="Helvetica" w:eastAsia="Helvetica" w:hAnsi="Helvetica" w:cs="Helvetica"/>
                <w:color w:val="000000"/>
                <w:sz w:val="22"/>
                <w:szCs w:val="22"/>
              </w:rPr>
              <w:t>31.5</w:t>
            </w:r>
          </w:p>
        </w:tc>
        <w:tc>
          <w:tcPr>
            <w:tcW w:w="1082" w:type="dxa"/>
          </w:tcPr>
          <w:p w14:paraId="7D9804E1" w14:textId="77777777" w:rsidR="00266E55" w:rsidRDefault="00266E55" w:rsidP="00423FDB">
            <w:pPr>
              <w:spacing w:before="40" w:after="40"/>
              <w:ind w:left="120" w:right="120"/>
              <w:jc w:val="center"/>
            </w:pPr>
            <w:r>
              <w:rPr>
                <w:rFonts w:ascii="Helvetica" w:eastAsia="Helvetica" w:hAnsi="Helvetica" w:cs="Helvetica"/>
                <w:color w:val="000000"/>
                <w:sz w:val="22"/>
                <w:szCs w:val="22"/>
              </w:rPr>
              <w:t>27.8</w:t>
            </w:r>
          </w:p>
        </w:tc>
        <w:tc>
          <w:tcPr>
            <w:tcW w:w="921" w:type="dxa"/>
          </w:tcPr>
          <w:p w14:paraId="4C003A54" w14:textId="77777777" w:rsidR="00266E55" w:rsidRDefault="00266E55" w:rsidP="00423FDB">
            <w:pPr>
              <w:spacing w:before="40" w:after="40"/>
              <w:ind w:left="120"/>
              <w:jc w:val="center"/>
            </w:pPr>
            <w:r>
              <w:rPr>
                <w:rFonts w:ascii="Helvetica" w:eastAsia="Helvetica" w:hAnsi="Helvetica" w:cs="Helvetica"/>
                <w:color w:val="000000"/>
                <w:sz w:val="22"/>
                <w:szCs w:val="22"/>
              </w:rPr>
              <w:t>25.7</w:t>
            </w:r>
          </w:p>
        </w:tc>
        <w:tc>
          <w:tcPr>
            <w:tcW w:w="1453" w:type="dxa"/>
          </w:tcPr>
          <w:p w14:paraId="3FCA7578"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453" w:type="dxa"/>
          </w:tcPr>
          <w:p w14:paraId="550944F9" w14:textId="77777777" w:rsidR="00266E55" w:rsidRDefault="00266E55" w:rsidP="00423FDB">
            <w:pPr>
              <w:spacing w:before="40" w:after="40"/>
              <w:ind w:left="120"/>
              <w:jc w:val="center"/>
            </w:pPr>
            <w:r>
              <w:rPr>
                <w:rFonts w:ascii="Helvetica" w:eastAsia="Helvetica" w:hAnsi="Helvetica" w:cs="Helvetica"/>
                <w:color w:val="000000"/>
                <w:sz w:val="22"/>
                <w:szCs w:val="22"/>
              </w:rPr>
              <w:t>0.138</w:t>
            </w:r>
          </w:p>
        </w:tc>
      </w:tr>
      <w:tr w:rsidR="00266E55" w14:paraId="5CF7561A" w14:textId="77777777" w:rsidTr="00423FDB">
        <w:tc>
          <w:tcPr>
            <w:tcW w:w="2127" w:type="dxa"/>
          </w:tcPr>
          <w:p w14:paraId="48B3FC80" w14:textId="77777777" w:rsidR="00266E55" w:rsidRDefault="00266E55" w:rsidP="00423FDB">
            <w:pPr>
              <w:spacing w:before="40" w:after="40"/>
              <w:ind w:right="120"/>
              <w:rPr>
                <w:rFonts w:ascii="Helvetica" w:eastAsia="Helvetica" w:hAnsi="Helvetica" w:cs="Helvetica"/>
                <w:color w:val="000000"/>
                <w:sz w:val="22"/>
                <w:szCs w:val="22"/>
              </w:rPr>
            </w:pPr>
            <w:r>
              <w:rPr>
                <w:rFonts w:ascii="Helvetica" w:eastAsia="Helvetica" w:hAnsi="Helvetica" w:cs="Helvetica"/>
                <w:color w:val="000000"/>
                <w:sz w:val="22"/>
                <w:szCs w:val="22"/>
              </w:rPr>
              <w:t>Levofloxacin</w:t>
            </w:r>
          </w:p>
        </w:tc>
        <w:tc>
          <w:tcPr>
            <w:tcW w:w="1134" w:type="dxa"/>
          </w:tcPr>
          <w:p w14:paraId="3BEAA486"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35</w:t>
            </w:r>
          </w:p>
        </w:tc>
        <w:tc>
          <w:tcPr>
            <w:tcW w:w="992" w:type="dxa"/>
          </w:tcPr>
          <w:p w14:paraId="33B68358"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36.6</w:t>
            </w:r>
          </w:p>
        </w:tc>
        <w:tc>
          <w:tcPr>
            <w:tcW w:w="1082" w:type="dxa"/>
          </w:tcPr>
          <w:p w14:paraId="7BD99890"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31.7</w:t>
            </w:r>
          </w:p>
        </w:tc>
        <w:tc>
          <w:tcPr>
            <w:tcW w:w="921" w:type="dxa"/>
          </w:tcPr>
          <w:p w14:paraId="65BEC518"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29.4</w:t>
            </w:r>
          </w:p>
        </w:tc>
        <w:tc>
          <w:tcPr>
            <w:tcW w:w="1453" w:type="dxa"/>
          </w:tcPr>
          <w:p w14:paraId="629C226D"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453" w:type="dxa"/>
          </w:tcPr>
          <w:p w14:paraId="1AE1A157"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0.233</w:t>
            </w:r>
          </w:p>
        </w:tc>
      </w:tr>
      <w:tr w:rsidR="00266E55" w14:paraId="441F761D" w14:textId="77777777" w:rsidTr="00423FDB">
        <w:trPr>
          <w:cnfStyle w:val="000000100000" w:firstRow="0" w:lastRow="0" w:firstColumn="0" w:lastColumn="0" w:oddVBand="0" w:evenVBand="0" w:oddHBand="1" w:evenHBand="0" w:firstRowFirstColumn="0" w:firstRowLastColumn="0" w:lastRowFirstColumn="0" w:lastRowLastColumn="0"/>
        </w:trPr>
        <w:tc>
          <w:tcPr>
            <w:tcW w:w="2127" w:type="dxa"/>
          </w:tcPr>
          <w:p w14:paraId="17AF18F0" w14:textId="77777777" w:rsidR="00266E55" w:rsidRDefault="00266E55" w:rsidP="00423FDB">
            <w:pPr>
              <w:spacing w:before="40" w:after="40"/>
              <w:ind w:right="120"/>
            </w:pPr>
            <w:r>
              <w:rPr>
                <w:rFonts w:ascii="Helvetica" w:eastAsia="Helvetica" w:hAnsi="Helvetica" w:cs="Helvetica"/>
                <w:color w:val="000000"/>
                <w:sz w:val="22"/>
                <w:szCs w:val="22"/>
              </w:rPr>
              <w:t>Co-trimoxazole</w:t>
            </w:r>
          </w:p>
        </w:tc>
        <w:tc>
          <w:tcPr>
            <w:tcW w:w="1134" w:type="dxa"/>
          </w:tcPr>
          <w:p w14:paraId="335C5B79" w14:textId="77777777" w:rsidR="00266E55" w:rsidRDefault="00266E55" w:rsidP="00423FDB">
            <w:pPr>
              <w:spacing w:before="40" w:after="40"/>
              <w:ind w:left="120" w:right="120"/>
              <w:jc w:val="center"/>
            </w:pPr>
            <w:r>
              <w:rPr>
                <w:rFonts w:ascii="Helvetica" w:eastAsia="Helvetica" w:hAnsi="Helvetica" w:cs="Helvetica"/>
                <w:color w:val="000000"/>
                <w:sz w:val="22"/>
                <w:szCs w:val="22"/>
              </w:rPr>
              <w:t>31</w:t>
            </w:r>
          </w:p>
        </w:tc>
        <w:tc>
          <w:tcPr>
            <w:tcW w:w="992" w:type="dxa"/>
          </w:tcPr>
          <w:p w14:paraId="792DF1D7" w14:textId="77777777" w:rsidR="00266E55" w:rsidRDefault="00266E55" w:rsidP="00423FDB">
            <w:pPr>
              <w:spacing w:before="40" w:after="40"/>
              <w:ind w:left="120" w:right="120"/>
              <w:jc w:val="center"/>
            </w:pPr>
            <w:r>
              <w:rPr>
                <w:rFonts w:ascii="Helvetica" w:eastAsia="Helvetica" w:hAnsi="Helvetica" w:cs="Helvetica"/>
                <w:color w:val="000000"/>
                <w:sz w:val="22"/>
                <w:szCs w:val="22"/>
              </w:rPr>
              <w:t>38.3</w:t>
            </w:r>
          </w:p>
        </w:tc>
        <w:tc>
          <w:tcPr>
            <w:tcW w:w="1082" w:type="dxa"/>
          </w:tcPr>
          <w:p w14:paraId="72A3D0D8" w14:textId="77777777" w:rsidR="00266E55" w:rsidRDefault="00266E55" w:rsidP="00423FDB">
            <w:pPr>
              <w:spacing w:before="40" w:after="40"/>
              <w:ind w:left="120" w:right="120"/>
              <w:jc w:val="center"/>
            </w:pPr>
            <w:r>
              <w:rPr>
                <w:rFonts w:ascii="Helvetica" w:eastAsia="Helvetica" w:hAnsi="Helvetica" w:cs="Helvetica"/>
                <w:color w:val="000000"/>
                <w:sz w:val="22"/>
                <w:szCs w:val="22"/>
              </w:rPr>
              <w:t>32.3</w:t>
            </w:r>
          </w:p>
        </w:tc>
        <w:tc>
          <w:tcPr>
            <w:tcW w:w="921" w:type="dxa"/>
          </w:tcPr>
          <w:p w14:paraId="118FE588" w14:textId="77777777" w:rsidR="00266E55" w:rsidRDefault="00266E55" w:rsidP="00423FDB">
            <w:pPr>
              <w:spacing w:before="40" w:after="40"/>
              <w:ind w:left="120"/>
              <w:jc w:val="center"/>
            </w:pPr>
            <w:r>
              <w:rPr>
                <w:rFonts w:ascii="Helvetica" w:eastAsia="Helvetica" w:hAnsi="Helvetica" w:cs="Helvetica"/>
                <w:color w:val="000000"/>
                <w:sz w:val="22"/>
                <w:szCs w:val="22"/>
              </w:rPr>
              <w:t>34.4</w:t>
            </w:r>
          </w:p>
        </w:tc>
        <w:tc>
          <w:tcPr>
            <w:tcW w:w="1453" w:type="dxa"/>
          </w:tcPr>
          <w:p w14:paraId="58655E02"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Stable</w:t>
            </w:r>
          </w:p>
        </w:tc>
        <w:tc>
          <w:tcPr>
            <w:tcW w:w="1453" w:type="dxa"/>
          </w:tcPr>
          <w:p w14:paraId="43D45721" w14:textId="77777777" w:rsidR="00266E55" w:rsidRDefault="00266E55" w:rsidP="00423FDB">
            <w:pPr>
              <w:spacing w:before="40" w:after="40"/>
              <w:ind w:left="120"/>
              <w:jc w:val="center"/>
            </w:pPr>
            <w:r>
              <w:rPr>
                <w:rFonts w:ascii="Helvetica" w:eastAsia="Helvetica" w:hAnsi="Helvetica" w:cs="Helvetica"/>
                <w:color w:val="000000"/>
                <w:sz w:val="22"/>
                <w:szCs w:val="22"/>
              </w:rPr>
              <w:t>0.69</w:t>
            </w:r>
          </w:p>
        </w:tc>
      </w:tr>
      <w:tr w:rsidR="00266E55" w14:paraId="1A486E83" w14:textId="77777777" w:rsidTr="00423FDB">
        <w:tc>
          <w:tcPr>
            <w:tcW w:w="2127" w:type="dxa"/>
          </w:tcPr>
          <w:p w14:paraId="06030A4F" w14:textId="77777777" w:rsidR="00266E55" w:rsidRDefault="00266E55" w:rsidP="00423FDB">
            <w:pPr>
              <w:spacing w:before="40" w:after="40"/>
              <w:ind w:right="120"/>
            </w:pPr>
            <w:r>
              <w:rPr>
                <w:rFonts w:ascii="Helvetica" w:eastAsia="Helvetica" w:hAnsi="Helvetica" w:cs="Helvetica"/>
                <w:color w:val="000000"/>
                <w:sz w:val="22"/>
                <w:szCs w:val="22"/>
              </w:rPr>
              <w:t>Ertapenem</w:t>
            </w:r>
          </w:p>
        </w:tc>
        <w:tc>
          <w:tcPr>
            <w:tcW w:w="1134" w:type="dxa"/>
          </w:tcPr>
          <w:p w14:paraId="3DAF2F06" w14:textId="77777777" w:rsidR="00266E55" w:rsidRDefault="00266E55" w:rsidP="00423FDB">
            <w:pPr>
              <w:spacing w:before="40" w:after="40"/>
              <w:ind w:left="120" w:right="120"/>
              <w:jc w:val="center"/>
            </w:pPr>
            <w:r>
              <w:rPr>
                <w:rFonts w:ascii="Helvetica" w:eastAsia="Helvetica" w:hAnsi="Helvetica" w:cs="Helvetica"/>
                <w:color w:val="000000"/>
                <w:sz w:val="22"/>
                <w:szCs w:val="22"/>
              </w:rPr>
              <w:t>1.39</w:t>
            </w:r>
          </w:p>
        </w:tc>
        <w:tc>
          <w:tcPr>
            <w:tcW w:w="992" w:type="dxa"/>
          </w:tcPr>
          <w:p w14:paraId="04ABC71C" w14:textId="77777777" w:rsidR="00266E55" w:rsidRDefault="00266E55" w:rsidP="00423FDB">
            <w:pPr>
              <w:spacing w:before="40" w:after="40"/>
              <w:ind w:left="120" w:right="120"/>
              <w:jc w:val="center"/>
            </w:pPr>
            <w:r>
              <w:rPr>
                <w:rFonts w:ascii="Helvetica" w:eastAsia="Helvetica" w:hAnsi="Helvetica" w:cs="Helvetica"/>
                <w:color w:val="000000"/>
                <w:sz w:val="22"/>
                <w:szCs w:val="22"/>
              </w:rPr>
              <w:t>1.59</w:t>
            </w:r>
          </w:p>
        </w:tc>
        <w:tc>
          <w:tcPr>
            <w:tcW w:w="1082" w:type="dxa"/>
          </w:tcPr>
          <w:p w14:paraId="4D022D0D" w14:textId="77777777" w:rsidR="00266E55" w:rsidRDefault="00266E55" w:rsidP="00423FDB">
            <w:pPr>
              <w:spacing w:before="40" w:after="40"/>
              <w:ind w:left="120" w:right="120"/>
              <w:jc w:val="center"/>
            </w:pPr>
            <w:r>
              <w:rPr>
                <w:rFonts w:ascii="Helvetica" w:eastAsia="Helvetica" w:hAnsi="Helvetica" w:cs="Helvetica"/>
                <w:color w:val="000000"/>
                <w:sz w:val="22"/>
                <w:szCs w:val="22"/>
              </w:rPr>
              <w:t>1.12</w:t>
            </w:r>
          </w:p>
        </w:tc>
        <w:tc>
          <w:tcPr>
            <w:tcW w:w="921" w:type="dxa"/>
          </w:tcPr>
          <w:p w14:paraId="6787282F" w14:textId="77777777" w:rsidR="00266E55" w:rsidRDefault="00266E55" w:rsidP="00423FDB">
            <w:pPr>
              <w:spacing w:before="40" w:after="40"/>
              <w:ind w:left="120"/>
              <w:jc w:val="center"/>
            </w:pPr>
            <w:r>
              <w:rPr>
                <w:rFonts w:ascii="Helvetica" w:eastAsia="Helvetica" w:hAnsi="Helvetica" w:cs="Helvetica"/>
                <w:color w:val="000000"/>
                <w:sz w:val="22"/>
                <w:szCs w:val="22"/>
              </w:rPr>
              <w:t>0</w:t>
            </w:r>
          </w:p>
        </w:tc>
        <w:tc>
          <w:tcPr>
            <w:tcW w:w="1453" w:type="dxa"/>
          </w:tcPr>
          <w:p w14:paraId="471D7275"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Stable</w:t>
            </w:r>
          </w:p>
        </w:tc>
        <w:tc>
          <w:tcPr>
            <w:tcW w:w="1453" w:type="dxa"/>
          </w:tcPr>
          <w:p w14:paraId="4FBCD51C" w14:textId="77777777" w:rsidR="00266E55" w:rsidRDefault="00266E55" w:rsidP="00423FDB">
            <w:pPr>
              <w:spacing w:before="40" w:after="40"/>
              <w:ind w:left="120"/>
              <w:jc w:val="center"/>
            </w:pPr>
            <w:r>
              <w:rPr>
                <w:rFonts w:ascii="Helvetica" w:eastAsia="Helvetica" w:hAnsi="Helvetica" w:cs="Helvetica"/>
                <w:color w:val="000000"/>
                <w:sz w:val="22"/>
                <w:szCs w:val="22"/>
              </w:rPr>
              <w:t>0.32</w:t>
            </w:r>
          </w:p>
        </w:tc>
      </w:tr>
      <w:tr w:rsidR="00266E55" w14:paraId="3BDECF45" w14:textId="77777777" w:rsidTr="00423FDB">
        <w:trPr>
          <w:cnfStyle w:val="000000100000" w:firstRow="0" w:lastRow="0" w:firstColumn="0" w:lastColumn="0" w:oddVBand="0" w:evenVBand="0" w:oddHBand="1" w:evenHBand="0" w:firstRowFirstColumn="0" w:firstRowLastColumn="0" w:lastRowFirstColumn="0" w:lastRowLastColumn="0"/>
        </w:trPr>
        <w:tc>
          <w:tcPr>
            <w:tcW w:w="2127" w:type="dxa"/>
          </w:tcPr>
          <w:p w14:paraId="67C45B2C" w14:textId="77777777" w:rsidR="00266E55" w:rsidRDefault="00266E55" w:rsidP="00423FDB">
            <w:pPr>
              <w:spacing w:before="40" w:after="40"/>
              <w:ind w:right="120"/>
            </w:pPr>
            <w:r>
              <w:rPr>
                <w:rFonts w:ascii="Helvetica" w:eastAsia="Helvetica" w:hAnsi="Helvetica" w:cs="Helvetica"/>
                <w:color w:val="000000"/>
                <w:sz w:val="22"/>
                <w:szCs w:val="22"/>
              </w:rPr>
              <w:t>Meropenem</w:t>
            </w:r>
          </w:p>
        </w:tc>
        <w:tc>
          <w:tcPr>
            <w:tcW w:w="1134" w:type="dxa"/>
          </w:tcPr>
          <w:p w14:paraId="72EAA10A" w14:textId="77777777" w:rsidR="00266E55" w:rsidRDefault="00266E55" w:rsidP="00423FDB">
            <w:pPr>
              <w:spacing w:before="40" w:after="40"/>
              <w:ind w:left="120" w:right="120"/>
              <w:jc w:val="center"/>
            </w:pPr>
            <w:r>
              <w:rPr>
                <w:rFonts w:ascii="Helvetica" w:eastAsia="Helvetica" w:hAnsi="Helvetica" w:cs="Helvetica"/>
                <w:color w:val="000000"/>
                <w:sz w:val="22"/>
                <w:szCs w:val="22"/>
              </w:rPr>
              <w:t>0</w:t>
            </w:r>
          </w:p>
        </w:tc>
        <w:tc>
          <w:tcPr>
            <w:tcW w:w="992" w:type="dxa"/>
          </w:tcPr>
          <w:p w14:paraId="2E30F8B7" w14:textId="77777777" w:rsidR="00266E55" w:rsidRDefault="00266E55" w:rsidP="00423FDB">
            <w:pPr>
              <w:spacing w:before="40" w:after="40"/>
              <w:ind w:left="120" w:right="120"/>
              <w:jc w:val="center"/>
            </w:pPr>
            <w:r>
              <w:rPr>
                <w:rFonts w:ascii="Helvetica" w:eastAsia="Helvetica" w:hAnsi="Helvetica" w:cs="Helvetica"/>
                <w:color w:val="000000"/>
                <w:sz w:val="22"/>
                <w:szCs w:val="22"/>
              </w:rPr>
              <w:t>0.39</w:t>
            </w:r>
          </w:p>
        </w:tc>
        <w:tc>
          <w:tcPr>
            <w:tcW w:w="1082" w:type="dxa"/>
          </w:tcPr>
          <w:p w14:paraId="27C25687" w14:textId="77777777" w:rsidR="00266E55" w:rsidRDefault="00266E55" w:rsidP="00423FDB">
            <w:pPr>
              <w:spacing w:before="40" w:after="40"/>
              <w:ind w:left="120" w:right="120"/>
              <w:jc w:val="center"/>
            </w:pPr>
            <w:r>
              <w:rPr>
                <w:rFonts w:ascii="Helvetica" w:eastAsia="Helvetica" w:hAnsi="Helvetica" w:cs="Helvetica"/>
                <w:color w:val="000000"/>
                <w:sz w:val="22"/>
                <w:szCs w:val="22"/>
              </w:rPr>
              <w:t>0</w:t>
            </w:r>
          </w:p>
        </w:tc>
        <w:tc>
          <w:tcPr>
            <w:tcW w:w="921" w:type="dxa"/>
          </w:tcPr>
          <w:p w14:paraId="657E4EE9" w14:textId="77777777" w:rsidR="00266E55" w:rsidRDefault="00266E55" w:rsidP="00423FDB">
            <w:pPr>
              <w:spacing w:before="40" w:after="40"/>
              <w:ind w:left="120"/>
              <w:jc w:val="center"/>
            </w:pPr>
            <w:r>
              <w:rPr>
                <w:rFonts w:ascii="Helvetica" w:eastAsia="Helvetica" w:hAnsi="Helvetica" w:cs="Helvetica"/>
                <w:color w:val="000000"/>
                <w:sz w:val="22"/>
                <w:szCs w:val="22"/>
              </w:rPr>
              <w:t>0</w:t>
            </w:r>
          </w:p>
        </w:tc>
        <w:tc>
          <w:tcPr>
            <w:tcW w:w="1453" w:type="dxa"/>
          </w:tcPr>
          <w:p w14:paraId="39A620A1"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Stable</w:t>
            </w:r>
          </w:p>
        </w:tc>
        <w:tc>
          <w:tcPr>
            <w:tcW w:w="1453" w:type="dxa"/>
          </w:tcPr>
          <w:p w14:paraId="353E8E1D" w14:textId="77777777" w:rsidR="00266E55" w:rsidRDefault="00266E55" w:rsidP="00423FDB">
            <w:pPr>
              <w:spacing w:before="40" w:after="40"/>
              <w:ind w:left="120"/>
              <w:jc w:val="center"/>
            </w:pPr>
            <w:r>
              <w:rPr>
                <w:rFonts w:ascii="Helvetica" w:eastAsia="Helvetica" w:hAnsi="Helvetica" w:cs="Helvetica"/>
                <w:color w:val="000000"/>
                <w:sz w:val="22"/>
                <w:szCs w:val="22"/>
              </w:rPr>
              <w:t>0.467</w:t>
            </w:r>
          </w:p>
        </w:tc>
      </w:tr>
      <w:tr w:rsidR="00266E55" w14:paraId="6160A11B" w14:textId="77777777" w:rsidTr="00423FDB">
        <w:tc>
          <w:tcPr>
            <w:tcW w:w="2127" w:type="dxa"/>
          </w:tcPr>
          <w:p w14:paraId="6DC250A5" w14:textId="77777777" w:rsidR="00266E55" w:rsidRDefault="00266E55" w:rsidP="00423FDB">
            <w:pPr>
              <w:spacing w:before="40" w:after="40"/>
              <w:ind w:right="120"/>
            </w:pPr>
            <w:r>
              <w:rPr>
                <w:rFonts w:ascii="Helvetica" w:eastAsia="Helvetica" w:hAnsi="Helvetica" w:cs="Helvetica"/>
                <w:color w:val="000000"/>
                <w:sz w:val="22"/>
                <w:szCs w:val="22"/>
              </w:rPr>
              <w:t>Piperacillin-tazobactam</w:t>
            </w:r>
          </w:p>
        </w:tc>
        <w:tc>
          <w:tcPr>
            <w:tcW w:w="1134" w:type="dxa"/>
          </w:tcPr>
          <w:p w14:paraId="529CCE30" w14:textId="77777777" w:rsidR="00266E55" w:rsidRDefault="00266E55" w:rsidP="00423FDB">
            <w:pPr>
              <w:spacing w:before="40" w:after="40"/>
              <w:ind w:left="120" w:right="120"/>
              <w:jc w:val="center"/>
            </w:pPr>
            <w:r>
              <w:rPr>
                <w:rFonts w:ascii="Helvetica" w:eastAsia="Helvetica" w:hAnsi="Helvetica" w:cs="Helvetica"/>
                <w:color w:val="000000"/>
                <w:sz w:val="22"/>
                <w:szCs w:val="22"/>
              </w:rPr>
              <w:t>23.9</w:t>
            </w:r>
          </w:p>
        </w:tc>
        <w:tc>
          <w:tcPr>
            <w:tcW w:w="992" w:type="dxa"/>
          </w:tcPr>
          <w:p w14:paraId="649EF834" w14:textId="77777777" w:rsidR="00266E55" w:rsidRDefault="00266E55" w:rsidP="00423FDB">
            <w:pPr>
              <w:spacing w:before="40" w:after="40"/>
              <w:ind w:left="120" w:right="120"/>
              <w:jc w:val="center"/>
            </w:pPr>
            <w:r>
              <w:rPr>
                <w:rFonts w:ascii="Helvetica" w:eastAsia="Helvetica" w:hAnsi="Helvetica" w:cs="Helvetica"/>
                <w:color w:val="000000"/>
                <w:sz w:val="22"/>
                <w:szCs w:val="22"/>
              </w:rPr>
              <w:t>26.1</w:t>
            </w:r>
          </w:p>
        </w:tc>
        <w:tc>
          <w:tcPr>
            <w:tcW w:w="1082" w:type="dxa"/>
          </w:tcPr>
          <w:p w14:paraId="41A4CAE4" w14:textId="77777777" w:rsidR="00266E55" w:rsidRDefault="00266E55" w:rsidP="00423FDB">
            <w:pPr>
              <w:spacing w:before="40" w:after="40"/>
              <w:ind w:left="120" w:right="120"/>
              <w:jc w:val="center"/>
            </w:pPr>
            <w:r>
              <w:rPr>
                <w:rFonts w:ascii="Helvetica" w:eastAsia="Helvetica" w:hAnsi="Helvetica" w:cs="Helvetica"/>
                <w:color w:val="000000"/>
                <w:sz w:val="22"/>
                <w:szCs w:val="22"/>
              </w:rPr>
              <w:t>21.6</w:t>
            </w:r>
          </w:p>
        </w:tc>
        <w:tc>
          <w:tcPr>
            <w:tcW w:w="921" w:type="dxa"/>
          </w:tcPr>
          <w:p w14:paraId="6A086B29" w14:textId="77777777" w:rsidR="00266E55" w:rsidRDefault="00266E55" w:rsidP="00423FDB">
            <w:pPr>
              <w:spacing w:before="40" w:after="40"/>
              <w:ind w:left="120"/>
              <w:jc w:val="center"/>
            </w:pPr>
            <w:r>
              <w:rPr>
                <w:rFonts w:ascii="Helvetica" w:eastAsia="Helvetica" w:hAnsi="Helvetica" w:cs="Helvetica"/>
                <w:color w:val="000000"/>
                <w:sz w:val="22"/>
                <w:szCs w:val="22"/>
              </w:rPr>
              <w:t>18</w:t>
            </w:r>
          </w:p>
        </w:tc>
        <w:tc>
          <w:tcPr>
            <w:tcW w:w="1453" w:type="dxa"/>
          </w:tcPr>
          <w:p w14:paraId="6003F808"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Stable</w:t>
            </w:r>
          </w:p>
        </w:tc>
        <w:tc>
          <w:tcPr>
            <w:tcW w:w="1453" w:type="dxa"/>
          </w:tcPr>
          <w:p w14:paraId="134F3994" w14:textId="77777777" w:rsidR="00266E55" w:rsidRDefault="00266E55" w:rsidP="00423FDB">
            <w:pPr>
              <w:spacing w:before="40" w:after="40"/>
              <w:ind w:left="120"/>
              <w:jc w:val="center"/>
            </w:pPr>
            <w:r>
              <w:rPr>
                <w:rFonts w:ascii="Helvetica" w:eastAsia="Helvetica" w:hAnsi="Helvetica" w:cs="Helvetica"/>
                <w:color w:val="000000"/>
                <w:sz w:val="22"/>
                <w:szCs w:val="22"/>
              </w:rPr>
              <w:t>0.143</w:t>
            </w:r>
          </w:p>
        </w:tc>
      </w:tr>
      <w:tr w:rsidR="00266E55" w14:paraId="230023FF" w14:textId="77777777" w:rsidTr="00423FDB">
        <w:trPr>
          <w:cnfStyle w:val="000000100000" w:firstRow="0" w:lastRow="0" w:firstColumn="0" w:lastColumn="0" w:oddVBand="0" w:evenVBand="0" w:oddHBand="1" w:evenHBand="0" w:firstRowFirstColumn="0" w:firstRowLastColumn="0" w:lastRowFirstColumn="0" w:lastRowLastColumn="0"/>
        </w:trPr>
        <w:tc>
          <w:tcPr>
            <w:tcW w:w="2127" w:type="dxa"/>
          </w:tcPr>
          <w:p w14:paraId="53116771" w14:textId="77777777" w:rsidR="00266E55" w:rsidRDefault="00266E55" w:rsidP="00423FDB">
            <w:pPr>
              <w:spacing w:before="40" w:after="40"/>
              <w:ind w:right="120"/>
            </w:pPr>
            <w:r>
              <w:rPr>
                <w:rFonts w:ascii="Helvetica" w:eastAsia="Helvetica" w:hAnsi="Helvetica" w:cs="Helvetica"/>
                <w:color w:val="000000"/>
                <w:sz w:val="22"/>
                <w:szCs w:val="22"/>
              </w:rPr>
              <w:t>Gentamicin</w:t>
            </w:r>
          </w:p>
        </w:tc>
        <w:tc>
          <w:tcPr>
            <w:tcW w:w="1134" w:type="dxa"/>
          </w:tcPr>
          <w:p w14:paraId="5DBA43B3" w14:textId="77777777" w:rsidR="00266E55" w:rsidRDefault="00266E55" w:rsidP="00423FDB">
            <w:pPr>
              <w:spacing w:before="40" w:after="40"/>
              <w:ind w:left="120" w:right="120"/>
              <w:jc w:val="center"/>
            </w:pPr>
            <w:r>
              <w:rPr>
                <w:rFonts w:ascii="Helvetica" w:eastAsia="Helvetica" w:hAnsi="Helvetica" w:cs="Helvetica"/>
                <w:color w:val="000000"/>
                <w:sz w:val="22"/>
                <w:szCs w:val="22"/>
              </w:rPr>
              <w:t>12.7</w:t>
            </w:r>
          </w:p>
        </w:tc>
        <w:tc>
          <w:tcPr>
            <w:tcW w:w="992" w:type="dxa"/>
          </w:tcPr>
          <w:p w14:paraId="4DC40836" w14:textId="77777777" w:rsidR="00266E55" w:rsidRDefault="00266E55" w:rsidP="00423FDB">
            <w:pPr>
              <w:spacing w:before="40" w:after="40"/>
              <w:ind w:left="120" w:right="120"/>
              <w:jc w:val="center"/>
            </w:pPr>
            <w:r>
              <w:rPr>
                <w:rFonts w:ascii="Helvetica" w:eastAsia="Helvetica" w:hAnsi="Helvetica" w:cs="Helvetica"/>
                <w:color w:val="000000"/>
                <w:sz w:val="22"/>
                <w:szCs w:val="22"/>
              </w:rPr>
              <w:t>10.4</w:t>
            </w:r>
          </w:p>
        </w:tc>
        <w:tc>
          <w:tcPr>
            <w:tcW w:w="1082" w:type="dxa"/>
          </w:tcPr>
          <w:p w14:paraId="747BE5D1" w14:textId="77777777" w:rsidR="00266E55" w:rsidRDefault="00266E55" w:rsidP="00423FDB">
            <w:pPr>
              <w:spacing w:before="40" w:after="40"/>
              <w:ind w:left="120" w:right="120"/>
              <w:jc w:val="center"/>
            </w:pPr>
            <w:r>
              <w:rPr>
                <w:rFonts w:ascii="Helvetica" w:eastAsia="Helvetica" w:hAnsi="Helvetica" w:cs="Helvetica"/>
                <w:color w:val="000000"/>
                <w:sz w:val="22"/>
                <w:szCs w:val="22"/>
              </w:rPr>
              <w:t>11.4</w:t>
            </w:r>
          </w:p>
        </w:tc>
        <w:tc>
          <w:tcPr>
            <w:tcW w:w="921" w:type="dxa"/>
          </w:tcPr>
          <w:p w14:paraId="502C79D6" w14:textId="77777777" w:rsidR="00266E55" w:rsidRDefault="00266E55" w:rsidP="00423FDB">
            <w:pPr>
              <w:spacing w:before="40" w:after="40"/>
              <w:ind w:left="120"/>
              <w:jc w:val="center"/>
            </w:pPr>
            <w:r>
              <w:rPr>
                <w:rFonts w:ascii="Helvetica" w:eastAsia="Helvetica" w:hAnsi="Helvetica" w:cs="Helvetica"/>
                <w:color w:val="000000"/>
                <w:sz w:val="22"/>
                <w:szCs w:val="22"/>
              </w:rPr>
              <w:t>9.09</w:t>
            </w:r>
          </w:p>
        </w:tc>
        <w:tc>
          <w:tcPr>
            <w:tcW w:w="1453" w:type="dxa"/>
          </w:tcPr>
          <w:p w14:paraId="554AEAC5"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Stable</w:t>
            </w:r>
          </w:p>
        </w:tc>
        <w:tc>
          <w:tcPr>
            <w:tcW w:w="1453" w:type="dxa"/>
          </w:tcPr>
          <w:p w14:paraId="361D7437" w14:textId="77777777" w:rsidR="00266E55" w:rsidRDefault="00266E55" w:rsidP="00423FDB">
            <w:pPr>
              <w:spacing w:before="40" w:after="40"/>
              <w:ind w:left="120"/>
              <w:jc w:val="center"/>
            </w:pPr>
            <w:r>
              <w:rPr>
                <w:rFonts w:ascii="Helvetica" w:eastAsia="Helvetica" w:hAnsi="Helvetica" w:cs="Helvetica"/>
                <w:color w:val="000000"/>
                <w:sz w:val="22"/>
                <w:szCs w:val="22"/>
              </w:rPr>
              <w:t>0.206</w:t>
            </w:r>
          </w:p>
        </w:tc>
      </w:tr>
      <w:tr w:rsidR="00266E55" w14:paraId="1A48FFA9" w14:textId="77777777" w:rsidTr="00423FDB">
        <w:tc>
          <w:tcPr>
            <w:tcW w:w="2127" w:type="dxa"/>
          </w:tcPr>
          <w:p w14:paraId="5771A216" w14:textId="77777777" w:rsidR="00266E55" w:rsidRDefault="00266E55" w:rsidP="00423FDB">
            <w:pPr>
              <w:spacing w:before="40" w:after="40"/>
              <w:ind w:right="120"/>
            </w:pPr>
            <w:r>
              <w:rPr>
                <w:rFonts w:ascii="Helvetica" w:eastAsia="Helvetica" w:hAnsi="Helvetica" w:cs="Helvetica"/>
                <w:color w:val="000000"/>
                <w:sz w:val="22"/>
                <w:szCs w:val="22"/>
              </w:rPr>
              <w:t>Aztreonam</w:t>
            </w:r>
          </w:p>
        </w:tc>
        <w:tc>
          <w:tcPr>
            <w:tcW w:w="1134" w:type="dxa"/>
          </w:tcPr>
          <w:p w14:paraId="3D640587" w14:textId="77777777" w:rsidR="00266E55" w:rsidRDefault="00266E55" w:rsidP="00423FDB">
            <w:pPr>
              <w:spacing w:before="40" w:after="40"/>
              <w:ind w:left="120" w:right="120"/>
              <w:jc w:val="center"/>
            </w:pPr>
            <w:r>
              <w:rPr>
                <w:rFonts w:ascii="Helvetica" w:eastAsia="Helvetica" w:hAnsi="Helvetica" w:cs="Helvetica"/>
                <w:color w:val="000000"/>
                <w:sz w:val="22"/>
                <w:szCs w:val="22"/>
              </w:rPr>
              <w:t>22.6</w:t>
            </w:r>
          </w:p>
        </w:tc>
        <w:tc>
          <w:tcPr>
            <w:tcW w:w="992" w:type="dxa"/>
          </w:tcPr>
          <w:p w14:paraId="4134D639" w14:textId="77777777" w:rsidR="00266E55" w:rsidRDefault="00266E55" w:rsidP="00423FDB">
            <w:pPr>
              <w:spacing w:before="40" w:after="40"/>
              <w:ind w:left="120" w:right="120"/>
              <w:jc w:val="center"/>
            </w:pPr>
            <w:r>
              <w:rPr>
                <w:rFonts w:ascii="Helvetica" w:eastAsia="Helvetica" w:hAnsi="Helvetica" w:cs="Helvetica"/>
                <w:color w:val="000000"/>
                <w:sz w:val="22"/>
                <w:szCs w:val="22"/>
              </w:rPr>
              <w:t>17</w:t>
            </w:r>
          </w:p>
        </w:tc>
        <w:tc>
          <w:tcPr>
            <w:tcW w:w="1082" w:type="dxa"/>
          </w:tcPr>
          <w:p w14:paraId="230B1BCE" w14:textId="77777777" w:rsidR="00266E55" w:rsidRDefault="00266E55" w:rsidP="00423FDB">
            <w:pPr>
              <w:spacing w:before="40" w:after="40"/>
              <w:ind w:left="120" w:right="120"/>
              <w:jc w:val="center"/>
            </w:pPr>
            <w:r>
              <w:rPr>
                <w:rFonts w:ascii="Helvetica" w:eastAsia="Helvetica" w:hAnsi="Helvetica" w:cs="Helvetica"/>
                <w:color w:val="000000"/>
                <w:sz w:val="22"/>
                <w:szCs w:val="22"/>
              </w:rPr>
              <w:t>14.8</w:t>
            </w:r>
          </w:p>
        </w:tc>
        <w:tc>
          <w:tcPr>
            <w:tcW w:w="921" w:type="dxa"/>
          </w:tcPr>
          <w:p w14:paraId="7C36722B" w14:textId="77777777" w:rsidR="00266E55" w:rsidRDefault="00266E55" w:rsidP="00423FDB">
            <w:pPr>
              <w:spacing w:before="40" w:after="40"/>
              <w:ind w:left="120"/>
              <w:jc w:val="center"/>
            </w:pPr>
            <w:r>
              <w:rPr>
                <w:rFonts w:ascii="Helvetica" w:eastAsia="Helvetica" w:hAnsi="Helvetica" w:cs="Helvetica"/>
                <w:color w:val="000000"/>
                <w:sz w:val="22"/>
                <w:szCs w:val="22"/>
              </w:rPr>
              <w:t>16.5</w:t>
            </w:r>
          </w:p>
        </w:tc>
        <w:tc>
          <w:tcPr>
            <w:tcW w:w="1453" w:type="dxa"/>
          </w:tcPr>
          <w:p w14:paraId="4FC6CEA3"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453" w:type="dxa"/>
          </w:tcPr>
          <w:p w14:paraId="18F2162A" w14:textId="77777777" w:rsidR="00266E55" w:rsidRDefault="00266E55" w:rsidP="00423FDB">
            <w:pPr>
              <w:spacing w:before="40" w:after="40"/>
              <w:ind w:left="120"/>
              <w:jc w:val="center"/>
            </w:pPr>
            <w:r>
              <w:rPr>
                <w:rFonts w:ascii="Helvetica" w:eastAsia="Helvetica" w:hAnsi="Helvetica" w:cs="Helvetica"/>
                <w:color w:val="000000"/>
                <w:sz w:val="22"/>
                <w:szCs w:val="22"/>
              </w:rPr>
              <w:t>0.07</w:t>
            </w:r>
          </w:p>
        </w:tc>
      </w:tr>
    </w:tbl>
    <w:p w14:paraId="7D84A4EC" w14:textId="77777777" w:rsidR="00266E55" w:rsidRDefault="00266E55" w:rsidP="00266E55"/>
    <w:p w14:paraId="64B7EA38" w14:textId="77777777" w:rsidR="00266E55" w:rsidRDefault="00266E55" w:rsidP="00266E55"/>
    <w:p w14:paraId="7EA1432D" w14:textId="5A227879" w:rsidR="00266E55" w:rsidRPr="00694C0F" w:rsidRDefault="00266E55" w:rsidP="00266E55">
      <w:pPr>
        <w:rPr>
          <w:b/>
          <w:bCs/>
          <w:i/>
          <w:iCs/>
        </w:rPr>
      </w:pPr>
      <w:bookmarkStart w:id="0" w:name="_Hlk72411906"/>
      <w:r w:rsidRPr="00D22A48">
        <w:rPr>
          <w:b/>
          <w:bCs/>
        </w:rPr>
        <w:t>Supplementary Table IV:</w:t>
      </w:r>
      <w:r w:rsidRPr="00694C0F">
        <w:t xml:space="preserve"> Percentage of non-duplicate clinical isolates of </w:t>
      </w:r>
      <w:r w:rsidRPr="00694C0F">
        <w:rPr>
          <w:i/>
          <w:iCs/>
        </w:rPr>
        <w:t>Klebsiella pneumoniae</w:t>
      </w:r>
    </w:p>
    <w:p w14:paraId="0B9B1794" w14:textId="77777777" w:rsidR="00266E55" w:rsidRPr="00694C0F" w:rsidRDefault="00266E55" w:rsidP="00266E55">
      <w:r w:rsidRPr="00694C0F">
        <w:t>antibiotic resistance trends (Annual mean quarterly resistance %)</w:t>
      </w:r>
    </w:p>
    <w:tbl>
      <w:tblPr>
        <w:tblW w:w="9214" w:type="dxa"/>
        <w:jc w:val="center"/>
        <w:tblLayout w:type="fixed"/>
        <w:tblLook w:val="0420" w:firstRow="1" w:lastRow="0" w:firstColumn="0" w:lastColumn="0" w:noHBand="0" w:noVBand="1"/>
      </w:tblPr>
      <w:tblGrid>
        <w:gridCol w:w="2036"/>
        <w:gridCol w:w="953"/>
        <w:gridCol w:w="953"/>
        <w:gridCol w:w="953"/>
        <w:gridCol w:w="793"/>
        <w:gridCol w:w="1954"/>
        <w:gridCol w:w="1572"/>
      </w:tblGrid>
      <w:tr w:rsidR="00266E55" w14:paraId="4DB2E07D" w14:textId="77777777" w:rsidTr="00423FDB">
        <w:trPr>
          <w:cantSplit/>
          <w:jc w:val="center"/>
        </w:trPr>
        <w:tc>
          <w:tcPr>
            <w:tcW w:w="2036" w:type="dxa"/>
            <w:tcBorders>
              <w:top w:val="single" w:sz="3" w:space="0" w:color="000000"/>
              <w:bottom w:val="single" w:sz="3" w:space="0" w:color="000000"/>
            </w:tcBorders>
            <w:shd w:val="clear" w:color="auto" w:fill="FFFFFF"/>
            <w:tcMar>
              <w:top w:w="0" w:type="dxa"/>
              <w:left w:w="0" w:type="dxa"/>
              <w:bottom w:w="0" w:type="dxa"/>
              <w:right w:w="0" w:type="dxa"/>
            </w:tcMar>
          </w:tcPr>
          <w:bookmarkEnd w:id="0"/>
          <w:p w14:paraId="57E4308D" w14:textId="77777777" w:rsidR="00266E55" w:rsidRDefault="00266E55" w:rsidP="00423FDB">
            <w:pPr>
              <w:spacing w:before="40" w:after="40"/>
              <w:ind w:right="120"/>
            </w:pPr>
            <w:r>
              <w:rPr>
                <w:rFonts w:ascii="Helvetica" w:eastAsia="Helvetica" w:hAnsi="Helvetica" w:cs="Helvetica"/>
                <w:b/>
                <w:color w:val="000000"/>
                <w:sz w:val="22"/>
                <w:szCs w:val="22"/>
              </w:rPr>
              <w:t>Antibiotics</w:t>
            </w:r>
          </w:p>
        </w:tc>
        <w:tc>
          <w:tcPr>
            <w:tcW w:w="953" w:type="dxa"/>
            <w:tcBorders>
              <w:top w:val="single" w:sz="3" w:space="0" w:color="000000"/>
              <w:bottom w:val="single" w:sz="3" w:space="0" w:color="000000"/>
            </w:tcBorders>
            <w:shd w:val="clear" w:color="auto" w:fill="FFFFFF"/>
            <w:tcMar>
              <w:top w:w="0" w:type="dxa"/>
              <w:left w:w="0" w:type="dxa"/>
              <w:bottom w:w="0" w:type="dxa"/>
              <w:right w:w="0" w:type="dxa"/>
            </w:tcMar>
          </w:tcPr>
          <w:p w14:paraId="68277C5E" w14:textId="77777777" w:rsidR="00266E55" w:rsidRDefault="00266E55" w:rsidP="00423FDB">
            <w:pPr>
              <w:spacing w:before="40" w:after="40"/>
              <w:ind w:left="120" w:right="120"/>
              <w:jc w:val="center"/>
            </w:pPr>
            <w:r>
              <w:rPr>
                <w:rFonts w:ascii="Helvetica" w:eastAsia="Helvetica" w:hAnsi="Helvetica" w:cs="Helvetica"/>
                <w:b/>
                <w:color w:val="000000"/>
                <w:sz w:val="22"/>
                <w:szCs w:val="22"/>
              </w:rPr>
              <w:t>2017</w:t>
            </w:r>
          </w:p>
        </w:tc>
        <w:tc>
          <w:tcPr>
            <w:tcW w:w="953" w:type="dxa"/>
            <w:tcBorders>
              <w:top w:val="single" w:sz="3" w:space="0" w:color="000000"/>
              <w:bottom w:val="single" w:sz="3" w:space="0" w:color="000000"/>
            </w:tcBorders>
            <w:shd w:val="clear" w:color="auto" w:fill="FFFFFF"/>
            <w:tcMar>
              <w:top w:w="0" w:type="dxa"/>
              <w:left w:w="0" w:type="dxa"/>
              <w:bottom w:w="0" w:type="dxa"/>
              <w:right w:w="0" w:type="dxa"/>
            </w:tcMar>
          </w:tcPr>
          <w:p w14:paraId="4DDB189C" w14:textId="77777777" w:rsidR="00266E55" w:rsidRDefault="00266E55" w:rsidP="00423FDB">
            <w:pPr>
              <w:spacing w:before="40" w:after="40"/>
              <w:ind w:left="120" w:right="120"/>
              <w:jc w:val="center"/>
            </w:pPr>
            <w:r>
              <w:rPr>
                <w:rFonts w:ascii="Helvetica" w:eastAsia="Helvetica" w:hAnsi="Helvetica" w:cs="Helvetica"/>
                <w:b/>
                <w:color w:val="000000"/>
                <w:sz w:val="22"/>
                <w:szCs w:val="22"/>
              </w:rPr>
              <w:t>2018</w:t>
            </w:r>
          </w:p>
        </w:tc>
        <w:tc>
          <w:tcPr>
            <w:tcW w:w="953" w:type="dxa"/>
            <w:tcBorders>
              <w:top w:val="single" w:sz="3" w:space="0" w:color="000000"/>
              <w:bottom w:val="single" w:sz="3" w:space="0" w:color="000000"/>
            </w:tcBorders>
            <w:shd w:val="clear" w:color="auto" w:fill="FFFFFF"/>
            <w:tcMar>
              <w:top w:w="0" w:type="dxa"/>
              <w:left w:w="0" w:type="dxa"/>
              <w:bottom w:w="0" w:type="dxa"/>
              <w:right w:w="0" w:type="dxa"/>
            </w:tcMar>
          </w:tcPr>
          <w:p w14:paraId="694BF92D" w14:textId="77777777" w:rsidR="00266E55" w:rsidRDefault="00266E55" w:rsidP="00423FDB">
            <w:pPr>
              <w:spacing w:before="40" w:after="40"/>
              <w:ind w:left="120" w:right="120"/>
              <w:jc w:val="center"/>
            </w:pPr>
            <w:r>
              <w:rPr>
                <w:rFonts w:ascii="Helvetica" w:eastAsia="Helvetica" w:hAnsi="Helvetica" w:cs="Helvetica"/>
                <w:b/>
                <w:color w:val="000000"/>
                <w:sz w:val="22"/>
                <w:szCs w:val="22"/>
              </w:rPr>
              <w:t>2019</w:t>
            </w:r>
          </w:p>
        </w:tc>
        <w:tc>
          <w:tcPr>
            <w:tcW w:w="793" w:type="dxa"/>
            <w:tcBorders>
              <w:top w:val="single" w:sz="3" w:space="0" w:color="000000"/>
              <w:bottom w:val="single" w:sz="3" w:space="0" w:color="000000"/>
            </w:tcBorders>
            <w:shd w:val="clear" w:color="auto" w:fill="FFFFFF"/>
            <w:tcMar>
              <w:top w:w="0" w:type="dxa"/>
              <w:left w:w="0" w:type="dxa"/>
              <w:bottom w:w="0" w:type="dxa"/>
              <w:right w:w="0" w:type="dxa"/>
            </w:tcMar>
          </w:tcPr>
          <w:p w14:paraId="22A331C1" w14:textId="77777777" w:rsidR="00266E55" w:rsidRDefault="00266E55" w:rsidP="00423FDB">
            <w:pPr>
              <w:spacing w:before="40" w:after="40"/>
              <w:ind w:left="120"/>
              <w:jc w:val="center"/>
            </w:pPr>
            <w:r>
              <w:rPr>
                <w:rFonts w:ascii="Helvetica" w:eastAsia="Helvetica" w:hAnsi="Helvetica" w:cs="Helvetica"/>
                <w:b/>
                <w:color w:val="000000"/>
                <w:sz w:val="22"/>
                <w:szCs w:val="22"/>
              </w:rPr>
              <w:t>2020</w:t>
            </w:r>
          </w:p>
        </w:tc>
        <w:tc>
          <w:tcPr>
            <w:tcW w:w="1954" w:type="dxa"/>
            <w:tcBorders>
              <w:top w:val="single" w:sz="3" w:space="0" w:color="000000"/>
              <w:bottom w:val="single" w:sz="3" w:space="0" w:color="000000"/>
            </w:tcBorders>
            <w:shd w:val="clear" w:color="auto" w:fill="FFFFFF"/>
          </w:tcPr>
          <w:p w14:paraId="69B87CFF" w14:textId="77777777" w:rsidR="00266E55" w:rsidRDefault="00266E55" w:rsidP="00423FDB">
            <w:pPr>
              <w:spacing w:before="40" w:after="40"/>
              <w:ind w:left="120"/>
              <w:jc w:val="center"/>
              <w:rPr>
                <w:rFonts w:ascii="Helvetica" w:eastAsia="Helvetica" w:hAnsi="Helvetica" w:cs="Helvetica"/>
                <w:b/>
                <w:color w:val="000000"/>
                <w:sz w:val="22"/>
                <w:szCs w:val="22"/>
              </w:rPr>
            </w:pPr>
            <w:r>
              <w:rPr>
                <w:rFonts w:ascii="Helvetica" w:eastAsia="Helvetica" w:hAnsi="Helvetica" w:cs="Helvetica"/>
                <w:b/>
                <w:color w:val="000000"/>
                <w:sz w:val="22"/>
                <w:szCs w:val="22"/>
              </w:rPr>
              <w:t>Trend</w:t>
            </w:r>
          </w:p>
        </w:tc>
        <w:tc>
          <w:tcPr>
            <w:tcW w:w="1572" w:type="dxa"/>
            <w:tcBorders>
              <w:top w:val="single" w:sz="3" w:space="0" w:color="000000"/>
              <w:bottom w:val="single" w:sz="3" w:space="0" w:color="000000"/>
            </w:tcBorders>
            <w:shd w:val="clear" w:color="auto" w:fill="FFFFFF"/>
            <w:tcMar>
              <w:top w:w="0" w:type="dxa"/>
              <w:left w:w="0" w:type="dxa"/>
              <w:bottom w:w="0" w:type="dxa"/>
              <w:right w:w="0" w:type="dxa"/>
            </w:tcMar>
          </w:tcPr>
          <w:p w14:paraId="65A03234" w14:textId="77777777" w:rsidR="00266E55" w:rsidRDefault="00266E55" w:rsidP="00423FDB">
            <w:pPr>
              <w:spacing w:before="40" w:after="40"/>
              <w:ind w:left="120"/>
              <w:jc w:val="center"/>
            </w:pPr>
            <w:r>
              <w:rPr>
                <w:rFonts w:ascii="Helvetica" w:eastAsia="Helvetica" w:hAnsi="Helvetica" w:cs="Helvetica"/>
                <w:b/>
                <w:color w:val="000000"/>
                <w:sz w:val="22"/>
                <w:szCs w:val="22"/>
              </w:rPr>
              <w:t>p-value of trend</w:t>
            </w:r>
          </w:p>
        </w:tc>
      </w:tr>
      <w:tr w:rsidR="00266E55" w14:paraId="3BF04E1E" w14:textId="77777777" w:rsidTr="00423FDB">
        <w:trPr>
          <w:cantSplit/>
          <w:jc w:val="center"/>
        </w:trPr>
        <w:tc>
          <w:tcPr>
            <w:tcW w:w="2036" w:type="dxa"/>
            <w:shd w:val="clear" w:color="auto" w:fill="FFFFFF"/>
            <w:tcMar>
              <w:top w:w="0" w:type="dxa"/>
              <w:left w:w="0" w:type="dxa"/>
              <w:bottom w:w="0" w:type="dxa"/>
              <w:right w:w="0" w:type="dxa"/>
            </w:tcMar>
          </w:tcPr>
          <w:p w14:paraId="625AEEF4" w14:textId="77777777" w:rsidR="00266E55" w:rsidRDefault="00266E55" w:rsidP="00423FDB">
            <w:pPr>
              <w:spacing w:before="40" w:after="40"/>
              <w:ind w:right="120"/>
              <w:rPr>
                <w:rFonts w:ascii="Helvetica" w:eastAsia="Helvetica" w:hAnsi="Helvetica" w:cs="Helvetica"/>
                <w:color w:val="000000"/>
                <w:sz w:val="22"/>
                <w:szCs w:val="22"/>
              </w:rPr>
            </w:pPr>
            <w:r>
              <w:rPr>
                <w:rFonts w:ascii="Helvetica" w:eastAsia="Helvetica" w:hAnsi="Helvetica" w:cs="Helvetica"/>
                <w:color w:val="000000"/>
                <w:sz w:val="22"/>
                <w:szCs w:val="22"/>
              </w:rPr>
              <w:t>Number of Isolates</w:t>
            </w:r>
          </w:p>
        </w:tc>
        <w:tc>
          <w:tcPr>
            <w:tcW w:w="953" w:type="dxa"/>
            <w:shd w:val="clear" w:color="auto" w:fill="FFFFFF"/>
            <w:tcMar>
              <w:top w:w="0" w:type="dxa"/>
              <w:left w:w="0" w:type="dxa"/>
              <w:bottom w:w="0" w:type="dxa"/>
              <w:right w:w="0" w:type="dxa"/>
            </w:tcMar>
          </w:tcPr>
          <w:p w14:paraId="558DF4C9"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72</w:t>
            </w:r>
          </w:p>
        </w:tc>
        <w:tc>
          <w:tcPr>
            <w:tcW w:w="953" w:type="dxa"/>
            <w:shd w:val="clear" w:color="auto" w:fill="FFFFFF"/>
            <w:tcMar>
              <w:top w:w="0" w:type="dxa"/>
              <w:left w:w="0" w:type="dxa"/>
              <w:bottom w:w="0" w:type="dxa"/>
              <w:right w:w="0" w:type="dxa"/>
            </w:tcMar>
          </w:tcPr>
          <w:p w14:paraId="41F49D4F"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63</w:t>
            </w:r>
          </w:p>
        </w:tc>
        <w:tc>
          <w:tcPr>
            <w:tcW w:w="953" w:type="dxa"/>
            <w:shd w:val="clear" w:color="auto" w:fill="FFFFFF"/>
            <w:tcMar>
              <w:top w:w="0" w:type="dxa"/>
              <w:left w:w="0" w:type="dxa"/>
              <w:bottom w:w="0" w:type="dxa"/>
              <w:right w:w="0" w:type="dxa"/>
            </w:tcMar>
          </w:tcPr>
          <w:p w14:paraId="6043B4D1"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51</w:t>
            </w:r>
          </w:p>
        </w:tc>
        <w:tc>
          <w:tcPr>
            <w:tcW w:w="793" w:type="dxa"/>
            <w:shd w:val="clear" w:color="auto" w:fill="FFFFFF"/>
            <w:tcMar>
              <w:top w:w="0" w:type="dxa"/>
              <w:left w:w="0" w:type="dxa"/>
              <w:bottom w:w="0" w:type="dxa"/>
              <w:right w:w="0" w:type="dxa"/>
            </w:tcMar>
          </w:tcPr>
          <w:p w14:paraId="207C9CF4"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59</w:t>
            </w:r>
          </w:p>
        </w:tc>
        <w:tc>
          <w:tcPr>
            <w:tcW w:w="1954" w:type="dxa"/>
            <w:shd w:val="clear" w:color="auto" w:fill="FFFFFF"/>
          </w:tcPr>
          <w:p w14:paraId="679E0D1D" w14:textId="77777777" w:rsidR="00266E55" w:rsidRDefault="00266E55" w:rsidP="00423FDB">
            <w:pPr>
              <w:spacing w:before="40" w:after="40"/>
              <w:ind w:left="120"/>
              <w:jc w:val="center"/>
              <w:rPr>
                <w:rFonts w:ascii="Helvetica" w:eastAsia="Helvetica" w:hAnsi="Helvetica" w:cs="Helvetica"/>
                <w:color w:val="000000"/>
                <w:sz w:val="22"/>
                <w:szCs w:val="22"/>
              </w:rPr>
            </w:pPr>
          </w:p>
        </w:tc>
        <w:tc>
          <w:tcPr>
            <w:tcW w:w="1572" w:type="dxa"/>
            <w:shd w:val="clear" w:color="auto" w:fill="FFFFFF"/>
            <w:tcMar>
              <w:top w:w="0" w:type="dxa"/>
              <w:left w:w="0" w:type="dxa"/>
              <w:bottom w:w="0" w:type="dxa"/>
              <w:right w:w="0" w:type="dxa"/>
            </w:tcMar>
          </w:tcPr>
          <w:p w14:paraId="3569EE86" w14:textId="77777777" w:rsidR="00266E55" w:rsidRDefault="00266E55" w:rsidP="00423FDB">
            <w:pPr>
              <w:spacing w:before="40" w:after="40"/>
              <w:ind w:left="120"/>
              <w:jc w:val="center"/>
              <w:rPr>
                <w:rFonts w:ascii="Helvetica" w:eastAsia="Helvetica" w:hAnsi="Helvetica" w:cs="Helvetica"/>
                <w:color w:val="000000"/>
                <w:sz w:val="22"/>
                <w:szCs w:val="22"/>
              </w:rPr>
            </w:pPr>
          </w:p>
        </w:tc>
      </w:tr>
      <w:tr w:rsidR="00266E55" w14:paraId="0DCC8E43" w14:textId="77777777" w:rsidTr="00423FDB">
        <w:trPr>
          <w:cantSplit/>
          <w:jc w:val="center"/>
        </w:trPr>
        <w:tc>
          <w:tcPr>
            <w:tcW w:w="2036" w:type="dxa"/>
            <w:shd w:val="clear" w:color="auto" w:fill="FFFFFF"/>
            <w:tcMar>
              <w:top w:w="0" w:type="dxa"/>
              <w:left w:w="0" w:type="dxa"/>
              <w:bottom w:w="0" w:type="dxa"/>
              <w:right w:w="0" w:type="dxa"/>
            </w:tcMar>
          </w:tcPr>
          <w:p w14:paraId="0CF19AA9" w14:textId="77777777" w:rsidR="00266E55" w:rsidRDefault="00266E55" w:rsidP="00423FDB">
            <w:pPr>
              <w:spacing w:before="40" w:after="40"/>
              <w:ind w:right="120"/>
            </w:pPr>
            <w:r>
              <w:rPr>
                <w:rFonts w:ascii="Helvetica" w:eastAsia="Helvetica" w:hAnsi="Helvetica" w:cs="Helvetica"/>
                <w:color w:val="000000"/>
                <w:sz w:val="22"/>
                <w:szCs w:val="22"/>
              </w:rPr>
              <w:t>Ceftriaxone</w:t>
            </w:r>
          </w:p>
        </w:tc>
        <w:tc>
          <w:tcPr>
            <w:tcW w:w="953" w:type="dxa"/>
            <w:shd w:val="clear" w:color="auto" w:fill="FFFFFF"/>
            <w:tcMar>
              <w:top w:w="0" w:type="dxa"/>
              <w:left w:w="0" w:type="dxa"/>
              <w:bottom w:w="0" w:type="dxa"/>
              <w:right w:w="0" w:type="dxa"/>
            </w:tcMar>
          </w:tcPr>
          <w:p w14:paraId="2BC6FCFE" w14:textId="77777777" w:rsidR="00266E55" w:rsidRDefault="00266E55" w:rsidP="00423FDB">
            <w:pPr>
              <w:spacing w:before="40" w:after="40"/>
              <w:ind w:left="120" w:right="120"/>
              <w:jc w:val="center"/>
            </w:pPr>
            <w:r>
              <w:rPr>
                <w:rFonts w:ascii="Helvetica" w:eastAsia="Helvetica" w:hAnsi="Helvetica" w:cs="Helvetica"/>
                <w:color w:val="000000"/>
                <w:sz w:val="22"/>
                <w:szCs w:val="22"/>
              </w:rPr>
              <w:t>19.6</w:t>
            </w:r>
          </w:p>
        </w:tc>
        <w:tc>
          <w:tcPr>
            <w:tcW w:w="953" w:type="dxa"/>
            <w:shd w:val="clear" w:color="auto" w:fill="FFFFFF"/>
            <w:tcMar>
              <w:top w:w="0" w:type="dxa"/>
              <w:left w:w="0" w:type="dxa"/>
              <w:bottom w:w="0" w:type="dxa"/>
              <w:right w:w="0" w:type="dxa"/>
            </w:tcMar>
          </w:tcPr>
          <w:p w14:paraId="0BE46D93" w14:textId="77777777" w:rsidR="00266E55" w:rsidRDefault="00266E55" w:rsidP="00423FDB">
            <w:pPr>
              <w:spacing w:before="40" w:after="40"/>
              <w:ind w:left="120" w:right="120"/>
              <w:jc w:val="center"/>
            </w:pPr>
            <w:r>
              <w:rPr>
                <w:rFonts w:ascii="Helvetica" w:eastAsia="Helvetica" w:hAnsi="Helvetica" w:cs="Helvetica"/>
                <w:color w:val="000000"/>
                <w:sz w:val="22"/>
                <w:szCs w:val="22"/>
              </w:rPr>
              <w:t>17.8</w:t>
            </w:r>
          </w:p>
        </w:tc>
        <w:tc>
          <w:tcPr>
            <w:tcW w:w="953" w:type="dxa"/>
            <w:shd w:val="clear" w:color="auto" w:fill="FFFFFF"/>
            <w:tcMar>
              <w:top w:w="0" w:type="dxa"/>
              <w:left w:w="0" w:type="dxa"/>
              <w:bottom w:w="0" w:type="dxa"/>
              <w:right w:w="0" w:type="dxa"/>
            </w:tcMar>
          </w:tcPr>
          <w:p w14:paraId="554C56F3" w14:textId="77777777" w:rsidR="00266E55" w:rsidRDefault="00266E55" w:rsidP="00423FDB">
            <w:pPr>
              <w:spacing w:before="40" w:after="40"/>
              <w:ind w:left="120" w:right="120"/>
              <w:jc w:val="center"/>
            </w:pPr>
            <w:r>
              <w:rPr>
                <w:rFonts w:ascii="Helvetica" w:eastAsia="Helvetica" w:hAnsi="Helvetica" w:cs="Helvetica"/>
                <w:color w:val="000000"/>
                <w:sz w:val="22"/>
                <w:szCs w:val="22"/>
              </w:rPr>
              <w:t>11.9</w:t>
            </w:r>
          </w:p>
        </w:tc>
        <w:tc>
          <w:tcPr>
            <w:tcW w:w="793" w:type="dxa"/>
            <w:shd w:val="clear" w:color="auto" w:fill="FFFFFF"/>
            <w:tcMar>
              <w:top w:w="0" w:type="dxa"/>
              <w:left w:w="0" w:type="dxa"/>
              <w:bottom w:w="0" w:type="dxa"/>
              <w:right w:w="0" w:type="dxa"/>
            </w:tcMar>
          </w:tcPr>
          <w:p w14:paraId="6CB08B1B" w14:textId="77777777" w:rsidR="00266E55" w:rsidRDefault="00266E55" w:rsidP="00423FDB">
            <w:pPr>
              <w:spacing w:before="40" w:after="40"/>
              <w:ind w:left="120"/>
              <w:jc w:val="center"/>
            </w:pPr>
            <w:r>
              <w:rPr>
                <w:rFonts w:ascii="Helvetica" w:eastAsia="Helvetica" w:hAnsi="Helvetica" w:cs="Helvetica"/>
                <w:color w:val="000000"/>
                <w:sz w:val="22"/>
                <w:szCs w:val="22"/>
              </w:rPr>
              <w:t>10.8</w:t>
            </w:r>
          </w:p>
        </w:tc>
        <w:tc>
          <w:tcPr>
            <w:tcW w:w="1954" w:type="dxa"/>
            <w:shd w:val="clear" w:color="auto" w:fill="FFFFFF"/>
          </w:tcPr>
          <w:p w14:paraId="4BD57B0D"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572" w:type="dxa"/>
            <w:shd w:val="clear" w:color="auto" w:fill="FFFFFF"/>
            <w:tcMar>
              <w:top w:w="0" w:type="dxa"/>
              <w:left w:w="0" w:type="dxa"/>
              <w:bottom w:w="0" w:type="dxa"/>
              <w:right w:w="0" w:type="dxa"/>
            </w:tcMar>
          </w:tcPr>
          <w:p w14:paraId="57DE7F75" w14:textId="77777777" w:rsidR="00266E55" w:rsidRDefault="00266E55" w:rsidP="00423FDB">
            <w:pPr>
              <w:spacing w:before="40" w:after="40"/>
              <w:ind w:left="120"/>
              <w:jc w:val="center"/>
            </w:pPr>
            <w:r>
              <w:rPr>
                <w:rFonts w:ascii="Helvetica" w:eastAsia="Helvetica" w:hAnsi="Helvetica" w:cs="Helvetica"/>
                <w:color w:val="000000"/>
                <w:sz w:val="22"/>
                <w:szCs w:val="22"/>
              </w:rPr>
              <w:t>0.043</w:t>
            </w:r>
          </w:p>
        </w:tc>
      </w:tr>
      <w:tr w:rsidR="00266E55" w14:paraId="099212DC" w14:textId="77777777" w:rsidTr="00423FDB">
        <w:trPr>
          <w:cantSplit/>
          <w:jc w:val="center"/>
        </w:trPr>
        <w:tc>
          <w:tcPr>
            <w:tcW w:w="2036" w:type="dxa"/>
            <w:shd w:val="clear" w:color="auto" w:fill="FFFFFF"/>
            <w:tcMar>
              <w:top w:w="0" w:type="dxa"/>
              <w:left w:w="0" w:type="dxa"/>
              <w:bottom w:w="0" w:type="dxa"/>
              <w:right w:w="0" w:type="dxa"/>
            </w:tcMar>
          </w:tcPr>
          <w:p w14:paraId="7B7A633F" w14:textId="77777777" w:rsidR="00266E55" w:rsidRDefault="00266E55" w:rsidP="00423FDB">
            <w:pPr>
              <w:spacing w:before="40" w:after="40"/>
              <w:ind w:right="120"/>
            </w:pPr>
            <w:r>
              <w:rPr>
                <w:rFonts w:ascii="Helvetica" w:eastAsia="Helvetica" w:hAnsi="Helvetica" w:cs="Helvetica"/>
                <w:color w:val="000000"/>
                <w:sz w:val="22"/>
                <w:szCs w:val="22"/>
              </w:rPr>
              <w:t>Ciprofloxacin</w:t>
            </w:r>
          </w:p>
        </w:tc>
        <w:tc>
          <w:tcPr>
            <w:tcW w:w="953" w:type="dxa"/>
            <w:shd w:val="clear" w:color="auto" w:fill="FFFFFF"/>
            <w:tcMar>
              <w:top w:w="0" w:type="dxa"/>
              <w:left w:w="0" w:type="dxa"/>
              <w:bottom w:w="0" w:type="dxa"/>
              <w:right w:w="0" w:type="dxa"/>
            </w:tcMar>
          </w:tcPr>
          <w:p w14:paraId="213E6FF5" w14:textId="77777777" w:rsidR="00266E55" w:rsidRDefault="00266E55" w:rsidP="00423FDB">
            <w:pPr>
              <w:spacing w:before="40" w:after="40"/>
              <w:ind w:left="120" w:right="120"/>
              <w:jc w:val="center"/>
            </w:pPr>
            <w:r>
              <w:rPr>
                <w:rFonts w:ascii="Helvetica" w:eastAsia="Helvetica" w:hAnsi="Helvetica" w:cs="Helvetica"/>
                <w:color w:val="000000"/>
                <w:sz w:val="22"/>
                <w:szCs w:val="22"/>
              </w:rPr>
              <w:t>22.4</w:t>
            </w:r>
          </w:p>
        </w:tc>
        <w:tc>
          <w:tcPr>
            <w:tcW w:w="953" w:type="dxa"/>
            <w:shd w:val="clear" w:color="auto" w:fill="FFFFFF"/>
            <w:tcMar>
              <w:top w:w="0" w:type="dxa"/>
              <w:left w:w="0" w:type="dxa"/>
              <w:bottom w:w="0" w:type="dxa"/>
              <w:right w:w="0" w:type="dxa"/>
            </w:tcMar>
          </w:tcPr>
          <w:p w14:paraId="7359DE72" w14:textId="77777777" w:rsidR="00266E55" w:rsidRDefault="00266E55" w:rsidP="00423FDB">
            <w:pPr>
              <w:spacing w:before="40" w:after="40"/>
              <w:ind w:left="120" w:right="120"/>
              <w:jc w:val="center"/>
            </w:pPr>
            <w:r>
              <w:rPr>
                <w:rFonts w:ascii="Helvetica" w:eastAsia="Helvetica" w:hAnsi="Helvetica" w:cs="Helvetica"/>
                <w:color w:val="000000"/>
                <w:sz w:val="22"/>
                <w:szCs w:val="22"/>
              </w:rPr>
              <w:t>23.3</w:t>
            </w:r>
          </w:p>
        </w:tc>
        <w:tc>
          <w:tcPr>
            <w:tcW w:w="953" w:type="dxa"/>
            <w:shd w:val="clear" w:color="auto" w:fill="FFFFFF"/>
            <w:tcMar>
              <w:top w:w="0" w:type="dxa"/>
              <w:left w:w="0" w:type="dxa"/>
              <w:bottom w:w="0" w:type="dxa"/>
              <w:right w:w="0" w:type="dxa"/>
            </w:tcMar>
          </w:tcPr>
          <w:p w14:paraId="59B7B073" w14:textId="77777777" w:rsidR="00266E55" w:rsidRDefault="00266E55" w:rsidP="00423FDB">
            <w:pPr>
              <w:spacing w:before="40" w:after="40"/>
              <w:ind w:left="120" w:right="120"/>
              <w:jc w:val="center"/>
            </w:pPr>
            <w:r>
              <w:rPr>
                <w:rFonts w:ascii="Helvetica" w:eastAsia="Helvetica" w:hAnsi="Helvetica" w:cs="Helvetica"/>
                <w:color w:val="000000"/>
                <w:sz w:val="22"/>
                <w:szCs w:val="22"/>
              </w:rPr>
              <w:t>8.01</w:t>
            </w:r>
          </w:p>
        </w:tc>
        <w:tc>
          <w:tcPr>
            <w:tcW w:w="793" w:type="dxa"/>
            <w:shd w:val="clear" w:color="auto" w:fill="FFFFFF"/>
            <w:tcMar>
              <w:top w:w="0" w:type="dxa"/>
              <w:left w:w="0" w:type="dxa"/>
              <w:bottom w:w="0" w:type="dxa"/>
              <w:right w:w="0" w:type="dxa"/>
            </w:tcMar>
          </w:tcPr>
          <w:p w14:paraId="76F9217D" w14:textId="77777777" w:rsidR="00266E55" w:rsidRDefault="00266E55" w:rsidP="00423FDB">
            <w:pPr>
              <w:spacing w:before="40" w:after="40"/>
              <w:ind w:left="120"/>
              <w:jc w:val="center"/>
            </w:pPr>
            <w:r>
              <w:rPr>
                <w:rFonts w:ascii="Helvetica" w:eastAsia="Helvetica" w:hAnsi="Helvetica" w:cs="Helvetica"/>
                <w:color w:val="000000"/>
                <w:sz w:val="22"/>
                <w:szCs w:val="22"/>
              </w:rPr>
              <w:t>12.5</w:t>
            </w:r>
          </w:p>
        </w:tc>
        <w:tc>
          <w:tcPr>
            <w:tcW w:w="1954" w:type="dxa"/>
            <w:shd w:val="clear" w:color="auto" w:fill="FFFFFF"/>
          </w:tcPr>
          <w:p w14:paraId="4E869FF6"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572" w:type="dxa"/>
            <w:shd w:val="clear" w:color="auto" w:fill="FFFFFF"/>
            <w:tcMar>
              <w:top w:w="0" w:type="dxa"/>
              <w:left w:w="0" w:type="dxa"/>
              <w:bottom w:w="0" w:type="dxa"/>
              <w:right w:w="0" w:type="dxa"/>
            </w:tcMar>
          </w:tcPr>
          <w:p w14:paraId="1DB37B68" w14:textId="77777777" w:rsidR="00266E55" w:rsidRDefault="00266E55" w:rsidP="00423FDB">
            <w:pPr>
              <w:spacing w:before="40" w:after="40"/>
              <w:ind w:left="120"/>
              <w:jc w:val="center"/>
            </w:pPr>
            <w:r>
              <w:rPr>
                <w:rFonts w:ascii="Helvetica" w:eastAsia="Helvetica" w:hAnsi="Helvetica" w:cs="Helvetica"/>
                <w:color w:val="000000"/>
                <w:sz w:val="22"/>
                <w:szCs w:val="22"/>
              </w:rPr>
              <w:t>0.014</w:t>
            </w:r>
          </w:p>
        </w:tc>
      </w:tr>
      <w:tr w:rsidR="00266E55" w14:paraId="3214403D" w14:textId="77777777" w:rsidTr="00423FDB">
        <w:trPr>
          <w:cantSplit/>
          <w:jc w:val="center"/>
        </w:trPr>
        <w:tc>
          <w:tcPr>
            <w:tcW w:w="2036" w:type="dxa"/>
            <w:shd w:val="clear" w:color="auto" w:fill="FFFFFF"/>
            <w:tcMar>
              <w:top w:w="0" w:type="dxa"/>
              <w:left w:w="0" w:type="dxa"/>
              <w:bottom w:w="0" w:type="dxa"/>
              <w:right w:w="0" w:type="dxa"/>
            </w:tcMar>
          </w:tcPr>
          <w:p w14:paraId="43EA3FBD" w14:textId="77777777" w:rsidR="00266E55" w:rsidRDefault="00266E55" w:rsidP="00423FDB">
            <w:pPr>
              <w:spacing w:before="40" w:after="40"/>
              <w:ind w:right="120"/>
            </w:pPr>
            <w:r>
              <w:rPr>
                <w:rFonts w:ascii="Helvetica" w:eastAsia="Helvetica" w:hAnsi="Helvetica" w:cs="Helvetica"/>
                <w:color w:val="000000"/>
                <w:sz w:val="22"/>
                <w:szCs w:val="22"/>
              </w:rPr>
              <w:t>Levofloxacin</w:t>
            </w:r>
          </w:p>
        </w:tc>
        <w:tc>
          <w:tcPr>
            <w:tcW w:w="953" w:type="dxa"/>
            <w:shd w:val="clear" w:color="auto" w:fill="FFFFFF"/>
            <w:tcMar>
              <w:top w:w="0" w:type="dxa"/>
              <w:left w:w="0" w:type="dxa"/>
              <w:bottom w:w="0" w:type="dxa"/>
              <w:right w:w="0" w:type="dxa"/>
            </w:tcMar>
          </w:tcPr>
          <w:p w14:paraId="0C9C09E2" w14:textId="77777777" w:rsidR="00266E55" w:rsidRDefault="00266E55" w:rsidP="00423FDB">
            <w:pPr>
              <w:spacing w:before="40" w:after="40"/>
              <w:ind w:left="120" w:right="120"/>
              <w:jc w:val="center"/>
            </w:pPr>
            <w:r>
              <w:rPr>
                <w:rFonts w:ascii="Helvetica" w:eastAsia="Helvetica" w:hAnsi="Helvetica" w:cs="Helvetica"/>
                <w:color w:val="000000"/>
                <w:sz w:val="22"/>
                <w:szCs w:val="22"/>
              </w:rPr>
              <w:t>25.1</w:t>
            </w:r>
          </w:p>
        </w:tc>
        <w:tc>
          <w:tcPr>
            <w:tcW w:w="953" w:type="dxa"/>
            <w:shd w:val="clear" w:color="auto" w:fill="FFFFFF"/>
            <w:tcMar>
              <w:top w:w="0" w:type="dxa"/>
              <w:left w:w="0" w:type="dxa"/>
              <w:bottom w:w="0" w:type="dxa"/>
              <w:right w:w="0" w:type="dxa"/>
            </w:tcMar>
          </w:tcPr>
          <w:p w14:paraId="5933DCDF" w14:textId="77777777" w:rsidR="00266E55" w:rsidRDefault="00266E55" w:rsidP="00423FDB">
            <w:pPr>
              <w:spacing w:before="40" w:after="40"/>
              <w:ind w:left="120" w:right="120"/>
              <w:jc w:val="center"/>
            </w:pPr>
            <w:r>
              <w:rPr>
                <w:rFonts w:ascii="Helvetica" w:eastAsia="Helvetica" w:hAnsi="Helvetica" w:cs="Helvetica"/>
                <w:color w:val="000000"/>
                <w:sz w:val="22"/>
                <w:szCs w:val="22"/>
              </w:rPr>
              <w:t>35.4</w:t>
            </w:r>
          </w:p>
        </w:tc>
        <w:tc>
          <w:tcPr>
            <w:tcW w:w="953" w:type="dxa"/>
            <w:shd w:val="clear" w:color="auto" w:fill="FFFFFF"/>
            <w:tcMar>
              <w:top w:w="0" w:type="dxa"/>
              <w:left w:w="0" w:type="dxa"/>
              <w:bottom w:w="0" w:type="dxa"/>
              <w:right w:w="0" w:type="dxa"/>
            </w:tcMar>
          </w:tcPr>
          <w:p w14:paraId="35AD3293" w14:textId="77777777" w:rsidR="00266E55" w:rsidRDefault="00266E55" w:rsidP="00423FDB">
            <w:pPr>
              <w:spacing w:before="40" w:after="40"/>
              <w:ind w:left="120" w:right="120"/>
              <w:jc w:val="center"/>
            </w:pPr>
            <w:r>
              <w:rPr>
                <w:rFonts w:ascii="Helvetica" w:eastAsia="Helvetica" w:hAnsi="Helvetica" w:cs="Helvetica"/>
                <w:color w:val="000000"/>
                <w:sz w:val="22"/>
                <w:szCs w:val="22"/>
              </w:rPr>
              <w:t>17.7</w:t>
            </w:r>
          </w:p>
        </w:tc>
        <w:tc>
          <w:tcPr>
            <w:tcW w:w="793" w:type="dxa"/>
            <w:shd w:val="clear" w:color="auto" w:fill="FFFFFF"/>
            <w:tcMar>
              <w:top w:w="0" w:type="dxa"/>
              <w:left w:w="0" w:type="dxa"/>
              <w:bottom w:w="0" w:type="dxa"/>
              <w:right w:w="0" w:type="dxa"/>
            </w:tcMar>
          </w:tcPr>
          <w:p w14:paraId="507A09E4" w14:textId="77777777" w:rsidR="00266E55" w:rsidRDefault="00266E55" w:rsidP="00423FDB">
            <w:pPr>
              <w:spacing w:before="40" w:after="40"/>
              <w:ind w:left="120"/>
              <w:jc w:val="center"/>
            </w:pPr>
            <w:r>
              <w:rPr>
                <w:rFonts w:ascii="Helvetica" w:eastAsia="Helvetica" w:hAnsi="Helvetica" w:cs="Helvetica"/>
                <w:color w:val="000000"/>
                <w:sz w:val="22"/>
                <w:szCs w:val="22"/>
              </w:rPr>
              <w:t>15.4</w:t>
            </w:r>
          </w:p>
        </w:tc>
        <w:tc>
          <w:tcPr>
            <w:tcW w:w="1954" w:type="dxa"/>
            <w:shd w:val="clear" w:color="auto" w:fill="FFFFFF"/>
          </w:tcPr>
          <w:p w14:paraId="74DA5D85"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572" w:type="dxa"/>
            <w:shd w:val="clear" w:color="auto" w:fill="FFFFFF"/>
            <w:tcMar>
              <w:top w:w="0" w:type="dxa"/>
              <w:left w:w="0" w:type="dxa"/>
              <w:bottom w:w="0" w:type="dxa"/>
              <w:right w:w="0" w:type="dxa"/>
            </w:tcMar>
          </w:tcPr>
          <w:p w14:paraId="7842B485" w14:textId="77777777" w:rsidR="00266E55" w:rsidRDefault="00266E55" w:rsidP="00423FDB">
            <w:pPr>
              <w:spacing w:before="40" w:after="40"/>
              <w:ind w:left="120"/>
              <w:jc w:val="center"/>
            </w:pPr>
            <w:r>
              <w:rPr>
                <w:rFonts w:ascii="Helvetica" w:eastAsia="Helvetica" w:hAnsi="Helvetica" w:cs="Helvetica"/>
                <w:color w:val="000000"/>
                <w:sz w:val="22"/>
                <w:szCs w:val="22"/>
              </w:rPr>
              <w:t>0.0255</w:t>
            </w:r>
          </w:p>
        </w:tc>
      </w:tr>
      <w:tr w:rsidR="00266E55" w14:paraId="5E7AF236" w14:textId="77777777" w:rsidTr="00423FDB">
        <w:trPr>
          <w:cantSplit/>
          <w:jc w:val="center"/>
        </w:trPr>
        <w:tc>
          <w:tcPr>
            <w:tcW w:w="2036" w:type="dxa"/>
            <w:shd w:val="clear" w:color="auto" w:fill="FFFFFF"/>
            <w:tcMar>
              <w:top w:w="0" w:type="dxa"/>
              <w:left w:w="0" w:type="dxa"/>
              <w:bottom w:w="0" w:type="dxa"/>
              <w:right w:w="0" w:type="dxa"/>
            </w:tcMar>
          </w:tcPr>
          <w:p w14:paraId="4DF1299E" w14:textId="77777777" w:rsidR="00266E55" w:rsidRDefault="00266E55" w:rsidP="00423FDB">
            <w:pPr>
              <w:spacing w:before="40" w:after="40"/>
              <w:ind w:right="120"/>
            </w:pPr>
            <w:r>
              <w:rPr>
                <w:rFonts w:ascii="Helvetica" w:eastAsia="Helvetica" w:hAnsi="Helvetica" w:cs="Helvetica"/>
                <w:color w:val="000000"/>
                <w:sz w:val="22"/>
                <w:szCs w:val="22"/>
              </w:rPr>
              <w:t>Co-trimoxazole</w:t>
            </w:r>
          </w:p>
        </w:tc>
        <w:tc>
          <w:tcPr>
            <w:tcW w:w="953" w:type="dxa"/>
            <w:shd w:val="clear" w:color="auto" w:fill="FFFFFF"/>
            <w:tcMar>
              <w:top w:w="0" w:type="dxa"/>
              <w:left w:w="0" w:type="dxa"/>
              <w:bottom w:w="0" w:type="dxa"/>
              <w:right w:w="0" w:type="dxa"/>
            </w:tcMar>
          </w:tcPr>
          <w:p w14:paraId="37D67AD9" w14:textId="77777777" w:rsidR="00266E55" w:rsidRDefault="00266E55" w:rsidP="00423FDB">
            <w:pPr>
              <w:spacing w:before="40" w:after="40"/>
              <w:ind w:left="120" w:right="120"/>
              <w:jc w:val="center"/>
            </w:pPr>
            <w:r>
              <w:rPr>
                <w:rFonts w:ascii="Helvetica" w:eastAsia="Helvetica" w:hAnsi="Helvetica" w:cs="Helvetica"/>
                <w:color w:val="000000"/>
                <w:sz w:val="22"/>
                <w:szCs w:val="22"/>
              </w:rPr>
              <w:t>20.4</w:t>
            </w:r>
          </w:p>
        </w:tc>
        <w:tc>
          <w:tcPr>
            <w:tcW w:w="953" w:type="dxa"/>
            <w:shd w:val="clear" w:color="auto" w:fill="FFFFFF"/>
            <w:tcMar>
              <w:top w:w="0" w:type="dxa"/>
              <w:left w:w="0" w:type="dxa"/>
              <w:bottom w:w="0" w:type="dxa"/>
              <w:right w:w="0" w:type="dxa"/>
            </w:tcMar>
          </w:tcPr>
          <w:p w14:paraId="3A33B89D" w14:textId="77777777" w:rsidR="00266E55" w:rsidRDefault="00266E55" w:rsidP="00423FDB">
            <w:pPr>
              <w:spacing w:before="40" w:after="40"/>
              <w:ind w:left="120" w:right="120"/>
              <w:jc w:val="center"/>
            </w:pPr>
            <w:r>
              <w:rPr>
                <w:rFonts w:ascii="Helvetica" w:eastAsia="Helvetica" w:hAnsi="Helvetica" w:cs="Helvetica"/>
                <w:color w:val="000000"/>
                <w:sz w:val="22"/>
                <w:szCs w:val="22"/>
              </w:rPr>
              <w:t>19.6</w:t>
            </w:r>
          </w:p>
        </w:tc>
        <w:tc>
          <w:tcPr>
            <w:tcW w:w="953" w:type="dxa"/>
            <w:shd w:val="clear" w:color="auto" w:fill="FFFFFF"/>
            <w:tcMar>
              <w:top w:w="0" w:type="dxa"/>
              <w:left w:w="0" w:type="dxa"/>
              <w:bottom w:w="0" w:type="dxa"/>
              <w:right w:w="0" w:type="dxa"/>
            </w:tcMar>
          </w:tcPr>
          <w:p w14:paraId="6D3E3A72" w14:textId="77777777" w:rsidR="00266E55" w:rsidRDefault="00266E55" w:rsidP="00423FDB">
            <w:pPr>
              <w:spacing w:before="40" w:after="40"/>
              <w:ind w:left="120" w:right="120"/>
              <w:jc w:val="center"/>
            </w:pPr>
            <w:r>
              <w:rPr>
                <w:rFonts w:ascii="Helvetica" w:eastAsia="Helvetica" w:hAnsi="Helvetica" w:cs="Helvetica"/>
                <w:color w:val="000000"/>
                <w:sz w:val="22"/>
                <w:szCs w:val="22"/>
              </w:rPr>
              <w:t>13.6</w:t>
            </w:r>
          </w:p>
        </w:tc>
        <w:tc>
          <w:tcPr>
            <w:tcW w:w="793" w:type="dxa"/>
            <w:shd w:val="clear" w:color="auto" w:fill="FFFFFF"/>
            <w:tcMar>
              <w:top w:w="0" w:type="dxa"/>
              <w:left w:w="0" w:type="dxa"/>
              <w:bottom w:w="0" w:type="dxa"/>
              <w:right w:w="0" w:type="dxa"/>
            </w:tcMar>
          </w:tcPr>
          <w:p w14:paraId="07551856" w14:textId="77777777" w:rsidR="00266E55" w:rsidRDefault="00266E55" w:rsidP="00423FDB">
            <w:pPr>
              <w:spacing w:before="40" w:after="40"/>
              <w:ind w:left="120"/>
              <w:jc w:val="center"/>
            </w:pPr>
            <w:r>
              <w:rPr>
                <w:rFonts w:ascii="Helvetica" w:eastAsia="Helvetica" w:hAnsi="Helvetica" w:cs="Helvetica"/>
                <w:color w:val="000000"/>
                <w:sz w:val="22"/>
                <w:szCs w:val="22"/>
              </w:rPr>
              <w:t>11.5</w:t>
            </w:r>
          </w:p>
        </w:tc>
        <w:tc>
          <w:tcPr>
            <w:tcW w:w="1954" w:type="dxa"/>
            <w:shd w:val="clear" w:color="auto" w:fill="FFFFFF"/>
          </w:tcPr>
          <w:p w14:paraId="66934487"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572" w:type="dxa"/>
            <w:shd w:val="clear" w:color="auto" w:fill="FFFFFF"/>
            <w:tcMar>
              <w:top w:w="0" w:type="dxa"/>
              <w:left w:w="0" w:type="dxa"/>
              <w:bottom w:w="0" w:type="dxa"/>
              <w:right w:w="0" w:type="dxa"/>
            </w:tcMar>
          </w:tcPr>
          <w:p w14:paraId="3AB8CC1B" w14:textId="77777777" w:rsidR="00266E55" w:rsidRDefault="00266E55" w:rsidP="00423FDB">
            <w:pPr>
              <w:spacing w:before="40" w:after="40"/>
              <w:ind w:left="120"/>
              <w:jc w:val="center"/>
            </w:pPr>
            <w:r>
              <w:rPr>
                <w:rFonts w:ascii="Helvetica" w:eastAsia="Helvetica" w:hAnsi="Helvetica" w:cs="Helvetica"/>
                <w:color w:val="000000"/>
                <w:sz w:val="22"/>
                <w:szCs w:val="22"/>
              </w:rPr>
              <w:t>0.053</w:t>
            </w:r>
          </w:p>
        </w:tc>
      </w:tr>
      <w:tr w:rsidR="00266E55" w14:paraId="38326BD8" w14:textId="77777777" w:rsidTr="00423FDB">
        <w:trPr>
          <w:cantSplit/>
          <w:jc w:val="center"/>
        </w:trPr>
        <w:tc>
          <w:tcPr>
            <w:tcW w:w="2036" w:type="dxa"/>
            <w:shd w:val="clear" w:color="auto" w:fill="FFFFFF"/>
            <w:tcMar>
              <w:top w:w="0" w:type="dxa"/>
              <w:left w:w="0" w:type="dxa"/>
              <w:bottom w:w="0" w:type="dxa"/>
              <w:right w:w="0" w:type="dxa"/>
            </w:tcMar>
          </w:tcPr>
          <w:p w14:paraId="2DAAE99E" w14:textId="77777777" w:rsidR="00266E55" w:rsidRDefault="00266E55" w:rsidP="00423FDB">
            <w:pPr>
              <w:spacing w:before="40" w:after="40"/>
              <w:ind w:right="120"/>
            </w:pPr>
            <w:r>
              <w:rPr>
                <w:rFonts w:ascii="Helvetica" w:eastAsia="Helvetica" w:hAnsi="Helvetica" w:cs="Helvetica"/>
                <w:color w:val="000000"/>
                <w:sz w:val="22"/>
                <w:szCs w:val="22"/>
              </w:rPr>
              <w:t>Ertapenem</w:t>
            </w:r>
          </w:p>
        </w:tc>
        <w:tc>
          <w:tcPr>
            <w:tcW w:w="953" w:type="dxa"/>
            <w:shd w:val="clear" w:color="auto" w:fill="FFFFFF"/>
            <w:tcMar>
              <w:top w:w="0" w:type="dxa"/>
              <w:left w:w="0" w:type="dxa"/>
              <w:bottom w:w="0" w:type="dxa"/>
              <w:right w:w="0" w:type="dxa"/>
            </w:tcMar>
          </w:tcPr>
          <w:p w14:paraId="10D130BD" w14:textId="77777777" w:rsidR="00266E55" w:rsidRDefault="00266E55" w:rsidP="00423FDB">
            <w:pPr>
              <w:spacing w:before="40" w:after="40"/>
              <w:ind w:left="120" w:right="120"/>
              <w:jc w:val="center"/>
            </w:pPr>
            <w:r>
              <w:rPr>
                <w:rFonts w:ascii="Helvetica" w:eastAsia="Helvetica" w:hAnsi="Helvetica" w:cs="Helvetica"/>
                <w:color w:val="000000"/>
                <w:sz w:val="22"/>
                <w:szCs w:val="22"/>
              </w:rPr>
              <w:t>0</w:t>
            </w:r>
          </w:p>
        </w:tc>
        <w:tc>
          <w:tcPr>
            <w:tcW w:w="953" w:type="dxa"/>
            <w:shd w:val="clear" w:color="auto" w:fill="FFFFFF"/>
            <w:tcMar>
              <w:top w:w="0" w:type="dxa"/>
              <w:left w:w="0" w:type="dxa"/>
              <w:bottom w:w="0" w:type="dxa"/>
              <w:right w:w="0" w:type="dxa"/>
            </w:tcMar>
          </w:tcPr>
          <w:p w14:paraId="44476A13" w14:textId="77777777" w:rsidR="00266E55" w:rsidRDefault="00266E55" w:rsidP="00423FDB">
            <w:pPr>
              <w:spacing w:before="40" w:after="40"/>
              <w:ind w:left="120" w:right="120"/>
              <w:jc w:val="center"/>
            </w:pPr>
            <w:r>
              <w:rPr>
                <w:rFonts w:ascii="Helvetica" w:eastAsia="Helvetica" w:hAnsi="Helvetica" w:cs="Helvetica"/>
                <w:color w:val="000000"/>
                <w:sz w:val="22"/>
                <w:szCs w:val="22"/>
              </w:rPr>
              <w:t>1.39</w:t>
            </w:r>
          </w:p>
        </w:tc>
        <w:tc>
          <w:tcPr>
            <w:tcW w:w="953" w:type="dxa"/>
            <w:shd w:val="clear" w:color="auto" w:fill="FFFFFF"/>
            <w:tcMar>
              <w:top w:w="0" w:type="dxa"/>
              <w:left w:w="0" w:type="dxa"/>
              <w:bottom w:w="0" w:type="dxa"/>
              <w:right w:w="0" w:type="dxa"/>
            </w:tcMar>
          </w:tcPr>
          <w:p w14:paraId="02BD2336" w14:textId="77777777" w:rsidR="00266E55" w:rsidRDefault="00266E55" w:rsidP="00423FDB">
            <w:pPr>
              <w:spacing w:before="40" w:after="40"/>
              <w:ind w:left="120" w:right="120"/>
              <w:jc w:val="center"/>
            </w:pPr>
            <w:r>
              <w:rPr>
                <w:rFonts w:ascii="Helvetica" w:eastAsia="Helvetica" w:hAnsi="Helvetica" w:cs="Helvetica"/>
                <w:color w:val="000000"/>
                <w:sz w:val="22"/>
                <w:szCs w:val="22"/>
              </w:rPr>
              <w:t>0</w:t>
            </w:r>
          </w:p>
        </w:tc>
        <w:tc>
          <w:tcPr>
            <w:tcW w:w="793" w:type="dxa"/>
            <w:shd w:val="clear" w:color="auto" w:fill="FFFFFF"/>
            <w:tcMar>
              <w:top w:w="0" w:type="dxa"/>
              <w:left w:w="0" w:type="dxa"/>
              <w:bottom w:w="0" w:type="dxa"/>
              <w:right w:w="0" w:type="dxa"/>
            </w:tcMar>
          </w:tcPr>
          <w:p w14:paraId="2CFC8CF6" w14:textId="77777777" w:rsidR="00266E55" w:rsidRDefault="00266E55" w:rsidP="00423FDB">
            <w:pPr>
              <w:spacing w:before="40" w:after="40"/>
              <w:ind w:left="120"/>
              <w:jc w:val="center"/>
            </w:pPr>
            <w:r>
              <w:rPr>
                <w:rFonts w:ascii="Helvetica" w:eastAsia="Helvetica" w:hAnsi="Helvetica" w:cs="Helvetica"/>
                <w:color w:val="000000"/>
                <w:sz w:val="22"/>
                <w:szCs w:val="22"/>
              </w:rPr>
              <w:t>1.92</w:t>
            </w:r>
          </w:p>
        </w:tc>
        <w:tc>
          <w:tcPr>
            <w:tcW w:w="1954" w:type="dxa"/>
            <w:shd w:val="clear" w:color="auto" w:fill="FFFFFF"/>
          </w:tcPr>
          <w:p w14:paraId="6FB871A3"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Increasing</w:t>
            </w:r>
          </w:p>
        </w:tc>
        <w:tc>
          <w:tcPr>
            <w:tcW w:w="1572" w:type="dxa"/>
            <w:shd w:val="clear" w:color="auto" w:fill="FFFFFF"/>
            <w:tcMar>
              <w:top w:w="0" w:type="dxa"/>
              <w:left w:w="0" w:type="dxa"/>
              <w:bottom w:w="0" w:type="dxa"/>
              <w:right w:w="0" w:type="dxa"/>
            </w:tcMar>
          </w:tcPr>
          <w:p w14:paraId="11EC7ADF" w14:textId="77777777" w:rsidR="00266E55" w:rsidRDefault="00266E55" w:rsidP="00423FDB">
            <w:pPr>
              <w:spacing w:before="40" w:after="40"/>
              <w:ind w:left="120"/>
              <w:jc w:val="center"/>
            </w:pPr>
            <w:r>
              <w:rPr>
                <w:rFonts w:ascii="Helvetica" w:eastAsia="Helvetica" w:hAnsi="Helvetica" w:cs="Helvetica"/>
                <w:color w:val="000000"/>
                <w:sz w:val="22"/>
                <w:szCs w:val="22"/>
              </w:rPr>
              <w:t>0.471</w:t>
            </w:r>
          </w:p>
        </w:tc>
      </w:tr>
      <w:tr w:rsidR="00266E55" w14:paraId="22C30B08" w14:textId="77777777" w:rsidTr="00423FDB">
        <w:trPr>
          <w:cantSplit/>
          <w:jc w:val="center"/>
        </w:trPr>
        <w:tc>
          <w:tcPr>
            <w:tcW w:w="2036" w:type="dxa"/>
            <w:shd w:val="clear" w:color="auto" w:fill="FFFFFF"/>
            <w:tcMar>
              <w:top w:w="0" w:type="dxa"/>
              <w:left w:w="0" w:type="dxa"/>
              <w:bottom w:w="0" w:type="dxa"/>
              <w:right w:w="0" w:type="dxa"/>
            </w:tcMar>
          </w:tcPr>
          <w:p w14:paraId="0160051B" w14:textId="77777777" w:rsidR="00266E55" w:rsidRDefault="00266E55" w:rsidP="00423FDB">
            <w:pPr>
              <w:spacing w:before="40" w:after="40"/>
              <w:ind w:right="120"/>
            </w:pPr>
            <w:r>
              <w:rPr>
                <w:rFonts w:ascii="Helvetica" w:eastAsia="Helvetica" w:hAnsi="Helvetica" w:cs="Helvetica"/>
                <w:color w:val="000000"/>
                <w:sz w:val="22"/>
                <w:szCs w:val="22"/>
              </w:rPr>
              <w:t>Meropenem</w:t>
            </w:r>
          </w:p>
        </w:tc>
        <w:tc>
          <w:tcPr>
            <w:tcW w:w="953" w:type="dxa"/>
            <w:shd w:val="clear" w:color="auto" w:fill="FFFFFF"/>
            <w:tcMar>
              <w:top w:w="0" w:type="dxa"/>
              <w:left w:w="0" w:type="dxa"/>
              <w:bottom w:w="0" w:type="dxa"/>
              <w:right w:w="0" w:type="dxa"/>
            </w:tcMar>
          </w:tcPr>
          <w:p w14:paraId="5BB082CC" w14:textId="77777777" w:rsidR="00266E55" w:rsidRDefault="00266E55" w:rsidP="00423FDB">
            <w:pPr>
              <w:spacing w:before="40" w:after="40"/>
              <w:ind w:left="120" w:right="120"/>
              <w:jc w:val="center"/>
            </w:pPr>
            <w:r>
              <w:rPr>
                <w:rFonts w:ascii="Helvetica" w:eastAsia="Helvetica" w:hAnsi="Helvetica" w:cs="Helvetica"/>
                <w:color w:val="000000"/>
                <w:sz w:val="22"/>
                <w:szCs w:val="22"/>
              </w:rPr>
              <w:t>0</w:t>
            </w:r>
          </w:p>
        </w:tc>
        <w:tc>
          <w:tcPr>
            <w:tcW w:w="953" w:type="dxa"/>
            <w:shd w:val="clear" w:color="auto" w:fill="FFFFFF"/>
            <w:tcMar>
              <w:top w:w="0" w:type="dxa"/>
              <w:left w:w="0" w:type="dxa"/>
              <w:bottom w:w="0" w:type="dxa"/>
              <w:right w:w="0" w:type="dxa"/>
            </w:tcMar>
          </w:tcPr>
          <w:p w14:paraId="1D96A979" w14:textId="77777777" w:rsidR="00266E55" w:rsidRDefault="00266E55" w:rsidP="00423FDB">
            <w:pPr>
              <w:spacing w:before="40" w:after="40"/>
              <w:ind w:left="120" w:right="120"/>
              <w:jc w:val="center"/>
            </w:pPr>
            <w:r>
              <w:rPr>
                <w:rFonts w:ascii="Helvetica" w:eastAsia="Helvetica" w:hAnsi="Helvetica" w:cs="Helvetica"/>
                <w:color w:val="000000"/>
                <w:sz w:val="22"/>
                <w:szCs w:val="22"/>
              </w:rPr>
              <w:t>1.39</w:t>
            </w:r>
          </w:p>
        </w:tc>
        <w:tc>
          <w:tcPr>
            <w:tcW w:w="953" w:type="dxa"/>
            <w:shd w:val="clear" w:color="auto" w:fill="FFFFFF"/>
            <w:tcMar>
              <w:top w:w="0" w:type="dxa"/>
              <w:left w:w="0" w:type="dxa"/>
              <w:bottom w:w="0" w:type="dxa"/>
              <w:right w:w="0" w:type="dxa"/>
            </w:tcMar>
          </w:tcPr>
          <w:p w14:paraId="37F05256" w14:textId="77777777" w:rsidR="00266E55" w:rsidRDefault="00266E55" w:rsidP="00423FDB">
            <w:pPr>
              <w:spacing w:before="40" w:after="40"/>
              <w:ind w:left="120" w:right="120"/>
              <w:jc w:val="center"/>
            </w:pPr>
            <w:r>
              <w:rPr>
                <w:rFonts w:ascii="Helvetica" w:eastAsia="Helvetica" w:hAnsi="Helvetica" w:cs="Helvetica"/>
                <w:color w:val="000000"/>
                <w:sz w:val="22"/>
                <w:szCs w:val="22"/>
              </w:rPr>
              <w:t>0</w:t>
            </w:r>
          </w:p>
        </w:tc>
        <w:tc>
          <w:tcPr>
            <w:tcW w:w="793" w:type="dxa"/>
            <w:shd w:val="clear" w:color="auto" w:fill="FFFFFF"/>
            <w:tcMar>
              <w:top w:w="0" w:type="dxa"/>
              <w:left w:w="0" w:type="dxa"/>
              <w:bottom w:w="0" w:type="dxa"/>
              <w:right w:w="0" w:type="dxa"/>
            </w:tcMar>
          </w:tcPr>
          <w:p w14:paraId="19937CBE" w14:textId="77777777" w:rsidR="00266E55" w:rsidRDefault="00266E55" w:rsidP="00423FDB">
            <w:pPr>
              <w:spacing w:before="40" w:after="40"/>
              <w:ind w:left="120"/>
              <w:jc w:val="center"/>
            </w:pPr>
            <w:r>
              <w:rPr>
                <w:rFonts w:ascii="Helvetica" w:eastAsia="Helvetica" w:hAnsi="Helvetica" w:cs="Helvetica"/>
                <w:color w:val="000000"/>
                <w:sz w:val="22"/>
                <w:szCs w:val="22"/>
              </w:rPr>
              <w:t>1.92</w:t>
            </w:r>
          </w:p>
        </w:tc>
        <w:tc>
          <w:tcPr>
            <w:tcW w:w="1954" w:type="dxa"/>
            <w:shd w:val="clear" w:color="auto" w:fill="FFFFFF"/>
          </w:tcPr>
          <w:p w14:paraId="4A255426"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Increasing</w:t>
            </w:r>
          </w:p>
        </w:tc>
        <w:tc>
          <w:tcPr>
            <w:tcW w:w="1572" w:type="dxa"/>
            <w:shd w:val="clear" w:color="auto" w:fill="FFFFFF"/>
            <w:tcMar>
              <w:top w:w="0" w:type="dxa"/>
              <w:left w:w="0" w:type="dxa"/>
              <w:bottom w:w="0" w:type="dxa"/>
              <w:right w:w="0" w:type="dxa"/>
            </w:tcMar>
          </w:tcPr>
          <w:p w14:paraId="151A0874" w14:textId="77777777" w:rsidR="00266E55" w:rsidRDefault="00266E55" w:rsidP="00423FDB">
            <w:pPr>
              <w:spacing w:before="40" w:after="40"/>
              <w:ind w:left="120"/>
              <w:jc w:val="center"/>
            </w:pPr>
            <w:r>
              <w:rPr>
                <w:rFonts w:ascii="Helvetica" w:eastAsia="Helvetica" w:hAnsi="Helvetica" w:cs="Helvetica"/>
                <w:color w:val="000000"/>
                <w:sz w:val="22"/>
                <w:szCs w:val="22"/>
              </w:rPr>
              <w:t>0.471</w:t>
            </w:r>
          </w:p>
        </w:tc>
      </w:tr>
      <w:tr w:rsidR="00266E55" w14:paraId="1B86EFF5" w14:textId="77777777" w:rsidTr="00423FDB">
        <w:trPr>
          <w:cantSplit/>
          <w:jc w:val="center"/>
        </w:trPr>
        <w:tc>
          <w:tcPr>
            <w:tcW w:w="2036" w:type="dxa"/>
            <w:shd w:val="clear" w:color="auto" w:fill="FFFFFF"/>
            <w:tcMar>
              <w:top w:w="0" w:type="dxa"/>
              <w:left w:w="0" w:type="dxa"/>
              <w:bottom w:w="0" w:type="dxa"/>
              <w:right w:w="0" w:type="dxa"/>
            </w:tcMar>
          </w:tcPr>
          <w:p w14:paraId="2F8AF0EC" w14:textId="77777777" w:rsidR="00266E55" w:rsidRDefault="00266E55" w:rsidP="00423FDB">
            <w:pPr>
              <w:spacing w:before="40" w:after="40"/>
              <w:ind w:right="120"/>
            </w:pPr>
            <w:r>
              <w:rPr>
                <w:rFonts w:ascii="Helvetica" w:eastAsia="Helvetica" w:hAnsi="Helvetica" w:cs="Helvetica"/>
                <w:color w:val="000000"/>
                <w:sz w:val="22"/>
                <w:szCs w:val="22"/>
              </w:rPr>
              <w:t>Piperacillin-tazobactam</w:t>
            </w:r>
          </w:p>
        </w:tc>
        <w:tc>
          <w:tcPr>
            <w:tcW w:w="953" w:type="dxa"/>
            <w:shd w:val="clear" w:color="auto" w:fill="FFFFFF"/>
            <w:tcMar>
              <w:top w:w="0" w:type="dxa"/>
              <w:left w:w="0" w:type="dxa"/>
              <w:bottom w:w="0" w:type="dxa"/>
              <w:right w:w="0" w:type="dxa"/>
            </w:tcMar>
          </w:tcPr>
          <w:p w14:paraId="00495E5D" w14:textId="77777777" w:rsidR="00266E55" w:rsidRDefault="00266E55" w:rsidP="00423FDB">
            <w:pPr>
              <w:spacing w:before="40" w:after="40"/>
              <w:ind w:left="120" w:right="120"/>
              <w:jc w:val="center"/>
            </w:pPr>
            <w:r>
              <w:rPr>
                <w:rFonts w:ascii="Helvetica" w:eastAsia="Helvetica" w:hAnsi="Helvetica" w:cs="Helvetica"/>
                <w:color w:val="000000"/>
                <w:sz w:val="22"/>
                <w:szCs w:val="22"/>
              </w:rPr>
              <w:t>44.8</w:t>
            </w:r>
          </w:p>
        </w:tc>
        <w:tc>
          <w:tcPr>
            <w:tcW w:w="953" w:type="dxa"/>
            <w:shd w:val="clear" w:color="auto" w:fill="FFFFFF"/>
            <w:tcMar>
              <w:top w:w="0" w:type="dxa"/>
              <w:left w:w="0" w:type="dxa"/>
              <w:bottom w:w="0" w:type="dxa"/>
              <w:right w:w="0" w:type="dxa"/>
            </w:tcMar>
          </w:tcPr>
          <w:p w14:paraId="19B5B3FC" w14:textId="77777777" w:rsidR="00266E55" w:rsidRDefault="00266E55" w:rsidP="00423FDB">
            <w:pPr>
              <w:spacing w:before="40" w:after="40"/>
              <w:ind w:left="120" w:right="120"/>
              <w:jc w:val="center"/>
            </w:pPr>
            <w:r>
              <w:rPr>
                <w:rFonts w:ascii="Helvetica" w:eastAsia="Helvetica" w:hAnsi="Helvetica" w:cs="Helvetica"/>
                <w:color w:val="000000"/>
                <w:sz w:val="22"/>
                <w:szCs w:val="22"/>
              </w:rPr>
              <w:t>44.3</w:t>
            </w:r>
          </w:p>
        </w:tc>
        <w:tc>
          <w:tcPr>
            <w:tcW w:w="953" w:type="dxa"/>
            <w:shd w:val="clear" w:color="auto" w:fill="FFFFFF"/>
            <w:tcMar>
              <w:top w:w="0" w:type="dxa"/>
              <w:left w:w="0" w:type="dxa"/>
              <w:bottom w:w="0" w:type="dxa"/>
              <w:right w:w="0" w:type="dxa"/>
            </w:tcMar>
          </w:tcPr>
          <w:p w14:paraId="6AC685BD" w14:textId="77777777" w:rsidR="00266E55" w:rsidRDefault="00266E55" w:rsidP="00423FDB">
            <w:pPr>
              <w:spacing w:before="40" w:after="40"/>
              <w:ind w:left="120" w:right="120"/>
              <w:jc w:val="center"/>
            </w:pPr>
            <w:r>
              <w:rPr>
                <w:rFonts w:ascii="Helvetica" w:eastAsia="Helvetica" w:hAnsi="Helvetica" w:cs="Helvetica"/>
                <w:color w:val="000000"/>
                <w:sz w:val="22"/>
                <w:szCs w:val="22"/>
              </w:rPr>
              <w:t>29.9</w:t>
            </w:r>
          </w:p>
        </w:tc>
        <w:tc>
          <w:tcPr>
            <w:tcW w:w="793" w:type="dxa"/>
            <w:shd w:val="clear" w:color="auto" w:fill="FFFFFF"/>
            <w:tcMar>
              <w:top w:w="0" w:type="dxa"/>
              <w:left w:w="0" w:type="dxa"/>
              <w:bottom w:w="0" w:type="dxa"/>
              <w:right w:w="0" w:type="dxa"/>
            </w:tcMar>
          </w:tcPr>
          <w:p w14:paraId="5D059EE6" w14:textId="77777777" w:rsidR="00266E55" w:rsidRDefault="00266E55" w:rsidP="00423FDB">
            <w:pPr>
              <w:spacing w:before="40" w:after="40"/>
              <w:ind w:left="120"/>
              <w:jc w:val="center"/>
            </w:pPr>
            <w:r>
              <w:rPr>
                <w:rFonts w:ascii="Helvetica" w:eastAsia="Helvetica" w:hAnsi="Helvetica" w:cs="Helvetica"/>
                <w:color w:val="000000"/>
                <w:sz w:val="22"/>
                <w:szCs w:val="22"/>
              </w:rPr>
              <w:t>24.7</w:t>
            </w:r>
          </w:p>
        </w:tc>
        <w:tc>
          <w:tcPr>
            <w:tcW w:w="1954" w:type="dxa"/>
            <w:shd w:val="clear" w:color="auto" w:fill="FFFFFF"/>
          </w:tcPr>
          <w:p w14:paraId="3BADB78B"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572" w:type="dxa"/>
            <w:shd w:val="clear" w:color="auto" w:fill="FFFFFF"/>
            <w:tcMar>
              <w:top w:w="0" w:type="dxa"/>
              <w:left w:w="0" w:type="dxa"/>
              <w:bottom w:w="0" w:type="dxa"/>
              <w:right w:w="0" w:type="dxa"/>
            </w:tcMar>
          </w:tcPr>
          <w:p w14:paraId="12672F1C" w14:textId="77777777" w:rsidR="00266E55" w:rsidRDefault="00266E55" w:rsidP="00423FDB">
            <w:pPr>
              <w:spacing w:before="40" w:after="40"/>
              <w:ind w:left="120"/>
              <w:jc w:val="center"/>
            </w:pPr>
            <w:r>
              <w:rPr>
                <w:rFonts w:ascii="Helvetica" w:eastAsia="Helvetica" w:hAnsi="Helvetica" w:cs="Helvetica"/>
                <w:color w:val="000000"/>
                <w:sz w:val="22"/>
                <w:szCs w:val="22"/>
              </w:rPr>
              <w:t>0.012</w:t>
            </w:r>
          </w:p>
        </w:tc>
      </w:tr>
      <w:tr w:rsidR="00266E55" w14:paraId="21571447" w14:textId="77777777" w:rsidTr="00423FDB">
        <w:trPr>
          <w:cantSplit/>
          <w:jc w:val="center"/>
        </w:trPr>
        <w:tc>
          <w:tcPr>
            <w:tcW w:w="2036" w:type="dxa"/>
            <w:shd w:val="clear" w:color="auto" w:fill="FFFFFF"/>
            <w:tcMar>
              <w:top w:w="0" w:type="dxa"/>
              <w:left w:w="0" w:type="dxa"/>
              <w:bottom w:w="0" w:type="dxa"/>
              <w:right w:w="0" w:type="dxa"/>
            </w:tcMar>
          </w:tcPr>
          <w:p w14:paraId="22B058FB" w14:textId="77777777" w:rsidR="00266E55" w:rsidRDefault="00266E55" w:rsidP="00423FDB">
            <w:pPr>
              <w:spacing w:before="40" w:after="40"/>
              <w:ind w:right="120"/>
              <w:rPr>
                <w:rFonts w:ascii="Helvetica" w:eastAsia="Helvetica" w:hAnsi="Helvetica" w:cs="Helvetica"/>
                <w:color w:val="000000"/>
                <w:sz w:val="22"/>
                <w:szCs w:val="22"/>
              </w:rPr>
            </w:pPr>
            <w:r>
              <w:rPr>
                <w:rFonts w:ascii="Helvetica" w:eastAsia="Helvetica" w:hAnsi="Helvetica" w:cs="Helvetica"/>
                <w:color w:val="000000"/>
                <w:sz w:val="22"/>
                <w:szCs w:val="22"/>
              </w:rPr>
              <w:t>Gentamicin</w:t>
            </w:r>
          </w:p>
        </w:tc>
        <w:tc>
          <w:tcPr>
            <w:tcW w:w="953" w:type="dxa"/>
            <w:shd w:val="clear" w:color="auto" w:fill="FFFFFF"/>
            <w:tcMar>
              <w:top w:w="0" w:type="dxa"/>
              <w:left w:w="0" w:type="dxa"/>
              <w:bottom w:w="0" w:type="dxa"/>
              <w:right w:w="0" w:type="dxa"/>
            </w:tcMar>
          </w:tcPr>
          <w:p w14:paraId="625259E4"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17.8</w:t>
            </w:r>
          </w:p>
        </w:tc>
        <w:tc>
          <w:tcPr>
            <w:tcW w:w="953" w:type="dxa"/>
            <w:shd w:val="clear" w:color="auto" w:fill="FFFFFF"/>
            <w:tcMar>
              <w:top w:w="0" w:type="dxa"/>
              <w:left w:w="0" w:type="dxa"/>
              <w:bottom w:w="0" w:type="dxa"/>
              <w:right w:w="0" w:type="dxa"/>
            </w:tcMar>
          </w:tcPr>
          <w:p w14:paraId="0C4F6F53"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14.6</w:t>
            </w:r>
          </w:p>
        </w:tc>
        <w:tc>
          <w:tcPr>
            <w:tcW w:w="953" w:type="dxa"/>
            <w:shd w:val="clear" w:color="auto" w:fill="FFFFFF"/>
            <w:tcMar>
              <w:top w:w="0" w:type="dxa"/>
              <w:left w:w="0" w:type="dxa"/>
              <w:bottom w:w="0" w:type="dxa"/>
              <w:right w:w="0" w:type="dxa"/>
            </w:tcMar>
          </w:tcPr>
          <w:p w14:paraId="5E6E816B" w14:textId="77777777" w:rsidR="00266E55"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10</w:t>
            </w:r>
          </w:p>
        </w:tc>
        <w:tc>
          <w:tcPr>
            <w:tcW w:w="793" w:type="dxa"/>
            <w:shd w:val="clear" w:color="auto" w:fill="FFFFFF"/>
            <w:tcMar>
              <w:top w:w="0" w:type="dxa"/>
              <w:left w:w="0" w:type="dxa"/>
              <w:bottom w:w="0" w:type="dxa"/>
              <w:right w:w="0" w:type="dxa"/>
            </w:tcMar>
          </w:tcPr>
          <w:p w14:paraId="5067BD89"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3.85</w:t>
            </w:r>
          </w:p>
        </w:tc>
        <w:tc>
          <w:tcPr>
            <w:tcW w:w="1954" w:type="dxa"/>
            <w:shd w:val="clear" w:color="auto" w:fill="FFFFFF"/>
          </w:tcPr>
          <w:p w14:paraId="36DF1E8A"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572" w:type="dxa"/>
            <w:shd w:val="clear" w:color="auto" w:fill="FFFFFF"/>
            <w:tcMar>
              <w:top w:w="0" w:type="dxa"/>
              <w:left w:w="0" w:type="dxa"/>
              <w:bottom w:w="0" w:type="dxa"/>
              <w:right w:w="0" w:type="dxa"/>
            </w:tcMar>
          </w:tcPr>
          <w:p w14:paraId="28A371F2"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&lt;0.01</w:t>
            </w:r>
          </w:p>
        </w:tc>
      </w:tr>
      <w:tr w:rsidR="00266E55" w14:paraId="4DE57AA6" w14:textId="77777777" w:rsidTr="00423FDB">
        <w:trPr>
          <w:cantSplit/>
          <w:jc w:val="center"/>
        </w:trPr>
        <w:tc>
          <w:tcPr>
            <w:tcW w:w="2036" w:type="dxa"/>
            <w:tcBorders>
              <w:bottom w:val="single" w:sz="3" w:space="0" w:color="000000"/>
            </w:tcBorders>
            <w:shd w:val="clear" w:color="auto" w:fill="FFFFFF"/>
            <w:tcMar>
              <w:top w:w="0" w:type="dxa"/>
              <w:left w:w="0" w:type="dxa"/>
              <w:bottom w:w="0" w:type="dxa"/>
              <w:right w:w="0" w:type="dxa"/>
            </w:tcMar>
          </w:tcPr>
          <w:p w14:paraId="24B1A696" w14:textId="77777777" w:rsidR="00266E55" w:rsidRPr="0091587B" w:rsidRDefault="00266E55" w:rsidP="00423FDB">
            <w:pPr>
              <w:spacing w:before="40" w:after="40"/>
              <w:ind w:right="120"/>
              <w:rPr>
                <w:rFonts w:ascii="Helvetica" w:eastAsia="Helvetica" w:hAnsi="Helvetica" w:cs="Helvetica"/>
                <w:color w:val="000000"/>
                <w:sz w:val="22"/>
                <w:szCs w:val="22"/>
              </w:rPr>
            </w:pPr>
            <w:r>
              <w:rPr>
                <w:rFonts w:ascii="Helvetica" w:eastAsia="Helvetica" w:hAnsi="Helvetica" w:cs="Helvetica"/>
                <w:color w:val="000000"/>
                <w:sz w:val="22"/>
                <w:szCs w:val="22"/>
              </w:rPr>
              <w:t>Aztreonam</w:t>
            </w:r>
          </w:p>
        </w:tc>
        <w:tc>
          <w:tcPr>
            <w:tcW w:w="953" w:type="dxa"/>
            <w:tcBorders>
              <w:bottom w:val="single" w:sz="3" w:space="0" w:color="000000"/>
            </w:tcBorders>
            <w:shd w:val="clear" w:color="auto" w:fill="FFFFFF"/>
            <w:tcMar>
              <w:top w:w="0" w:type="dxa"/>
              <w:left w:w="0" w:type="dxa"/>
              <w:bottom w:w="0" w:type="dxa"/>
              <w:right w:w="0" w:type="dxa"/>
            </w:tcMar>
          </w:tcPr>
          <w:p w14:paraId="4E508436" w14:textId="77777777" w:rsidR="00266E55" w:rsidRPr="0091587B"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19.6</w:t>
            </w:r>
          </w:p>
        </w:tc>
        <w:tc>
          <w:tcPr>
            <w:tcW w:w="953" w:type="dxa"/>
            <w:tcBorders>
              <w:bottom w:val="single" w:sz="3" w:space="0" w:color="000000"/>
            </w:tcBorders>
            <w:shd w:val="clear" w:color="auto" w:fill="FFFFFF"/>
            <w:tcMar>
              <w:top w:w="0" w:type="dxa"/>
              <w:left w:w="0" w:type="dxa"/>
              <w:bottom w:w="0" w:type="dxa"/>
              <w:right w:w="0" w:type="dxa"/>
            </w:tcMar>
          </w:tcPr>
          <w:p w14:paraId="01ECDC8B" w14:textId="77777777" w:rsidR="00266E55" w:rsidRPr="0091587B"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17.8</w:t>
            </w:r>
          </w:p>
        </w:tc>
        <w:tc>
          <w:tcPr>
            <w:tcW w:w="953" w:type="dxa"/>
            <w:tcBorders>
              <w:bottom w:val="single" w:sz="3" w:space="0" w:color="000000"/>
            </w:tcBorders>
            <w:shd w:val="clear" w:color="auto" w:fill="FFFFFF"/>
            <w:tcMar>
              <w:top w:w="0" w:type="dxa"/>
              <w:left w:w="0" w:type="dxa"/>
              <w:bottom w:w="0" w:type="dxa"/>
              <w:right w:w="0" w:type="dxa"/>
            </w:tcMar>
          </w:tcPr>
          <w:p w14:paraId="76D57A90" w14:textId="77777777" w:rsidR="00266E55" w:rsidRPr="0091587B" w:rsidRDefault="00266E55" w:rsidP="00423FDB">
            <w:pPr>
              <w:spacing w:before="40" w:after="40"/>
              <w:ind w:left="120" w:right="120"/>
              <w:jc w:val="center"/>
              <w:rPr>
                <w:rFonts w:ascii="Helvetica" w:eastAsia="Helvetica" w:hAnsi="Helvetica" w:cs="Helvetica"/>
                <w:color w:val="000000"/>
                <w:sz w:val="22"/>
                <w:szCs w:val="22"/>
              </w:rPr>
            </w:pPr>
            <w:r>
              <w:rPr>
                <w:rFonts w:ascii="Helvetica" w:eastAsia="Helvetica" w:hAnsi="Helvetica" w:cs="Helvetica"/>
                <w:color w:val="000000"/>
                <w:sz w:val="22"/>
                <w:szCs w:val="22"/>
              </w:rPr>
              <w:t>10</w:t>
            </w:r>
          </w:p>
        </w:tc>
        <w:tc>
          <w:tcPr>
            <w:tcW w:w="793" w:type="dxa"/>
            <w:tcBorders>
              <w:bottom w:val="single" w:sz="3" w:space="0" w:color="000000"/>
            </w:tcBorders>
            <w:shd w:val="clear" w:color="auto" w:fill="FFFFFF"/>
            <w:tcMar>
              <w:top w:w="0" w:type="dxa"/>
              <w:left w:w="0" w:type="dxa"/>
              <w:bottom w:w="0" w:type="dxa"/>
              <w:right w:w="0" w:type="dxa"/>
            </w:tcMar>
          </w:tcPr>
          <w:p w14:paraId="76CBDDBF" w14:textId="77777777" w:rsidR="00266E55" w:rsidRPr="0091587B"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10.8</w:t>
            </w:r>
          </w:p>
        </w:tc>
        <w:tc>
          <w:tcPr>
            <w:tcW w:w="1954" w:type="dxa"/>
            <w:tcBorders>
              <w:bottom w:val="single" w:sz="3" w:space="0" w:color="000000"/>
            </w:tcBorders>
            <w:shd w:val="clear" w:color="auto" w:fill="FFFFFF"/>
          </w:tcPr>
          <w:p w14:paraId="0606EDD6" w14:textId="77777777" w:rsidR="00266E55"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Decreasing</w:t>
            </w:r>
          </w:p>
        </w:tc>
        <w:tc>
          <w:tcPr>
            <w:tcW w:w="1572" w:type="dxa"/>
            <w:tcBorders>
              <w:bottom w:val="single" w:sz="3" w:space="0" w:color="000000"/>
            </w:tcBorders>
            <w:shd w:val="clear" w:color="auto" w:fill="FFFFFF"/>
            <w:tcMar>
              <w:top w:w="0" w:type="dxa"/>
              <w:left w:w="0" w:type="dxa"/>
              <w:bottom w:w="0" w:type="dxa"/>
              <w:right w:w="0" w:type="dxa"/>
            </w:tcMar>
          </w:tcPr>
          <w:p w14:paraId="52DEF18C" w14:textId="77777777" w:rsidR="00266E55" w:rsidRPr="0091587B" w:rsidRDefault="00266E55" w:rsidP="00423FDB">
            <w:pPr>
              <w:spacing w:before="40" w:after="40"/>
              <w:ind w:left="120"/>
              <w:jc w:val="center"/>
              <w:rPr>
                <w:rFonts w:ascii="Helvetica" w:eastAsia="Helvetica" w:hAnsi="Helvetica" w:cs="Helvetica"/>
                <w:color w:val="000000"/>
                <w:sz w:val="22"/>
                <w:szCs w:val="22"/>
              </w:rPr>
            </w:pPr>
            <w:r>
              <w:rPr>
                <w:rFonts w:ascii="Helvetica" w:eastAsia="Helvetica" w:hAnsi="Helvetica" w:cs="Helvetica"/>
                <w:color w:val="000000"/>
                <w:sz w:val="22"/>
                <w:szCs w:val="22"/>
              </w:rPr>
              <w:t>0.0462</w:t>
            </w:r>
          </w:p>
        </w:tc>
      </w:tr>
    </w:tbl>
    <w:p w14:paraId="779F16A1" w14:textId="77777777" w:rsidR="00266E55" w:rsidRDefault="00266E55" w:rsidP="00266E55"/>
    <w:p w14:paraId="2D342702" w14:textId="77777777" w:rsidR="00266E55" w:rsidRDefault="00266E55" w:rsidP="00266E55"/>
    <w:p w14:paraId="44C94FC4" w14:textId="77777777" w:rsidR="00266E55" w:rsidRPr="00C41EFE" w:rsidRDefault="00266E55" w:rsidP="00266E55">
      <w:r w:rsidRPr="00C41EFE">
        <w:t>The most frequently isolated</w:t>
      </w:r>
      <w:r>
        <w:t xml:space="preserve"> other</w:t>
      </w:r>
      <w:r w:rsidRPr="00C41EFE">
        <w:t xml:space="preserve"> </w:t>
      </w:r>
      <w:proofErr w:type="spellStart"/>
      <w:r w:rsidRPr="00C41EFE">
        <w:rPr>
          <w:i/>
          <w:iCs/>
        </w:rPr>
        <w:t>Enterobacterales</w:t>
      </w:r>
      <w:proofErr w:type="spellEnd"/>
      <w:r w:rsidRPr="00C41EFE">
        <w:rPr>
          <w:i/>
          <w:iCs/>
        </w:rPr>
        <w:t xml:space="preserve"> </w:t>
      </w:r>
      <w:r w:rsidRPr="00C41EFE">
        <w:t>species were:</w:t>
      </w:r>
    </w:p>
    <w:p w14:paraId="7A05FC73" w14:textId="77777777" w:rsidR="00266E55" w:rsidRPr="00C41EFE" w:rsidRDefault="00266E55" w:rsidP="00266E55">
      <w:r w:rsidRPr="00C41EFE">
        <w:t xml:space="preserve">2017 –165 isolates (Citrobacter (21), </w:t>
      </w:r>
      <w:proofErr w:type="gramStart"/>
      <w:r w:rsidRPr="00C41EFE">
        <w:t>Enterobacter(</w:t>
      </w:r>
      <w:proofErr w:type="gramEnd"/>
      <w:r w:rsidRPr="00C41EFE">
        <w:t>55), Proteus(28), Serratia(21))</w:t>
      </w:r>
    </w:p>
    <w:p w14:paraId="52B2B758" w14:textId="77777777" w:rsidR="00266E55" w:rsidRPr="00C41EFE" w:rsidRDefault="00266E55" w:rsidP="00266E55">
      <w:r w:rsidRPr="00C41EFE">
        <w:t xml:space="preserve">2018-151 isolates (Citrobacter (20), </w:t>
      </w:r>
      <w:proofErr w:type="gramStart"/>
      <w:r w:rsidRPr="00C41EFE">
        <w:t>Enterobacter(</w:t>
      </w:r>
      <w:proofErr w:type="gramEnd"/>
      <w:r w:rsidRPr="00C41EFE">
        <w:t>39), Proteus(35), Serratia(20))</w:t>
      </w:r>
    </w:p>
    <w:p w14:paraId="2D3096A4" w14:textId="77777777" w:rsidR="00266E55" w:rsidRPr="00C41EFE" w:rsidRDefault="00266E55" w:rsidP="00266E55">
      <w:r w:rsidRPr="00C41EFE">
        <w:t xml:space="preserve">2019-167 isolates (Citrobacter (16), </w:t>
      </w:r>
      <w:proofErr w:type="gramStart"/>
      <w:r w:rsidRPr="00C41EFE">
        <w:t>Enterobacter(</w:t>
      </w:r>
      <w:proofErr w:type="gramEnd"/>
      <w:r w:rsidRPr="00C41EFE">
        <w:t>59), Proteus(30), Serratia(22))</w:t>
      </w:r>
    </w:p>
    <w:p w14:paraId="3C0FEC18" w14:textId="77777777" w:rsidR="00266E55" w:rsidRPr="00C41EFE" w:rsidRDefault="00266E55" w:rsidP="00266E55">
      <w:r w:rsidRPr="00C41EFE">
        <w:t xml:space="preserve">2020-133 isolates (Citrobacter (12), </w:t>
      </w:r>
      <w:proofErr w:type="gramStart"/>
      <w:r w:rsidRPr="00C41EFE">
        <w:t>Enterobacter(</w:t>
      </w:r>
      <w:proofErr w:type="gramEnd"/>
      <w:r w:rsidRPr="00C41EFE">
        <w:t>34), Proteus(36), Serratia(21))</w:t>
      </w:r>
    </w:p>
    <w:p w14:paraId="49E11861" w14:textId="77777777" w:rsidR="00266E55" w:rsidRDefault="00266E55" w:rsidP="00266E55">
      <w:pPr>
        <w:pStyle w:val="CommentText"/>
      </w:pPr>
    </w:p>
    <w:p w14:paraId="5B711BE6" w14:textId="77748EB3" w:rsidR="00266E55" w:rsidRDefault="00266E55" w:rsidP="00266E55">
      <w:r w:rsidRPr="00D22A48">
        <w:rPr>
          <w:b/>
          <w:bCs/>
        </w:rPr>
        <w:t>Supplementary Table V:</w:t>
      </w:r>
      <w:r w:rsidRPr="00694C0F">
        <w:t xml:space="preserve"> </w:t>
      </w:r>
      <w:r>
        <w:t>Study hospital p</w:t>
      </w:r>
      <w:r w:rsidRPr="00694C0F">
        <w:t>ercentage of non-duplicate clinical isolates of</w:t>
      </w:r>
      <w:r>
        <w:t xml:space="preserve"> other</w:t>
      </w:r>
      <w:r w:rsidRPr="00694C0F">
        <w:t xml:space="preserve"> </w:t>
      </w:r>
      <w:proofErr w:type="spellStart"/>
      <w:r w:rsidRPr="00694C0F">
        <w:rPr>
          <w:i/>
          <w:iCs/>
        </w:rPr>
        <w:t>Enterobacterales</w:t>
      </w:r>
      <w:proofErr w:type="spellEnd"/>
      <w:r>
        <w:rPr>
          <w:b/>
          <w:bCs/>
          <w:i/>
          <w:iCs/>
        </w:rPr>
        <w:t xml:space="preserve"> </w:t>
      </w:r>
      <w:r>
        <w:t xml:space="preserve">species </w:t>
      </w:r>
      <w:r w:rsidRPr="00694C0F">
        <w:t>antibiotic resistance trends (Annual mean quarterly resistance %)</w:t>
      </w:r>
    </w:p>
    <w:p w14:paraId="1D483E84" w14:textId="77777777" w:rsidR="00266E55" w:rsidRPr="009C251E" w:rsidRDefault="00266E55" w:rsidP="00266E55">
      <w:pPr>
        <w:rPr>
          <w:b/>
          <w:bCs/>
        </w:rPr>
      </w:pPr>
    </w:p>
    <w:tbl>
      <w:tblPr>
        <w:tblW w:w="9497" w:type="dxa"/>
        <w:jc w:val="center"/>
        <w:tblLayout w:type="fixed"/>
        <w:tblLook w:val="0420" w:firstRow="1" w:lastRow="0" w:firstColumn="0" w:lastColumn="0" w:noHBand="0" w:noVBand="1"/>
      </w:tblPr>
      <w:tblGrid>
        <w:gridCol w:w="2319"/>
        <w:gridCol w:w="1015"/>
        <w:gridCol w:w="1015"/>
        <w:gridCol w:w="953"/>
        <w:gridCol w:w="793"/>
        <w:gridCol w:w="1954"/>
        <w:gridCol w:w="1448"/>
      </w:tblGrid>
      <w:tr w:rsidR="00266E55" w14:paraId="3C207994" w14:textId="77777777" w:rsidTr="00423FDB">
        <w:trPr>
          <w:cantSplit/>
          <w:jc w:val="center"/>
        </w:trPr>
        <w:tc>
          <w:tcPr>
            <w:tcW w:w="2319" w:type="dxa"/>
            <w:tcBorders>
              <w:top w:val="single" w:sz="3" w:space="0" w:color="000000"/>
              <w:bottom w:val="single" w:sz="3" w:space="0" w:color="000000"/>
            </w:tcBorders>
            <w:shd w:val="clear" w:color="auto" w:fill="FFFFFF"/>
            <w:tcMar>
              <w:top w:w="0" w:type="dxa"/>
              <w:left w:w="0" w:type="dxa"/>
              <w:bottom w:w="0" w:type="dxa"/>
              <w:right w:w="0" w:type="dxa"/>
            </w:tcMar>
          </w:tcPr>
          <w:p w14:paraId="7793205F" w14:textId="77777777" w:rsidR="00266E55" w:rsidRDefault="00266E55" w:rsidP="00423FDB">
            <w:pPr>
              <w:spacing w:before="40" w:after="40"/>
              <w:ind w:right="120"/>
            </w:pPr>
            <w:r>
              <w:rPr>
                <w:rFonts w:ascii="Helvetica" w:eastAsia="Helvetica" w:hAnsi="Helvetica" w:cs="Helvetica"/>
                <w:b/>
                <w:color w:val="000000"/>
                <w:sz w:val="22"/>
                <w:szCs w:val="22"/>
              </w:rPr>
              <w:t>Antibiotics</w:t>
            </w:r>
          </w:p>
        </w:tc>
        <w:tc>
          <w:tcPr>
            <w:tcW w:w="1015" w:type="dxa"/>
            <w:tcBorders>
              <w:top w:val="single" w:sz="3" w:space="0" w:color="000000"/>
              <w:bottom w:val="single" w:sz="3" w:space="0" w:color="000000"/>
            </w:tcBorders>
            <w:shd w:val="clear" w:color="auto" w:fill="FFFFFF"/>
            <w:tcMar>
              <w:top w:w="0" w:type="dxa"/>
              <w:left w:w="0" w:type="dxa"/>
              <w:bottom w:w="0" w:type="dxa"/>
              <w:right w:w="0" w:type="dxa"/>
            </w:tcMar>
          </w:tcPr>
          <w:p w14:paraId="624DD538" w14:textId="77777777" w:rsidR="00266E55" w:rsidRDefault="00266E55" w:rsidP="00423FDB">
            <w:pPr>
              <w:spacing w:before="40" w:after="40"/>
              <w:ind w:left="120" w:right="120"/>
              <w:jc w:val="right"/>
            </w:pPr>
            <w:r>
              <w:rPr>
                <w:rFonts w:ascii="Helvetica" w:eastAsia="Helvetica" w:hAnsi="Helvetica" w:cs="Helvetica"/>
                <w:b/>
                <w:color w:val="000000"/>
                <w:sz w:val="22"/>
                <w:szCs w:val="22"/>
              </w:rPr>
              <w:t>2017</w:t>
            </w:r>
          </w:p>
        </w:tc>
        <w:tc>
          <w:tcPr>
            <w:tcW w:w="1015" w:type="dxa"/>
            <w:tcBorders>
              <w:top w:val="single" w:sz="3" w:space="0" w:color="000000"/>
              <w:bottom w:val="single" w:sz="3" w:space="0" w:color="000000"/>
            </w:tcBorders>
            <w:shd w:val="clear" w:color="auto" w:fill="FFFFFF"/>
            <w:tcMar>
              <w:top w:w="0" w:type="dxa"/>
              <w:left w:w="0" w:type="dxa"/>
              <w:bottom w:w="0" w:type="dxa"/>
              <w:right w:w="0" w:type="dxa"/>
            </w:tcMar>
          </w:tcPr>
          <w:p w14:paraId="5EF9B729" w14:textId="77777777" w:rsidR="00266E55" w:rsidRDefault="00266E55" w:rsidP="00423FDB">
            <w:pPr>
              <w:spacing w:before="40" w:after="40"/>
              <w:ind w:left="120" w:right="120"/>
              <w:jc w:val="right"/>
            </w:pPr>
            <w:r>
              <w:rPr>
                <w:rFonts w:ascii="Helvetica" w:eastAsia="Helvetica" w:hAnsi="Helvetica" w:cs="Helvetica"/>
                <w:b/>
                <w:color w:val="000000"/>
                <w:sz w:val="22"/>
                <w:szCs w:val="22"/>
              </w:rPr>
              <w:t>2018</w:t>
            </w:r>
          </w:p>
        </w:tc>
        <w:tc>
          <w:tcPr>
            <w:tcW w:w="953" w:type="dxa"/>
            <w:tcBorders>
              <w:top w:val="single" w:sz="3" w:space="0" w:color="000000"/>
              <w:bottom w:val="single" w:sz="3" w:space="0" w:color="000000"/>
            </w:tcBorders>
            <w:shd w:val="clear" w:color="auto" w:fill="FFFFFF"/>
            <w:tcMar>
              <w:top w:w="0" w:type="dxa"/>
              <w:left w:w="0" w:type="dxa"/>
              <w:bottom w:w="0" w:type="dxa"/>
              <w:right w:w="0" w:type="dxa"/>
            </w:tcMar>
          </w:tcPr>
          <w:p w14:paraId="2CF4765D" w14:textId="77777777" w:rsidR="00266E55" w:rsidRDefault="00266E55" w:rsidP="00423FDB">
            <w:pPr>
              <w:spacing w:before="40" w:after="40"/>
              <w:ind w:left="120" w:right="120"/>
              <w:jc w:val="right"/>
            </w:pPr>
            <w:r>
              <w:rPr>
                <w:rFonts w:ascii="Helvetica" w:eastAsia="Helvetica" w:hAnsi="Helvetica" w:cs="Helvetica"/>
                <w:b/>
                <w:color w:val="000000"/>
                <w:sz w:val="22"/>
                <w:szCs w:val="22"/>
              </w:rPr>
              <w:t>2019</w:t>
            </w:r>
          </w:p>
        </w:tc>
        <w:tc>
          <w:tcPr>
            <w:tcW w:w="793" w:type="dxa"/>
            <w:tcBorders>
              <w:top w:val="single" w:sz="3" w:space="0" w:color="000000"/>
              <w:bottom w:val="single" w:sz="3" w:space="0" w:color="000000"/>
            </w:tcBorders>
            <w:shd w:val="clear" w:color="auto" w:fill="FFFFFF"/>
            <w:tcMar>
              <w:top w:w="0" w:type="dxa"/>
              <w:left w:w="0" w:type="dxa"/>
              <w:bottom w:w="0" w:type="dxa"/>
              <w:right w:w="0" w:type="dxa"/>
            </w:tcMar>
          </w:tcPr>
          <w:p w14:paraId="396D98CA" w14:textId="77777777" w:rsidR="00266E55" w:rsidRDefault="00266E55" w:rsidP="00423FDB">
            <w:pPr>
              <w:spacing w:before="40" w:after="40"/>
              <w:ind w:left="120"/>
              <w:jc w:val="right"/>
            </w:pPr>
            <w:r>
              <w:rPr>
                <w:rFonts w:ascii="Helvetica" w:eastAsia="Helvetica" w:hAnsi="Helvetica" w:cs="Helvetica"/>
                <w:b/>
                <w:color w:val="000000"/>
                <w:sz w:val="22"/>
                <w:szCs w:val="22"/>
              </w:rPr>
              <w:t>2020</w:t>
            </w:r>
          </w:p>
        </w:tc>
        <w:tc>
          <w:tcPr>
            <w:tcW w:w="1954" w:type="dxa"/>
            <w:tcBorders>
              <w:top w:val="single" w:sz="3" w:space="0" w:color="000000"/>
              <w:bottom w:val="single" w:sz="3" w:space="0" w:color="000000"/>
            </w:tcBorders>
            <w:shd w:val="clear" w:color="auto" w:fill="FFFFFF"/>
          </w:tcPr>
          <w:p w14:paraId="3C8B5067" w14:textId="77777777" w:rsidR="00266E55" w:rsidRDefault="00266E55" w:rsidP="00423FDB">
            <w:pPr>
              <w:spacing w:before="40" w:after="40"/>
              <w:ind w:left="120"/>
              <w:jc w:val="right"/>
              <w:rPr>
                <w:rFonts w:ascii="Helvetica" w:eastAsia="Helvetica" w:hAnsi="Helvetica" w:cs="Helvetica"/>
                <w:b/>
                <w:color w:val="000000"/>
                <w:sz w:val="22"/>
                <w:szCs w:val="22"/>
              </w:rPr>
            </w:pPr>
            <w:r>
              <w:rPr>
                <w:rFonts w:ascii="Helvetica" w:eastAsia="Helvetica" w:hAnsi="Helvetica" w:cs="Helvetica"/>
                <w:b/>
                <w:color w:val="000000"/>
                <w:sz w:val="22"/>
                <w:szCs w:val="22"/>
              </w:rPr>
              <w:t>Trend</w:t>
            </w:r>
          </w:p>
        </w:tc>
        <w:tc>
          <w:tcPr>
            <w:tcW w:w="1448" w:type="dxa"/>
            <w:tcBorders>
              <w:top w:val="single" w:sz="3" w:space="0" w:color="000000"/>
              <w:bottom w:val="single" w:sz="3" w:space="0" w:color="000000"/>
            </w:tcBorders>
            <w:shd w:val="clear" w:color="auto" w:fill="FFFFFF"/>
            <w:tcMar>
              <w:top w:w="0" w:type="dxa"/>
              <w:left w:w="0" w:type="dxa"/>
              <w:bottom w:w="0" w:type="dxa"/>
              <w:right w:w="0" w:type="dxa"/>
            </w:tcMar>
          </w:tcPr>
          <w:p w14:paraId="47986326" w14:textId="77777777" w:rsidR="00266E55" w:rsidRDefault="00266E55" w:rsidP="00423FDB">
            <w:pPr>
              <w:spacing w:before="40" w:after="40"/>
              <w:ind w:left="120"/>
              <w:jc w:val="right"/>
            </w:pPr>
            <w:r>
              <w:rPr>
                <w:rFonts w:ascii="Helvetica" w:eastAsia="Helvetica" w:hAnsi="Helvetica" w:cs="Helvetica"/>
                <w:b/>
                <w:color w:val="000000"/>
                <w:sz w:val="22"/>
                <w:szCs w:val="22"/>
              </w:rPr>
              <w:t>p-value of trend</w:t>
            </w:r>
          </w:p>
        </w:tc>
      </w:tr>
      <w:tr w:rsidR="00266E55" w14:paraId="0F2C88A9" w14:textId="77777777" w:rsidTr="00423FDB">
        <w:trPr>
          <w:cantSplit/>
          <w:jc w:val="center"/>
        </w:trPr>
        <w:tc>
          <w:tcPr>
            <w:tcW w:w="2319" w:type="dxa"/>
            <w:shd w:val="clear" w:color="auto" w:fill="FFFFFF"/>
            <w:tcMar>
              <w:top w:w="0" w:type="dxa"/>
              <w:left w:w="0" w:type="dxa"/>
              <w:bottom w:w="0" w:type="dxa"/>
              <w:right w:w="0" w:type="dxa"/>
            </w:tcMar>
          </w:tcPr>
          <w:p w14:paraId="44E4F543" w14:textId="77777777" w:rsidR="00266E55" w:rsidRDefault="00266E55" w:rsidP="00423FDB">
            <w:pPr>
              <w:spacing w:before="40" w:after="40"/>
              <w:ind w:right="120"/>
              <w:rPr>
                <w:rFonts w:ascii="Helvetica" w:eastAsia="Helvetica" w:hAnsi="Helvetica" w:cs="Helvetica"/>
                <w:color w:val="000000"/>
                <w:sz w:val="22"/>
                <w:szCs w:val="22"/>
              </w:rPr>
            </w:pPr>
            <w:r>
              <w:rPr>
                <w:rFonts w:ascii="Helvetica" w:eastAsia="Helvetica" w:hAnsi="Helvetica" w:cs="Helvetica"/>
                <w:color w:val="000000"/>
                <w:sz w:val="22"/>
                <w:szCs w:val="22"/>
              </w:rPr>
              <w:t>Number of Isolates</w:t>
            </w:r>
          </w:p>
        </w:tc>
        <w:tc>
          <w:tcPr>
            <w:tcW w:w="1015" w:type="dxa"/>
            <w:shd w:val="clear" w:color="auto" w:fill="FFFFFF"/>
            <w:tcMar>
              <w:top w:w="0" w:type="dxa"/>
              <w:left w:w="0" w:type="dxa"/>
              <w:bottom w:w="0" w:type="dxa"/>
              <w:right w:w="0" w:type="dxa"/>
            </w:tcMar>
          </w:tcPr>
          <w:p w14:paraId="1EA1E4A8" w14:textId="77777777" w:rsidR="00266E55" w:rsidRDefault="00266E55" w:rsidP="00423FDB">
            <w:pPr>
              <w:spacing w:before="40" w:after="40"/>
              <w:ind w:left="120" w:right="120"/>
              <w:jc w:val="right"/>
              <w:rPr>
                <w:rFonts w:ascii="Helvetica" w:eastAsia="Helvetica" w:hAnsi="Helvetica" w:cs="Helvetica"/>
                <w:color w:val="000000"/>
                <w:sz w:val="22"/>
                <w:szCs w:val="22"/>
              </w:rPr>
            </w:pPr>
            <w:r>
              <w:rPr>
                <w:rFonts w:ascii="Helvetica" w:eastAsia="Helvetica" w:hAnsi="Helvetica" w:cs="Helvetica"/>
                <w:color w:val="000000"/>
                <w:sz w:val="22"/>
                <w:szCs w:val="22"/>
              </w:rPr>
              <w:t>165</w:t>
            </w:r>
          </w:p>
        </w:tc>
        <w:tc>
          <w:tcPr>
            <w:tcW w:w="1015" w:type="dxa"/>
            <w:shd w:val="clear" w:color="auto" w:fill="FFFFFF"/>
            <w:tcMar>
              <w:top w:w="0" w:type="dxa"/>
              <w:left w:w="0" w:type="dxa"/>
              <w:bottom w:w="0" w:type="dxa"/>
              <w:right w:w="0" w:type="dxa"/>
            </w:tcMar>
          </w:tcPr>
          <w:p w14:paraId="43CDC84A" w14:textId="77777777" w:rsidR="00266E55" w:rsidRDefault="00266E55" w:rsidP="00423FDB">
            <w:pPr>
              <w:spacing w:before="40" w:after="40"/>
              <w:ind w:left="120" w:right="120"/>
              <w:jc w:val="right"/>
              <w:rPr>
                <w:rFonts w:ascii="Helvetica" w:eastAsia="Helvetica" w:hAnsi="Helvetica" w:cs="Helvetica"/>
                <w:color w:val="000000"/>
                <w:sz w:val="22"/>
                <w:szCs w:val="22"/>
              </w:rPr>
            </w:pPr>
            <w:r>
              <w:rPr>
                <w:rFonts w:ascii="Helvetica" w:eastAsia="Helvetica" w:hAnsi="Helvetica" w:cs="Helvetica"/>
                <w:color w:val="000000"/>
                <w:sz w:val="22"/>
                <w:szCs w:val="22"/>
              </w:rPr>
              <w:t>151</w:t>
            </w:r>
          </w:p>
        </w:tc>
        <w:tc>
          <w:tcPr>
            <w:tcW w:w="953" w:type="dxa"/>
            <w:shd w:val="clear" w:color="auto" w:fill="FFFFFF"/>
            <w:tcMar>
              <w:top w:w="0" w:type="dxa"/>
              <w:left w:w="0" w:type="dxa"/>
              <w:bottom w:w="0" w:type="dxa"/>
              <w:right w:w="0" w:type="dxa"/>
            </w:tcMar>
          </w:tcPr>
          <w:p w14:paraId="48898EC2" w14:textId="77777777" w:rsidR="00266E55" w:rsidRDefault="00266E55" w:rsidP="00423FDB">
            <w:pPr>
              <w:spacing w:before="40" w:after="40"/>
              <w:ind w:left="120" w:right="120"/>
              <w:jc w:val="right"/>
              <w:rPr>
                <w:rFonts w:ascii="Helvetica" w:eastAsia="Helvetica" w:hAnsi="Helvetica" w:cs="Helvetica"/>
                <w:color w:val="000000"/>
                <w:sz w:val="22"/>
                <w:szCs w:val="22"/>
              </w:rPr>
            </w:pPr>
            <w:r>
              <w:rPr>
                <w:rFonts w:ascii="Helvetica" w:eastAsia="Helvetica" w:hAnsi="Helvetica" w:cs="Helvetica"/>
                <w:color w:val="000000"/>
                <w:sz w:val="22"/>
                <w:szCs w:val="22"/>
              </w:rPr>
              <w:t>167</w:t>
            </w:r>
          </w:p>
        </w:tc>
        <w:tc>
          <w:tcPr>
            <w:tcW w:w="793" w:type="dxa"/>
            <w:shd w:val="clear" w:color="auto" w:fill="FFFFFF"/>
            <w:tcMar>
              <w:top w:w="0" w:type="dxa"/>
              <w:left w:w="0" w:type="dxa"/>
              <w:bottom w:w="0" w:type="dxa"/>
              <w:right w:w="0" w:type="dxa"/>
            </w:tcMar>
          </w:tcPr>
          <w:p w14:paraId="60367414"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133</w:t>
            </w:r>
          </w:p>
        </w:tc>
        <w:tc>
          <w:tcPr>
            <w:tcW w:w="1954" w:type="dxa"/>
            <w:shd w:val="clear" w:color="auto" w:fill="FFFFFF"/>
          </w:tcPr>
          <w:p w14:paraId="241007AC" w14:textId="77777777" w:rsidR="00266E55" w:rsidRDefault="00266E55" w:rsidP="00423FDB">
            <w:pPr>
              <w:spacing w:before="40" w:after="40"/>
              <w:ind w:left="120"/>
              <w:jc w:val="right"/>
              <w:rPr>
                <w:rFonts w:ascii="Helvetica" w:eastAsia="Helvetica" w:hAnsi="Helvetica" w:cs="Helvetica"/>
                <w:color w:val="000000"/>
                <w:sz w:val="22"/>
                <w:szCs w:val="22"/>
              </w:rPr>
            </w:pPr>
          </w:p>
        </w:tc>
        <w:tc>
          <w:tcPr>
            <w:tcW w:w="1448" w:type="dxa"/>
            <w:shd w:val="clear" w:color="auto" w:fill="FFFFFF"/>
            <w:tcMar>
              <w:top w:w="0" w:type="dxa"/>
              <w:left w:w="0" w:type="dxa"/>
              <w:bottom w:w="0" w:type="dxa"/>
              <w:right w:w="0" w:type="dxa"/>
            </w:tcMar>
          </w:tcPr>
          <w:p w14:paraId="16031440" w14:textId="77777777" w:rsidR="00266E55" w:rsidRDefault="00266E55" w:rsidP="00423FDB">
            <w:pPr>
              <w:spacing w:before="40" w:after="40"/>
              <w:ind w:left="120"/>
              <w:jc w:val="right"/>
              <w:rPr>
                <w:rFonts w:ascii="Helvetica" w:eastAsia="Helvetica" w:hAnsi="Helvetica" w:cs="Helvetica"/>
                <w:color w:val="000000"/>
                <w:sz w:val="22"/>
                <w:szCs w:val="22"/>
              </w:rPr>
            </w:pPr>
          </w:p>
        </w:tc>
      </w:tr>
      <w:tr w:rsidR="00266E55" w14:paraId="6F0C0B89" w14:textId="77777777" w:rsidTr="00423FDB">
        <w:trPr>
          <w:cantSplit/>
          <w:jc w:val="center"/>
        </w:trPr>
        <w:tc>
          <w:tcPr>
            <w:tcW w:w="2319" w:type="dxa"/>
            <w:shd w:val="clear" w:color="auto" w:fill="FFFFFF"/>
            <w:tcMar>
              <w:top w:w="0" w:type="dxa"/>
              <w:left w:w="0" w:type="dxa"/>
              <w:bottom w:w="0" w:type="dxa"/>
              <w:right w:w="0" w:type="dxa"/>
            </w:tcMar>
          </w:tcPr>
          <w:p w14:paraId="3A8371B8" w14:textId="77777777" w:rsidR="00266E55" w:rsidRDefault="00266E55" w:rsidP="00423FDB">
            <w:pPr>
              <w:spacing w:before="40" w:after="40"/>
              <w:ind w:right="120"/>
            </w:pPr>
            <w:r>
              <w:rPr>
                <w:rFonts w:ascii="Helvetica" w:eastAsia="Helvetica" w:hAnsi="Helvetica" w:cs="Helvetica"/>
                <w:color w:val="000000"/>
                <w:sz w:val="22"/>
                <w:szCs w:val="22"/>
              </w:rPr>
              <w:t>Ceftriaxone</w:t>
            </w:r>
          </w:p>
        </w:tc>
        <w:tc>
          <w:tcPr>
            <w:tcW w:w="1015" w:type="dxa"/>
            <w:shd w:val="clear" w:color="auto" w:fill="FFFFFF"/>
            <w:tcMar>
              <w:top w:w="0" w:type="dxa"/>
              <w:left w:w="0" w:type="dxa"/>
              <w:bottom w:w="0" w:type="dxa"/>
              <w:right w:w="0" w:type="dxa"/>
            </w:tcMar>
          </w:tcPr>
          <w:p w14:paraId="5FAE6DC4"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16    </w:t>
            </w:r>
          </w:p>
        </w:tc>
        <w:tc>
          <w:tcPr>
            <w:tcW w:w="1015" w:type="dxa"/>
            <w:shd w:val="clear" w:color="auto" w:fill="FFFFFF"/>
            <w:tcMar>
              <w:top w:w="0" w:type="dxa"/>
              <w:left w:w="0" w:type="dxa"/>
              <w:bottom w:w="0" w:type="dxa"/>
              <w:right w:w="0" w:type="dxa"/>
            </w:tcMar>
          </w:tcPr>
          <w:p w14:paraId="41B5F4CF"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13.3  </w:t>
            </w:r>
          </w:p>
        </w:tc>
        <w:tc>
          <w:tcPr>
            <w:tcW w:w="953" w:type="dxa"/>
            <w:shd w:val="clear" w:color="auto" w:fill="FFFFFF"/>
            <w:tcMar>
              <w:top w:w="0" w:type="dxa"/>
              <w:left w:w="0" w:type="dxa"/>
              <w:bottom w:w="0" w:type="dxa"/>
              <w:right w:w="0" w:type="dxa"/>
            </w:tcMar>
          </w:tcPr>
          <w:p w14:paraId="7C7D85A8"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19.3 </w:t>
            </w:r>
          </w:p>
        </w:tc>
        <w:tc>
          <w:tcPr>
            <w:tcW w:w="793" w:type="dxa"/>
            <w:shd w:val="clear" w:color="auto" w:fill="FFFFFF"/>
            <w:tcMar>
              <w:top w:w="0" w:type="dxa"/>
              <w:left w:w="0" w:type="dxa"/>
              <w:bottom w:w="0" w:type="dxa"/>
              <w:right w:w="0" w:type="dxa"/>
            </w:tcMar>
          </w:tcPr>
          <w:p w14:paraId="767D83C6" w14:textId="77777777" w:rsidR="00266E55" w:rsidRDefault="00266E55" w:rsidP="00423FDB">
            <w:pPr>
              <w:spacing w:before="40" w:after="40"/>
              <w:ind w:left="120"/>
              <w:jc w:val="right"/>
            </w:pPr>
            <w:r>
              <w:rPr>
                <w:rFonts w:ascii="Helvetica" w:eastAsia="Helvetica" w:hAnsi="Helvetica" w:cs="Helvetica"/>
                <w:color w:val="000000"/>
                <w:sz w:val="22"/>
                <w:szCs w:val="22"/>
              </w:rPr>
              <w:t xml:space="preserve">18.7 </w:t>
            </w:r>
          </w:p>
        </w:tc>
        <w:tc>
          <w:tcPr>
            <w:tcW w:w="1954" w:type="dxa"/>
            <w:shd w:val="clear" w:color="auto" w:fill="FFFFFF"/>
          </w:tcPr>
          <w:p w14:paraId="48354BF9"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Stable</w:t>
            </w:r>
          </w:p>
        </w:tc>
        <w:tc>
          <w:tcPr>
            <w:tcW w:w="1448" w:type="dxa"/>
            <w:shd w:val="clear" w:color="auto" w:fill="FFFFFF"/>
            <w:tcMar>
              <w:top w:w="0" w:type="dxa"/>
              <w:left w:w="0" w:type="dxa"/>
              <w:bottom w:w="0" w:type="dxa"/>
              <w:right w:w="0" w:type="dxa"/>
            </w:tcMar>
          </w:tcPr>
          <w:p w14:paraId="3FB071D7" w14:textId="77777777" w:rsidR="00266E55" w:rsidRDefault="00266E55" w:rsidP="00423FDB">
            <w:pPr>
              <w:spacing w:before="40" w:after="40"/>
              <w:ind w:left="120"/>
              <w:jc w:val="right"/>
            </w:pPr>
            <w:r>
              <w:rPr>
                <w:rFonts w:ascii="Helvetica" w:eastAsia="Helvetica" w:hAnsi="Helvetica" w:cs="Helvetica"/>
                <w:color w:val="000000"/>
                <w:sz w:val="22"/>
                <w:szCs w:val="22"/>
              </w:rPr>
              <w:t>0.231</w:t>
            </w:r>
          </w:p>
        </w:tc>
      </w:tr>
      <w:tr w:rsidR="00266E55" w14:paraId="674CFD56" w14:textId="77777777" w:rsidTr="00423FDB">
        <w:trPr>
          <w:cantSplit/>
          <w:jc w:val="center"/>
        </w:trPr>
        <w:tc>
          <w:tcPr>
            <w:tcW w:w="2319" w:type="dxa"/>
            <w:shd w:val="clear" w:color="auto" w:fill="FFFFFF"/>
            <w:tcMar>
              <w:top w:w="0" w:type="dxa"/>
              <w:left w:w="0" w:type="dxa"/>
              <w:bottom w:w="0" w:type="dxa"/>
              <w:right w:w="0" w:type="dxa"/>
            </w:tcMar>
          </w:tcPr>
          <w:p w14:paraId="3C237D15" w14:textId="77777777" w:rsidR="00266E55" w:rsidRDefault="00266E55" w:rsidP="00423FDB">
            <w:pPr>
              <w:spacing w:before="40" w:after="40"/>
              <w:ind w:right="120"/>
            </w:pPr>
            <w:r>
              <w:rPr>
                <w:rFonts w:ascii="Helvetica" w:eastAsia="Helvetica" w:hAnsi="Helvetica" w:cs="Helvetica"/>
                <w:color w:val="000000"/>
                <w:sz w:val="22"/>
                <w:szCs w:val="22"/>
              </w:rPr>
              <w:t>Ciprofloxacin</w:t>
            </w:r>
          </w:p>
        </w:tc>
        <w:tc>
          <w:tcPr>
            <w:tcW w:w="1015" w:type="dxa"/>
            <w:shd w:val="clear" w:color="auto" w:fill="FFFFFF"/>
            <w:tcMar>
              <w:top w:w="0" w:type="dxa"/>
              <w:left w:w="0" w:type="dxa"/>
              <w:bottom w:w="0" w:type="dxa"/>
              <w:right w:w="0" w:type="dxa"/>
            </w:tcMar>
          </w:tcPr>
          <w:p w14:paraId="38826147"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13.8  </w:t>
            </w:r>
          </w:p>
        </w:tc>
        <w:tc>
          <w:tcPr>
            <w:tcW w:w="1015" w:type="dxa"/>
            <w:shd w:val="clear" w:color="auto" w:fill="FFFFFF"/>
            <w:tcMar>
              <w:top w:w="0" w:type="dxa"/>
              <w:left w:w="0" w:type="dxa"/>
              <w:bottom w:w="0" w:type="dxa"/>
              <w:right w:w="0" w:type="dxa"/>
            </w:tcMar>
          </w:tcPr>
          <w:p w14:paraId="7CDAA1AD"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11.2  </w:t>
            </w:r>
          </w:p>
        </w:tc>
        <w:tc>
          <w:tcPr>
            <w:tcW w:w="953" w:type="dxa"/>
            <w:shd w:val="clear" w:color="auto" w:fill="FFFFFF"/>
            <w:tcMar>
              <w:top w:w="0" w:type="dxa"/>
              <w:left w:w="0" w:type="dxa"/>
              <w:bottom w:w="0" w:type="dxa"/>
              <w:right w:w="0" w:type="dxa"/>
            </w:tcMar>
          </w:tcPr>
          <w:p w14:paraId="6A797596"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10.2 </w:t>
            </w:r>
          </w:p>
        </w:tc>
        <w:tc>
          <w:tcPr>
            <w:tcW w:w="793" w:type="dxa"/>
            <w:shd w:val="clear" w:color="auto" w:fill="FFFFFF"/>
            <w:tcMar>
              <w:top w:w="0" w:type="dxa"/>
              <w:left w:w="0" w:type="dxa"/>
              <w:bottom w:w="0" w:type="dxa"/>
              <w:right w:w="0" w:type="dxa"/>
            </w:tcMar>
          </w:tcPr>
          <w:p w14:paraId="50A0F28D" w14:textId="77777777" w:rsidR="00266E55" w:rsidRDefault="00266E55" w:rsidP="00423FDB">
            <w:pPr>
              <w:spacing w:before="40" w:after="40"/>
              <w:ind w:left="120"/>
              <w:jc w:val="right"/>
            </w:pPr>
            <w:r>
              <w:rPr>
                <w:rFonts w:ascii="Helvetica" w:eastAsia="Helvetica" w:hAnsi="Helvetica" w:cs="Helvetica"/>
                <w:color w:val="000000"/>
                <w:sz w:val="22"/>
                <w:szCs w:val="22"/>
              </w:rPr>
              <w:t xml:space="preserve">16.1 </w:t>
            </w:r>
          </w:p>
        </w:tc>
        <w:tc>
          <w:tcPr>
            <w:tcW w:w="1954" w:type="dxa"/>
            <w:shd w:val="clear" w:color="auto" w:fill="FFFFFF"/>
          </w:tcPr>
          <w:p w14:paraId="4985FD1D"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Fluctuating</w:t>
            </w:r>
          </w:p>
        </w:tc>
        <w:tc>
          <w:tcPr>
            <w:tcW w:w="1448" w:type="dxa"/>
            <w:shd w:val="clear" w:color="auto" w:fill="FFFFFF"/>
            <w:tcMar>
              <w:top w:w="0" w:type="dxa"/>
              <w:left w:w="0" w:type="dxa"/>
              <w:bottom w:w="0" w:type="dxa"/>
              <w:right w:w="0" w:type="dxa"/>
            </w:tcMar>
          </w:tcPr>
          <w:p w14:paraId="344C1EF9" w14:textId="77777777" w:rsidR="00266E55" w:rsidRDefault="00266E55" w:rsidP="00423FDB">
            <w:pPr>
              <w:spacing w:before="40" w:after="40"/>
              <w:ind w:left="120"/>
              <w:jc w:val="right"/>
            </w:pPr>
            <w:r>
              <w:rPr>
                <w:rFonts w:ascii="Helvetica" w:eastAsia="Helvetica" w:hAnsi="Helvetica" w:cs="Helvetica"/>
                <w:color w:val="000000"/>
                <w:sz w:val="22"/>
                <w:szCs w:val="22"/>
              </w:rPr>
              <w:t>0.571</w:t>
            </w:r>
          </w:p>
        </w:tc>
      </w:tr>
      <w:tr w:rsidR="00266E55" w14:paraId="3C7FE0BD" w14:textId="77777777" w:rsidTr="00423FDB">
        <w:trPr>
          <w:cantSplit/>
          <w:jc w:val="center"/>
        </w:trPr>
        <w:tc>
          <w:tcPr>
            <w:tcW w:w="2319" w:type="dxa"/>
            <w:shd w:val="clear" w:color="auto" w:fill="FFFFFF"/>
            <w:tcMar>
              <w:top w:w="0" w:type="dxa"/>
              <w:left w:w="0" w:type="dxa"/>
              <w:bottom w:w="0" w:type="dxa"/>
              <w:right w:w="0" w:type="dxa"/>
            </w:tcMar>
          </w:tcPr>
          <w:p w14:paraId="0F9FC601" w14:textId="77777777" w:rsidR="00266E55" w:rsidRDefault="00266E55" w:rsidP="00423FDB">
            <w:pPr>
              <w:spacing w:before="40" w:after="40"/>
              <w:ind w:right="120"/>
            </w:pPr>
            <w:r>
              <w:rPr>
                <w:rFonts w:ascii="Helvetica" w:eastAsia="Helvetica" w:hAnsi="Helvetica" w:cs="Helvetica"/>
                <w:color w:val="000000"/>
                <w:sz w:val="22"/>
                <w:szCs w:val="22"/>
              </w:rPr>
              <w:t>Levofloxacin</w:t>
            </w:r>
          </w:p>
        </w:tc>
        <w:tc>
          <w:tcPr>
            <w:tcW w:w="1015" w:type="dxa"/>
            <w:shd w:val="clear" w:color="auto" w:fill="FFFFFF"/>
            <w:tcMar>
              <w:top w:w="0" w:type="dxa"/>
              <w:left w:w="0" w:type="dxa"/>
              <w:bottom w:w="0" w:type="dxa"/>
              <w:right w:w="0" w:type="dxa"/>
            </w:tcMar>
          </w:tcPr>
          <w:p w14:paraId="7F7BCE34"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15.2  </w:t>
            </w:r>
          </w:p>
        </w:tc>
        <w:tc>
          <w:tcPr>
            <w:tcW w:w="1015" w:type="dxa"/>
            <w:shd w:val="clear" w:color="auto" w:fill="FFFFFF"/>
            <w:tcMar>
              <w:top w:w="0" w:type="dxa"/>
              <w:left w:w="0" w:type="dxa"/>
              <w:bottom w:w="0" w:type="dxa"/>
              <w:right w:w="0" w:type="dxa"/>
            </w:tcMar>
          </w:tcPr>
          <w:p w14:paraId="4BA2A9C9"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11.5  </w:t>
            </w:r>
          </w:p>
        </w:tc>
        <w:tc>
          <w:tcPr>
            <w:tcW w:w="953" w:type="dxa"/>
            <w:shd w:val="clear" w:color="auto" w:fill="FFFFFF"/>
            <w:tcMar>
              <w:top w:w="0" w:type="dxa"/>
              <w:left w:w="0" w:type="dxa"/>
              <w:bottom w:w="0" w:type="dxa"/>
              <w:right w:w="0" w:type="dxa"/>
            </w:tcMar>
          </w:tcPr>
          <w:p w14:paraId="3A585877"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13.8 </w:t>
            </w:r>
          </w:p>
        </w:tc>
        <w:tc>
          <w:tcPr>
            <w:tcW w:w="793" w:type="dxa"/>
            <w:shd w:val="clear" w:color="auto" w:fill="FFFFFF"/>
            <w:tcMar>
              <w:top w:w="0" w:type="dxa"/>
              <w:left w:w="0" w:type="dxa"/>
              <w:bottom w:w="0" w:type="dxa"/>
              <w:right w:w="0" w:type="dxa"/>
            </w:tcMar>
          </w:tcPr>
          <w:p w14:paraId="6A469BE7" w14:textId="77777777" w:rsidR="00266E55" w:rsidRDefault="00266E55" w:rsidP="00423FDB">
            <w:pPr>
              <w:spacing w:before="40" w:after="40"/>
              <w:ind w:left="120"/>
              <w:jc w:val="right"/>
            </w:pPr>
            <w:r>
              <w:rPr>
                <w:rFonts w:ascii="Helvetica" w:eastAsia="Helvetica" w:hAnsi="Helvetica" w:cs="Helvetica"/>
                <w:color w:val="000000"/>
                <w:sz w:val="22"/>
                <w:szCs w:val="22"/>
              </w:rPr>
              <w:t xml:space="preserve">18.2 </w:t>
            </w:r>
          </w:p>
        </w:tc>
        <w:tc>
          <w:tcPr>
            <w:tcW w:w="1954" w:type="dxa"/>
            <w:shd w:val="clear" w:color="auto" w:fill="FFFFFF"/>
          </w:tcPr>
          <w:p w14:paraId="31D7E27B"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Fluctuating</w:t>
            </w:r>
          </w:p>
        </w:tc>
        <w:tc>
          <w:tcPr>
            <w:tcW w:w="1448" w:type="dxa"/>
            <w:shd w:val="clear" w:color="auto" w:fill="FFFFFF"/>
            <w:tcMar>
              <w:top w:w="0" w:type="dxa"/>
              <w:left w:w="0" w:type="dxa"/>
              <w:bottom w:w="0" w:type="dxa"/>
              <w:right w:w="0" w:type="dxa"/>
            </w:tcMar>
          </w:tcPr>
          <w:p w14:paraId="4218624C" w14:textId="77777777" w:rsidR="00266E55" w:rsidRDefault="00266E55" w:rsidP="00423FDB">
            <w:pPr>
              <w:spacing w:before="40" w:after="40"/>
              <w:ind w:left="120"/>
              <w:jc w:val="right"/>
            </w:pPr>
            <w:r>
              <w:rPr>
                <w:rFonts w:ascii="Helvetica" w:eastAsia="Helvetica" w:hAnsi="Helvetica" w:cs="Helvetica"/>
                <w:color w:val="000000"/>
                <w:sz w:val="22"/>
                <w:szCs w:val="22"/>
              </w:rPr>
              <w:t>0.353</w:t>
            </w:r>
          </w:p>
        </w:tc>
      </w:tr>
      <w:tr w:rsidR="00266E55" w14:paraId="7C86AA9F" w14:textId="77777777" w:rsidTr="00423FDB">
        <w:trPr>
          <w:cantSplit/>
          <w:jc w:val="center"/>
        </w:trPr>
        <w:tc>
          <w:tcPr>
            <w:tcW w:w="2319" w:type="dxa"/>
            <w:shd w:val="clear" w:color="auto" w:fill="FFFFFF"/>
            <w:tcMar>
              <w:top w:w="0" w:type="dxa"/>
              <w:left w:w="0" w:type="dxa"/>
              <w:bottom w:w="0" w:type="dxa"/>
              <w:right w:w="0" w:type="dxa"/>
            </w:tcMar>
          </w:tcPr>
          <w:p w14:paraId="10DD986A" w14:textId="77777777" w:rsidR="00266E55" w:rsidRDefault="00266E55" w:rsidP="00423FDB">
            <w:pPr>
              <w:spacing w:before="40" w:after="40"/>
              <w:ind w:right="120"/>
            </w:pPr>
            <w:r>
              <w:rPr>
                <w:rFonts w:ascii="Helvetica" w:eastAsia="Helvetica" w:hAnsi="Helvetica" w:cs="Helvetica"/>
                <w:color w:val="000000"/>
                <w:sz w:val="22"/>
                <w:szCs w:val="22"/>
              </w:rPr>
              <w:t>Co-trimoxazole</w:t>
            </w:r>
          </w:p>
        </w:tc>
        <w:tc>
          <w:tcPr>
            <w:tcW w:w="1015" w:type="dxa"/>
            <w:shd w:val="clear" w:color="auto" w:fill="FFFFFF"/>
            <w:tcMar>
              <w:top w:w="0" w:type="dxa"/>
              <w:left w:w="0" w:type="dxa"/>
              <w:bottom w:w="0" w:type="dxa"/>
              <w:right w:w="0" w:type="dxa"/>
            </w:tcMar>
          </w:tcPr>
          <w:p w14:paraId="202CE79C"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8.28 </w:t>
            </w:r>
          </w:p>
        </w:tc>
        <w:tc>
          <w:tcPr>
            <w:tcW w:w="1015" w:type="dxa"/>
            <w:shd w:val="clear" w:color="auto" w:fill="FFFFFF"/>
            <w:tcMar>
              <w:top w:w="0" w:type="dxa"/>
              <w:left w:w="0" w:type="dxa"/>
              <w:bottom w:w="0" w:type="dxa"/>
              <w:right w:w="0" w:type="dxa"/>
            </w:tcMar>
          </w:tcPr>
          <w:p w14:paraId="75BE21FC"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13.9  </w:t>
            </w:r>
          </w:p>
        </w:tc>
        <w:tc>
          <w:tcPr>
            <w:tcW w:w="953" w:type="dxa"/>
            <w:shd w:val="clear" w:color="auto" w:fill="FFFFFF"/>
            <w:tcMar>
              <w:top w:w="0" w:type="dxa"/>
              <w:left w:w="0" w:type="dxa"/>
              <w:bottom w:w="0" w:type="dxa"/>
              <w:right w:w="0" w:type="dxa"/>
            </w:tcMar>
          </w:tcPr>
          <w:p w14:paraId="1A2ACA58"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11.2 </w:t>
            </w:r>
          </w:p>
        </w:tc>
        <w:tc>
          <w:tcPr>
            <w:tcW w:w="793" w:type="dxa"/>
            <w:shd w:val="clear" w:color="auto" w:fill="FFFFFF"/>
            <w:tcMar>
              <w:top w:w="0" w:type="dxa"/>
              <w:left w:w="0" w:type="dxa"/>
              <w:bottom w:w="0" w:type="dxa"/>
              <w:right w:w="0" w:type="dxa"/>
            </w:tcMar>
          </w:tcPr>
          <w:p w14:paraId="76A146F1" w14:textId="77777777" w:rsidR="00266E55" w:rsidRDefault="00266E55" w:rsidP="00423FDB">
            <w:pPr>
              <w:spacing w:before="40" w:after="40"/>
              <w:ind w:left="120"/>
              <w:jc w:val="right"/>
            </w:pPr>
            <w:r>
              <w:rPr>
                <w:rFonts w:ascii="Helvetica" w:eastAsia="Helvetica" w:hAnsi="Helvetica" w:cs="Helvetica"/>
                <w:color w:val="000000"/>
                <w:sz w:val="22"/>
                <w:szCs w:val="22"/>
              </w:rPr>
              <w:t xml:space="preserve">12.8 </w:t>
            </w:r>
          </w:p>
        </w:tc>
        <w:tc>
          <w:tcPr>
            <w:tcW w:w="1954" w:type="dxa"/>
            <w:shd w:val="clear" w:color="auto" w:fill="FFFFFF"/>
          </w:tcPr>
          <w:p w14:paraId="242B7580"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Increasing</w:t>
            </w:r>
          </w:p>
        </w:tc>
        <w:tc>
          <w:tcPr>
            <w:tcW w:w="1448" w:type="dxa"/>
            <w:shd w:val="clear" w:color="auto" w:fill="FFFFFF"/>
            <w:tcMar>
              <w:top w:w="0" w:type="dxa"/>
              <w:left w:w="0" w:type="dxa"/>
              <w:bottom w:w="0" w:type="dxa"/>
              <w:right w:w="0" w:type="dxa"/>
            </w:tcMar>
          </w:tcPr>
          <w:p w14:paraId="32478359" w14:textId="77777777" w:rsidR="00266E55" w:rsidRDefault="00266E55" w:rsidP="00423FDB">
            <w:pPr>
              <w:spacing w:before="40" w:after="40"/>
              <w:ind w:left="120"/>
              <w:jc w:val="right"/>
            </w:pPr>
            <w:r>
              <w:rPr>
                <w:rFonts w:ascii="Helvetica" w:eastAsia="Helvetica" w:hAnsi="Helvetica" w:cs="Helvetica"/>
                <w:color w:val="000000"/>
                <w:sz w:val="22"/>
                <w:szCs w:val="22"/>
              </w:rPr>
              <w:t>0.353</w:t>
            </w:r>
          </w:p>
        </w:tc>
      </w:tr>
      <w:tr w:rsidR="00266E55" w14:paraId="41FCC626" w14:textId="77777777" w:rsidTr="00423FDB">
        <w:trPr>
          <w:cantSplit/>
          <w:jc w:val="center"/>
        </w:trPr>
        <w:tc>
          <w:tcPr>
            <w:tcW w:w="2319" w:type="dxa"/>
            <w:shd w:val="clear" w:color="auto" w:fill="FFFFFF"/>
            <w:tcMar>
              <w:top w:w="0" w:type="dxa"/>
              <w:left w:w="0" w:type="dxa"/>
              <w:bottom w:w="0" w:type="dxa"/>
              <w:right w:w="0" w:type="dxa"/>
            </w:tcMar>
          </w:tcPr>
          <w:p w14:paraId="554C85EE" w14:textId="77777777" w:rsidR="00266E55" w:rsidRDefault="00266E55" w:rsidP="00423FDB">
            <w:pPr>
              <w:spacing w:before="40" w:after="40"/>
              <w:ind w:right="120"/>
            </w:pPr>
            <w:r>
              <w:rPr>
                <w:rFonts w:ascii="Helvetica" w:eastAsia="Helvetica" w:hAnsi="Helvetica" w:cs="Helvetica"/>
                <w:color w:val="000000"/>
                <w:sz w:val="22"/>
                <w:szCs w:val="22"/>
              </w:rPr>
              <w:t>Ertapenem</w:t>
            </w:r>
          </w:p>
        </w:tc>
        <w:tc>
          <w:tcPr>
            <w:tcW w:w="1015" w:type="dxa"/>
            <w:shd w:val="clear" w:color="auto" w:fill="FFFFFF"/>
            <w:tcMar>
              <w:top w:w="0" w:type="dxa"/>
              <w:left w:w="0" w:type="dxa"/>
              <w:bottom w:w="0" w:type="dxa"/>
              <w:right w:w="0" w:type="dxa"/>
            </w:tcMar>
          </w:tcPr>
          <w:p w14:paraId="73BAD226" w14:textId="77777777" w:rsidR="00266E55" w:rsidRDefault="00266E55" w:rsidP="00423FDB">
            <w:pPr>
              <w:spacing w:before="40" w:after="40"/>
              <w:ind w:left="120" w:right="120"/>
              <w:jc w:val="right"/>
            </w:pPr>
            <w:r>
              <w:rPr>
                <w:rFonts w:ascii="Helvetica" w:eastAsia="Helvetica" w:hAnsi="Helvetica" w:cs="Helvetica"/>
                <w:color w:val="000000"/>
                <w:sz w:val="22"/>
                <w:szCs w:val="22"/>
              </w:rPr>
              <w:t>0.581</w:t>
            </w:r>
          </w:p>
        </w:tc>
        <w:tc>
          <w:tcPr>
            <w:tcW w:w="1015" w:type="dxa"/>
            <w:shd w:val="clear" w:color="auto" w:fill="FFFFFF"/>
            <w:tcMar>
              <w:top w:w="0" w:type="dxa"/>
              <w:left w:w="0" w:type="dxa"/>
              <w:bottom w:w="0" w:type="dxa"/>
              <w:right w:w="0" w:type="dxa"/>
            </w:tcMar>
          </w:tcPr>
          <w:p w14:paraId="611D0213"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1.35 </w:t>
            </w:r>
          </w:p>
        </w:tc>
        <w:tc>
          <w:tcPr>
            <w:tcW w:w="953" w:type="dxa"/>
            <w:shd w:val="clear" w:color="auto" w:fill="FFFFFF"/>
            <w:tcMar>
              <w:top w:w="0" w:type="dxa"/>
              <w:left w:w="0" w:type="dxa"/>
              <w:bottom w:w="0" w:type="dxa"/>
              <w:right w:w="0" w:type="dxa"/>
            </w:tcMar>
          </w:tcPr>
          <w:p w14:paraId="30E57FED" w14:textId="77777777" w:rsidR="00266E55" w:rsidRDefault="00266E55" w:rsidP="00423FDB">
            <w:pPr>
              <w:spacing w:before="40" w:after="40"/>
              <w:ind w:left="120" w:right="120"/>
              <w:jc w:val="right"/>
            </w:pPr>
            <w:r>
              <w:rPr>
                <w:rFonts w:ascii="Helvetica" w:eastAsia="Helvetica" w:hAnsi="Helvetica" w:cs="Helvetica"/>
                <w:color w:val="000000"/>
                <w:sz w:val="22"/>
                <w:szCs w:val="22"/>
              </w:rPr>
              <w:t>1.47</w:t>
            </w:r>
          </w:p>
        </w:tc>
        <w:tc>
          <w:tcPr>
            <w:tcW w:w="793" w:type="dxa"/>
            <w:shd w:val="clear" w:color="auto" w:fill="FFFFFF"/>
            <w:tcMar>
              <w:top w:w="0" w:type="dxa"/>
              <w:left w:w="0" w:type="dxa"/>
              <w:bottom w:w="0" w:type="dxa"/>
              <w:right w:w="0" w:type="dxa"/>
            </w:tcMar>
          </w:tcPr>
          <w:p w14:paraId="6F696596" w14:textId="77777777" w:rsidR="00266E55" w:rsidRDefault="00266E55" w:rsidP="00423FDB">
            <w:pPr>
              <w:spacing w:before="40" w:after="40"/>
              <w:ind w:left="120"/>
              <w:jc w:val="right"/>
            </w:pPr>
            <w:r>
              <w:rPr>
                <w:rFonts w:ascii="Helvetica" w:eastAsia="Helvetica" w:hAnsi="Helvetica" w:cs="Helvetica"/>
                <w:color w:val="000000"/>
                <w:sz w:val="22"/>
                <w:szCs w:val="22"/>
              </w:rPr>
              <w:t>5.19</w:t>
            </w:r>
          </w:p>
        </w:tc>
        <w:tc>
          <w:tcPr>
            <w:tcW w:w="1954" w:type="dxa"/>
            <w:shd w:val="clear" w:color="auto" w:fill="FFFFFF"/>
          </w:tcPr>
          <w:p w14:paraId="396B1810"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Increasing</w:t>
            </w:r>
          </w:p>
        </w:tc>
        <w:tc>
          <w:tcPr>
            <w:tcW w:w="1448" w:type="dxa"/>
            <w:shd w:val="clear" w:color="auto" w:fill="FFFFFF"/>
            <w:tcMar>
              <w:top w:w="0" w:type="dxa"/>
              <w:left w:w="0" w:type="dxa"/>
              <w:bottom w:w="0" w:type="dxa"/>
              <w:right w:w="0" w:type="dxa"/>
            </w:tcMar>
          </w:tcPr>
          <w:p w14:paraId="5C86FF4B" w14:textId="77777777" w:rsidR="00266E55" w:rsidRDefault="00266E55" w:rsidP="00423FDB">
            <w:pPr>
              <w:spacing w:before="40" w:after="40"/>
              <w:ind w:left="120"/>
              <w:jc w:val="right"/>
            </w:pPr>
            <w:r>
              <w:rPr>
                <w:rFonts w:ascii="Helvetica" w:eastAsia="Helvetica" w:hAnsi="Helvetica" w:cs="Helvetica"/>
                <w:color w:val="000000"/>
                <w:sz w:val="22"/>
                <w:szCs w:val="22"/>
              </w:rPr>
              <w:t>0.003</w:t>
            </w:r>
          </w:p>
        </w:tc>
      </w:tr>
      <w:tr w:rsidR="00266E55" w14:paraId="5910E1B6" w14:textId="77777777" w:rsidTr="00423FDB">
        <w:trPr>
          <w:cantSplit/>
          <w:jc w:val="center"/>
        </w:trPr>
        <w:tc>
          <w:tcPr>
            <w:tcW w:w="2319" w:type="dxa"/>
            <w:shd w:val="clear" w:color="auto" w:fill="FFFFFF"/>
            <w:tcMar>
              <w:top w:w="0" w:type="dxa"/>
              <w:left w:w="0" w:type="dxa"/>
              <w:bottom w:w="0" w:type="dxa"/>
              <w:right w:w="0" w:type="dxa"/>
            </w:tcMar>
          </w:tcPr>
          <w:p w14:paraId="194A7AD8" w14:textId="77777777" w:rsidR="00266E55" w:rsidRDefault="00266E55" w:rsidP="00423FDB">
            <w:pPr>
              <w:spacing w:before="40" w:after="40"/>
              <w:ind w:right="120"/>
            </w:pPr>
            <w:r>
              <w:rPr>
                <w:rFonts w:ascii="Helvetica" w:eastAsia="Helvetica" w:hAnsi="Helvetica" w:cs="Helvetica"/>
                <w:color w:val="000000"/>
                <w:sz w:val="22"/>
                <w:szCs w:val="22"/>
              </w:rPr>
              <w:t>Meropenem</w:t>
            </w:r>
          </w:p>
        </w:tc>
        <w:tc>
          <w:tcPr>
            <w:tcW w:w="1015" w:type="dxa"/>
            <w:shd w:val="clear" w:color="auto" w:fill="FFFFFF"/>
            <w:tcMar>
              <w:top w:w="0" w:type="dxa"/>
              <w:left w:w="0" w:type="dxa"/>
              <w:bottom w:w="0" w:type="dxa"/>
              <w:right w:w="0" w:type="dxa"/>
            </w:tcMar>
          </w:tcPr>
          <w:p w14:paraId="59577E8B"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0    </w:t>
            </w:r>
          </w:p>
        </w:tc>
        <w:tc>
          <w:tcPr>
            <w:tcW w:w="1015" w:type="dxa"/>
            <w:shd w:val="clear" w:color="auto" w:fill="FFFFFF"/>
            <w:tcMar>
              <w:top w:w="0" w:type="dxa"/>
              <w:left w:w="0" w:type="dxa"/>
              <w:bottom w:w="0" w:type="dxa"/>
              <w:right w:w="0" w:type="dxa"/>
            </w:tcMar>
          </w:tcPr>
          <w:p w14:paraId="0C9E7EAE" w14:textId="77777777" w:rsidR="00266E55" w:rsidRDefault="00266E55" w:rsidP="00423FDB">
            <w:pPr>
              <w:spacing w:before="40" w:after="40"/>
              <w:ind w:left="120" w:right="120"/>
              <w:jc w:val="right"/>
            </w:pPr>
            <w:r>
              <w:rPr>
                <w:rFonts w:ascii="Helvetica" w:eastAsia="Helvetica" w:hAnsi="Helvetica" w:cs="Helvetica"/>
                <w:color w:val="000000"/>
                <w:sz w:val="22"/>
                <w:szCs w:val="22"/>
              </w:rPr>
              <w:t>0.676</w:t>
            </w:r>
          </w:p>
        </w:tc>
        <w:tc>
          <w:tcPr>
            <w:tcW w:w="953" w:type="dxa"/>
            <w:shd w:val="clear" w:color="auto" w:fill="FFFFFF"/>
            <w:tcMar>
              <w:top w:w="0" w:type="dxa"/>
              <w:left w:w="0" w:type="dxa"/>
              <w:bottom w:w="0" w:type="dxa"/>
              <w:right w:w="0" w:type="dxa"/>
            </w:tcMar>
          </w:tcPr>
          <w:p w14:paraId="376E8711"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0   </w:t>
            </w:r>
          </w:p>
        </w:tc>
        <w:tc>
          <w:tcPr>
            <w:tcW w:w="793" w:type="dxa"/>
            <w:shd w:val="clear" w:color="auto" w:fill="FFFFFF"/>
            <w:tcMar>
              <w:top w:w="0" w:type="dxa"/>
              <w:left w:w="0" w:type="dxa"/>
              <w:bottom w:w="0" w:type="dxa"/>
              <w:right w:w="0" w:type="dxa"/>
            </w:tcMar>
          </w:tcPr>
          <w:p w14:paraId="26407750" w14:textId="77777777" w:rsidR="00266E55" w:rsidRDefault="00266E55" w:rsidP="00423FDB">
            <w:pPr>
              <w:spacing w:before="40" w:after="40"/>
              <w:ind w:left="120"/>
              <w:jc w:val="right"/>
            </w:pPr>
            <w:r>
              <w:rPr>
                <w:rFonts w:ascii="Helvetica" w:eastAsia="Helvetica" w:hAnsi="Helvetica" w:cs="Helvetica"/>
                <w:color w:val="000000"/>
                <w:sz w:val="22"/>
                <w:szCs w:val="22"/>
              </w:rPr>
              <w:t xml:space="preserve">0   </w:t>
            </w:r>
          </w:p>
        </w:tc>
        <w:tc>
          <w:tcPr>
            <w:tcW w:w="1954" w:type="dxa"/>
            <w:shd w:val="clear" w:color="auto" w:fill="FFFFFF"/>
          </w:tcPr>
          <w:p w14:paraId="122DED44"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Stable</w:t>
            </w:r>
          </w:p>
        </w:tc>
        <w:tc>
          <w:tcPr>
            <w:tcW w:w="1448" w:type="dxa"/>
            <w:shd w:val="clear" w:color="auto" w:fill="FFFFFF"/>
            <w:tcMar>
              <w:top w:w="0" w:type="dxa"/>
              <w:left w:w="0" w:type="dxa"/>
              <w:bottom w:w="0" w:type="dxa"/>
              <w:right w:w="0" w:type="dxa"/>
            </w:tcMar>
          </w:tcPr>
          <w:p w14:paraId="06F3FBD5" w14:textId="77777777" w:rsidR="00266E55" w:rsidRDefault="00266E55" w:rsidP="00423FDB">
            <w:pPr>
              <w:spacing w:before="40" w:after="40"/>
              <w:ind w:left="120"/>
              <w:jc w:val="right"/>
            </w:pPr>
            <w:r>
              <w:rPr>
                <w:rFonts w:ascii="Helvetica" w:eastAsia="Helvetica" w:hAnsi="Helvetica" w:cs="Helvetica"/>
                <w:color w:val="000000"/>
                <w:sz w:val="22"/>
                <w:szCs w:val="22"/>
              </w:rPr>
              <w:t>0.918</w:t>
            </w:r>
          </w:p>
        </w:tc>
      </w:tr>
      <w:tr w:rsidR="00266E55" w14:paraId="7E666977" w14:textId="77777777" w:rsidTr="00423FDB">
        <w:trPr>
          <w:cantSplit/>
          <w:jc w:val="center"/>
        </w:trPr>
        <w:tc>
          <w:tcPr>
            <w:tcW w:w="2319" w:type="dxa"/>
            <w:shd w:val="clear" w:color="auto" w:fill="FFFFFF"/>
            <w:tcMar>
              <w:top w:w="0" w:type="dxa"/>
              <w:left w:w="0" w:type="dxa"/>
              <w:bottom w:w="0" w:type="dxa"/>
              <w:right w:w="0" w:type="dxa"/>
            </w:tcMar>
          </w:tcPr>
          <w:p w14:paraId="77AFD9F5" w14:textId="77777777" w:rsidR="00266E55" w:rsidRDefault="00266E55" w:rsidP="00423FDB">
            <w:pPr>
              <w:spacing w:before="40" w:after="40"/>
              <w:ind w:right="120"/>
            </w:pPr>
            <w:r>
              <w:rPr>
                <w:rFonts w:ascii="Helvetica" w:eastAsia="Helvetica" w:hAnsi="Helvetica" w:cs="Helvetica"/>
                <w:color w:val="000000"/>
                <w:sz w:val="22"/>
                <w:szCs w:val="22"/>
              </w:rPr>
              <w:t>Piperacillin-tazobactam</w:t>
            </w:r>
          </w:p>
        </w:tc>
        <w:tc>
          <w:tcPr>
            <w:tcW w:w="1015" w:type="dxa"/>
            <w:shd w:val="clear" w:color="auto" w:fill="FFFFFF"/>
            <w:tcMar>
              <w:top w:w="0" w:type="dxa"/>
              <w:left w:w="0" w:type="dxa"/>
              <w:bottom w:w="0" w:type="dxa"/>
              <w:right w:w="0" w:type="dxa"/>
            </w:tcMar>
          </w:tcPr>
          <w:p w14:paraId="304979DA"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15.5  </w:t>
            </w:r>
          </w:p>
        </w:tc>
        <w:tc>
          <w:tcPr>
            <w:tcW w:w="1015" w:type="dxa"/>
            <w:shd w:val="clear" w:color="auto" w:fill="FFFFFF"/>
            <w:tcMar>
              <w:top w:w="0" w:type="dxa"/>
              <w:left w:w="0" w:type="dxa"/>
              <w:bottom w:w="0" w:type="dxa"/>
              <w:right w:w="0" w:type="dxa"/>
            </w:tcMar>
          </w:tcPr>
          <w:p w14:paraId="0DD45EC4"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16.3  </w:t>
            </w:r>
          </w:p>
        </w:tc>
        <w:tc>
          <w:tcPr>
            <w:tcW w:w="953" w:type="dxa"/>
            <w:shd w:val="clear" w:color="auto" w:fill="FFFFFF"/>
            <w:tcMar>
              <w:top w:w="0" w:type="dxa"/>
              <w:left w:w="0" w:type="dxa"/>
              <w:bottom w:w="0" w:type="dxa"/>
              <w:right w:w="0" w:type="dxa"/>
            </w:tcMar>
          </w:tcPr>
          <w:p w14:paraId="27442C05" w14:textId="77777777" w:rsidR="00266E55" w:rsidRDefault="00266E55" w:rsidP="00423FDB">
            <w:pPr>
              <w:spacing w:before="40" w:after="40"/>
              <w:ind w:left="120" w:right="120"/>
              <w:jc w:val="right"/>
            </w:pPr>
            <w:r>
              <w:rPr>
                <w:rFonts w:ascii="Helvetica" w:eastAsia="Helvetica" w:hAnsi="Helvetica" w:cs="Helvetica"/>
                <w:color w:val="000000"/>
                <w:sz w:val="22"/>
                <w:szCs w:val="22"/>
              </w:rPr>
              <w:t xml:space="preserve">21.8 </w:t>
            </w:r>
          </w:p>
        </w:tc>
        <w:tc>
          <w:tcPr>
            <w:tcW w:w="793" w:type="dxa"/>
            <w:shd w:val="clear" w:color="auto" w:fill="FFFFFF"/>
            <w:tcMar>
              <w:top w:w="0" w:type="dxa"/>
              <w:left w:w="0" w:type="dxa"/>
              <w:bottom w:w="0" w:type="dxa"/>
              <w:right w:w="0" w:type="dxa"/>
            </w:tcMar>
          </w:tcPr>
          <w:p w14:paraId="7D5972BC" w14:textId="77777777" w:rsidR="00266E55" w:rsidRDefault="00266E55" w:rsidP="00423FDB">
            <w:pPr>
              <w:spacing w:before="40" w:after="40"/>
              <w:ind w:left="120"/>
              <w:jc w:val="right"/>
            </w:pPr>
            <w:r>
              <w:rPr>
                <w:rFonts w:ascii="Helvetica" w:eastAsia="Helvetica" w:hAnsi="Helvetica" w:cs="Helvetica"/>
                <w:color w:val="000000"/>
                <w:sz w:val="22"/>
                <w:szCs w:val="22"/>
              </w:rPr>
              <w:t xml:space="preserve">17.2 </w:t>
            </w:r>
          </w:p>
        </w:tc>
        <w:tc>
          <w:tcPr>
            <w:tcW w:w="1954" w:type="dxa"/>
            <w:shd w:val="clear" w:color="auto" w:fill="FFFFFF"/>
          </w:tcPr>
          <w:p w14:paraId="6B939BF7"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Increasing</w:t>
            </w:r>
          </w:p>
        </w:tc>
        <w:tc>
          <w:tcPr>
            <w:tcW w:w="1448" w:type="dxa"/>
            <w:shd w:val="clear" w:color="auto" w:fill="FFFFFF"/>
            <w:tcMar>
              <w:top w:w="0" w:type="dxa"/>
              <w:left w:w="0" w:type="dxa"/>
              <w:bottom w:w="0" w:type="dxa"/>
              <w:right w:w="0" w:type="dxa"/>
            </w:tcMar>
          </w:tcPr>
          <w:p w14:paraId="18D354BC" w14:textId="77777777" w:rsidR="00266E55" w:rsidRDefault="00266E55" w:rsidP="00423FDB">
            <w:pPr>
              <w:spacing w:before="40" w:after="40"/>
              <w:ind w:left="120"/>
              <w:jc w:val="right"/>
            </w:pPr>
            <w:r>
              <w:rPr>
                <w:rFonts w:ascii="Helvetica" w:eastAsia="Helvetica" w:hAnsi="Helvetica" w:cs="Helvetica"/>
                <w:color w:val="000000"/>
                <w:sz w:val="22"/>
                <w:szCs w:val="22"/>
              </w:rPr>
              <w:t>0.426</w:t>
            </w:r>
          </w:p>
        </w:tc>
      </w:tr>
      <w:tr w:rsidR="00266E55" w14:paraId="2C324CE5" w14:textId="77777777" w:rsidTr="00423FDB">
        <w:trPr>
          <w:cantSplit/>
          <w:jc w:val="center"/>
        </w:trPr>
        <w:tc>
          <w:tcPr>
            <w:tcW w:w="2319" w:type="dxa"/>
            <w:shd w:val="clear" w:color="auto" w:fill="FFFFFF"/>
            <w:tcMar>
              <w:top w:w="0" w:type="dxa"/>
              <w:left w:w="0" w:type="dxa"/>
              <w:bottom w:w="0" w:type="dxa"/>
              <w:right w:w="0" w:type="dxa"/>
            </w:tcMar>
          </w:tcPr>
          <w:p w14:paraId="39E8EAC6" w14:textId="77777777" w:rsidR="00266E55" w:rsidRDefault="00266E55" w:rsidP="00423FDB">
            <w:pPr>
              <w:spacing w:before="40" w:after="40"/>
              <w:ind w:right="120"/>
              <w:rPr>
                <w:rFonts w:ascii="Helvetica" w:eastAsia="Helvetica" w:hAnsi="Helvetica" w:cs="Helvetica"/>
                <w:color w:val="000000"/>
                <w:sz w:val="22"/>
                <w:szCs w:val="22"/>
              </w:rPr>
            </w:pPr>
            <w:r>
              <w:rPr>
                <w:rFonts w:ascii="Helvetica" w:eastAsia="Helvetica" w:hAnsi="Helvetica" w:cs="Helvetica"/>
                <w:color w:val="000000"/>
                <w:sz w:val="22"/>
                <w:szCs w:val="22"/>
              </w:rPr>
              <w:t>Gentamicin</w:t>
            </w:r>
          </w:p>
        </w:tc>
        <w:tc>
          <w:tcPr>
            <w:tcW w:w="1015" w:type="dxa"/>
            <w:shd w:val="clear" w:color="auto" w:fill="FFFFFF"/>
            <w:tcMar>
              <w:top w:w="0" w:type="dxa"/>
              <w:left w:w="0" w:type="dxa"/>
              <w:bottom w:w="0" w:type="dxa"/>
              <w:right w:w="0" w:type="dxa"/>
            </w:tcMar>
          </w:tcPr>
          <w:p w14:paraId="3783812D" w14:textId="77777777" w:rsidR="00266E55" w:rsidRDefault="00266E55" w:rsidP="00423FDB">
            <w:pPr>
              <w:spacing w:before="40" w:after="40"/>
              <w:ind w:left="120" w:right="120"/>
              <w:jc w:val="right"/>
              <w:rPr>
                <w:rFonts w:ascii="Helvetica" w:eastAsia="Helvetica" w:hAnsi="Helvetica" w:cs="Helvetica"/>
                <w:color w:val="000000"/>
                <w:sz w:val="22"/>
                <w:szCs w:val="22"/>
              </w:rPr>
            </w:pPr>
            <w:r>
              <w:rPr>
                <w:rFonts w:ascii="Helvetica" w:eastAsia="Helvetica" w:hAnsi="Helvetica" w:cs="Helvetica"/>
                <w:color w:val="000000"/>
                <w:sz w:val="22"/>
                <w:szCs w:val="22"/>
              </w:rPr>
              <w:t xml:space="preserve">3.3  </w:t>
            </w:r>
          </w:p>
        </w:tc>
        <w:tc>
          <w:tcPr>
            <w:tcW w:w="1015" w:type="dxa"/>
            <w:shd w:val="clear" w:color="auto" w:fill="FFFFFF"/>
            <w:tcMar>
              <w:top w:w="0" w:type="dxa"/>
              <w:left w:w="0" w:type="dxa"/>
              <w:bottom w:w="0" w:type="dxa"/>
              <w:right w:w="0" w:type="dxa"/>
            </w:tcMar>
          </w:tcPr>
          <w:p w14:paraId="4AFF6D9E" w14:textId="77777777" w:rsidR="00266E55" w:rsidRDefault="00266E55" w:rsidP="00423FDB">
            <w:pPr>
              <w:spacing w:before="40" w:after="40"/>
              <w:ind w:left="120" w:right="120"/>
              <w:jc w:val="right"/>
              <w:rPr>
                <w:rFonts w:ascii="Helvetica" w:eastAsia="Helvetica" w:hAnsi="Helvetica" w:cs="Helvetica"/>
                <w:color w:val="000000"/>
                <w:sz w:val="22"/>
                <w:szCs w:val="22"/>
              </w:rPr>
            </w:pPr>
            <w:r>
              <w:rPr>
                <w:rFonts w:ascii="Helvetica" w:eastAsia="Helvetica" w:hAnsi="Helvetica" w:cs="Helvetica"/>
                <w:color w:val="000000"/>
                <w:sz w:val="22"/>
                <w:szCs w:val="22"/>
              </w:rPr>
              <w:t xml:space="preserve">5.29 </w:t>
            </w:r>
          </w:p>
        </w:tc>
        <w:tc>
          <w:tcPr>
            <w:tcW w:w="953" w:type="dxa"/>
            <w:shd w:val="clear" w:color="auto" w:fill="FFFFFF"/>
            <w:tcMar>
              <w:top w:w="0" w:type="dxa"/>
              <w:left w:w="0" w:type="dxa"/>
              <w:bottom w:w="0" w:type="dxa"/>
              <w:right w:w="0" w:type="dxa"/>
            </w:tcMar>
          </w:tcPr>
          <w:p w14:paraId="441D312C" w14:textId="77777777" w:rsidR="00266E55" w:rsidRDefault="00266E55" w:rsidP="00423FDB">
            <w:pPr>
              <w:spacing w:before="40" w:after="40"/>
              <w:ind w:left="120" w:right="120"/>
              <w:jc w:val="right"/>
              <w:rPr>
                <w:rFonts w:ascii="Helvetica" w:eastAsia="Helvetica" w:hAnsi="Helvetica" w:cs="Helvetica"/>
                <w:color w:val="000000"/>
                <w:sz w:val="22"/>
                <w:szCs w:val="22"/>
              </w:rPr>
            </w:pPr>
            <w:r>
              <w:rPr>
                <w:rFonts w:ascii="Helvetica" w:eastAsia="Helvetica" w:hAnsi="Helvetica" w:cs="Helvetica"/>
                <w:color w:val="000000"/>
                <w:sz w:val="22"/>
                <w:szCs w:val="22"/>
              </w:rPr>
              <w:t>4.76</w:t>
            </w:r>
          </w:p>
        </w:tc>
        <w:tc>
          <w:tcPr>
            <w:tcW w:w="793" w:type="dxa"/>
            <w:shd w:val="clear" w:color="auto" w:fill="FFFFFF"/>
            <w:tcMar>
              <w:top w:w="0" w:type="dxa"/>
              <w:left w:w="0" w:type="dxa"/>
              <w:bottom w:w="0" w:type="dxa"/>
              <w:right w:w="0" w:type="dxa"/>
            </w:tcMar>
          </w:tcPr>
          <w:p w14:paraId="2EF4389B"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5.51</w:t>
            </w:r>
          </w:p>
        </w:tc>
        <w:tc>
          <w:tcPr>
            <w:tcW w:w="1954" w:type="dxa"/>
            <w:shd w:val="clear" w:color="auto" w:fill="FFFFFF"/>
          </w:tcPr>
          <w:p w14:paraId="6A2C610E"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Increasing</w:t>
            </w:r>
          </w:p>
        </w:tc>
        <w:tc>
          <w:tcPr>
            <w:tcW w:w="1448" w:type="dxa"/>
            <w:shd w:val="clear" w:color="auto" w:fill="FFFFFF"/>
            <w:tcMar>
              <w:top w:w="0" w:type="dxa"/>
              <w:left w:w="0" w:type="dxa"/>
              <w:bottom w:w="0" w:type="dxa"/>
              <w:right w:w="0" w:type="dxa"/>
            </w:tcMar>
          </w:tcPr>
          <w:p w14:paraId="4394529E"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 xml:space="preserve">0.44 </w:t>
            </w:r>
          </w:p>
        </w:tc>
      </w:tr>
      <w:tr w:rsidR="00266E55" w14:paraId="3BC98F96" w14:textId="77777777" w:rsidTr="00423FDB">
        <w:trPr>
          <w:cantSplit/>
          <w:jc w:val="center"/>
        </w:trPr>
        <w:tc>
          <w:tcPr>
            <w:tcW w:w="2319" w:type="dxa"/>
            <w:tcBorders>
              <w:bottom w:val="single" w:sz="3" w:space="0" w:color="000000"/>
            </w:tcBorders>
            <w:shd w:val="clear" w:color="auto" w:fill="FFFFFF"/>
            <w:tcMar>
              <w:top w:w="0" w:type="dxa"/>
              <w:left w:w="0" w:type="dxa"/>
              <w:bottom w:w="0" w:type="dxa"/>
              <w:right w:w="0" w:type="dxa"/>
            </w:tcMar>
          </w:tcPr>
          <w:p w14:paraId="20BCAA56" w14:textId="77777777" w:rsidR="00266E55" w:rsidRPr="0091587B" w:rsidRDefault="00266E55" w:rsidP="00423FDB">
            <w:pPr>
              <w:spacing w:before="40" w:after="40"/>
              <w:ind w:right="120"/>
              <w:rPr>
                <w:rFonts w:ascii="Helvetica" w:eastAsia="Helvetica" w:hAnsi="Helvetica" w:cs="Helvetica"/>
                <w:color w:val="000000"/>
                <w:sz w:val="22"/>
                <w:szCs w:val="22"/>
              </w:rPr>
            </w:pPr>
            <w:r>
              <w:rPr>
                <w:rFonts w:ascii="Helvetica" w:eastAsia="Helvetica" w:hAnsi="Helvetica" w:cs="Helvetica"/>
                <w:color w:val="000000"/>
                <w:sz w:val="22"/>
                <w:szCs w:val="22"/>
              </w:rPr>
              <w:t>Aztreonam</w:t>
            </w:r>
          </w:p>
        </w:tc>
        <w:tc>
          <w:tcPr>
            <w:tcW w:w="1015" w:type="dxa"/>
            <w:tcBorders>
              <w:bottom w:val="single" w:sz="3" w:space="0" w:color="000000"/>
            </w:tcBorders>
            <w:shd w:val="clear" w:color="auto" w:fill="FFFFFF"/>
            <w:tcMar>
              <w:top w:w="0" w:type="dxa"/>
              <w:left w:w="0" w:type="dxa"/>
              <w:bottom w:w="0" w:type="dxa"/>
              <w:right w:w="0" w:type="dxa"/>
            </w:tcMar>
          </w:tcPr>
          <w:p w14:paraId="00DF611D" w14:textId="77777777" w:rsidR="00266E55" w:rsidRPr="0091587B" w:rsidRDefault="00266E55" w:rsidP="00423FDB">
            <w:pPr>
              <w:spacing w:before="40" w:after="40"/>
              <w:ind w:left="120" w:right="120"/>
              <w:jc w:val="right"/>
              <w:rPr>
                <w:rFonts w:ascii="Helvetica" w:eastAsia="Helvetica" w:hAnsi="Helvetica" w:cs="Helvetica"/>
                <w:color w:val="000000"/>
                <w:sz w:val="22"/>
                <w:szCs w:val="22"/>
              </w:rPr>
            </w:pPr>
            <w:r>
              <w:rPr>
                <w:rFonts w:ascii="Helvetica" w:eastAsia="Helvetica" w:hAnsi="Helvetica" w:cs="Helvetica"/>
                <w:color w:val="000000"/>
                <w:sz w:val="22"/>
                <w:szCs w:val="22"/>
              </w:rPr>
              <w:t xml:space="preserve">14.5  </w:t>
            </w:r>
          </w:p>
        </w:tc>
        <w:tc>
          <w:tcPr>
            <w:tcW w:w="1015" w:type="dxa"/>
            <w:tcBorders>
              <w:bottom w:val="single" w:sz="3" w:space="0" w:color="000000"/>
            </w:tcBorders>
            <w:shd w:val="clear" w:color="auto" w:fill="FFFFFF"/>
            <w:tcMar>
              <w:top w:w="0" w:type="dxa"/>
              <w:left w:w="0" w:type="dxa"/>
              <w:bottom w:w="0" w:type="dxa"/>
              <w:right w:w="0" w:type="dxa"/>
            </w:tcMar>
          </w:tcPr>
          <w:p w14:paraId="149D4E09" w14:textId="77777777" w:rsidR="00266E55" w:rsidRPr="0091587B" w:rsidRDefault="00266E55" w:rsidP="00423FDB">
            <w:pPr>
              <w:spacing w:before="40" w:after="40"/>
              <w:ind w:left="120" w:right="120"/>
              <w:jc w:val="right"/>
              <w:rPr>
                <w:rFonts w:ascii="Helvetica" w:eastAsia="Helvetica" w:hAnsi="Helvetica" w:cs="Helvetica"/>
                <w:color w:val="000000"/>
                <w:sz w:val="22"/>
                <w:szCs w:val="22"/>
              </w:rPr>
            </w:pPr>
            <w:r>
              <w:rPr>
                <w:rFonts w:ascii="Helvetica" w:eastAsia="Helvetica" w:hAnsi="Helvetica" w:cs="Helvetica"/>
                <w:color w:val="000000"/>
                <w:sz w:val="22"/>
                <w:szCs w:val="22"/>
              </w:rPr>
              <w:t xml:space="preserve">12    </w:t>
            </w:r>
          </w:p>
        </w:tc>
        <w:tc>
          <w:tcPr>
            <w:tcW w:w="953" w:type="dxa"/>
            <w:tcBorders>
              <w:bottom w:val="single" w:sz="3" w:space="0" w:color="000000"/>
            </w:tcBorders>
            <w:shd w:val="clear" w:color="auto" w:fill="FFFFFF"/>
            <w:tcMar>
              <w:top w:w="0" w:type="dxa"/>
              <w:left w:w="0" w:type="dxa"/>
              <w:bottom w:w="0" w:type="dxa"/>
              <w:right w:w="0" w:type="dxa"/>
            </w:tcMar>
          </w:tcPr>
          <w:p w14:paraId="71C76118" w14:textId="77777777" w:rsidR="00266E55" w:rsidRPr="0091587B" w:rsidRDefault="00266E55" w:rsidP="00423FDB">
            <w:pPr>
              <w:spacing w:before="40" w:after="40"/>
              <w:ind w:left="120" w:right="120"/>
              <w:jc w:val="right"/>
              <w:rPr>
                <w:rFonts w:ascii="Helvetica" w:eastAsia="Helvetica" w:hAnsi="Helvetica" w:cs="Helvetica"/>
                <w:color w:val="000000"/>
                <w:sz w:val="22"/>
                <w:szCs w:val="22"/>
              </w:rPr>
            </w:pPr>
            <w:r>
              <w:rPr>
                <w:rFonts w:ascii="Helvetica" w:eastAsia="Helvetica" w:hAnsi="Helvetica" w:cs="Helvetica"/>
                <w:color w:val="000000"/>
                <w:sz w:val="22"/>
                <w:szCs w:val="22"/>
              </w:rPr>
              <w:t xml:space="preserve">20   </w:t>
            </w:r>
          </w:p>
        </w:tc>
        <w:tc>
          <w:tcPr>
            <w:tcW w:w="793" w:type="dxa"/>
            <w:tcBorders>
              <w:bottom w:val="single" w:sz="3" w:space="0" w:color="000000"/>
            </w:tcBorders>
            <w:shd w:val="clear" w:color="auto" w:fill="FFFFFF"/>
            <w:tcMar>
              <w:top w:w="0" w:type="dxa"/>
              <w:left w:w="0" w:type="dxa"/>
              <w:bottom w:w="0" w:type="dxa"/>
              <w:right w:w="0" w:type="dxa"/>
            </w:tcMar>
          </w:tcPr>
          <w:p w14:paraId="08E4D969" w14:textId="77777777" w:rsidR="00266E55" w:rsidRPr="0091587B"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 xml:space="preserve">17.2 </w:t>
            </w:r>
          </w:p>
        </w:tc>
        <w:tc>
          <w:tcPr>
            <w:tcW w:w="1954" w:type="dxa"/>
            <w:tcBorders>
              <w:bottom w:val="single" w:sz="3" w:space="0" w:color="000000"/>
            </w:tcBorders>
            <w:shd w:val="clear" w:color="auto" w:fill="FFFFFF"/>
          </w:tcPr>
          <w:p w14:paraId="4E753A6E" w14:textId="77777777" w:rsidR="00266E55"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Fluctuating</w:t>
            </w:r>
          </w:p>
        </w:tc>
        <w:tc>
          <w:tcPr>
            <w:tcW w:w="1448" w:type="dxa"/>
            <w:tcBorders>
              <w:bottom w:val="single" w:sz="3" w:space="0" w:color="000000"/>
            </w:tcBorders>
            <w:shd w:val="clear" w:color="auto" w:fill="FFFFFF"/>
            <w:tcMar>
              <w:top w:w="0" w:type="dxa"/>
              <w:left w:w="0" w:type="dxa"/>
              <w:bottom w:w="0" w:type="dxa"/>
              <w:right w:w="0" w:type="dxa"/>
            </w:tcMar>
          </w:tcPr>
          <w:p w14:paraId="024F6B07" w14:textId="77777777" w:rsidR="00266E55" w:rsidRPr="0091587B" w:rsidRDefault="00266E55" w:rsidP="00423FDB">
            <w:pPr>
              <w:spacing w:before="40" w:after="40"/>
              <w:ind w:left="120"/>
              <w:jc w:val="right"/>
              <w:rPr>
                <w:rFonts w:ascii="Helvetica" w:eastAsia="Helvetica" w:hAnsi="Helvetica" w:cs="Helvetica"/>
                <w:color w:val="000000"/>
                <w:sz w:val="22"/>
                <w:szCs w:val="22"/>
              </w:rPr>
            </w:pPr>
            <w:r>
              <w:rPr>
                <w:rFonts w:ascii="Helvetica" w:eastAsia="Helvetica" w:hAnsi="Helvetica" w:cs="Helvetica"/>
                <w:color w:val="000000"/>
                <w:sz w:val="22"/>
                <w:szCs w:val="22"/>
              </w:rPr>
              <w:t xml:space="preserve">0.3  </w:t>
            </w:r>
          </w:p>
        </w:tc>
      </w:tr>
    </w:tbl>
    <w:p w14:paraId="3E962F22" w14:textId="77777777" w:rsidR="00266E55" w:rsidRDefault="00266E55" w:rsidP="00266E55">
      <w:pPr>
        <w:rPr>
          <w:b/>
          <w:bCs/>
          <w:i/>
          <w:iCs/>
        </w:rPr>
      </w:pPr>
    </w:p>
    <w:p w14:paraId="229AFA54" w14:textId="4D935393" w:rsidR="00266E55" w:rsidRPr="007B4920" w:rsidRDefault="00266E55" w:rsidP="00266E55">
      <w:pPr>
        <w:rPr>
          <w:rFonts w:eastAsia="Helvetica" w:cstheme="minorHAnsi"/>
          <w:color w:val="000000"/>
        </w:rPr>
      </w:pPr>
      <w:r w:rsidRPr="00D22A48">
        <w:rPr>
          <w:b/>
          <w:bCs/>
        </w:rPr>
        <w:t xml:space="preserve">Supplementary </w:t>
      </w:r>
      <w:r w:rsidRPr="00D22A48">
        <w:rPr>
          <w:rFonts w:eastAsia="Helvetica" w:cstheme="minorHAnsi"/>
          <w:b/>
          <w:bCs/>
          <w:color w:val="000000"/>
        </w:rPr>
        <w:t xml:space="preserve">Table </w:t>
      </w:r>
      <w:proofErr w:type="gramStart"/>
      <w:r w:rsidRPr="00D22A48">
        <w:rPr>
          <w:rFonts w:eastAsia="Helvetica" w:cstheme="minorHAnsi"/>
          <w:b/>
          <w:bCs/>
          <w:color w:val="000000"/>
        </w:rPr>
        <w:t>VI</w:t>
      </w:r>
      <w:r>
        <w:rPr>
          <w:rFonts w:eastAsia="Helvetica" w:cstheme="minorHAnsi"/>
          <w:color w:val="000000"/>
        </w:rPr>
        <w:t xml:space="preserve"> :</w:t>
      </w:r>
      <w:proofErr w:type="gramEnd"/>
      <w:r>
        <w:rPr>
          <w:rFonts w:eastAsia="Helvetica" w:cstheme="minorHAnsi"/>
          <w:color w:val="000000"/>
        </w:rPr>
        <w:t xml:space="preserve"> </w:t>
      </w:r>
      <w:r w:rsidRPr="007B4920">
        <w:rPr>
          <w:rFonts w:eastAsia="Helvetica" w:cstheme="minorHAnsi"/>
          <w:color w:val="000000"/>
        </w:rPr>
        <w:t xml:space="preserve">Multivariate transfer function model of piperacillin/tazobactam use and temporal relationship with the incidence of non-duplicate clinical isolates of </w:t>
      </w:r>
      <w:r w:rsidRPr="007B4920">
        <w:rPr>
          <w:rFonts w:eastAsia="Helvetica" w:cstheme="minorHAnsi"/>
          <w:i/>
          <w:iCs/>
          <w:color w:val="000000"/>
        </w:rPr>
        <w:t>E.coli</w:t>
      </w:r>
      <w:r w:rsidRPr="007B4920">
        <w:rPr>
          <w:rFonts w:eastAsia="Helvetica" w:cstheme="minorHAnsi"/>
          <w:color w:val="000000"/>
        </w:rPr>
        <w:t xml:space="preserve"> resistant to ceftriaxon</w:t>
      </w:r>
      <w:r>
        <w:rPr>
          <w:rFonts w:eastAsia="Helvetica" w:cstheme="minorHAnsi"/>
          <w:color w:val="000000"/>
        </w:rPr>
        <w:t>e</w:t>
      </w:r>
    </w:p>
    <w:p w14:paraId="2E822D3A" w14:textId="77777777" w:rsidR="00266E55" w:rsidRPr="00785005" w:rsidRDefault="00266E55" w:rsidP="00266E55">
      <w:pPr>
        <w:rPr>
          <w:rFonts w:eastAsia="Helvetica" w:cstheme="minorHAnsi"/>
          <w:color w:val="000000"/>
        </w:rPr>
      </w:pPr>
    </w:p>
    <w:tbl>
      <w:tblPr>
        <w:tblW w:w="0" w:type="auto"/>
        <w:jc w:val="center"/>
        <w:tblLayout w:type="fixed"/>
        <w:tblLook w:val="0420" w:firstRow="1" w:lastRow="0" w:firstColumn="0" w:lastColumn="0" w:noHBand="0" w:noVBand="1"/>
      </w:tblPr>
      <w:tblGrid>
        <w:gridCol w:w="6462"/>
        <w:gridCol w:w="2213"/>
      </w:tblGrid>
      <w:tr w:rsidR="00266E55" w14:paraId="55804632" w14:textId="77777777" w:rsidTr="00423FDB">
        <w:trPr>
          <w:cantSplit/>
          <w:jc w:val="center"/>
        </w:trPr>
        <w:tc>
          <w:tcPr>
            <w:tcW w:w="6462" w:type="dxa"/>
            <w:tcBorders>
              <w:top w:val="single" w:sz="6" w:space="0" w:color="000000"/>
            </w:tcBorders>
            <w:shd w:val="clear" w:color="auto" w:fill="FFFFFF"/>
            <w:tcMar>
              <w:top w:w="0" w:type="dxa"/>
              <w:left w:w="0" w:type="dxa"/>
              <w:bottom w:w="0" w:type="dxa"/>
              <w:right w:w="0" w:type="dxa"/>
            </w:tcMar>
          </w:tcPr>
          <w:p w14:paraId="530DD333" w14:textId="77777777" w:rsidR="00266E55" w:rsidRDefault="00266E55" w:rsidP="00423FDB"/>
        </w:tc>
        <w:tc>
          <w:tcPr>
            <w:tcW w:w="2213" w:type="dxa"/>
            <w:tcBorders>
              <w:top w:val="single" w:sz="6" w:space="0" w:color="000000"/>
              <w:bottom w:val="single" w:sz="3" w:space="0" w:color="000000"/>
            </w:tcBorders>
            <w:shd w:val="clear" w:color="auto" w:fill="FFFFFF"/>
            <w:tcMar>
              <w:top w:w="0" w:type="dxa"/>
              <w:left w:w="0" w:type="dxa"/>
              <w:bottom w:w="0" w:type="dxa"/>
              <w:right w:w="0" w:type="dxa"/>
            </w:tcMar>
          </w:tcPr>
          <w:p w14:paraId="546C3028" w14:textId="77777777" w:rsidR="00266E55" w:rsidRDefault="00266E55" w:rsidP="00423FDB">
            <w:pPr>
              <w:spacing w:before="120" w:after="120"/>
              <w:ind w:left="120" w:right="120"/>
              <w:jc w:val="center"/>
            </w:pPr>
            <w:r>
              <w:rPr>
                <w:rFonts w:ascii="Helvetica" w:eastAsia="Helvetica" w:hAnsi="Helvetica" w:cs="Helvetica"/>
                <w:color w:val="000000"/>
                <w:sz w:val="22"/>
                <w:szCs w:val="22"/>
              </w:rPr>
              <w:t>(1)</w:t>
            </w:r>
          </w:p>
        </w:tc>
      </w:tr>
      <w:tr w:rsidR="00266E55" w14:paraId="74E0C793" w14:textId="77777777" w:rsidTr="00423FDB">
        <w:trPr>
          <w:cantSplit/>
          <w:jc w:val="center"/>
        </w:trPr>
        <w:tc>
          <w:tcPr>
            <w:tcW w:w="6462" w:type="dxa"/>
            <w:shd w:val="clear" w:color="auto" w:fill="FFFFFF"/>
            <w:tcMar>
              <w:top w:w="0" w:type="dxa"/>
              <w:left w:w="0" w:type="dxa"/>
              <w:bottom w:w="0" w:type="dxa"/>
              <w:right w:w="0" w:type="dxa"/>
            </w:tcMar>
          </w:tcPr>
          <w:p w14:paraId="3511D9EF" w14:textId="77777777" w:rsidR="00266E55" w:rsidRDefault="00266E55" w:rsidP="00423FDB">
            <w:pPr>
              <w:spacing w:before="120" w:after="120"/>
              <w:ind w:left="120" w:right="120"/>
            </w:pPr>
            <w:r>
              <w:rPr>
                <w:rFonts w:ascii="Helvetica" w:eastAsia="Helvetica" w:hAnsi="Helvetica" w:cs="Helvetica"/>
                <w:color w:val="000000"/>
                <w:sz w:val="22"/>
                <w:szCs w:val="22"/>
              </w:rPr>
              <w:t>(Intercept)</w:t>
            </w:r>
          </w:p>
        </w:tc>
        <w:tc>
          <w:tcPr>
            <w:tcW w:w="2213" w:type="dxa"/>
            <w:tcBorders>
              <w:top w:val="single" w:sz="3" w:space="0" w:color="000000"/>
            </w:tcBorders>
            <w:shd w:val="clear" w:color="auto" w:fill="FFFFFF"/>
            <w:tcMar>
              <w:top w:w="0" w:type="dxa"/>
              <w:left w:w="0" w:type="dxa"/>
              <w:bottom w:w="0" w:type="dxa"/>
              <w:right w:w="0" w:type="dxa"/>
            </w:tcMar>
          </w:tcPr>
          <w:p w14:paraId="08E283A3" w14:textId="77777777" w:rsidR="00266E55" w:rsidRDefault="00266E55" w:rsidP="00423FDB">
            <w:pPr>
              <w:spacing w:before="120" w:after="120"/>
              <w:ind w:left="120" w:right="120"/>
              <w:jc w:val="right"/>
            </w:pPr>
            <w:r>
              <w:rPr>
                <w:rFonts w:ascii="Helvetica" w:eastAsia="Helvetica" w:hAnsi="Helvetica" w:cs="Helvetica"/>
                <w:color w:val="000000"/>
                <w:sz w:val="22"/>
                <w:szCs w:val="22"/>
              </w:rPr>
              <w:t>53.930 *** [9.003]</w:t>
            </w:r>
          </w:p>
        </w:tc>
      </w:tr>
      <w:tr w:rsidR="00266E55" w14:paraId="1C2E44DD" w14:textId="77777777" w:rsidTr="00423FDB">
        <w:trPr>
          <w:cantSplit/>
          <w:jc w:val="center"/>
        </w:trPr>
        <w:tc>
          <w:tcPr>
            <w:tcW w:w="6462" w:type="dxa"/>
            <w:shd w:val="clear" w:color="auto" w:fill="FFFFFF"/>
            <w:tcMar>
              <w:top w:w="0" w:type="dxa"/>
              <w:left w:w="0" w:type="dxa"/>
              <w:bottom w:w="0" w:type="dxa"/>
              <w:right w:w="0" w:type="dxa"/>
            </w:tcMar>
          </w:tcPr>
          <w:p w14:paraId="6E55378E" w14:textId="77777777" w:rsidR="00266E55" w:rsidRDefault="00266E55" w:rsidP="00423FDB">
            <w:pPr>
              <w:spacing w:before="120" w:after="120"/>
              <w:ind w:left="120" w:right="120"/>
            </w:pPr>
            <w:r>
              <w:rPr>
                <w:rFonts w:ascii="Helvetica" w:eastAsia="Helvetica" w:hAnsi="Helvetica" w:cs="Helvetica"/>
                <w:color w:val="000000"/>
                <w:sz w:val="22"/>
                <w:szCs w:val="22"/>
              </w:rPr>
              <w:t>Piperacillin/tazobactam lag 0</w:t>
            </w:r>
          </w:p>
        </w:tc>
        <w:tc>
          <w:tcPr>
            <w:tcW w:w="2213" w:type="dxa"/>
            <w:shd w:val="clear" w:color="auto" w:fill="FFFFFF"/>
            <w:tcMar>
              <w:top w:w="0" w:type="dxa"/>
              <w:left w:w="0" w:type="dxa"/>
              <w:bottom w:w="0" w:type="dxa"/>
              <w:right w:w="0" w:type="dxa"/>
            </w:tcMar>
          </w:tcPr>
          <w:p w14:paraId="564124D1" w14:textId="77777777" w:rsidR="00266E55" w:rsidRDefault="00266E55" w:rsidP="00423FDB">
            <w:pPr>
              <w:spacing w:before="120" w:after="120"/>
              <w:ind w:left="120" w:right="120"/>
              <w:jc w:val="right"/>
            </w:pPr>
            <w:r>
              <w:rPr>
                <w:rFonts w:ascii="Helvetica" w:eastAsia="Helvetica" w:hAnsi="Helvetica" w:cs="Helvetica"/>
                <w:color w:val="000000"/>
                <w:sz w:val="22"/>
                <w:szCs w:val="22"/>
              </w:rPr>
              <w:t>-1.333 ** [-4.564]</w:t>
            </w:r>
          </w:p>
        </w:tc>
      </w:tr>
      <w:tr w:rsidR="00266E55" w14:paraId="23B6E838" w14:textId="77777777" w:rsidTr="00423FDB">
        <w:trPr>
          <w:cantSplit/>
          <w:jc w:val="center"/>
        </w:trPr>
        <w:tc>
          <w:tcPr>
            <w:tcW w:w="6462" w:type="dxa"/>
            <w:shd w:val="clear" w:color="auto" w:fill="FFFFFF"/>
            <w:tcMar>
              <w:top w:w="0" w:type="dxa"/>
              <w:left w:w="0" w:type="dxa"/>
              <w:bottom w:w="0" w:type="dxa"/>
              <w:right w:w="0" w:type="dxa"/>
            </w:tcMar>
          </w:tcPr>
          <w:p w14:paraId="36148B15" w14:textId="77777777" w:rsidR="00266E55" w:rsidRDefault="00266E55" w:rsidP="00423FDB">
            <w:pPr>
              <w:spacing w:before="120" w:after="120"/>
              <w:ind w:left="120" w:right="120"/>
            </w:pPr>
            <w:r>
              <w:rPr>
                <w:rFonts w:ascii="Helvetica" w:eastAsia="Helvetica" w:hAnsi="Helvetica" w:cs="Helvetica"/>
                <w:color w:val="000000"/>
                <w:sz w:val="22"/>
                <w:szCs w:val="22"/>
              </w:rPr>
              <w:t>Piperacillin/tazobactam lag 1</w:t>
            </w:r>
          </w:p>
        </w:tc>
        <w:tc>
          <w:tcPr>
            <w:tcW w:w="2213" w:type="dxa"/>
            <w:shd w:val="clear" w:color="auto" w:fill="FFFFFF"/>
            <w:tcMar>
              <w:top w:w="0" w:type="dxa"/>
              <w:left w:w="0" w:type="dxa"/>
              <w:bottom w:w="0" w:type="dxa"/>
              <w:right w:w="0" w:type="dxa"/>
            </w:tcMar>
          </w:tcPr>
          <w:p w14:paraId="4D287254" w14:textId="77777777" w:rsidR="00266E55" w:rsidRDefault="00266E55" w:rsidP="00423FDB">
            <w:pPr>
              <w:spacing w:before="120" w:after="120"/>
              <w:ind w:left="120" w:right="120"/>
              <w:jc w:val="right"/>
            </w:pPr>
            <w:r>
              <w:rPr>
                <w:rFonts w:ascii="Helvetica" w:eastAsia="Helvetica" w:hAnsi="Helvetica" w:cs="Helvetica"/>
                <w:color w:val="000000"/>
                <w:sz w:val="22"/>
                <w:szCs w:val="22"/>
              </w:rPr>
              <w:t>-0.488 [-2.246]</w:t>
            </w:r>
          </w:p>
        </w:tc>
      </w:tr>
      <w:tr w:rsidR="00266E55" w14:paraId="027D8CE5" w14:textId="77777777" w:rsidTr="00423FDB">
        <w:trPr>
          <w:cantSplit/>
          <w:jc w:val="center"/>
        </w:trPr>
        <w:tc>
          <w:tcPr>
            <w:tcW w:w="6462" w:type="dxa"/>
            <w:shd w:val="clear" w:color="auto" w:fill="FFFFFF"/>
            <w:tcMar>
              <w:top w:w="0" w:type="dxa"/>
              <w:left w:w="0" w:type="dxa"/>
              <w:bottom w:w="0" w:type="dxa"/>
              <w:right w:w="0" w:type="dxa"/>
            </w:tcMar>
          </w:tcPr>
          <w:p w14:paraId="3AF76ECE" w14:textId="77777777" w:rsidR="00266E55" w:rsidRDefault="00266E55" w:rsidP="00423FDB">
            <w:pPr>
              <w:spacing w:before="120" w:after="120"/>
              <w:ind w:left="120" w:right="120"/>
            </w:pPr>
            <w:r>
              <w:rPr>
                <w:rFonts w:ascii="Helvetica" w:eastAsia="Helvetica" w:hAnsi="Helvetica" w:cs="Helvetica"/>
                <w:color w:val="000000"/>
                <w:sz w:val="22"/>
                <w:szCs w:val="22"/>
              </w:rPr>
              <w:t>Moving average term 2</w:t>
            </w:r>
          </w:p>
        </w:tc>
        <w:tc>
          <w:tcPr>
            <w:tcW w:w="2213" w:type="dxa"/>
            <w:tcBorders>
              <w:bottom w:val="single" w:sz="3" w:space="0" w:color="000000"/>
            </w:tcBorders>
            <w:shd w:val="clear" w:color="auto" w:fill="FFFFFF"/>
            <w:tcMar>
              <w:top w:w="0" w:type="dxa"/>
              <w:left w:w="0" w:type="dxa"/>
              <w:bottom w:w="0" w:type="dxa"/>
              <w:right w:w="0" w:type="dxa"/>
            </w:tcMar>
          </w:tcPr>
          <w:p w14:paraId="4162B319" w14:textId="77777777" w:rsidR="00266E55" w:rsidRDefault="00266E55" w:rsidP="00423FDB">
            <w:pPr>
              <w:spacing w:before="120" w:after="120"/>
              <w:ind w:left="120" w:right="120"/>
              <w:jc w:val="right"/>
            </w:pPr>
            <w:r>
              <w:rPr>
                <w:rFonts w:ascii="Helvetica" w:eastAsia="Helvetica" w:hAnsi="Helvetica" w:cs="Helvetica"/>
                <w:color w:val="000000"/>
                <w:sz w:val="22"/>
                <w:szCs w:val="22"/>
              </w:rPr>
              <w:t>-0.839 *** [-6.509]</w:t>
            </w:r>
          </w:p>
        </w:tc>
      </w:tr>
      <w:tr w:rsidR="00266E55" w14:paraId="215E3EB6" w14:textId="77777777" w:rsidTr="00423FDB">
        <w:trPr>
          <w:cantSplit/>
          <w:jc w:val="center"/>
        </w:trPr>
        <w:tc>
          <w:tcPr>
            <w:tcW w:w="6462" w:type="dxa"/>
            <w:shd w:val="clear" w:color="auto" w:fill="FFFFFF"/>
            <w:tcMar>
              <w:top w:w="0" w:type="dxa"/>
              <w:left w:w="0" w:type="dxa"/>
              <w:bottom w:w="0" w:type="dxa"/>
              <w:right w:w="0" w:type="dxa"/>
            </w:tcMar>
          </w:tcPr>
          <w:p w14:paraId="2592D342" w14:textId="77777777" w:rsidR="00266E55" w:rsidRDefault="00266E55" w:rsidP="00423FDB">
            <w:pPr>
              <w:spacing w:before="120" w:after="120"/>
              <w:ind w:left="120" w:right="120"/>
            </w:pPr>
            <w:r>
              <w:rPr>
                <w:rFonts w:ascii="Helvetica" w:eastAsia="Helvetica" w:hAnsi="Helvetica" w:cs="Helvetica"/>
                <w:color w:val="000000"/>
                <w:sz w:val="22"/>
                <w:szCs w:val="22"/>
              </w:rPr>
              <w:t>N</w:t>
            </w:r>
          </w:p>
        </w:tc>
        <w:tc>
          <w:tcPr>
            <w:tcW w:w="2213" w:type="dxa"/>
            <w:tcBorders>
              <w:top w:val="single" w:sz="3" w:space="0" w:color="000000"/>
            </w:tcBorders>
            <w:shd w:val="clear" w:color="auto" w:fill="FFFFFF"/>
            <w:tcMar>
              <w:top w:w="0" w:type="dxa"/>
              <w:left w:w="0" w:type="dxa"/>
              <w:bottom w:w="0" w:type="dxa"/>
              <w:right w:w="0" w:type="dxa"/>
            </w:tcMar>
          </w:tcPr>
          <w:p w14:paraId="0CBF48F3" w14:textId="77777777" w:rsidR="00266E55" w:rsidRDefault="00266E55" w:rsidP="00423FDB">
            <w:pPr>
              <w:spacing w:before="120" w:after="120"/>
              <w:ind w:left="120" w:right="120"/>
              <w:jc w:val="right"/>
            </w:pPr>
            <w:r>
              <w:rPr>
                <w:rFonts w:ascii="Helvetica" w:eastAsia="Helvetica" w:hAnsi="Helvetica" w:cs="Helvetica"/>
                <w:color w:val="000000"/>
                <w:sz w:val="22"/>
                <w:szCs w:val="22"/>
              </w:rPr>
              <w:t xml:space="preserve">12     </w:t>
            </w:r>
          </w:p>
        </w:tc>
      </w:tr>
      <w:tr w:rsidR="00266E55" w14:paraId="7790ED4E" w14:textId="77777777" w:rsidTr="00423FDB">
        <w:trPr>
          <w:cantSplit/>
          <w:jc w:val="center"/>
        </w:trPr>
        <w:tc>
          <w:tcPr>
            <w:tcW w:w="6462" w:type="dxa"/>
            <w:shd w:val="clear" w:color="auto" w:fill="FFFFFF"/>
            <w:tcMar>
              <w:top w:w="0" w:type="dxa"/>
              <w:left w:w="0" w:type="dxa"/>
              <w:bottom w:w="0" w:type="dxa"/>
              <w:right w:w="0" w:type="dxa"/>
            </w:tcMar>
          </w:tcPr>
          <w:p w14:paraId="37989AF1" w14:textId="77777777" w:rsidR="00266E55" w:rsidRDefault="00266E55" w:rsidP="00423FDB">
            <w:pPr>
              <w:spacing w:before="120" w:after="120"/>
              <w:ind w:left="120" w:right="120"/>
            </w:pPr>
            <w:r>
              <w:rPr>
                <w:rFonts w:ascii="Helvetica" w:eastAsia="Helvetica" w:hAnsi="Helvetica" w:cs="Helvetica"/>
                <w:color w:val="000000"/>
                <w:sz w:val="22"/>
                <w:szCs w:val="22"/>
              </w:rPr>
              <w:t>R squared</w:t>
            </w:r>
          </w:p>
        </w:tc>
        <w:tc>
          <w:tcPr>
            <w:tcW w:w="2213" w:type="dxa"/>
            <w:shd w:val="clear" w:color="auto" w:fill="FFFFFF"/>
            <w:tcMar>
              <w:top w:w="0" w:type="dxa"/>
              <w:left w:w="0" w:type="dxa"/>
              <w:bottom w:w="0" w:type="dxa"/>
              <w:right w:w="0" w:type="dxa"/>
            </w:tcMar>
          </w:tcPr>
          <w:p w14:paraId="747CECAF" w14:textId="77777777" w:rsidR="00266E55" w:rsidRDefault="00266E55" w:rsidP="00423FDB">
            <w:pPr>
              <w:spacing w:before="120" w:after="120"/>
              <w:ind w:left="120" w:right="120"/>
              <w:jc w:val="right"/>
            </w:pPr>
            <w:r>
              <w:rPr>
                <w:rFonts w:ascii="Helvetica" w:eastAsia="Helvetica" w:hAnsi="Helvetica" w:cs="Helvetica"/>
                <w:color w:val="000000"/>
                <w:sz w:val="22"/>
                <w:szCs w:val="22"/>
              </w:rPr>
              <w:t xml:space="preserve">0.864 </w:t>
            </w:r>
          </w:p>
        </w:tc>
      </w:tr>
      <w:tr w:rsidR="00266E55" w14:paraId="3AEACD3A" w14:textId="77777777" w:rsidTr="00423FDB">
        <w:trPr>
          <w:cantSplit/>
          <w:jc w:val="center"/>
        </w:trPr>
        <w:tc>
          <w:tcPr>
            <w:tcW w:w="6462" w:type="dxa"/>
            <w:shd w:val="clear" w:color="auto" w:fill="FFFFFF"/>
            <w:tcMar>
              <w:top w:w="0" w:type="dxa"/>
              <w:left w:w="0" w:type="dxa"/>
              <w:bottom w:w="0" w:type="dxa"/>
              <w:right w:w="0" w:type="dxa"/>
            </w:tcMar>
          </w:tcPr>
          <w:p w14:paraId="0DECD3BB" w14:textId="77777777" w:rsidR="00266E55" w:rsidRDefault="00266E55" w:rsidP="00423FDB">
            <w:pPr>
              <w:spacing w:before="120" w:after="120"/>
              <w:ind w:left="120" w:right="120"/>
            </w:pPr>
            <w:proofErr w:type="spellStart"/>
            <w:r>
              <w:rPr>
                <w:rFonts w:ascii="Helvetica" w:eastAsia="Helvetica" w:hAnsi="Helvetica" w:cs="Helvetica"/>
                <w:color w:val="000000"/>
                <w:sz w:val="22"/>
                <w:szCs w:val="22"/>
              </w:rPr>
              <w:t>logLik</w:t>
            </w:r>
            <w:proofErr w:type="spellEnd"/>
          </w:p>
        </w:tc>
        <w:tc>
          <w:tcPr>
            <w:tcW w:w="2213" w:type="dxa"/>
            <w:shd w:val="clear" w:color="auto" w:fill="FFFFFF"/>
            <w:tcMar>
              <w:top w:w="0" w:type="dxa"/>
              <w:left w:w="0" w:type="dxa"/>
              <w:bottom w:w="0" w:type="dxa"/>
              <w:right w:w="0" w:type="dxa"/>
            </w:tcMar>
          </w:tcPr>
          <w:p w14:paraId="5183734A" w14:textId="77777777" w:rsidR="00266E55" w:rsidRDefault="00266E55" w:rsidP="00423FDB">
            <w:pPr>
              <w:spacing w:before="120" w:after="120"/>
              <w:ind w:left="120" w:right="120"/>
              <w:jc w:val="right"/>
            </w:pPr>
            <w:r>
              <w:rPr>
                <w:rFonts w:ascii="Helvetica" w:eastAsia="Helvetica" w:hAnsi="Helvetica" w:cs="Helvetica"/>
                <w:color w:val="000000"/>
                <w:sz w:val="22"/>
                <w:szCs w:val="22"/>
              </w:rPr>
              <w:t xml:space="preserve">-23.135 </w:t>
            </w:r>
          </w:p>
        </w:tc>
      </w:tr>
      <w:tr w:rsidR="00266E55" w14:paraId="28544469" w14:textId="77777777" w:rsidTr="00423FDB">
        <w:trPr>
          <w:cantSplit/>
          <w:jc w:val="center"/>
        </w:trPr>
        <w:tc>
          <w:tcPr>
            <w:tcW w:w="6462" w:type="dxa"/>
            <w:tcBorders>
              <w:bottom w:val="single" w:sz="6" w:space="0" w:color="000000"/>
            </w:tcBorders>
            <w:shd w:val="clear" w:color="auto" w:fill="FFFFFF"/>
            <w:tcMar>
              <w:top w:w="0" w:type="dxa"/>
              <w:left w:w="0" w:type="dxa"/>
              <w:bottom w:w="0" w:type="dxa"/>
              <w:right w:w="0" w:type="dxa"/>
            </w:tcMar>
          </w:tcPr>
          <w:p w14:paraId="5CD000C3" w14:textId="77777777" w:rsidR="00266E55" w:rsidRDefault="00266E55" w:rsidP="00423FDB">
            <w:pPr>
              <w:spacing w:before="120" w:after="120"/>
              <w:ind w:left="120" w:right="120"/>
            </w:pPr>
            <w:r>
              <w:rPr>
                <w:rFonts w:ascii="Helvetica" w:eastAsia="Helvetica" w:hAnsi="Helvetica" w:cs="Helvetica"/>
                <w:color w:val="000000"/>
                <w:sz w:val="22"/>
                <w:szCs w:val="22"/>
              </w:rPr>
              <w:t>AIC</w:t>
            </w:r>
          </w:p>
        </w:tc>
        <w:tc>
          <w:tcPr>
            <w:tcW w:w="2213" w:type="dxa"/>
            <w:tcBorders>
              <w:bottom w:val="single" w:sz="6" w:space="0" w:color="000000"/>
            </w:tcBorders>
            <w:shd w:val="clear" w:color="auto" w:fill="FFFFFF"/>
            <w:tcMar>
              <w:top w:w="0" w:type="dxa"/>
              <w:left w:w="0" w:type="dxa"/>
              <w:bottom w:w="0" w:type="dxa"/>
              <w:right w:w="0" w:type="dxa"/>
            </w:tcMar>
          </w:tcPr>
          <w:p w14:paraId="32BA18C0" w14:textId="77777777" w:rsidR="00266E55" w:rsidRDefault="00266E55" w:rsidP="00423FDB">
            <w:pPr>
              <w:spacing w:before="120" w:after="120"/>
              <w:ind w:left="120" w:right="120"/>
              <w:jc w:val="right"/>
            </w:pPr>
            <w:r>
              <w:rPr>
                <w:rFonts w:ascii="Helvetica" w:eastAsia="Helvetica" w:hAnsi="Helvetica" w:cs="Helvetica"/>
                <w:color w:val="000000"/>
                <w:sz w:val="22"/>
                <w:szCs w:val="22"/>
              </w:rPr>
              <w:t xml:space="preserve">56.270 </w:t>
            </w:r>
          </w:p>
        </w:tc>
      </w:tr>
      <w:tr w:rsidR="00266E55" w14:paraId="4AF6E96C" w14:textId="77777777" w:rsidTr="00423FDB">
        <w:trPr>
          <w:cantSplit/>
          <w:jc w:val="center"/>
        </w:trPr>
        <w:tc>
          <w:tcPr>
            <w:tcW w:w="8675" w:type="dxa"/>
            <w:gridSpan w:val="2"/>
            <w:tcBorders>
              <w:top w:val="single" w:sz="6" w:space="0" w:color="000000"/>
            </w:tcBorders>
            <w:shd w:val="clear" w:color="auto" w:fill="FFFFFF"/>
            <w:tcMar>
              <w:top w:w="0" w:type="dxa"/>
              <w:left w:w="0" w:type="dxa"/>
              <w:bottom w:w="0" w:type="dxa"/>
              <w:right w:w="0" w:type="dxa"/>
            </w:tcMar>
          </w:tcPr>
          <w:p w14:paraId="43D12EA3" w14:textId="77777777" w:rsidR="00266E55" w:rsidRPr="00350525" w:rsidRDefault="00266E55" w:rsidP="00423FDB">
            <w:pPr>
              <w:spacing w:before="120" w:after="120"/>
              <w:ind w:left="120" w:right="120"/>
              <w:rPr>
                <w:rFonts w:ascii="Helvetica" w:eastAsia="Helvetica" w:hAnsi="Helvetica" w:cs="Helvetica"/>
                <w:color w:val="000000"/>
                <w:sz w:val="22"/>
                <w:szCs w:val="22"/>
              </w:rPr>
            </w:pPr>
            <w:r>
              <w:rPr>
                <w:rFonts w:ascii="Helvetica" w:eastAsia="Helvetica" w:hAnsi="Helvetica" w:cs="Helvetica"/>
                <w:color w:val="000000"/>
                <w:sz w:val="22"/>
                <w:szCs w:val="22"/>
              </w:rPr>
              <w:t xml:space="preserve"> *** p &lt; 0.001</w:t>
            </w:r>
            <w:proofErr w:type="gramStart"/>
            <w:r>
              <w:rPr>
                <w:rFonts w:ascii="Helvetica" w:eastAsia="Helvetica" w:hAnsi="Helvetica" w:cs="Helvetica"/>
                <w:color w:val="000000"/>
                <w:sz w:val="22"/>
                <w:szCs w:val="22"/>
              </w:rPr>
              <w:t>;  *</w:t>
            </w:r>
            <w:proofErr w:type="gramEnd"/>
            <w:r>
              <w:rPr>
                <w:rFonts w:ascii="Helvetica" w:eastAsia="Helvetica" w:hAnsi="Helvetica" w:cs="Helvetica"/>
                <w:color w:val="000000"/>
                <w:sz w:val="22"/>
                <w:szCs w:val="22"/>
              </w:rPr>
              <w:t>* p &lt; 0.01;  * p &lt; 0.05. T statistics in brackets.</w:t>
            </w:r>
          </w:p>
        </w:tc>
      </w:tr>
    </w:tbl>
    <w:p w14:paraId="7D65B5A3" w14:textId="77777777" w:rsidR="00266E55" w:rsidRDefault="00266E55" w:rsidP="00266E55"/>
    <w:p w14:paraId="61382FD0" w14:textId="27FA13A2" w:rsidR="00266E55" w:rsidRDefault="00266E55" w:rsidP="00266E55"/>
    <w:sectPr w:rsidR="00266E55" w:rsidSect="00A12EE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2731" w14:textId="77777777" w:rsidR="00B52D27" w:rsidRDefault="00B52D27" w:rsidP="00B52D27">
      <w:r>
        <w:separator/>
      </w:r>
    </w:p>
  </w:endnote>
  <w:endnote w:type="continuationSeparator" w:id="0">
    <w:p w14:paraId="31A6472C" w14:textId="77777777" w:rsidR="00B52D27" w:rsidRDefault="00B52D27" w:rsidP="00B5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E221" w14:textId="77777777" w:rsidR="00B52D27" w:rsidRDefault="00B52D27" w:rsidP="00B52D27">
      <w:r>
        <w:separator/>
      </w:r>
    </w:p>
  </w:footnote>
  <w:footnote w:type="continuationSeparator" w:id="0">
    <w:p w14:paraId="607AE620" w14:textId="77777777" w:rsidR="00B52D27" w:rsidRDefault="00B52D27" w:rsidP="00B52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55"/>
    <w:rsid w:val="00010B0D"/>
    <w:rsid w:val="00020D04"/>
    <w:rsid w:val="000316AD"/>
    <w:rsid w:val="000323C7"/>
    <w:rsid w:val="00035A23"/>
    <w:rsid w:val="000360D7"/>
    <w:rsid w:val="00040C46"/>
    <w:rsid w:val="00041C5A"/>
    <w:rsid w:val="00042249"/>
    <w:rsid w:val="00043288"/>
    <w:rsid w:val="0004388F"/>
    <w:rsid w:val="00047C6A"/>
    <w:rsid w:val="0005262C"/>
    <w:rsid w:val="00054029"/>
    <w:rsid w:val="00054202"/>
    <w:rsid w:val="000567FD"/>
    <w:rsid w:val="000603A6"/>
    <w:rsid w:val="00060A96"/>
    <w:rsid w:val="000620FC"/>
    <w:rsid w:val="000627D8"/>
    <w:rsid w:val="00062AB7"/>
    <w:rsid w:val="00065632"/>
    <w:rsid w:val="00070192"/>
    <w:rsid w:val="00070552"/>
    <w:rsid w:val="00070F2D"/>
    <w:rsid w:val="00071C9C"/>
    <w:rsid w:val="00074CEB"/>
    <w:rsid w:val="00075A30"/>
    <w:rsid w:val="000779B3"/>
    <w:rsid w:val="000858FA"/>
    <w:rsid w:val="0009091D"/>
    <w:rsid w:val="00096D8E"/>
    <w:rsid w:val="000A55DD"/>
    <w:rsid w:val="000C383F"/>
    <w:rsid w:val="000C4B41"/>
    <w:rsid w:val="000D482C"/>
    <w:rsid w:val="000E21E3"/>
    <w:rsid w:val="000F08DC"/>
    <w:rsid w:val="000F13A7"/>
    <w:rsid w:val="000F384A"/>
    <w:rsid w:val="00100A69"/>
    <w:rsid w:val="0010623E"/>
    <w:rsid w:val="001126AD"/>
    <w:rsid w:val="00116908"/>
    <w:rsid w:val="00124287"/>
    <w:rsid w:val="00125C70"/>
    <w:rsid w:val="00137A1A"/>
    <w:rsid w:val="00137F03"/>
    <w:rsid w:val="00143624"/>
    <w:rsid w:val="001501DC"/>
    <w:rsid w:val="001548E2"/>
    <w:rsid w:val="00155535"/>
    <w:rsid w:val="00164C48"/>
    <w:rsid w:val="00170944"/>
    <w:rsid w:val="001728EE"/>
    <w:rsid w:val="0017429D"/>
    <w:rsid w:val="00192EDF"/>
    <w:rsid w:val="00197CDC"/>
    <w:rsid w:val="001A3310"/>
    <w:rsid w:val="001A6A9A"/>
    <w:rsid w:val="001B1C30"/>
    <w:rsid w:val="001C0C66"/>
    <w:rsid w:val="001C1132"/>
    <w:rsid w:val="001C1D20"/>
    <w:rsid w:val="001C20C5"/>
    <w:rsid w:val="001C5164"/>
    <w:rsid w:val="001D0C73"/>
    <w:rsid w:val="001D4A2F"/>
    <w:rsid w:val="001E16F0"/>
    <w:rsid w:val="001E3492"/>
    <w:rsid w:val="001E69E9"/>
    <w:rsid w:val="001F1E23"/>
    <w:rsid w:val="002025DD"/>
    <w:rsid w:val="00203E13"/>
    <w:rsid w:val="00204FA1"/>
    <w:rsid w:val="00205073"/>
    <w:rsid w:val="002054F9"/>
    <w:rsid w:val="00205FDA"/>
    <w:rsid w:val="00223CF0"/>
    <w:rsid w:val="002250AB"/>
    <w:rsid w:val="00227E23"/>
    <w:rsid w:val="00232CD9"/>
    <w:rsid w:val="0024063E"/>
    <w:rsid w:val="002436BC"/>
    <w:rsid w:val="0024376C"/>
    <w:rsid w:val="002503FD"/>
    <w:rsid w:val="0025177B"/>
    <w:rsid w:val="00263E55"/>
    <w:rsid w:val="002664FB"/>
    <w:rsid w:val="00266E55"/>
    <w:rsid w:val="002702E1"/>
    <w:rsid w:val="00275D6C"/>
    <w:rsid w:val="0027665E"/>
    <w:rsid w:val="002805E3"/>
    <w:rsid w:val="00280786"/>
    <w:rsid w:val="00282DC2"/>
    <w:rsid w:val="00284310"/>
    <w:rsid w:val="00293E92"/>
    <w:rsid w:val="002A1CD3"/>
    <w:rsid w:val="002B0264"/>
    <w:rsid w:val="002B0798"/>
    <w:rsid w:val="002B0876"/>
    <w:rsid w:val="002B0AEE"/>
    <w:rsid w:val="002C5EBB"/>
    <w:rsid w:val="002D1882"/>
    <w:rsid w:val="002D3445"/>
    <w:rsid w:val="002D4099"/>
    <w:rsid w:val="002D63EC"/>
    <w:rsid w:val="002F0184"/>
    <w:rsid w:val="002F23CB"/>
    <w:rsid w:val="002F5167"/>
    <w:rsid w:val="00303493"/>
    <w:rsid w:val="00316E5E"/>
    <w:rsid w:val="003213E3"/>
    <w:rsid w:val="003222E1"/>
    <w:rsid w:val="00322F85"/>
    <w:rsid w:val="00323505"/>
    <w:rsid w:val="00324C3F"/>
    <w:rsid w:val="00326FE4"/>
    <w:rsid w:val="0033129D"/>
    <w:rsid w:val="00332250"/>
    <w:rsid w:val="0033790B"/>
    <w:rsid w:val="00340F9F"/>
    <w:rsid w:val="00341CC1"/>
    <w:rsid w:val="00347FB5"/>
    <w:rsid w:val="00354403"/>
    <w:rsid w:val="003564B8"/>
    <w:rsid w:val="00361CE9"/>
    <w:rsid w:val="0037673D"/>
    <w:rsid w:val="003777D9"/>
    <w:rsid w:val="00385295"/>
    <w:rsid w:val="003A09CE"/>
    <w:rsid w:val="003A3436"/>
    <w:rsid w:val="003A626A"/>
    <w:rsid w:val="003C36B9"/>
    <w:rsid w:val="003D54F0"/>
    <w:rsid w:val="003F1A23"/>
    <w:rsid w:val="003F2753"/>
    <w:rsid w:val="003F47D2"/>
    <w:rsid w:val="003F6412"/>
    <w:rsid w:val="00401280"/>
    <w:rsid w:val="00403369"/>
    <w:rsid w:val="00403FF3"/>
    <w:rsid w:val="00404CD5"/>
    <w:rsid w:val="00405684"/>
    <w:rsid w:val="0042260B"/>
    <w:rsid w:val="00423EA6"/>
    <w:rsid w:val="00427089"/>
    <w:rsid w:val="00442011"/>
    <w:rsid w:val="004461D9"/>
    <w:rsid w:val="0045288B"/>
    <w:rsid w:val="00454319"/>
    <w:rsid w:val="004567BF"/>
    <w:rsid w:val="00460B7C"/>
    <w:rsid w:val="0046141A"/>
    <w:rsid w:val="0046239D"/>
    <w:rsid w:val="00462B60"/>
    <w:rsid w:val="004633B4"/>
    <w:rsid w:val="00463419"/>
    <w:rsid w:val="0046342B"/>
    <w:rsid w:val="00463FEF"/>
    <w:rsid w:val="00465D7B"/>
    <w:rsid w:val="00467867"/>
    <w:rsid w:val="00471424"/>
    <w:rsid w:val="00472EB1"/>
    <w:rsid w:val="00484B40"/>
    <w:rsid w:val="004A09C1"/>
    <w:rsid w:val="004A364D"/>
    <w:rsid w:val="004B1CD3"/>
    <w:rsid w:val="004C1645"/>
    <w:rsid w:val="004C21EA"/>
    <w:rsid w:val="004C2E97"/>
    <w:rsid w:val="004D0145"/>
    <w:rsid w:val="004D04EF"/>
    <w:rsid w:val="004E14A8"/>
    <w:rsid w:val="004F1646"/>
    <w:rsid w:val="004F1F3C"/>
    <w:rsid w:val="00506BE5"/>
    <w:rsid w:val="00507C55"/>
    <w:rsid w:val="00511FD9"/>
    <w:rsid w:val="00512CBA"/>
    <w:rsid w:val="00513884"/>
    <w:rsid w:val="00514AF8"/>
    <w:rsid w:val="00514C5C"/>
    <w:rsid w:val="00515059"/>
    <w:rsid w:val="00516DF9"/>
    <w:rsid w:val="00520E75"/>
    <w:rsid w:val="00521652"/>
    <w:rsid w:val="00521E11"/>
    <w:rsid w:val="00524E13"/>
    <w:rsid w:val="00533C29"/>
    <w:rsid w:val="00540307"/>
    <w:rsid w:val="005460EA"/>
    <w:rsid w:val="005514DF"/>
    <w:rsid w:val="00552E20"/>
    <w:rsid w:val="005706B9"/>
    <w:rsid w:val="00572BCB"/>
    <w:rsid w:val="00574A77"/>
    <w:rsid w:val="00577E25"/>
    <w:rsid w:val="00592D1F"/>
    <w:rsid w:val="00596620"/>
    <w:rsid w:val="00596694"/>
    <w:rsid w:val="00597ABB"/>
    <w:rsid w:val="005A1AD0"/>
    <w:rsid w:val="005A1D90"/>
    <w:rsid w:val="005A5D3F"/>
    <w:rsid w:val="005B7B56"/>
    <w:rsid w:val="005C163C"/>
    <w:rsid w:val="005C2D67"/>
    <w:rsid w:val="005D054E"/>
    <w:rsid w:val="005D11BE"/>
    <w:rsid w:val="005D7E67"/>
    <w:rsid w:val="005E0E0A"/>
    <w:rsid w:val="005E775E"/>
    <w:rsid w:val="005F58D5"/>
    <w:rsid w:val="005F5C85"/>
    <w:rsid w:val="005F6866"/>
    <w:rsid w:val="005F7BF0"/>
    <w:rsid w:val="00604D2D"/>
    <w:rsid w:val="00611992"/>
    <w:rsid w:val="0061676F"/>
    <w:rsid w:val="00617EF4"/>
    <w:rsid w:val="00623275"/>
    <w:rsid w:val="00625FA3"/>
    <w:rsid w:val="00633299"/>
    <w:rsid w:val="00641CF6"/>
    <w:rsid w:val="00646C9D"/>
    <w:rsid w:val="0065001F"/>
    <w:rsid w:val="006512A0"/>
    <w:rsid w:val="0065274F"/>
    <w:rsid w:val="00657E34"/>
    <w:rsid w:val="00665B05"/>
    <w:rsid w:val="0067347B"/>
    <w:rsid w:val="00683D4C"/>
    <w:rsid w:val="0068446F"/>
    <w:rsid w:val="0069105B"/>
    <w:rsid w:val="00696518"/>
    <w:rsid w:val="006A0077"/>
    <w:rsid w:val="006A34EE"/>
    <w:rsid w:val="006A7201"/>
    <w:rsid w:val="006B31D7"/>
    <w:rsid w:val="006B4BF3"/>
    <w:rsid w:val="006B5C88"/>
    <w:rsid w:val="006B63AC"/>
    <w:rsid w:val="006B6AA5"/>
    <w:rsid w:val="006C1810"/>
    <w:rsid w:val="006C559E"/>
    <w:rsid w:val="006D0106"/>
    <w:rsid w:val="006D095C"/>
    <w:rsid w:val="006D2CBD"/>
    <w:rsid w:val="006D4599"/>
    <w:rsid w:val="006D553E"/>
    <w:rsid w:val="006F2D0D"/>
    <w:rsid w:val="006F5292"/>
    <w:rsid w:val="006F756D"/>
    <w:rsid w:val="00712274"/>
    <w:rsid w:val="007140C7"/>
    <w:rsid w:val="00716A8B"/>
    <w:rsid w:val="007246CE"/>
    <w:rsid w:val="00724F0D"/>
    <w:rsid w:val="00731B26"/>
    <w:rsid w:val="00732D96"/>
    <w:rsid w:val="00752444"/>
    <w:rsid w:val="00754B55"/>
    <w:rsid w:val="00760F3D"/>
    <w:rsid w:val="00761D23"/>
    <w:rsid w:val="00767D3E"/>
    <w:rsid w:val="007725BD"/>
    <w:rsid w:val="007863FE"/>
    <w:rsid w:val="00790755"/>
    <w:rsid w:val="007959A7"/>
    <w:rsid w:val="007976AD"/>
    <w:rsid w:val="007A10EC"/>
    <w:rsid w:val="007A2A0B"/>
    <w:rsid w:val="007B715D"/>
    <w:rsid w:val="007C32F2"/>
    <w:rsid w:val="007C379C"/>
    <w:rsid w:val="007C5FFE"/>
    <w:rsid w:val="007C746E"/>
    <w:rsid w:val="007D53F1"/>
    <w:rsid w:val="007D6332"/>
    <w:rsid w:val="007D775D"/>
    <w:rsid w:val="007E5CAB"/>
    <w:rsid w:val="00804A6A"/>
    <w:rsid w:val="0080661A"/>
    <w:rsid w:val="00810DBB"/>
    <w:rsid w:val="00825D74"/>
    <w:rsid w:val="0083399E"/>
    <w:rsid w:val="00835F0B"/>
    <w:rsid w:val="0084512A"/>
    <w:rsid w:val="008467E8"/>
    <w:rsid w:val="0085153E"/>
    <w:rsid w:val="00851854"/>
    <w:rsid w:val="00854506"/>
    <w:rsid w:val="008545C1"/>
    <w:rsid w:val="00857BD5"/>
    <w:rsid w:val="00860400"/>
    <w:rsid w:val="00880153"/>
    <w:rsid w:val="008812C6"/>
    <w:rsid w:val="00881337"/>
    <w:rsid w:val="008815F5"/>
    <w:rsid w:val="00884381"/>
    <w:rsid w:val="00887208"/>
    <w:rsid w:val="008A0711"/>
    <w:rsid w:val="008A1F8D"/>
    <w:rsid w:val="008A3025"/>
    <w:rsid w:val="008A4979"/>
    <w:rsid w:val="008B614C"/>
    <w:rsid w:val="008B772E"/>
    <w:rsid w:val="008C1433"/>
    <w:rsid w:val="008D40A0"/>
    <w:rsid w:val="008E4F4D"/>
    <w:rsid w:val="008E70ED"/>
    <w:rsid w:val="008E73C5"/>
    <w:rsid w:val="008F0117"/>
    <w:rsid w:val="008F5164"/>
    <w:rsid w:val="008F55E5"/>
    <w:rsid w:val="008F69C8"/>
    <w:rsid w:val="00903771"/>
    <w:rsid w:val="00907AAE"/>
    <w:rsid w:val="009143E4"/>
    <w:rsid w:val="00923013"/>
    <w:rsid w:val="0092398D"/>
    <w:rsid w:val="00926BF6"/>
    <w:rsid w:val="009411CA"/>
    <w:rsid w:val="009414CB"/>
    <w:rsid w:val="0094169E"/>
    <w:rsid w:val="009473AF"/>
    <w:rsid w:val="00952142"/>
    <w:rsid w:val="00956B4C"/>
    <w:rsid w:val="00963669"/>
    <w:rsid w:val="009673CF"/>
    <w:rsid w:val="00970F88"/>
    <w:rsid w:val="009747B2"/>
    <w:rsid w:val="009757CE"/>
    <w:rsid w:val="00975F97"/>
    <w:rsid w:val="0098661C"/>
    <w:rsid w:val="00992BFD"/>
    <w:rsid w:val="00995D2A"/>
    <w:rsid w:val="00997C0D"/>
    <w:rsid w:val="009A1C42"/>
    <w:rsid w:val="009A1D6E"/>
    <w:rsid w:val="009B643C"/>
    <w:rsid w:val="009C1BDA"/>
    <w:rsid w:val="009C2880"/>
    <w:rsid w:val="009C343B"/>
    <w:rsid w:val="009C5254"/>
    <w:rsid w:val="009C76F5"/>
    <w:rsid w:val="009E176C"/>
    <w:rsid w:val="009E4301"/>
    <w:rsid w:val="009F0034"/>
    <w:rsid w:val="009F1086"/>
    <w:rsid w:val="009F1560"/>
    <w:rsid w:val="00A12EE6"/>
    <w:rsid w:val="00A15B91"/>
    <w:rsid w:val="00A168BF"/>
    <w:rsid w:val="00A17CEB"/>
    <w:rsid w:val="00A24827"/>
    <w:rsid w:val="00A24C61"/>
    <w:rsid w:val="00A520DC"/>
    <w:rsid w:val="00A560A4"/>
    <w:rsid w:val="00A563C2"/>
    <w:rsid w:val="00A746CA"/>
    <w:rsid w:val="00A74847"/>
    <w:rsid w:val="00A80E39"/>
    <w:rsid w:val="00A862ED"/>
    <w:rsid w:val="00A93DFE"/>
    <w:rsid w:val="00A95005"/>
    <w:rsid w:val="00AA604A"/>
    <w:rsid w:val="00AA701A"/>
    <w:rsid w:val="00AC3AF6"/>
    <w:rsid w:val="00AC65FF"/>
    <w:rsid w:val="00AD02A2"/>
    <w:rsid w:val="00AD1322"/>
    <w:rsid w:val="00AD456D"/>
    <w:rsid w:val="00AD58C5"/>
    <w:rsid w:val="00AD65E6"/>
    <w:rsid w:val="00AE7705"/>
    <w:rsid w:val="00AF1963"/>
    <w:rsid w:val="00B062F2"/>
    <w:rsid w:val="00B06764"/>
    <w:rsid w:val="00B16DA8"/>
    <w:rsid w:val="00B20A17"/>
    <w:rsid w:val="00B24EF2"/>
    <w:rsid w:val="00B3061D"/>
    <w:rsid w:val="00B319B3"/>
    <w:rsid w:val="00B32543"/>
    <w:rsid w:val="00B40E1C"/>
    <w:rsid w:val="00B45366"/>
    <w:rsid w:val="00B52D27"/>
    <w:rsid w:val="00B54793"/>
    <w:rsid w:val="00B6377A"/>
    <w:rsid w:val="00B66763"/>
    <w:rsid w:val="00B71824"/>
    <w:rsid w:val="00B73657"/>
    <w:rsid w:val="00B97ED0"/>
    <w:rsid w:val="00BA51AA"/>
    <w:rsid w:val="00BB3BF2"/>
    <w:rsid w:val="00BB5DB2"/>
    <w:rsid w:val="00BB782B"/>
    <w:rsid w:val="00BB7C39"/>
    <w:rsid w:val="00BB7CB9"/>
    <w:rsid w:val="00BC4DB7"/>
    <w:rsid w:val="00BC5838"/>
    <w:rsid w:val="00BC5D6F"/>
    <w:rsid w:val="00BD21F0"/>
    <w:rsid w:val="00BE3273"/>
    <w:rsid w:val="00BE7DE6"/>
    <w:rsid w:val="00BF1B27"/>
    <w:rsid w:val="00C03E76"/>
    <w:rsid w:val="00C077DC"/>
    <w:rsid w:val="00C10B8D"/>
    <w:rsid w:val="00C12280"/>
    <w:rsid w:val="00C14170"/>
    <w:rsid w:val="00C1789E"/>
    <w:rsid w:val="00C235DC"/>
    <w:rsid w:val="00C3654F"/>
    <w:rsid w:val="00C40AB5"/>
    <w:rsid w:val="00C447CD"/>
    <w:rsid w:val="00C53E31"/>
    <w:rsid w:val="00C560F2"/>
    <w:rsid w:val="00C6462F"/>
    <w:rsid w:val="00C669B7"/>
    <w:rsid w:val="00C7436F"/>
    <w:rsid w:val="00C74A05"/>
    <w:rsid w:val="00C752E9"/>
    <w:rsid w:val="00C75B38"/>
    <w:rsid w:val="00C85AFE"/>
    <w:rsid w:val="00C861C6"/>
    <w:rsid w:val="00C90C3D"/>
    <w:rsid w:val="00C92241"/>
    <w:rsid w:val="00C937C8"/>
    <w:rsid w:val="00CA0B6E"/>
    <w:rsid w:val="00CA3293"/>
    <w:rsid w:val="00CA5941"/>
    <w:rsid w:val="00CB3D38"/>
    <w:rsid w:val="00CB5DCF"/>
    <w:rsid w:val="00CB69B2"/>
    <w:rsid w:val="00CB7D58"/>
    <w:rsid w:val="00CC1A07"/>
    <w:rsid w:val="00CD3EDC"/>
    <w:rsid w:val="00CE0996"/>
    <w:rsid w:val="00CE3B15"/>
    <w:rsid w:val="00CF57C4"/>
    <w:rsid w:val="00CF6DA6"/>
    <w:rsid w:val="00CF6EC4"/>
    <w:rsid w:val="00CF7ED2"/>
    <w:rsid w:val="00D06E35"/>
    <w:rsid w:val="00D07F88"/>
    <w:rsid w:val="00D11C31"/>
    <w:rsid w:val="00D17EBC"/>
    <w:rsid w:val="00D22A48"/>
    <w:rsid w:val="00D24FF9"/>
    <w:rsid w:val="00D27638"/>
    <w:rsid w:val="00D419A7"/>
    <w:rsid w:val="00D41C2E"/>
    <w:rsid w:val="00D44554"/>
    <w:rsid w:val="00D52D79"/>
    <w:rsid w:val="00D564B8"/>
    <w:rsid w:val="00D65FBF"/>
    <w:rsid w:val="00D7282D"/>
    <w:rsid w:val="00D775A6"/>
    <w:rsid w:val="00D7768F"/>
    <w:rsid w:val="00D8151A"/>
    <w:rsid w:val="00D91E2E"/>
    <w:rsid w:val="00DA2E6B"/>
    <w:rsid w:val="00DB2097"/>
    <w:rsid w:val="00DB38C7"/>
    <w:rsid w:val="00DB7B64"/>
    <w:rsid w:val="00DC581A"/>
    <w:rsid w:val="00DD0452"/>
    <w:rsid w:val="00DD5901"/>
    <w:rsid w:val="00DE087F"/>
    <w:rsid w:val="00DE3A11"/>
    <w:rsid w:val="00DE602E"/>
    <w:rsid w:val="00DE6287"/>
    <w:rsid w:val="00DF635E"/>
    <w:rsid w:val="00E03092"/>
    <w:rsid w:val="00E033DD"/>
    <w:rsid w:val="00E04378"/>
    <w:rsid w:val="00E04EAB"/>
    <w:rsid w:val="00E11948"/>
    <w:rsid w:val="00E1727F"/>
    <w:rsid w:val="00E24908"/>
    <w:rsid w:val="00E24DF8"/>
    <w:rsid w:val="00E266EA"/>
    <w:rsid w:val="00E31A56"/>
    <w:rsid w:val="00E3222F"/>
    <w:rsid w:val="00E34FC1"/>
    <w:rsid w:val="00E37F2B"/>
    <w:rsid w:val="00E41B71"/>
    <w:rsid w:val="00E43E87"/>
    <w:rsid w:val="00E52B53"/>
    <w:rsid w:val="00E61C52"/>
    <w:rsid w:val="00E72686"/>
    <w:rsid w:val="00E807BA"/>
    <w:rsid w:val="00E85C8B"/>
    <w:rsid w:val="00E91A35"/>
    <w:rsid w:val="00E95E7C"/>
    <w:rsid w:val="00E96491"/>
    <w:rsid w:val="00EA47BB"/>
    <w:rsid w:val="00EC152A"/>
    <w:rsid w:val="00EC5F08"/>
    <w:rsid w:val="00EC6D77"/>
    <w:rsid w:val="00ED1F79"/>
    <w:rsid w:val="00ED3A78"/>
    <w:rsid w:val="00EE5924"/>
    <w:rsid w:val="00EE72CE"/>
    <w:rsid w:val="00EF6E24"/>
    <w:rsid w:val="00F04AF4"/>
    <w:rsid w:val="00F11E78"/>
    <w:rsid w:val="00F249CA"/>
    <w:rsid w:val="00F35ED3"/>
    <w:rsid w:val="00F35F8F"/>
    <w:rsid w:val="00F364B6"/>
    <w:rsid w:val="00F4312E"/>
    <w:rsid w:val="00F4450E"/>
    <w:rsid w:val="00F478EA"/>
    <w:rsid w:val="00F47B50"/>
    <w:rsid w:val="00F5673E"/>
    <w:rsid w:val="00F613A8"/>
    <w:rsid w:val="00F662E1"/>
    <w:rsid w:val="00F7023C"/>
    <w:rsid w:val="00F704A9"/>
    <w:rsid w:val="00F74603"/>
    <w:rsid w:val="00F91CFF"/>
    <w:rsid w:val="00FB043B"/>
    <w:rsid w:val="00FC41F8"/>
    <w:rsid w:val="00FD2836"/>
    <w:rsid w:val="00FD4093"/>
    <w:rsid w:val="00FE7B4D"/>
    <w:rsid w:val="00FF28B4"/>
    <w:rsid w:val="00FF2941"/>
    <w:rsid w:val="00FF3D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064F2"/>
  <w15:chartTrackingRefBased/>
  <w15:docId w15:val="{A7E7DE55-2C93-2143-BE9A-979E208B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66E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unhideWhenUsed/>
    <w:rsid w:val="00266E55"/>
    <w:rPr>
      <w:sz w:val="20"/>
      <w:szCs w:val="20"/>
    </w:rPr>
  </w:style>
  <w:style w:type="character" w:customStyle="1" w:styleId="CommentTextChar">
    <w:name w:val="Comment Text Char"/>
    <w:basedOn w:val="DefaultParagraphFont"/>
    <w:link w:val="CommentText"/>
    <w:uiPriority w:val="99"/>
    <w:rsid w:val="00266E55"/>
    <w:rPr>
      <w:sz w:val="20"/>
      <w:szCs w:val="20"/>
      <w:lang w:val="en-GB"/>
    </w:rPr>
  </w:style>
  <w:style w:type="character" w:styleId="Hyperlink">
    <w:name w:val="Hyperlink"/>
    <w:basedOn w:val="DefaultParagraphFont"/>
    <w:uiPriority w:val="99"/>
    <w:unhideWhenUsed/>
    <w:rsid w:val="00223CF0"/>
    <w:rPr>
      <w:color w:val="0000FF"/>
      <w:u w:val="single"/>
    </w:rPr>
  </w:style>
  <w:style w:type="paragraph" w:customStyle="1" w:styleId="EndNoteBibliography">
    <w:name w:val="EndNote Bibliography"/>
    <w:basedOn w:val="Normal"/>
    <w:link w:val="EndNoteBibliographyChar"/>
    <w:rsid w:val="00223CF0"/>
    <w:pPr>
      <w:spacing w:after="200"/>
      <w:jc w:val="both"/>
    </w:pPr>
    <w:rPr>
      <w:rFonts w:ascii="Calibri" w:eastAsia="Times New Roman" w:hAnsi="Calibri" w:cs="Calibri"/>
      <w:szCs w:val="22"/>
      <w:lang w:val="en-US"/>
    </w:rPr>
  </w:style>
  <w:style w:type="character" w:customStyle="1" w:styleId="EndNoteBibliographyChar">
    <w:name w:val="EndNote Bibliography Char"/>
    <w:basedOn w:val="DefaultParagraphFont"/>
    <w:link w:val="EndNoteBibliography"/>
    <w:rsid w:val="00223CF0"/>
    <w:rPr>
      <w:rFonts w:ascii="Calibri" w:eastAsia="Times New Roman"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ma.europa.eu/en/news/disabling-potentially-permanent-side-effects-lead-suspension-restrictions-quinolone-fluoroquinol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psc.ie/a-z/microbiologyantimicrobialresistance/infectioncontrolandhai/guidelines/File,4116,e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9099</Characters>
  <Application>Microsoft Office Word</Application>
  <DocSecurity>4</DocSecurity>
  <Lines>313</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Riordan, Francis Martin</dc:creator>
  <cp:keywords/>
  <dc:description/>
  <cp:lastModifiedBy>Bowman, Siobhan</cp:lastModifiedBy>
  <cp:revision>2</cp:revision>
  <dcterms:created xsi:type="dcterms:W3CDTF">2022-03-02T12:20:00Z</dcterms:created>
  <dcterms:modified xsi:type="dcterms:W3CDTF">2022-03-02T12:20:00Z</dcterms:modified>
</cp:coreProperties>
</file>