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B48" w:rsidRPr="002E3B48" w:rsidRDefault="002E3B48" w:rsidP="002E3B48">
      <w:pPr>
        <w:rPr>
          <w:b/>
          <w:bCs/>
          <w:lang w:val="en-IE"/>
        </w:rPr>
      </w:pPr>
      <w:r w:rsidRPr="002E3B48">
        <w:rPr>
          <w:b/>
          <w:lang w:val="en-IE"/>
        </w:rPr>
        <w:t>Supplementary Tables and Figure</w:t>
      </w:r>
    </w:p>
    <w:p w:rsidR="002E3B48" w:rsidRPr="002E3B48" w:rsidRDefault="002E3B48" w:rsidP="002E3B48">
      <w:pPr>
        <w:rPr>
          <w:lang w:val="en-IE"/>
        </w:rPr>
      </w:pPr>
      <w:proofErr w:type="gramStart"/>
      <w:r w:rsidRPr="002E3B48">
        <w:rPr>
          <w:lang w:val="en-IE"/>
        </w:rPr>
        <w:t>Supplementary Table S</w:t>
      </w:r>
      <w:r w:rsidRPr="002E3B48">
        <w:rPr>
          <w:lang w:val="en-IE"/>
        </w:rPr>
        <w:fldChar w:fldCharType="begin"/>
      </w:r>
      <w:r w:rsidRPr="002E3B48">
        <w:rPr>
          <w:lang w:val="en-IE"/>
        </w:rPr>
        <w:instrText xml:space="preserve"> SEQ S \* ARABIC </w:instrText>
      </w:r>
      <w:r w:rsidRPr="002E3B48">
        <w:rPr>
          <w:lang w:val="en-IE"/>
        </w:rPr>
        <w:fldChar w:fldCharType="separate"/>
      </w:r>
      <w:r w:rsidRPr="002E3B48">
        <w:rPr>
          <w:lang w:val="en-IE"/>
        </w:rPr>
        <w:t>1</w:t>
      </w:r>
      <w:r w:rsidRPr="002E3B48">
        <w:fldChar w:fldCharType="end"/>
      </w:r>
      <w:r w:rsidRPr="002E3B48">
        <w:rPr>
          <w:lang w:val="en-IE"/>
        </w:rPr>
        <w:t>.</w:t>
      </w:r>
      <w:proofErr w:type="gramEnd"/>
      <w:r w:rsidRPr="002E3B48">
        <w:rPr>
          <w:lang w:val="en-IE"/>
        </w:rPr>
        <w:t xml:space="preserve"> PDCAAS, </w:t>
      </w:r>
      <w:r w:rsidRPr="002E3B48">
        <w:rPr>
          <w:i/>
          <w:iCs/>
          <w:lang w:val="en-IE"/>
        </w:rPr>
        <w:t>in vitro</w:t>
      </w:r>
      <w:r w:rsidRPr="002E3B48">
        <w:rPr>
          <w:lang w:val="en-IE"/>
        </w:rPr>
        <w:t xml:space="preserve"> PDCAAS and DIAAS values of raw and processed pulses, and of almond and oat for comparison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6"/>
        <w:gridCol w:w="1383"/>
        <w:gridCol w:w="1760"/>
        <w:gridCol w:w="1163"/>
        <w:gridCol w:w="1163"/>
        <w:gridCol w:w="950"/>
        <w:gridCol w:w="360"/>
      </w:tblGrid>
      <w:tr w:rsidR="002E3B48" w:rsidRPr="002E3B48" w:rsidTr="00985CCE">
        <w:trPr>
          <w:trHeight w:val="555"/>
        </w:trPr>
        <w:tc>
          <w:tcPr>
            <w:tcW w:w="2599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b/>
                <w:bCs/>
                <w:lang w:val="en-IE"/>
              </w:rPr>
            </w:pPr>
            <w:r w:rsidRPr="002E3B48">
              <w:rPr>
                <w:b/>
                <w:bCs/>
                <w:lang w:val="en-IE"/>
              </w:rPr>
              <w:t>Sample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b/>
                <w:bCs/>
                <w:lang w:val="en-IE"/>
              </w:rPr>
            </w:pPr>
            <w:r w:rsidRPr="002E3B48">
              <w:rPr>
                <w:b/>
                <w:bCs/>
                <w:lang w:val="en-IE"/>
              </w:rPr>
              <w:t>Processing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b/>
                <w:bCs/>
                <w:lang w:val="en-IE"/>
              </w:rPr>
            </w:pPr>
            <w:r w:rsidRPr="002E3B48">
              <w:rPr>
                <w:b/>
                <w:bCs/>
                <w:lang w:val="en-IE"/>
              </w:rPr>
              <w:t>PDCAAS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b/>
                <w:bCs/>
                <w:lang w:val="en-IE"/>
              </w:rPr>
            </w:pPr>
            <w:r w:rsidRPr="002E3B48">
              <w:rPr>
                <w:b/>
                <w:bCs/>
                <w:i/>
                <w:iCs/>
                <w:lang w:val="en-IE"/>
              </w:rPr>
              <w:t>In vitro</w:t>
            </w:r>
            <w:r w:rsidRPr="002E3B48">
              <w:rPr>
                <w:b/>
                <w:bCs/>
                <w:lang w:val="en-IE"/>
              </w:rPr>
              <w:t>-PDCAAS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b/>
                <w:bCs/>
                <w:lang w:val="en-IE"/>
              </w:rPr>
            </w:pPr>
            <w:r w:rsidRPr="002E3B48">
              <w:rPr>
                <w:b/>
                <w:bCs/>
                <w:lang w:val="en-IE"/>
              </w:rPr>
              <w:t>DIAAS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Chickpeas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Kabuli, whole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Soaked, cooked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51.9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1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Kabuli,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Raw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77.22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360" w:type="dxa"/>
            <w:noWrap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5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Kabuli, flour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Raw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72.42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3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Peas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Green, flour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Raw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163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54.91</w:t>
            </w:r>
          </w:p>
        </w:tc>
        <w:tc>
          <w:tcPr>
            <w:tcW w:w="950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3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Green, split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Cooked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50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46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1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Yellow, split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Cooked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64.3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73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1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Yellow,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Raw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52.1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3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Yellow,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Extruded, 120°C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65.44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62.27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67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2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Yellow,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Cooked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69.19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67.44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66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2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Yellow,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Baked, 198</w:t>
            </w:r>
            <w:r w:rsidRPr="002E3B48">
              <w:rPr>
                <w:rFonts w:ascii="Cambria Math" w:hAnsi="Cambria Math" w:cs="Cambria Math"/>
                <w:lang w:val="en-IE"/>
              </w:rPr>
              <w:t>℃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68.89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65.49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64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2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Green,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Extruded, 120°C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73.61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73.03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70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2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Green,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Cooked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72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71.17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67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2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Green,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Baked, 198</w:t>
            </w:r>
            <w:r w:rsidRPr="002E3B48">
              <w:rPr>
                <w:rFonts w:ascii="Cambria Math" w:hAnsi="Cambria Math" w:cs="Cambria Math"/>
                <w:lang w:val="en-IE"/>
              </w:rPr>
              <w:t>℃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75.22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69.88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70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2</w:t>
            </w:r>
          </w:p>
        </w:tc>
      </w:tr>
      <w:tr w:rsidR="002E3B48" w:rsidRPr="002E3B48" w:rsidTr="00985CCE">
        <w:trPr>
          <w:trHeight w:val="61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 xml:space="preserve">Var. </w:t>
            </w:r>
            <w:proofErr w:type="spellStart"/>
            <w:r w:rsidRPr="002E3B48">
              <w:rPr>
                <w:lang w:val="en-IE"/>
              </w:rPr>
              <w:t>laguna</w:t>
            </w:r>
            <w:proofErr w:type="spellEnd"/>
            <w:r w:rsidRPr="002E3B48">
              <w:rPr>
                <w:lang w:val="en-IE"/>
              </w:rPr>
              <w:t>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Raw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66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9</w:t>
            </w:r>
          </w:p>
        </w:tc>
      </w:tr>
      <w:tr w:rsidR="002E3B48" w:rsidRPr="002E3B48" w:rsidTr="00985CCE">
        <w:trPr>
          <w:trHeight w:val="61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 xml:space="preserve">Var. </w:t>
            </w:r>
            <w:proofErr w:type="spellStart"/>
            <w:r w:rsidRPr="002E3B48">
              <w:rPr>
                <w:lang w:val="en-IE"/>
              </w:rPr>
              <w:t>laguna</w:t>
            </w:r>
            <w:proofErr w:type="spellEnd"/>
            <w:r w:rsidRPr="002E3B48">
              <w:rPr>
                <w:lang w:val="en-IE"/>
              </w:rPr>
              <w:t>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Extrusion, 124°C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55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9</w:t>
            </w:r>
          </w:p>
        </w:tc>
      </w:tr>
      <w:tr w:rsidR="002E3B48" w:rsidRPr="002E3B48" w:rsidTr="00985CCE">
        <w:trPr>
          <w:trHeight w:val="61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 xml:space="preserve">Var. </w:t>
            </w:r>
            <w:proofErr w:type="spellStart"/>
            <w:r w:rsidRPr="002E3B48">
              <w:rPr>
                <w:lang w:val="en-IE"/>
              </w:rPr>
              <w:t>laguna</w:t>
            </w:r>
            <w:proofErr w:type="spellEnd"/>
            <w:r w:rsidRPr="002E3B48">
              <w:rPr>
                <w:lang w:val="en-IE"/>
              </w:rPr>
              <w:t>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Extrusion, 135°C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61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9</w:t>
            </w:r>
          </w:p>
        </w:tc>
      </w:tr>
      <w:tr w:rsidR="002E3B48" w:rsidRPr="002E3B48" w:rsidTr="00985CCE">
        <w:trPr>
          <w:trHeight w:val="630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Protein concentrate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Raw, obtained by dry-milling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71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62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6</w:t>
            </w:r>
          </w:p>
        </w:tc>
      </w:tr>
      <w:tr w:rsidR="002E3B48" w:rsidRPr="002E3B48" w:rsidTr="00985CCE">
        <w:trPr>
          <w:trHeight w:val="585"/>
        </w:trPr>
        <w:tc>
          <w:tcPr>
            <w:tcW w:w="1216" w:type="dxa"/>
            <w:vMerge w:val="restart"/>
            <w:noWrap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Beans</w:t>
            </w: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Red Kidney, whole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Soaked, cooked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54.9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51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1</w:t>
            </w:r>
          </w:p>
        </w:tc>
      </w:tr>
      <w:tr w:rsidR="002E3B48" w:rsidRPr="002E3B48" w:rsidTr="00985CCE">
        <w:trPr>
          <w:trHeight w:val="58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Red Kidney,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Extruded, 120°C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64.95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63.99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60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4</w:t>
            </w:r>
          </w:p>
        </w:tc>
      </w:tr>
      <w:tr w:rsidR="002E3B48" w:rsidRPr="002E3B48" w:rsidTr="00985CCE">
        <w:trPr>
          <w:trHeight w:val="58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Red Kidney,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Soaked, cooked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62.4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63.74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58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4</w:t>
            </w:r>
          </w:p>
        </w:tc>
      </w:tr>
      <w:tr w:rsidR="002E3B48" w:rsidRPr="002E3B48" w:rsidTr="00985CCE">
        <w:trPr>
          <w:trHeight w:val="58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Red Kidney,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Baked, 193°C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50.1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53.24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46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4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Navy, whole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Soaked, cooked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66.7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65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1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Navy,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Extruded, 120°C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60.82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55.33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56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4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proofErr w:type="spellStart"/>
            <w:r w:rsidRPr="002E3B48">
              <w:rPr>
                <w:lang w:val="en-IE"/>
              </w:rPr>
              <w:t>Navy,whole</w:t>
            </w:r>
            <w:proofErr w:type="spellEnd"/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Soaked, cooked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61.23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54.86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57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4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Navy,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Baked, 193°C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53.62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60.95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50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4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Black, whole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Soaked, cooked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53.4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49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1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Black,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Extruded, 120°C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69.74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67.55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65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4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Black, whole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Soaked, cooked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67.54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62.31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63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4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Black,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Baked, 193°C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57.52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67.22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53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4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Pinto,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Extruded, 120°C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61.76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58.43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57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7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Pinto,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Baked, 193°C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41.67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53.44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39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7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Pinto, whole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Soaked, cooked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59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60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1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Pinto,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Extruded, 120°C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66.21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64.95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61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4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Pinto, whole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Soaked, cooked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75.1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70.19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70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4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Pinto, flour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Baked, 193°C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47.75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59.48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44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4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Lentils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Red, split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Cooked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53.8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50</w:t>
            </w: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1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Red, 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Raw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43.63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3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Green, whole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Cooked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62.8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58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1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proofErr w:type="spellStart"/>
            <w:r w:rsidRPr="002E3B48">
              <w:rPr>
                <w:lang w:val="en-IE"/>
              </w:rPr>
              <w:t>Faba</w:t>
            </w:r>
            <w:proofErr w:type="spellEnd"/>
            <w:r w:rsidRPr="002E3B48">
              <w:rPr>
                <w:lang w:val="en-IE"/>
              </w:rPr>
              <w:t xml:space="preserve"> beans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flour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Raw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163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55.19</w:t>
            </w:r>
          </w:p>
        </w:tc>
        <w:tc>
          <w:tcPr>
            <w:tcW w:w="950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3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flour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Extruded, 120°C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58.01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54.45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54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4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whole</w:t>
            </w:r>
          </w:p>
        </w:tc>
        <w:tc>
          <w:tcPr>
            <w:tcW w:w="17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Soaked, cooked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54.14</w:t>
            </w:r>
          </w:p>
        </w:tc>
        <w:tc>
          <w:tcPr>
            <w:tcW w:w="1163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49.81</w:t>
            </w:r>
          </w:p>
        </w:tc>
        <w:tc>
          <w:tcPr>
            <w:tcW w:w="95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59</w:t>
            </w:r>
          </w:p>
        </w:tc>
        <w:tc>
          <w:tcPr>
            <w:tcW w:w="360" w:type="dxa"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4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flour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Baked, 193°C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66.36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57.49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61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4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Oat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flour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Raw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66.96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3</w:t>
            </w:r>
          </w:p>
        </w:tc>
      </w:tr>
      <w:tr w:rsidR="002E3B48" w:rsidRPr="002E3B48" w:rsidTr="00985CCE">
        <w:trPr>
          <w:trHeight w:val="405"/>
        </w:trPr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Almond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flour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Raw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46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lang w:val="en-IE"/>
              </w:rPr>
              <w:t>41.48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t>8</w:t>
            </w:r>
          </w:p>
        </w:tc>
      </w:tr>
      <w:tr w:rsidR="002E3B48" w:rsidRPr="002E3B48" w:rsidTr="00985CCE">
        <w:trPr>
          <w:trHeight w:val="1311"/>
        </w:trPr>
        <w:tc>
          <w:tcPr>
            <w:tcW w:w="7995" w:type="dxa"/>
            <w:gridSpan w:val="7"/>
            <w:tcBorders>
              <w:top w:val="single" w:sz="4" w:space="0" w:color="auto"/>
            </w:tcBorders>
            <w:vAlign w:val="center"/>
            <w:hideMark/>
          </w:tcPr>
          <w:p w:rsidR="002E3B48" w:rsidRPr="002E3B48" w:rsidRDefault="002E3B48" w:rsidP="002E3B48">
            <w:pPr>
              <w:spacing w:after="200" w:line="276" w:lineRule="auto"/>
              <w:rPr>
                <w:lang w:val="en-IE"/>
              </w:rPr>
            </w:pPr>
            <w:r w:rsidRPr="002E3B48">
              <w:rPr>
                <w:vertAlign w:val="superscript"/>
                <w:lang w:val="en-IE"/>
              </w:rPr>
              <w:lastRenderedPageBreak/>
              <w:t>1</w:t>
            </w:r>
            <w:r w:rsidRPr="002E3B48">
              <w:rPr>
                <w:lang w:val="en-IE"/>
              </w:rPr>
              <w:t>(</w:t>
            </w:r>
            <w:proofErr w:type="spellStart"/>
            <w:r w:rsidRPr="002E3B48">
              <w:rPr>
                <w:lang w:val="en-IE"/>
              </w:rPr>
              <w:t>Nosworthy</w:t>
            </w:r>
            <w:proofErr w:type="spellEnd"/>
            <w:r w:rsidRPr="002E3B48">
              <w:rPr>
                <w:lang w:val="en-IE"/>
              </w:rPr>
              <w:t xml:space="preserve">, Neufeld, et al., 2017), </w:t>
            </w:r>
            <w:r w:rsidRPr="002E3B48">
              <w:rPr>
                <w:vertAlign w:val="superscript"/>
                <w:lang w:val="en-IE"/>
              </w:rPr>
              <w:t>2</w:t>
            </w:r>
            <w:r w:rsidRPr="002E3B48">
              <w:rPr>
                <w:lang w:val="en-IE"/>
              </w:rPr>
              <w:t>(</w:t>
            </w:r>
            <w:proofErr w:type="spellStart"/>
            <w:r w:rsidRPr="002E3B48">
              <w:rPr>
                <w:lang w:val="en-IE"/>
              </w:rPr>
              <w:t>Nosworthy</w:t>
            </w:r>
            <w:proofErr w:type="spellEnd"/>
            <w:r w:rsidRPr="002E3B48">
              <w:rPr>
                <w:lang w:val="en-IE"/>
              </w:rPr>
              <w:t xml:space="preserve">, </w:t>
            </w:r>
            <w:proofErr w:type="spellStart"/>
            <w:r w:rsidRPr="002E3B48">
              <w:rPr>
                <w:lang w:val="en-IE"/>
              </w:rPr>
              <w:t>Franczyk</w:t>
            </w:r>
            <w:proofErr w:type="spellEnd"/>
            <w:r w:rsidRPr="002E3B48">
              <w:rPr>
                <w:lang w:val="en-IE"/>
              </w:rPr>
              <w:t>, Medina, et al., 2017),</w:t>
            </w:r>
            <w:r w:rsidRPr="002E3B48">
              <w:rPr>
                <w:vertAlign w:val="superscript"/>
                <w:lang w:val="en-IE"/>
              </w:rPr>
              <w:t>3</w:t>
            </w:r>
            <w:r w:rsidRPr="002E3B48">
              <w:rPr>
                <w:lang w:val="en-IE"/>
              </w:rPr>
              <w:t xml:space="preserve">(Stone, </w:t>
            </w:r>
            <w:proofErr w:type="spellStart"/>
            <w:r w:rsidRPr="002E3B48">
              <w:rPr>
                <w:lang w:val="en-IE"/>
              </w:rPr>
              <w:t>Nosworthy</w:t>
            </w:r>
            <w:proofErr w:type="spellEnd"/>
            <w:r w:rsidRPr="002E3B48">
              <w:rPr>
                <w:lang w:val="en-IE"/>
              </w:rPr>
              <w:t xml:space="preserve">, </w:t>
            </w:r>
            <w:proofErr w:type="spellStart"/>
            <w:r w:rsidRPr="002E3B48">
              <w:rPr>
                <w:lang w:val="en-IE"/>
              </w:rPr>
              <w:t>Chiremba</w:t>
            </w:r>
            <w:proofErr w:type="spellEnd"/>
            <w:r w:rsidRPr="002E3B48">
              <w:rPr>
                <w:lang w:val="en-IE"/>
              </w:rPr>
              <w:t>, House, &amp; Nickerson, 2019),</w:t>
            </w:r>
            <w:r w:rsidRPr="002E3B48">
              <w:rPr>
                <w:vertAlign w:val="superscript"/>
                <w:lang w:val="en-IE"/>
              </w:rPr>
              <w:t xml:space="preserve"> 4</w:t>
            </w:r>
            <w:r w:rsidRPr="002E3B48">
              <w:rPr>
                <w:lang w:val="en-IE"/>
              </w:rPr>
              <w:t xml:space="preserve"> (</w:t>
            </w:r>
            <w:proofErr w:type="spellStart"/>
            <w:r w:rsidRPr="002E3B48">
              <w:rPr>
                <w:lang w:val="en-IE"/>
              </w:rPr>
              <w:t>Nosworthy</w:t>
            </w:r>
            <w:proofErr w:type="spellEnd"/>
            <w:r w:rsidRPr="002E3B48">
              <w:rPr>
                <w:lang w:val="en-IE"/>
              </w:rPr>
              <w:t xml:space="preserve"> et. al., 2018), </w:t>
            </w:r>
            <w:r w:rsidRPr="002E3B48">
              <w:rPr>
                <w:vertAlign w:val="superscript"/>
                <w:lang w:val="en-IE"/>
              </w:rPr>
              <w:t>5</w:t>
            </w:r>
            <w:r w:rsidRPr="002E3B48">
              <w:rPr>
                <w:lang w:val="en-IE"/>
              </w:rPr>
              <w:t xml:space="preserve">(Stone et al., 2019), </w:t>
            </w:r>
            <w:r w:rsidRPr="002E3B48">
              <w:rPr>
                <w:vertAlign w:val="superscript"/>
                <w:lang w:val="en-IE"/>
              </w:rPr>
              <w:t>6</w:t>
            </w:r>
            <w:r w:rsidRPr="002E3B48">
              <w:rPr>
                <w:lang w:val="en-IE"/>
              </w:rPr>
              <w:t>(</w:t>
            </w:r>
            <w:proofErr w:type="spellStart"/>
            <w:r w:rsidRPr="002E3B48">
              <w:rPr>
                <w:lang w:val="en-IE"/>
              </w:rPr>
              <w:t>Mathai</w:t>
            </w:r>
            <w:proofErr w:type="spellEnd"/>
            <w:r w:rsidRPr="002E3B48">
              <w:rPr>
                <w:lang w:val="en-IE"/>
              </w:rPr>
              <w:t xml:space="preserve">, Liu, &amp; Stein, 2017), </w:t>
            </w:r>
            <w:r w:rsidRPr="002E3B48">
              <w:rPr>
                <w:vertAlign w:val="superscript"/>
                <w:lang w:val="en-IE"/>
              </w:rPr>
              <w:t>7</w:t>
            </w:r>
            <w:r w:rsidRPr="002E3B48">
              <w:rPr>
                <w:lang w:val="en-IE"/>
              </w:rPr>
              <w:t>(</w:t>
            </w:r>
            <w:proofErr w:type="spellStart"/>
            <w:r w:rsidRPr="002E3B48">
              <w:rPr>
                <w:lang w:val="en-IE"/>
              </w:rPr>
              <w:t>Nosworthy</w:t>
            </w:r>
            <w:proofErr w:type="spellEnd"/>
            <w:r w:rsidRPr="002E3B48">
              <w:rPr>
                <w:lang w:val="en-IE"/>
              </w:rPr>
              <w:t xml:space="preserve">, </w:t>
            </w:r>
            <w:proofErr w:type="spellStart"/>
            <w:r w:rsidRPr="002E3B48">
              <w:rPr>
                <w:lang w:val="en-IE"/>
              </w:rPr>
              <w:t>Franczyk</w:t>
            </w:r>
            <w:proofErr w:type="spellEnd"/>
            <w:r w:rsidRPr="002E3B48">
              <w:rPr>
                <w:lang w:val="en-IE"/>
              </w:rPr>
              <w:t xml:space="preserve">, </w:t>
            </w:r>
            <w:proofErr w:type="spellStart"/>
            <w:r w:rsidRPr="002E3B48">
              <w:rPr>
                <w:lang w:val="en-IE"/>
              </w:rPr>
              <w:t>Zimoch-Korzycka</w:t>
            </w:r>
            <w:proofErr w:type="spellEnd"/>
            <w:r w:rsidRPr="002E3B48">
              <w:rPr>
                <w:lang w:val="en-IE"/>
              </w:rPr>
              <w:t xml:space="preserve">, et al., 2017), </w:t>
            </w:r>
            <w:r w:rsidRPr="002E3B48">
              <w:rPr>
                <w:vertAlign w:val="superscript"/>
                <w:lang w:val="en-IE"/>
              </w:rPr>
              <w:t>8</w:t>
            </w:r>
            <w:r w:rsidRPr="002E3B48">
              <w:rPr>
                <w:lang w:val="en-IE"/>
              </w:rPr>
              <w:t xml:space="preserve">(House, Hill, Neufeld, </w:t>
            </w:r>
            <w:proofErr w:type="spellStart"/>
            <w:r w:rsidRPr="002E3B48">
              <w:rPr>
                <w:lang w:val="en-IE"/>
              </w:rPr>
              <w:t>Franczyk</w:t>
            </w:r>
            <w:proofErr w:type="spellEnd"/>
            <w:r w:rsidRPr="002E3B48">
              <w:rPr>
                <w:lang w:val="en-IE"/>
              </w:rPr>
              <w:t xml:space="preserve">, &amp; </w:t>
            </w:r>
            <w:proofErr w:type="spellStart"/>
            <w:r w:rsidRPr="002E3B48">
              <w:rPr>
                <w:lang w:val="en-IE"/>
              </w:rPr>
              <w:t>Nosworthy</w:t>
            </w:r>
            <w:proofErr w:type="spellEnd"/>
            <w:r w:rsidRPr="002E3B48">
              <w:rPr>
                <w:lang w:val="en-IE"/>
              </w:rPr>
              <w:t>, 2019),</w:t>
            </w:r>
            <w:r w:rsidRPr="002E3B48">
              <w:rPr>
                <w:vertAlign w:val="superscript"/>
                <w:lang w:val="en-IE"/>
              </w:rPr>
              <w:t xml:space="preserve"> 9</w:t>
            </w:r>
            <w:r w:rsidRPr="002E3B48">
              <w:rPr>
                <w:lang w:val="en-IE"/>
              </w:rPr>
              <w:t>(</w:t>
            </w:r>
            <w:proofErr w:type="spellStart"/>
            <w:r w:rsidRPr="002E3B48">
              <w:rPr>
                <w:lang w:val="en-IE"/>
              </w:rPr>
              <w:t>Frias</w:t>
            </w:r>
            <w:proofErr w:type="spellEnd"/>
            <w:r w:rsidRPr="002E3B48">
              <w:rPr>
                <w:lang w:val="en-IE"/>
              </w:rPr>
              <w:t xml:space="preserve"> et al., 2011)</w:t>
            </w:r>
          </w:p>
        </w:tc>
      </w:tr>
    </w:tbl>
    <w:p w:rsidR="002E3B48" w:rsidRPr="002E3B48" w:rsidRDefault="002E3B48" w:rsidP="002E3B48">
      <w:pPr>
        <w:rPr>
          <w:b/>
          <w:bCs/>
          <w:lang w:val="en-IE"/>
        </w:rPr>
      </w:pPr>
    </w:p>
    <w:p w:rsidR="002E3B48" w:rsidRPr="002E3B48" w:rsidRDefault="002E3B48" w:rsidP="002E3B48">
      <w:pPr>
        <w:rPr>
          <w:b/>
          <w:bCs/>
          <w:lang w:val="en-IE"/>
        </w:rPr>
      </w:pPr>
    </w:p>
    <w:p w:rsidR="002E3B48" w:rsidRPr="002E3B48" w:rsidRDefault="002E3B48" w:rsidP="002E3B48">
      <w:pPr>
        <w:rPr>
          <w:lang w:val="en-IE"/>
        </w:rPr>
      </w:pPr>
    </w:p>
    <w:p w:rsidR="002E3B48" w:rsidRPr="002E3B48" w:rsidRDefault="002E3B48" w:rsidP="002E3B48">
      <w:pPr>
        <w:rPr>
          <w:lang w:val="en-IE"/>
        </w:rPr>
      </w:pPr>
    </w:p>
    <w:p w:rsidR="002E3B48" w:rsidRPr="002E3B48" w:rsidRDefault="002E3B48" w:rsidP="002E3B48">
      <w:pPr>
        <w:rPr>
          <w:lang w:val="en-IE"/>
        </w:rPr>
      </w:pPr>
    </w:p>
    <w:p w:rsidR="002E3B48" w:rsidRPr="002E3B48" w:rsidRDefault="002E3B48" w:rsidP="002E3B48">
      <w:pPr>
        <w:rPr>
          <w:lang w:val="en-IE"/>
        </w:rPr>
      </w:pPr>
    </w:p>
    <w:p w:rsidR="002E3B48" w:rsidRPr="002E3B48" w:rsidRDefault="002E3B48" w:rsidP="002E3B48">
      <w:pPr>
        <w:rPr>
          <w:lang w:val="en-IE"/>
        </w:rPr>
      </w:pPr>
    </w:p>
    <w:p w:rsidR="002E3B48" w:rsidRPr="002E3B48" w:rsidRDefault="002E3B48" w:rsidP="002E3B48">
      <w:pPr>
        <w:rPr>
          <w:lang w:val="en-IE"/>
        </w:rPr>
      </w:pPr>
    </w:p>
    <w:p w:rsidR="002E3B48" w:rsidRPr="002E3B48" w:rsidRDefault="002E3B48" w:rsidP="002E3B48">
      <w:pPr>
        <w:rPr>
          <w:lang w:val="en-IE"/>
        </w:rPr>
      </w:pPr>
    </w:p>
    <w:p w:rsidR="002E3B48" w:rsidRPr="002E3B48" w:rsidRDefault="002E3B48" w:rsidP="002E3B48">
      <w:pPr>
        <w:rPr>
          <w:lang w:val="en-IE"/>
        </w:rPr>
      </w:pPr>
    </w:p>
    <w:p w:rsidR="002E3B48" w:rsidRPr="002E3B48" w:rsidRDefault="002E3B48" w:rsidP="002E3B48">
      <w:pPr>
        <w:rPr>
          <w:lang w:val="en-IE"/>
        </w:rPr>
      </w:pPr>
    </w:p>
    <w:p w:rsidR="002E3B48" w:rsidRPr="002E3B48" w:rsidRDefault="002E3B48" w:rsidP="002E3B48">
      <w:pPr>
        <w:rPr>
          <w:lang w:val="en-IE"/>
        </w:rPr>
      </w:pPr>
      <w:r w:rsidRPr="002E3B48">
        <w:drawing>
          <wp:inline distT="0" distB="0" distL="0" distR="0" wp14:anchorId="1432DDB3" wp14:editId="7E6FDFAF">
            <wp:extent cx="5685905" cy="3870960"/>
            <wp:effectExtent l="0" t="0" r="0" b="0"/>
            <wp:docPr id="24" name="Picture 2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hart, bar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5905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B48" w:rsidRPr="002E3B48" w:rsidRDefault="002E3B48" w:rsidP="002E3B48">
      <w:pPr>
        <w:rPr>
          <w:lang w:val="en-IE"/>
        </w:rPr>
      </w:pPr>
      <w:r w:rsidRPr="002E3B48">
        <w:rPr>
          <w:lang w:val="en-IE"/>
        </w:rPr>
        <w:t>Supplementary Figure S2: Countries of origin of the reviewed plant-based yoghurt alternatives.</w:t>
      </w:r>
    </w:p>
    <w:p w:rsidR="002E3B48" w:rsidRPr="002E3B48" w:rsidRDefault="002E3B48" w:rsidP="002E3B48">
      <w:pPr>
        <w:rPr>
          <w:lang w:val="en-IE"/>
        </w:rPr>
        <w:sectPr w:rsidR="002E3B48" w:rsidRPr="002E3B48" w:rsidSect="00DC2A4D">
          <w:footerReference w:type="default" r:id="rId6"/>
          <w:pgSz w:w="11906" w:h="16838"/>
          <w:pgMar w:top="1417" w:right="1417" w:bottom="1134" w:left="1417" w:header="708" w:footer="708" w:gutter="0"/>
          <w:lnNumType w:countBy="1" w:restart="continuous"/>
          <w:cols w:space="708"/>
          <w:docGrid w:linePitch="360"/>
        </w:sectPr>
      </w:pPr>
    </w:p>
    <w:p w:rsidR="002E3B48" w:rsidRPr="002E3B48" w:rsidRDefault="002E3B48" w:rsidP="002E3B48">
      <w:pPr>
        <w:rPr>
          <w:lang w:val="en-IE"/>
        </w:rPr>
      </w:pPr>
      <w:r w:rsidRPr="002E3B48">
        <w:rPr>
          <w:lang w:val="en-IE"/>
        </w:rPr>
        <w:lastRenderedPageBreak/>
        <w:t xml:space="preserve">Supplementary Table S3: Average nutritional composition of the reviewed yoghurt alternatives, and dairy yoghurt for comparison.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2"/>
        <w:gridCol w:w="754"/>
        <w:gridCol w:w="250"/>
        <w:gridCol w:w="642"/>
        <w:gridCol w:w="475"/>
        <w:gridCol w:w="250"/>
        <w:gridCol w:w="754"/>
        <w:gridCol w:w="650"/>
        <w:gridCol w:w="305"/>
        <w:gridCol w:w="650"/>
        <w:gridCol w:w="731"/>
        <w:gridCol w:w="344"/>
        <w:gridCol w:w="731"/>
        <w:gridCol w:w="542"/>
        <w:gridCol w:w="255"/>
        <w:gridCol w:w="542"/>
        <w:gridCol w:w="531"/>
        <w:gridCol w:w="250"/>
        <w:gridCol w:w="531"/>
        <w:gridCol w:w="531"/>
        <w:gridCol w:w="250"/>
        <w:gridCol w:w="531"/>
        <w:gridCol w:w="751"/>
        <w:gridCol w:w="353"/>
        <w:gridCol w:w="751"/>
      </w:tblGrid>
      <w:tr w:rsidR="002E3B48" w:rsidRPr="002E3B48" w:rsidTr="00985CCE">
        <w:trPr>
          <w:trHeight w:val="27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b/>
                <w:bCs/>
                <w:lang w:val="de-DE"/>
              </w:rPr>
            </w:pPr>
            <w:r w:rsidRPr="002E3B48">
              <w:rPr>
                <w:b/>
                <w:bCs/>
                <w:lang w:val="de-DE"/>
              </w:rPr>
              <w:t>Base ingredient, total, average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b/>
                <w:bCs/>
                <w:lang w:val="de-DE"/>
              </w:rPr>
              <w:t>Energy (kcal)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b/>
                <w:bCs/>
                <w:lang w:val="de-DE"/>
              </w:rPr>
              <w:t>Energy (kj)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b/>
                <w:bCs/>
                <w:lang w:val="de-DE"/>
              </w:rPr>
              <w:t>Carbohydrates (g)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en-IE"/>
              </w:rPr>
            </w:pPr>
            <w:r w:rsidRPr="002E3B48">
              <w:rPr>
                <w:b/>
                <w:bCs/>
                <w:lang w:val="en-IE"/>
              </w:rPr>
              <w:t>- Of which total sugars (g)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b/>
                <w:bCs/>
                <w:lang w:val="de-DE"/>
              </w:rPr>
              <w:t>Total fiber (g)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b/>
                <w:bCs/>
                <w:lang w:val="de-DE"/>
              </w:rPr>
              <w:t>Protein (g)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b/>
                <w:bCs/>
                <w:lang w:val="de-DE"/>
              </w:rPr>
              <w:t>Total fat (g)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en-IE"/>
              </w:rPr>
            </w:pPr>
            <w:r w:rsidRPr="002E3B48">
              <w:rPr>
                <w:b/>
                <w:bCs/>
                <w:lang w:val="en-IE"/>
              </w:rPr>
              <w:t>- Of which saturated fat (g)</w:t>
            </w:r>
          </w:p>
        </w:tc>
      </w:tr>
      <w:tr w:rsidR="002E3B48" w:rsidRPr="002E3B48" w:rsidTr="00985CC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Coconut, n=32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114.39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54.25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510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209.16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5.55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2.63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9.83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6.08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8.53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5.78</w:t>
            </w:r>
          </w:p>
        </w:tc>
      </w:tr>
      <w:tr w:rsidR="002E3B48" w:rsidRPr="002E3B48" w:rsidTr="00985CC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Lupin, n=2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101.00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5.60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0.00</w:t>
            </w:r>
          </w:p>
        </w:tc>
      </w:tr>
      <w:tr w:rsidR="002E3B48" w:rsidRPr="002E3B48" w:rsidTr="00985CC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Almond, n=12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83.98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27.13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93.33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6.45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5.41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0.23</w:t>
            </w:r>
          </w:p>
        </w:tc>
      </w:tr>
      <w:tr w:rsidR="002E3B48" w:rsidRPr="002E3B48" w:rsidTr="00985CC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Cashew, n=5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74.27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17.19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70.87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5.86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4.85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0.23</w:t>
            </w:r>
          </w:p>
        </w:tc>
      </w:tr>
      <w:tr w:rsidR="002E3B48" w:rsidRPr="002E3B48" w:rsidTr="00985CC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Oat, n=8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72.19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36.43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160.87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9.51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1.69</w:t>
            </w:r>
          </w:p>
        </w:tc>
      </w:tr>
      <w:tr w:rsidR="002E3B48" w:rsidRPr="002E3B48" w:rsidTr="00985CC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Soy, n=16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61.82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17.02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71.89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4.81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5.41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3.70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4.96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4.20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0.14</w:t>
            </w:r>
          </w:p>
        </w:tc>
      </w:tr>
      <w:tr w:rsidR="002E3B48" w:rsidRPr="002E3B48" w:rsidTr="00985CC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Pea, n=1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60.00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</w:tr>
      <w:tr w:rsidR="002E3B48" w:rsidRPr="002E3B48" w:rsidTr="00985CC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Flaxseed, n=1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58.80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8.23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</w:tr>
      <w:tr w:rsidR="002E3B48" w:rsidRPr="002E3B48" w:rsidTr="00985CC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Hemp, n=1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38.00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N.g.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</w:p>
        </w:tc>
      </w:tr>
      <w:tr w:rsidR="002E3B48" w:rsidRPr="002E3B48" w:rsidTr="00985CC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Dairy, n=5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74.34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15.51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63.03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5.27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5.16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3.92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B48" w:rsidRPr="002E3B48" w:rsidRDefault="002E3B48" w:rsidP="002E3B48">
            <w:pPr>
              <w:rPr>
                <w:lang w:val="de-DE"/>
              </w:rPr>
            </w:pPr>
            <w:r w:rsidRPr="002E3B48">
              <w:rPr>
                <w:lang w:val="de-DE"/>
              </w:rPr>
              <w:t>0.30</w:t>
            </w:r>
          </w:p>
        </w:tc>
      </w:tr>
    </w:tbl>
    <w:p w:rsidR="002E3B48" w:rsidRPr="002E3B48" w:rsidRDefault="002E3B48" w:rsidP="002E3B48">
      <w:pPr>
        <w:rPr>
          <w:lang w:val="en-IE"/>
        </w:rPr>
      </w:pPr>
    </w:p>
    <w:p w:rsidR="002E3B48" w:rsidRPr="002E3B48" w:rsidRDefault="002E3B48" w:rsidP="002E3B48">
      <w:pPr>
        <w:rPr>
          <w:b/>
          <w:bCs/>
          <w:lang w:val="en-IE"/>
        </w:rPr>
      </w:pPr>
    </w:p>
    <w:p w:rsidR="002E3B48" w:rsidRPr="002E3B48" w:rsidRDefault="002E3B48" w:rsidP="002E3B48">
      <w:pPr>
        <w:rPr>
          <w:b/>
          <w:bCs/>
          <w:lang w:val="en-IE"/>
        </w:rPr>
      </w:pPr>
    </w:p>
    <w:p w:rsidR="00A71D06" w:rsidRDefault="00A71D06">
      <w:bookmarkStart w:id="0" w:name="_GoBack"/>
      <w:bookmarkEnd w:id="0"/>
    </w:p>
    <w:sectPr w:rsidR="00A71D06" w:rsidSect="00A1063A">
      <w:pgSz w:w="16838" w:h="11906" w:orient="landscape"/>
      <w:pgMar w:top="1418" w:right="1134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9177160"/>
      <w:docPartObj>
        <w:docPartGallery w:val="Page Numbers (Bottom of Page)"/>
        <w:docPartUnique/>
      </w:docPartObj>
    </w:sdtPr>
    <w:sdtEndPr/>
    <w:sdtContent>
      <w:p w:rsidR="00625EAF" w:rsidRDefault="002E3B4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625EAF" w:rsidRDefault="002E3B4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B48"/>
    <w:rsid w:val="002E3B48"/>
    <w:rsid w:val="00A7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3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2E3B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3B48"/>
  </w:style>
  <w:style w:type="character" w:styleId="LineNumber">
    <w:name w:val="line number"/>
    <w:basedOn w:val="DefaultParagraphFont"/>
    <w:uiPriority w:val="99"/>
    <w:semiHidden/>
    <w:unhideWhenUsed/>
    <w:rsid w:val="002E3B48"/>
  </w:style>
  <w:style w:type="paragraph" w:styleId="BalloonText">
    <w:name w:val="Balloon Text"/>
    <w:basedOn w:val="Normal"/>
    <w:link w:val="BalloonTextChar"/>
    <w:uiPriority w:val="99"/>
    <w:semiHidden/>
    <w:unhideWhenUsed/>
    <w:rsid w:val="002E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3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2E3B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3B48"/>
  </w:style>
  <w:style w:type="character" w:styleId="LineNumber">
    <w:name w:val="line number"/>
    <w:basedOn w:val="DefaultParagraphFont"/>
    <w:uiPriority w:val="99"/>
    <w:semiHidden/>
    <w:unhideWhenUsed/>
    <w:rsid w:val="002E3B48"/>
  </w:style>
  <w:style w:type="paragraph" w:styleId="BalloonText">
    <w:name w:val="Balloon Text"/>
    <w:basedOn w:val="Normal"/>
    <w:link w:val="BalloonTextChar"/>
    <w:uiPriority w:val="99"/>
    <w:semiHidden/>
    <w:unhideWhenUsed/>
    <w:rsid w:val="002E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 Edit 6.0</dc:creator>
  <cp:lastModifiedBy>Power Edit 6.0</cp:lastModifiedBy>
  <cp:revision>1</cp:revision>
  <dcterms:created xsi:type="dcterms:W3CDTF">2021-05-13T09:13:00Z</dcterms:created>
  <dcterms:modified xsi:type="dcterms:W3CDTF">2021-05-13T09:14:00Z</dcterms:modified>
</cp:coreProperties>
</file>