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40FD" w:rsidRDefault="00D34150">
      <w:pPr>
        <w:pStyle w:val="Title"/>
      </w:pPr>
      <w:r>
        <w:t>Supplementary Information</w:t>
      </w:r>
    </w:p>
    <w:p w:rsidR="00FC40FD" w:rsidRDefault="00FC40FD">
      <w:pPr>
        <w:pStyle w:val="FirstParagraph"/>
      </w:pPr>
    </w:p>
    <w:p w:rsidR="00FC40FD" w:rsidRDefault="00D34150">
      <w:pPr>
        <w:pStyle w:val="Heading2"/>
      </w:pPr>
      <w:bookmarkStart w:id="0" w:name="supplementary-methods"/>
      <w:bookmarkEnd w:id="0"/>
      <w:r>
        <w:t>Supplementary Methods</w:t>
      </w:r>
    </w:p>
    <w:p w:rsidR="00FC40FD" w:rsidRDefault="00D34150">
      <w:pPr>
        <w:pStyle w:val="FirstParagraph"/>
      </w:pPr>
      <w:r>
        <w:rPr>
          <w:b/>
        </w:rPr>
        <w:t>Sampling</w:t>
      </w:r>
    </w:p>
    <w:p w:rsidR="00FC40FD" w:rsidRPr="00D34150" w:rsidRDefault="00D34150">
      <w:pPr>
        <w:pStyle w:val="BodyText"/>
      </w:pPr>
      <w:r w:rsidRPr="00D34150">
        <w:t>For a breakdow</w:t>
      </w:r>
      <w:bookmarkStart w:id="1" w:name="_GoBack"/>
      <w:bookmarkEnd w:id="1"/>
      <w:r w:rsidRPr="00D34150">
        <w:t xml:space="preserve">n of samples </w:t>
      </w:r>
      <w:r w:rsidR="002173C4">
        <w:t xml:space="preserve">and a summary of clinical data </w:t>
      </w:r>
      <w:r w:rsidRPr="00D34150">
        <w:t xml:space="preserve">please see Table 1, for description of subjects and </w:t>
      </w:r>
      <w:r w:rsidR="002173C4">
        <w:t xml:space="preserve">detailed </w:t>
      </w:r>
      <w:r w:rsidRPr="00D34150">
        <w:t>clinical data, see online Supplementary Table 1.</w:t>
      </w:r>
    </w:p>
    <w:p w:rsidR="00FC40FD" w:rsidRPr="00D34150" w:rsidRDefault="00D34150">
      <w:pPr>
        <w:pStyle w:val="BodyText"/>
      </w:pPr>
      <w:r w:rsidRPr="00D34150">
        <w:rPr>
          <w:i/>
        </w:rPr>
        <w:t>CRC patients:</w:t>
      </w:r>
      <w:r w:rsidRPr="00D34150">
        <w:t xml:space="preserve"> Individuals scheduled for colonic resection at Mercy University Hospital, Cork, were recruited to the study. These individuals had presented with altered bowel habits, rectal bleeding, or other factors, and had a conformed diagnosis of cancer prior to surgery. Exclusion criteria were a personal history of CRC, IBD or IBS. Individuals were not treated with antibiotics in the month prior to surgery but were administered antibiotics intravenously within a few hours of the resection. After surgery, two samples from up to five different sites were collected in RNAlater (Qiagen, Hilden, Germany): OFFD (off-distal; 2–5 cm towards the distal end of the colon), OFFP (off-proximal; 2–5 cm towards the proximal end of the colon), UDD (undiseased distal; as far away from the cancer as possible; distal; usually 10–30 cm) and UDP (undiseased proximal; as far away from the cancer as possible; proximal; usually 10–30 cm). Samples were placed in 3 mL RNAlater, stored at 4°C for 12 h and then stored at −20°C. Faecal samples were self-sampled prior to the start of the bowel preparation, transported to the laborato</w:t>
      </w:r>
      <w:r w:rsidR="002D1670" w:rsidRPr="00D34150">
        <w:t>ry on ice and frozen at −80°C.</w:t>
      </w:r>
    </w:p>
    <w:p w:rsidR="002D1670" w:rsidRPr="00D34150" w:rsidRDefault="00D34150">
      <w:pPr>
        <w:pStyle w:val="BodyText"/>
      </w:pPr>
      <w:r w:rsidRPr="00D34150">
        <w:rPr>
          <w:i/>
        </w:rPr>
        <w:lastRenderedPageBreak/>
        <w:t>Polyps:</w:t>
      </w:r>
      <w:r w:rsidRPr="00D34150">
        <w:t xml:space="preserve"> Polyp biopsies were collected from patients presenting for routine colonoscopy</w:t>
      </w:r>
      <w:r w:rsidRPr="00D34150">
        <w:rPr>
          <w:vertAlign w:val="superscript"/>
        </w:rPr>
        <w:t>[1]</w:t>
      </w:r>
      <w:r w:rsidRPr="00D34150">
        <w:t xml:space="preserve">. Biopsy samples from individuals with polyps were obtained in RNAlater as described above. Mostly, undiseased tissue was collected from individuals with polyps because the small polyp sample was reserved for examination by a pathologist. Up to two biopsies were obtained per individual upon endoscopy, one from undiseased tissue in the descending colon and one from undiseased tissue in the ascending colon. Exclusion criteria included IBD and IBS and the use of antibiotics 1 month prior to surgery. No stool samples were sampled from individuals with polyps. </w:t>
      </w:r>
    </w:p>
    <w:p w:rsidR="002D1670" w:rsidRPr="00D34150" w:rsidRDefault="00D34150">
      <w:pPr>
        <w:pStyle w:val="BodyText"/>
      </w:pPr>
      <w:r w:rsidRPr="00D34150">
        <w:rPr>
          <w:i/>
        </w:rPr>
        <w:t>Healthy controls:</w:t>
      </w:r>
      <w:r w:rsidRPr="00D34150">
        <w:t xml:space="preserve"> These individuals had presented with altered bowel habits, rectal bleeding, or other factors. Biopsy samples from healthy controls were obtained in RNAlater as described above. Exclusion criteria included IBD, IBS and CRC and use of antibiotics 1 month prior to sampling. Up to three biopsies were obtained per individual upon endoscopy, one from the descending colon, one from the transverse and one from the ascending colon. Stool samples were collected as described above. Additional samples were selected from a previously collected cohort of healthy elderly people</w:t>
      </w:r>
      <w:r w:rsidRPr="00D34150">
        <w:rPr>
          <w:vertAlign w:val="superscript"/>
        </w:rPr>
        <w:t>[2]</w:t>
      </w:r>
      <w:r w:rsidRPr="00D34150">
        <w:t xml:space="preserve">. </w:t>
      </w:r>
    </w:p>
    <w:p w:rsidR="00FC40FD" w:rsidRPr="00D34150" w:rsidRDefault="00D34150">
      <w:pPr>
        <w:pStyle w:val="BodyText"/>
      </w:pPr>
      <w:r w:rsidRPr="00D34150">
        <w:rPr>
          <w:i/>
        </w:rPr>
        <w:t>Oral samples</w:t>
      </w:r>
      <w:r w:rsidRPr="00D34150">
        <w:t xml:space="preserve"> were obtained by rubbing the inside of both cheeks with a swab. Oral swabs were stored at -80°C. No restrictions on tooth brushing or mouthwashes were applied.</w:t>
      </w:r>
    </w:p>
    <w:p w:rsidR="00FC40FD" w:rsidRPr="00D34150" w:rsidRDefault="00D34150">
      <w:pPr>
        <w:pStyle w:val="BodyText"/>
      </w:pPr>
      <w:r w:rsidRPr="00D34150">
        <w:t>The study was approved by the University Ethics Committee under the study number APC033.</w:t>
      </w:r>
    </w:p>
    <w:p w:rsidR="00FC40FD" w:rsidRPr="00D34150" w:rsidRDefault="00FC40FD">
      <w:pPr>
        <w:pStyle w:val="BodyText"/>
      </w:pPr>
    </w:p>
    <w:p w:rsidR="00FC40FD" w:rsidRPr="00D34150" w:rsidRDefault="00D34150">
      <w:pPr>
        <w:pStyle w:val="BodyText"/>
      </w:pPr>
      <w:r w:rsidRPr="00D34150">
        <w:rPr>
          <w:b/>
        </w:rPr>
        <w:t>DNA/RNA extraction and 16S rRNA gene amplicon sequencing</w:t>
      </w:r>
    </w:p>
    <w:p w:rsidR="00FC40FD" w:rsidRPr="00D34150" w:rsidRDefault="00D34150">
      <w:pPr>
        <w:pStyle w:val="BodyText"/>
      </w:pPr>
      <w:r w:rsidRPr="00D34150">
        <w:t>The protocol for simultaneous DNA and RNA extraction from all sample types is described elsewhere</w:t>
      </w:r>
      <w:r w:rsidRPr="00D34150">
        <w:rPr>
          <w:vertAlign w:val="superscript"/>
        </w:rPr>
        <w:t>[1]</w:t>
      </w:r>
      <w:r w:rsidRPr="00D34150">
        <w:t xml:space="preserve">. Briefly, genomic DNA and total RNA was extracted using the AllPrep </w:t>
      </w:r>
      <w:r w:rsidRPr="00D34150">
        <w:lastRenderedPageBreak/>
        <w:t>DNA/RNA kit from Qiagen (Hilden, Germany). Samples were homogenized using bead tubes with 250 ?l of 0.1 mm sterile glass beads and several 3-4 mm sterile glass beads in a MagnaLyzer (Roche, Penzberg, Germany). The rest of the DNA extraction was carried out according to the AllPrep DNA/RNA extraction kit (Qiagen, Hilden, Germany).</w:t>
      </w:r>
    </w:p>
    <w:p w:rsidR="00505C09" w:rsidRDefault="00D34150">
      <w:pPr>
        <w:pStyle w:val="BodyText"/>
      </w:pPr>
      <w:r w:rsidRPr="00D34150">
        <w:t>16S rRNA gene amplicon sequencing was carried out employing the 16S Metagenomic Sequencing Library Preparation protocol developed by Illumina (Illumina, San Diego, USA). Briefly, 200 ng of mucosal DNA (50 ng for faecal samples, 25 ng for oral swab samples) was amplified employing primers targeting the V3/V4 variable region of the 16S rRNA gene: 16S Amplicon PCR Forward Primer 5' (V3 region) TCGTCGGCAGCGTCAGATGTGTATAAGAGACAGCCTACG GGNGGCWGCAG (SEQUENCE ID NO: 1); 16S Amplicon PCR Reverse Primer (V4 region) 5' GTCTCGTGGGCTCGGAGATGTGTATAAGAGACAGGACTACHVGGGTATCTAATCC13 (SEQUENCE ID NO: 2). The products were purified and forward and reverse barcodes were attached (Nextera XT v2 Index Kit set A and D, Illumina, San Diego, USA). Pools of amplicons were sequenced at GATC (Konstanz, Germany) on a MiSeq sequencing instrument (Illumina, San Diego, USA) using 2 x 250 bp chemistry.</w:t>
      </w:r>
    </w:p>
    <w:p w:rsidR="00FC40FD" w:rsidRPr="00D34150" w:rsidRDefault="00FC40FD">
      <w:pPr>
        <w:pStyle w:val="BodyText"/>
      </w:pPr>
    </w:p>
    <w:p w:rsidR="00FC40FD" w:rsidRPr="00D34150" w:rsidRDefault="00D34150">
      <w:pPr>
        <w:pStyle w:val="BodyText"/>
      </w:pPr>
      <w:r w:rsidRPr="00D34150">
        <w:rPr>
          <w:b/>
        </w:rPr>
        <w:t>Analysis of 16S amplicon sequencing data</w:t>
      </w:r>
    </w:p>
    <w:p w:rsidR="002D1670" w:rsidRPr="00D34150" w:rsidRDefault="00D34150">
      <w:pPr>
        <w:pStyle w:val="BodyText"/>
      </w:pPr>
      <w:r w:rsidRPr="00D34150">
        <w:t>16S amplicon sequences were processed as previously described</w:t>
      </w:r>
      <w:r w:rsidRPr="00D34150">
        <w:rPr>
          <w:vertAlign w:val="superscript"/>
        </w:rPr>
        <w:t>[1]</w:t>
      </w:r>
      <w:r w:rsidRPr="00D34150">
        <w:t>. Briefly, adaptors were removed using cutadapt</w:t>
      </w:r>
      <w:r w:rsidRPr="00D34150">
        <w:rPr>
          <w:vertAlign w:val="superscript"/>
        </w:rPr>
        <w:t>[3]</w:t>
      </w:r>
      <w:r w:rsidRPr="00D34150">
        <w:t xml:space="preserve"> and paired-end reads were merged using FLASH</w:t>
      </w:r>
      <w:r w:rsidRPr="00D34150">
        <w:rPr>
          <w:vertAlign w:val="superscript"/>
        </w:rPr>
        <w:t>[4]</w:t>
      </w:r>
      <w:r w:rsidRPr="00D34150">
        <w:t>. Libraries were split using QIIMEs</w:t>
      </w:r>
      <w:r w:rsidRPr="00D34150">
        <w:rPr>
          <w:vertAlign w:val="superscript"/>
        </w:rPr>
        <w:t>[5]</w:t>
      </w:r>
      <w:r w:rsidRPr="00D34150">
        <w:t xml:space="preserve"> split_libraries_fastq.py script. An OTU (operational taxonomic unit) table was obtained using usearch</w:t>
      </w:r>
      <w:r w:rsidRPr="00D34150">
        <w:rPr>
          <w:vertAlign w:val="superscript"/>
        </w:rPr>
        <w:t>[6]</w:t>
      </w:r>
      <w:r w:rsidRPr="00D34150">
        <w:t xml:space="preserve"> (open reference approach). Representative OTU-sequences were classified using mothur</w:t>
      </w:r>
      <w:r w:rsidRPr="00D34150">
        <w:rPr>
          <w:vertAlign w:val="superscript"/>
        </w:rPr>
        <w:t>[7]</w:t>
      </w:r>
      <w:r w:rsidRPr="00D34150">
        <w:t xml:space="preserve"> and RDP reference, </w:t>
      </w:r>
      <w:r w:rsidRPr="00D34150">
        <w:lastRenderedPageBreak/>
        <w:t xml:space="preserve">version 14. We removed three OTUs from further analysis which were detected in sequenced negative controls (the OTUs were classified as </w:t>
      </w:r>
      <w:r w:rsidRPr="00D34150">
        <w:rPr>
          <w:i/>
        </w:rPr>
        <w:t>Halomonas</w:t>
      </w:r>
      <w:r w:rsidRPr="00D34150">
        <w:t xml:space="preserve"> (2 OTUs) and </w:t>
      </w:r>
      <w:r w:rsidRPr="00D34150">
        <w:rPr>
          <w:i/>
        </w:rPr>
        <w:t>Shewanella</w:t>
      </w:r>
      <w:r w:rsidRPr="00D34150">
        <w:t>). Since we have previously</w:t>
      </w:r>
      <w:r w:rsidRPr="00D34150">
        <w:rPr>
          <w:vertAlign w:val="superscript"/>
        </w:rPr>
        <w:t>[1]</w:t>
      </w:r>
      <w:r w:rsidRPr="00D34150">
        <w:t xml:space="preserve"> found no differences both between the four samples from OFF the cancer (OFFD, OFFP, UDD and UDP) we merged these sequences per individual and refer to this merged sample as OFF throughout this manuscript. Similarly, we could not detect differences between left and right sided biopsy samples from healthy controls</w:t>
      </w:r>
      <w:r w:rsidRPr="00D34150">
        <w:rPr>
          <w:vertAlign w:val="superscript"/>
        </w:rPr>
        <w:t>[1]</w:t>
      </w:r>
      <w:r w:rsidRPr="00D34150">
        <w:t xml:space="preserve"> and as a consequence pooled the sequences per individual. Amplicon sequencing data pertaining to Gevers </w:t>
      </w:r>
      <w:r w:rsidRPr="00D34150">
        <w:rPr>
          <w:i/>
        </w:rPr>
        <w:t>et al.</w:t>
      </w:r>
      <w:r w:rsidRPr="00D34150">
        <w:rPr>
          <w:vertAlign w:val="superscript"/>
        </w:rPr>
        <w:t>[8]</w:t>
      </w:r>
      <w:r w:rsidRPr="00D34150">
        <w:t xml:space="preserve"> was analysed similarly. In order to compare bacterial OTUs obtained in the Irish CRC cohort (sequenced region: V3-V4) with OTUs obtained in the Crohn's disease (CD) cohort (V4) we shortened the sequences of the CRC cohort to the sequenced region of the CD cohort using cutadapt and then processed the sequences of the two studies together as described above.</w:t>
      </w:r>
    </w:p>
    <w:p w:rsidR="00FC40FD" w:rsidRPr="00D34150" w:rsidRDefault="00FC40FD">
      <w:pPr>
        <w:pStyle w:val="BodyText"/>
      </w:pPr>
    </w:p>
    <w:p w:rsidR="00FC40FD" w:rsidRPr="00D34150" w:rsidRDefault="00D34150">
      <w:pPr>
        <w:pStyle w:val="BodyText"/>
      </w:pPr>
      <w:r w:rsidRPr="00D34150">
        <w:rPr>
          <w:b/>
        </w:rPr>
        <w:t>Statistical analysis</w:t>
      </w:r>
    </w:p>
    <w:p w:rsidR="00FC40FD" w:rsidRPr="00D34150" w:rsidRDefault="00D34150">
      <w:pPr>
        <w:pStyle w:val="BodyText"/>
      </w:pPr>
      <w:r w:rsidRPr="00D34150">
        <w:t>Statistical analysis was carried out in R</w:t>
      </w:r>
      <w:r w:rsidRPr="00D34150">
        <w:rPr>
          <w:vertAlign w:val="superscript"/>
        </w:rPr>
        <w:t>[9]</w:t>
      </w:r>
      <w:r w:rsidRPr="00D34150">
        <w:t xml:space="preserve">. Standard visualizations were carried out using base R or ggplot2 </w:t>
      </w:r>
      <w:r w:rsidRPr="00D34150">
        <w:rPr>
          <w:vertAlign w:val="superscript"/>
        </w:rPr>
        <w:t>[10]</w:t>
      </w:r>
      <w:r w:rsidRPr="00D34150">
        <w:t xml:space="preserve">. Unweighted UniFrac distances were calculated in QIIME using data rarified to the lowest sequencing depth per sample (5652 sequences) </w:t>
      </w:r>
      <w:r w:rsidRPr="00D34150">
        <w:rPr>
          <w:vertAlign w:val="superscript"/>
        </w:rPr>
        <w:t>[5]</w:t>
      </w:r>
      <w:r w:rsidRPr="00D34150">
        <w:t xml:space="preserve"> and were visualized using function s.class</w:t>
      </w:r>
      <w:r w:rsidRPr="00D34150">
        <w:rPr>
          <w:vertAlign w:val="superscript"/>
        </w:rPr>
        <w:t>[11]</w:t>
      </w:r>
      <w:r w:rsidRPr="00D34150">
        <w:t xml:space="preserve">. Statistical significance was established using permutational analysis of variance (PERMANOVA) using distance matrices and the function adonis of the vegan package </w:t>
      </w:r>
      <w:r w:rsidRPr="00D34150">
        <w:rPr>
          <w:vertAlign w:val="superscript"/>
        </w:rPr>
        <w:t>[12]</w:t>
      </w:r>
      <w:r w:rsidRPr="00D34150">
        <w:t>. For determination of co-abundance groups we first calculated the pairwise correlation matrix of OTUs present in 37% of individuals using available python scripts (</w:t>
      </w:r>
      <w:hyperlink r:id="rId7">
        <w:r w:rsidRPr="00D34150">
          <w:rPr>
            <w:rStyle w:val="Hyperlink"/>
          </w:rPr>
          <w:t>https://bitbucket.org/yonatanf/sparcc/downloads/</w:t>
        </w:r>
      </w:hyperlink>
      <w:r w:rsidRPr="00D34150">
        <w:t>) for the programme SparCC</w:t>
      </w:r>
      <w:r w:rsidRPr="00D34150">
        <w:rPr>
          <w:vertAlign w:val="superscript"/>
        </w:rPr>
        <w:t>[13]</w:t>
      </w:r>
      <w:r w:rsidRPr="00D34150">
        <w:t xml:space="preserve">. The heatplot was then generated using the function heatplot with </w:t>
      </w:r>
      <w:r w:rsidRPr="00D34150">
        <w:lastRenderedPageBreak/>
        <w:t xml:space="preserve">Ward linkage clustering, Pearson correlation distance and no scaling. Differential abundance of OTUs between groups was assessed using analysis of composition of microbiomes (ANCOM) </w:t>
      </w:r>
      <w:r w:rsidRPr="00D34150">
        <w:rPr>
          <w:vertAlign w:val="superscript"/>
        </w:rPr>
        <w:t>[14]</w:t>
      </w:r>
      <w:r w:rsidRPr="00D34150">
        <w:t xml:space="preserve"> with an FDR &lt; .1 and raw read counts. Other </w:t>
      </w:r>
      <w:r w:rsidRPr="00D34150">
        <w:rPr>
          <w:i/>
        </w:rPr>
        <w:t>P</w:t>
      </w:r>
      <w:r w:rsidRPr="00D34150">
        <w:t>-values were adjusted using the function p.adjust (stats package of base R) and the method of Benjamini and Hochberg</w:t>
      </w:r>
      <w:r w:rsidRPr="00D34150">
        <w:rPr>
          <w:vertAlign w:val="superscript"/>
        </w:rPr>
        <w:t>[15]</w:t>
      </w:r>
      <w:r w:rsidRPr="00D34150">
        <w:t xml:space="preserve">. Significance was assumed for adjusted </w:t>
      </w:r>
      <w:r w:rsidRPr="00D34150">
        <w:rPr>
          <w:i/>
        </w:rPr>
        <w:t>P</w:t>
      </w:r>
      <w:r w:rsidRPr="00D34150">
        <w:t>-values equal to or below 0.05, if not stated otherwise.</w:t>
      </w:r>
    </w:p>
    <w:p w:rsidR="00FC40FD" w:rsidRPr="00D34150" w:rsidRDefault="00D34150">
      <w:pPr>
        <w:pStyle w:val="BodyText"/>
      </w:pPr>
      <w:r w:rsidRPr="00D34150">
        <w:t>The Random Forest (RF) classifier to determine OTUs suitable as biomarkers of colonic lesions was described elsewhere</w:t>
      </w:r>
      <w:r w:rsidRPr="00D34150">
        <w:rPr>
          <w:vertAlign w:val="superscript"/>
        </w:rPr>
        <w:t>[16]</w:t>
      </w:r>
      <w:r w:rsidRPr="00D34150">
        <w:t xml:space="preserve">. In brief, we used log-ratio transformed values of OTUs present in at least 5% of individuals as input to the function AUCRF of the AUCRF package </w:t>
      </w:r>
      <w:r w:rsidRPr="00D34150">
        <w:rPr>
          <w:vertAlign w:val="superscript"/>
        </w:rPr>
        <w:t>[17]</w:t>
      </w:r>
      <w:r w:rsidRPr="00D34150">
        <w:t xml:space="preserve">. Significance of difference between ROC curves was assessed using the function roc.test of the pROC package </w:t>
      </w:r>
      <w:r w:rsidRPr="00D34150">
        <w:rPr>
          <w:vertAlign w:val="superscript"/>
        </w:rPr>
        <w:t>[18]</w:t>
      </w:r>
      <w:r w:rsidRPr="00D34150">
        <w:t>. A schematic is depicted in Supplementary Figure 1. We also employed an in-house pipeline for classification which consisted of a two-step procedure - the Least Absolute Shrinkage and Selection Operator (LASSO) feature selection, followed by RF modelling. The full dataset was pre-processed (i.e. filtered to exclude features which were present in less than 5% of individuals). Ten-fold cross-validation (CV) was applied to the data. Within each iteration of the 10-fold CV, feature selection was performed using the LASSO algorithm on 90% of the dataset, which was used as a training set to generate a predictive model within each iteration. LASSO improves accuracy and interpretability of models by efficiently selecting the relevant features, a process which is tuned by the parameter lambda. The model was generated within the 10-fold CV training data by filtering the dataset to include only the features selected by the LASSO algorithm, and RF was used for subsequent modelling of this subset. Both LASSO feature selection and RF modelling were performed within the 10-</w:t>
      </w:r>
      <w:r w:rsidRPr="00D34150">
        <w:lastRenderedPageBreak/>
        <w:t>fold CV, which generates an internally validated list of features and an internal 10-fold prediction in order to generate an estimate of the predictive value of the overall model. We report both the results from the default threshold selected by the model and an Youden optimized result where the threshold has been optimized to improve the sensitivity and specificity. A schematic for this protocol is presented in Supplementary Figure 2.</w:t>
      </w:r>
    </w:p>
    <w:p w:rsidR="00FC40FD" w:rsidRPr="00D34150" w:rsidRDefault="00D34150">
      <w:pPr>
        <w:pStyle w:val="BodyText"/>
      </w:pPr>
      <w:r w:rsidRPr="00D34150">
        <w:rPr>
          <w:b/>
        </w:rPr>
        <w:t>Dietary data</w:t>
      </w:r>
    </w:p>
    <w:p w:rsidR="00FC40FD" w:rsidRPr="00D34150" w:rsidRDefault="00D34150">
      <w:pPr>
        <w:pStyle w:val="BodyText"/>
      </w:pPr>
      <w:r w:rsidRPr="00D34150">
        <w:t>Dietary data were collected using a validated Food Frequency Questionaire</w:t>
      </w:r>
      <w:r w:rsidRPr="00D34150">
        <w:rPr>
          <w:vertAlign w:val="superscript"/>
        </w:rPr>
        <w:t>[2]</w:t>
      </w:r>
      <w:r w:rsidRPr="00D34150">
        <w:t xml:space="preserve"> (FFQ).</w:t>
      </w:r>
    </w:p>
    <w:p w:rsidR="00FC40FD" w:rsidRPr="00D34150" w:rsidRDefault="00D34150">
      <w:pPr>
        <w:pStyle w:val="Heading2"/>
      </w:pPr>
      <w:bookmarkStart w:id="2" w:name="supplementary-results"/>
      <w:bookmarkEnd w:id="2"/>
      <w:r w:rsidRPr="00D34150">
        <w:t>Supplementary Results</w:t>
      </w:r>
    </w:p>
    <w:p w:rsidR="00FC40FD" w:rsidRPr="00D34150" w:rsidRDefault="00D34150">
      <w:pPr>
        <w:pStyle w:val="FirstParagraph"/>
      </w:pPr>
      <w:r w:rsidRPr="00D34150">
        <w:rPr>
          <w:b/>
        </w:rPr>
        <w:t>Habitual diet correlates with microbiota composition</w:t>
      </w:r>
    </w:p>
    <w:p w:rsidR="00FC40FD" w:rsidRPr="00D34150" w:rsidRDefault="00D34150">
      <w:pPr>
        <w:pStyle w:val="BodyText"/>
      </w:pPr>
      <w:r w:rsidRPr="00D34150">
        <w:t>Although CRC has been linked with a Western diet, our previous study detected only minor differences in habitual diet in patients with CRC</w:t>
      </w:r>
      <w:r w:rsidRPr="00D34150">
        <w:rPr>
          <w:vertAlign w:val="superscript"/>
        </w:rPr>
        <w:t>[1]</w:t>
      </w:r>
      <w:r w:rsidRPr="00D34150">
        <w:t xml:space="preserve"> compared to controls, and associations between intake frequencies of specific food categories and the composition of the microbiota were not statistically significant. Whereas we could not find any significant correlations in this extended cohort either, we found that bacteria associated with the Oral Pathogen CAG (Figure 3) were overall weakly negatively correlated with the consumption of fruits and vegetables (mean of Spearman's </w:t>
      </w:r>
      <m:oMath>
        <m:r>
          <w:rPr>
            <w:rFonts w:ascii="Cambria Math" w:hAnsi="Cambria Math"/>
          </w:rPr>
          <m:t>ρ</m:t>
        </m:r>
      </m:oMath>
      <w:r w:rsidRPr="00D34150">
        <w:t xml:space="preserve"> = -0.01). Contrastingly, bacteria associated with the Lachnospiraceae CAG (Figure 5) were weakly positively correlated with the consumption of fruits and vegetables (mean of Spearman's </w:t>
      </w:r>
      <m:oMath>
        <m:r>
          <w:rPr>
            <w:rFonts w:ascii="Cambria Math" w:hAnsi="Cambria Math"/>
          </w:rPr>
          <m:t>ρ</m:t>
        </m:r>
      </m:oMath>
      <w:r w:rsidRPr="00D34150">
        <w:t xml:space="preserve"> = 0.024; </w:t>
      </w:r>
      <w:r w:rsidRPr="00D34150">
        <w:rPr>
          <w:i/>
        </w:rPr>
        <w:t>P</w:t>
      </w:r>
      <w:r w:rsidRPr="00D34150">
        <w:t xml:space="preserve"> &lt; 1e-5, T-test). On the other hand, bacteria associated with the Lachnospiraceae CAG (Figure 5) were weakly negatively correlated with the consumption of meat (</w:t>
      </w:r>
      <m:oMath>
        <m:r>
          <w:rPr>
            <w:rFonts w:ascii="Cambria Math" w:hAnsi="Cambria Math"/>
          </w:rPr>
          <m:t>ρ</m:t>
        </m:r>
      </m:oMath>
      <w:r w:rsidRPr="00D34150">
        <w:t xml:space="preserve"> = -.027, </w:t>
      </w:r>
      <w:r w:rsidRPr="00D34150">
        <w:rPr>
          <w:i/>
        </w:rPr>
        <w:t>P</w:t>
      </w:r>
      <w:r w:rsidRPr="00D34150">
        <w:t xml:space="preserve"> &lt; .01, T-test (compared to correlations of Oral Pathogen CAG (Figure 3))). Thus, </w:t>
      </w:r>
      <w:r w:rsidRPr="00D34150">
        <w:lastRenderedPageBreak/>
        <w:t>colonization of the gut by oral bacteria associated with CRC may be partially mediated or facilitated by consuming a diet high in fat and carbohydrates (typical "Western Diet").</w:t>
      </w:r>
    </w:p>
    <w:p w:rsidR="00FC40FD" w:rsidRPr="00D34150" w:rsidRDefault="00FC40FD">
      <w:pPr>
        <w:pStyle w:val="BodyText"/>
      </w:pPr>
    </w:p>
    <w:p w:rsidR="00FC40FD" w:rsidRDefault="00D34150">
      <w:pPr>
        <w:pStyle w:val="Heading3"/>
      </w:pPr>
      <w:bookmarkStart w:id="3" w:name="references"/>
      <w:bookmarkEnd w:id="3"/>
      <w:r>
        <w:t>REFERENCES</w:t>
      </w:r>
    </w:p>
    <w:p w:rsidR="00FC40FD" w:rsidRDefault="00FC40FD">
      <w:pPr>
        <w:pStyle w:val="FirstParagraph"/>
      </w:pPr>
    </w:p>
    <w:p w:rsidR="00FC40FD" w:rsidRDefault="00D34150">
      <w:pPr>
        <w:pStyle w:val="Bibliography"/>
      </w:pPr>
      <w:r>
        <w:t xml:space="preserve">1 Flemer B, Lynch DB, Brown JM </w:t>
      </w:r>
      <w:r>
        <w:rPr>
          <w:i/>
        </w:rPr>
        <w:t>et al.</w:t>
      </w:r>
      <w:r>
        <w:t xml:space="preserve"> Tumour-associated and non-tumour-associated microbiota in colorectal cancer. </w:t>
      </w:r>
      <w:r>
        <w:rPr>
          <w:i/>
        </w:rPr>
        <w:t>Gut</w:t>
      </w:r>
      <w:r>
        <w:t xml:space="preserve"> 2017;</w:t>
      </w:r>
      <w:r>
        <w:rPr>
          <w:b/>
        </w:rPr>
        <w:t>66</w:t>
      </w:r>
      <w:r>
        <w:t>:633–43. doi:</w:t>
      </w:r>
      <w:hyperlink r:id="rId8">
        <w:r>
          <w:rPr>
            <w:rStyle w:val="Hyperlink"/>
          </w:rPr>
          <w:t>10.1136/gutjnl-2015-309595</w:t>
        </w:r>
      </w:hyperlink>
    </w:p>
    <w:p w:rsidR="00FC40FD" w:rsidRDefault="00D34150">
      <w:pPr>
        <w:pStyle w:val="Bibliography"/>
      </w:pPr>
      <w:r>
        <w:t xml:space="preserve">2 Claesson MJ, Jeffery IB, Conde S </w:t>
      </w:r>
      <w:r>
        <w:rPr>
          <w:i/>
        </w:rPr>
        <w:t>et al.</w:t>
      </w:r>
      <w:r>
        <w:t xml:space="preserve"> Gut microbiota composition correlates with diet and health in the elderly. </w:t>
      </w:r>
      <w:r>
        <w:rPr>
          <w:i/>
        </w:rPr>
        <w:t>Nature</w:t>
      </w:r>
      <w:r>
        <w:t xml:space="preserve"> 2012;</w:t>
      </w:r>
      <w:r>
        <w:rPr>
          <w:b/>
        </w:rPr>
        <w:t>488</w:t>
      </w:r>
      <w:r>
        <w:t>:178–84. doi:</w:t>
      </w:r>
      <w:hyperlink r:id="rId9">
        <w:r>
          <w:rPr>
            <w:rStyle w:val="Hyperlink"/>
          </w:rPr>
          <w:t>10.1038/nature11319</w:t>
        </w:r>
      </w:hyperlink>
    </w:p>
    <w:p w:rsidR="00FC40FD" w:rsidRDefault="00D34150">
      <w:pPr>
        <w:pStyle w:val="Bibliography"/>
      </w:pPr>
      <w:r>
        <w:t xml:space="preserve">3 Martin M. Cutadapt removes adapter sequences from high-throughput sequencing reads. </w:t>
      </w:r>
      <w:r>
        <w:rPr>
          <w:i/>
        </w:rPr>
        <w:t>2011</w:t>
      </w:r>
      <w:r>
        <w:t xml:space="preserve"> 2011;</w:t>
      </w:r>
      <w:r>
        <w:rPr>
          <w:b/>
        </w:rPr>
        <w:t>17</w:t>
      </w:r>
      <w:r>
        <w:t>. doi:</w:t>
      </w:r>
      <w:hyperlink r:id="rId10">
        <w:r>
          <w:rPr>
            <w:rStyle w:val="Hyperlink"/>
          </w:rPr>
          <w:t>10.14806/ej.17.1.200 pp. 10-12</w:t>
        </w:r>
      </w:hyperlink>
    </w:p>
    <w:p w:rsidR="00FC40FD" w:rsidRDefault="00D34150">
      <w:pPr>
        <w:pStyle w:val="Bibliography"/>
      </w:pPr>
      <w:r>
        <w:t xml:space="preserve">4 Magoc T, Salzberg SL. FLASH: Fast length adjustment of short reads to improve genome assemblies. </w:t>
      </w:r>
      <w:r>
        <w:rPr>
          <w:i/>
        </w:rPr>
        <w:t>Bioinformatics</w:t>
      </w:r>
      <w:r>
        <w:t xml:space="preserve"> 2011;</w:t>
      </w:r>
      <w:r>
        <w:rPr>
          <w:b/>
        </w:rPr>
        <w:t>27</w:t>
      </w:r>
      <w:r>
        <w:t>:2957–63. doi:</w:t>
      </w:r>
      <w:hyperlink r:id="rId11">
        <w:r>
          <w:rPr>
            <w:rStyle w:val="Hyperlink"/>
          </w:rPr>
          <w:t>10.1093/bioinformatics/btr507</w:t>
        </w:r>
      </w:hyperlink>
    </w:p>
    <w:p w:rsidR="00FC40FD" w:rsidRDefault="00D34150">
      <w:pPr>
        <w:pStyle w:val="Bibliography"/>
      </w:pPr>
      <w:r>
        <w:t xml:space="preserve">5 Caporaso JG, Kuczynski J, Stombaugh J </w:t>
      </w:r>
      <w:r>
        <w:rPr>
          <w:i/>
        </w:rPr>
        <w:t>et al.</w:t>
      </w:r>
      <w:r>
        <w:t xml:space="preserve"> QIIME allows analysis of high-throughput community sequencing data. </w:t>
      </w:r>
      <w:r>
        <w:rPr>
          <w:i/>
        </w:rPr>
        <w:t>Nat Methods</w:t>
      </w:r>
      <w:r>
        <w:t xml:space="preserve"> 2010;</w:t>
      </w:r>
      <w:r>
        <w:rPr>
          <w:b/>
        </w:rPr>
        <w:t>7</w:t>
      </w:r>
      <w:r>
        <w:t>:335–6. doi:</w:t>
      </w:r>
      <w:hyperlink r:id="rId12">
        <w:r>
          <w:rPr>
            <w:rStyle w:val="Hyperlink"/>
          </w:rPr>
          <w:t>10.1038/nmeth.f.303</w:t>
        </w:r>
      </w:hyperlink>
    </w:p>
    <w:p w:rsidR="00FC40FD" w:rsidRDefault="00D34150">
      <w:pPr>
        <w:pStyle w:val="Bibliography"/>
      </w:pPr>
      <w:r>
        <w:t xml:space="preserve">6 Edgar RC. Search and clustering orders of magnitude faster than blast. </w:t>
      </w:r>
      <w:r>
        <w:rPr>
          <w:i/>
        </w:rPr>
        <w:t>Bioinformatics</w:t>
      </w:r>
      <w:r>
        <w:t xml:space="preserve"> 2010;</w:t>
      </w:r>
      <w:r>
        <w:rPr>
          <w:b/>
        </w:rPr>
        <w:t>26</w:t>
      </w:r>
      <w:r>
        <w:t>:2460–1. doi:</w:t>
      </w:r>
      <w:hyperlink r:id="rId13">
        <w:r>
          <w:rPr>
            <w:rStyle w:val="Hyperlink"/>
          </w:rPr>
          <w:t>10.1093/bioinformatics/btq461</w:t>
        </w:r>
      </w:hyperlink>
    </w:p>
    <w:p w:rsidR="00FC40FD" w:rsidRDefault="00D34150">
      <w:pPr>
        <w:pStyle w:val="Bibliography"/>
      </w:pPr>
      <w:r>
        <w:t xml:space="preserve">7 Schloss PD, Westcott SL, Ryabin T </w:t>
      </w:r>
      <w:r>
        <w:rPr>
          <w:i/>
        </w:rPr>
        <w:t>et al.</w:t>
      </w:r>
      <w:r>
        <w:t xml:space="preserve"> Introducing mothur: Open-source, platform-independent, community-supported software for describing and comparing microbial communities. </w:t>
      </w:r>
      <w:r>
        <w:rPr>
          <w:i/>
        </w:rPr>
        <w:t>Appl Environ Microbiol</w:t>
      </w:r>
      <w:r>
        <w:t xml:space="preserve"> 2009;</w:t>
      </w:r>
      <w:r>
        <w:rPr>
          <w:b/>
        </w:rPr>
        <w:t>75</w:t>
      </w:r>
      <w:r>
        <w:t>:7537–41. doi:</w:t>
      </w:r>
      <w:hyperlink r:id="rId14">
        <w:r>
          <w:rPr>
            <w:rStyle w:val="Hyperlink"/>
          </w:rPr>
          <w:t>10.1128/AEM.01541-09</w:t>
        </w:r>
      </w:hyperlink>
    </w:p>
    <w:p w:rsidR="00FC40FD" w:rsidRDefault="00D34150">
      <w:pPr>
        <w:pStyle w:val="Bibliography"/>
      </w:pPr>
      <w:r>
        <w:t xml:space="preserve">8 Gevers D, Kugathasan S, Denson LA </w:t>
      </w:r>
      <w:r>
        <w:rPr>
          <w:i/>
        </w:rPr>
        <w:t>et al.</w:t>
      </w:r>
      <w:r>
        <w:t xml:space="preserve"> The treatment-naive microbiome in new-onset crohn’s disease. </w:t>
      </w:r>
      <w:r>
        <w:rPr>
          <w:i/>
        </w:rPr>
        <w:t>Cell Host Microbe</w:t>
      </w:r>
      <w:r>
        <w:t xml:space="preserve"> 2014;</w:t>
      </w:r>
      <w:r>
        <w:rPr>
          <w:b/>
        </w:rPr>
        <w:t>15</w:t>
      </w:r>
      <w:r>
        <w:t>:382–92. doi:</w:t>
      </w:r>
      <w:hyperlink r:id="rId15">
        <w:r>
          <w:rPr>
            <w:rStyle w:val="Hyperlink"/>
          </w:rPr>
          <w:t>10.1016/j.chom.2014.02.005</w:t>
        </w:r>
      </w:hyperlink>
    </w:p>
    <w:p w:rsidR="00FC40FD" w:rsidRDefault="00D34150">
      <w:pPr>
        <w:pStyle w:val="Bibliography"/>
      </w:pPr>
      <w:r>
        <w:t xml:space="preserve">9 R Core Team. </w:t>
      </w:r>
      <w:r>
        <w:rPr>
          <w:i/>
        </w:rPr>
        <w:t>R: A language and environment for statistical computing</w:t>
      </w:r>
      <w:r>
        <w:t xml:space="preserve">. Vienna, Austria: R Foundation for Statistical Computing 2016. </w:t>
      </w:r>
      <w:hyperlink r:id="rId16">
        <w:r>
          <w:rPr>
            <w:rStyle w:val="Hyperlink"/>
          </w:rPr>
          <w:t>https://www.R-project.org/</w:t>
        </w:r>
      </w:hyperlink>
    </w:p>
    <w:p w:rsidR="00FC40FD" w:rsidRPr="002D1670" w:rsidRDefault="00D34150">
      <w:pPr>
        <w:pStyle w:val="Bibliography"/>
        <w:rPr>
          <w:lang w:val="de-DE"/>
        </w:rPr>
      </w:pPr>
      <w:r>
        <w:t xml:space="preserve">10 Wickham H. </w:t>
      </w:r>
      <w:r>
        <w:rPr>
          <w:i/>
        </w:rPr>
        <w:t>Ggplot2: Elegant graphics for data analysis</w:t>
      </w:r>
      <w:r>
        <w:t xml:space="preserve">. </w:t>
      </w:r>
      <w:r w:rsidRPr="002D1670">
        <w:rPr>
          <w:lang w:val="de-DE"/>
        </w:rPr>
        <w:t xml:space="preserve">Springer-Verlag New York 2009. </w:t>
      </w:r>
      <w:hyperlink r:id="rId17">
        <w:r w:rsidRPr="002D1670">
          <w:rPr>
            <w:rStyle w:val="Hyperlink"/>
            <w:lang w:val="de-DE"/>
          </w:rPr>
          <w:t>http://ggplot2.org</w:t>
        </w:r>
      </w:hyperlink>
    </w:p>
    <w:p w:rsidR="00FC40FD" w:rsidRDefault="00D34150">
      <w:pPr>
        <w:pStyle w:val="Bibliography"/>
      </w:pPr>
      <w:r>
        <w:t xml:space="preserve">11 Dray S, Dufour A-B. The ade4 package: Implementing the duality diagram for ecologists. </w:t>
      </w:r>
      <w:r>
        <w:rPr>
          <w:i/>
        </w:rPr>
        <w:t>Journal of Statistical Software</w:t>
      </w:r>
      <w:r>
        <w:t xml:space="preserve"> 2007;</w:t>
      </w:r>
      <w:r>
        <w:rPr>
          <w:b/>
        </w:rPr>
        <w:t>22</w:t>
      </w:r>
      <w:r>
        <w:t>:1–20. doi:</w:t>
      </w:r>
      <w:hyperlink r:id="rId18">
        <w:r>
          <w:rPr>
            <w:rStyle w:val="Hyperlink"/>
          </w:rPr>
          <w:t>10.18637/jss.v022.i04</w:t>
        </w:r>
      </w:hyperlink>
    </w:p>
    <w:p w:rsidR="00FC40FD" w:rsidRDefault="00D34150">
      <w:pPr>
        <w:pStyle w:val="Bibliography"/>
      </w:pPr>
      <w:r>
        <w:lastRenderedPageBreak/>
        <w:t xml:space="preserve">12 Oksanen J, Blanchet FG, Friendly M </w:t>
      </w:r>
      <w:r>
        <w:rPr>
          <w:i/>
        </w:rPr>
        <w:t>et al.</w:t>
      </w:r>
      <w:r>
        <w:t xml:space="preserve"> </w:t>
      </w:r>
      <w:r>
        <w:rPr>
          <w:i/>
        </w:rPr>
        <w:t>Vegan: Community ecology package</w:t>
      </w:r>
      <w:r>
        <w:t xml:space="preserve">. 2017. </w:t>
      </w:r>
      <w:hyperlink r:id="rId19">
        <w:r>
          <w:rPr>
            <w:rStyle w:val="Hyperlink"/>
          </w:rPr>
          <w:t>https://CRAN.R-project.org/package=vegan</w:t>
        </w:r>
      </w:hyperlink>
    </w:p>
    <w:p w:rsidR="00FC40FD" w:rsidRDefault="00D34150">
      <w:pPr>
        <w:pStyle w:val="Bibliography"/>
      </w:pPr>
      <w:r>
        <w:t xml:space="preserve">13 Friedman EJ Jonathan AND Alm. Inferring correlation networks from genomic survey data. </w:t>
      </w:r>
      <w:r>
        <w:rPr>
          <w:i/>
        </w:rPr>
        <w:t>PLOS Computational Biology</w:t>
      </w:r>
      <w:r>
        <w:t xml:space="preserve"> 2012;</w:t>
      </w:r>
      <w:r>
        <w:rPr>
          <w:b/>
        </w:rPr>
        <w:t>8</w:t>
      </w:r>
      <w:r>
        <w:t>:1–11. doi:</w:t>
      </w:r>
      <w:hyperlink r:id="rId20">
        <w:r>
          <w:rPr>
            <w:rStyle w:val="Hyperlink"/>
          </w:rPr>
          <w:t>10.1371/journal.pcbi.1002687</w:t>
        </w:r>
      </w:hyperlink>
    </w:p>
    <w:p w:rsidR="00FC40FD" w:rsidRDefault="00D34150">
      <w:pPr>
        <w:pStyle w:val="Bibliography"/>
      </w:pPr>
      <w:r>
        <w:t xml:space="preserve">14 Mandal S, Van Treuren W, White RA </w:t>
      </w:r>
      <w:r>
        <w:rPr>
          <w:i/>
        </w:rPr>
        <w:t>et al.</w:t>
      </w:r>
      <w:r>
        <w:t xml:space="preserve"> Analysis of composition of microbiomes: A novel method for studying microbial composition. </w:t>
      </w:r>
      <w:r>
        <w:rPr>
          <w:i/>
        </w:rPr>
        <w:t>Microb Ecol Health Dis</w:t>
      </w:r>
      <w:r>
        <w:t xml:space="preserve"> 2015;</w:t>
      </w:r>
      <w:r>
        <w:rPr>
          <w:b/>
        </w:rPr>
        <w:t>26</w:t>
      </w:r>
      <w:r>
        <w:t>:27663. doi:</w:t>
      </w:r>
      <w:hyperlink r:id="rId21">
        <w:r>
          <w:rPr>
            <w:rStyle w:val="Hyperlink"/>
          </w:rPr>
          <w:t>10.3402/mehd.v26.27663</w:t>
        </w:r>
      </w:hyperlink>
    </w:p>
    <w:p w:rsidR="00FC40FD" w:rsidRDefault="00D34150">
      <w:pPr>
        <w:pStyle w:val="Bibliography"/>
      </w:pPr>
      <w:r>
        <w:t xml:space="preserve">15 Benjamini Y, Hochberg Y. Controlling the false discovery rate: A practical and powerful approach to multiple testing. </w:t>
      </w:r>
    </w:p>
    <w:p w:rsidR="00FC40FD" w:rsidRDefault="00D34150">
      <w:pPr>
        <w:pStyle w:val="Bibliography"/>
      </w:pPr>
      <w:r>
        <w:t xml:space="preserve">16 Baxter NT, Ruffin MT th, Rogers MA </w:t>
      </w:r>
      <w:r>
        <w:rPr>
          <w:i/>
        </w:rPr>
        <w:t>et al.</w:t>
      </w:r>
      <w:r>
        <w:t xml:space="preserve"> Microbiota-based model improves the sensitivity of fecal immunochemical test for detecting colonic lesions. </w:t>
      </w:r>
      <w:r>
        <w:rPr>
          <w:i/>
        </w:rPr>
        <w:t>Genome Med</w:t>
      </w:r>
      <w:r>
        <w:t xml:space="preserve"> 2016;</w:t>
      </w:r>
      <w:r>
        <w:rPr>
          <w:b/>
        </w:rPr>
        <w:t>8</w:t>
      </w:r>
      <w:r>
        <w:t>:37. doi:</w:t>
      </w:r>
      <w:hyperlink r:id="rId22">
        <w:r>
          <w:rPr>
            <w:rStyle w:val="Hyperlink"/>
          </w:rPr>
          <w:t>10.1186/s13073-016-0290-3</w:t>
        </w:r>
      </w:hyperlink>
    </w:p>
    <w:p w:rsidR="00FC40FD" w:rsidRDefault="00D34150">
      <w:pPr>
        <w:pStyle w:val="Bibliography"/>
      </w:pPr>
      <w:r>
        <w:t xml:space="preserve">17 Urrea V, Calle M. </w:t>
      </w:r>
      <w:r>
        <w:rPr>
          <w:i/>
        </w:rPr>
        <w:t>AUCRF: Variable selection with random forest and the area under the curve</w:t>
      </w:r>
      <w:r>
        <w:t xml:space="preserve">. 2012. </w:t>
      </w:r>
      <w:hyperlink r:id="rId23">
        <w:r>
          <w:rPr>
            <w:rStyle w:val="Hyperlink"/>
          </w:rPr>
          <w:t>https://CRAN.R-project.org/package=AUCRF</w:t>
        </w:r>
      </w:hyperlink>
    </w:p>
    <w:p w:rsidR="00FC40FD" w:rsidRDefault="00D34150">
      <w:pPr>
        <w:pStyle w:val="Bibliography"/>
      </w:pPr>
      <w:r>
        <w:t xml:space="preserve">18 Robin X, Turck N, Hainard A </w:t>
      </w:r>
      <w:r>
        <w:rPr>
          <w:i/>
        </w:rPr>
        <w:t>et al.</w:t>
      </w:r>
      <w:r>
        <w:t xml:space="preserve"> PROC: An open-source package for r and s+ to analyze and compare roc curves. </w:t>
      </w:r>
      <w:r>
        <w:rPr>
          <w:i/>
        </w:rPr>
        <w:t>BMC Bioinformatics</w:t>
      </w:r>
      <w:r>
        <w:t xml:space="preserve"> 2011;</w:t>
      </w:r>
      <w:r>
        <w:rPr>
          <w:b/>
        </w:rPr>
        <w:t>12</w:t>
      </w:r>
      <w:r>
        <w:t>:77.</w:t>
      </w:r>
    </w:p>
    <w:sectPr w:rsidR="00FC40FD" w:rsidSect="00215FE8">
      <w:pgSz w:w="12240" w:h="15840"/>
      <w:pgMar w:top="1440" w:right="1440" w:bottom="1440" w:left="1440" w:header="720" w:footer="720" w:gutter="0"/>
      <w:lnNumType w:countBy="1" w:restart="continuou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7AE5" w:rsidRDefault="00D34150">
      <w:pPr>
        <w:spacing w:after="0"/>
      </w:pPr>
      <w:r>
        <w:separator/>
      </w:r>
    </w:p>
  </w:endnote>
  <w:endnote w:type="continuationSeparator" w:id="0">
    <w:p w:rsidR="004E7AE5" w:rsidRDefault="00D3415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0FD" w:rsidRDefault="00D34150">
      <w:r>
        <w:separator/>
      </w:r>
    </w:p>
  </w:footnote>
  <w:footnote w:type="continuationSeparator" w:id="0">
    <w:p w:rsidR="00FC40FD" w:rsidRDefault="00D341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7F69BA"/>
    <w:multiLevelType w:val="multilevel"/>
    <w:tmpl w:val="6542F21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46CE005B"/>
    <w:multiLevelType w:val="multilevel"/>
    <w:tmpl w:val="900EEFF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6657370F"/>
    <w:multiLevelType w:val="multilevel"/>
    <w:tmpl w:val="2976E2D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2173C4"/>
    <w:rsid w:val="002D1670"/>
    <w:rsid w:val="004E29B3"/>
    <w:rsid w:val="004E7AE5"/>
    <w:rsid w:val="00505C09"/>
    <w:rsid w:val="00590D07"/>
    <w:rsid w:val="00784D58"/>
    <w:rsid w:val="008D6863"/>
    <w:rsid w:val="00B86B75"/>
    <w:rsid w:val="00BC48D5"/>
    <w:rsid w:val="00BF21F6"/>
    <w:rsid w:val="00C36279"/>
    <w:rsid w:val="00D34150"/>
    <w:rsid w:val="00E315A3"/>
    <w:rsid w:val="00FC40F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50F67"/>
  <w15:docId w15:val="{4A67B345-B4C6-4B88-86AA-FC27A7655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7114"/>
    <w:rPr>
      <w:rFonts w:ascii="Arial" w:hAnsi="Arial"/>
    </w:rPr>
  </w:style>
  <w:style w:type="paragraph" w:styleId="Heading1">
    <w:name w:val="heading 1"/>
    <w:basedOn w:val="Normal"/>
    <w:next w:val="BodyText"/>
    <w:uiPriority w:val="9"/>
    <w:qFormat/>
    <w:rsid w:val="009C7114"/>
    <w:pPr>
      <w:keepNext/>
      <w:keepLines/>
      <w:spacing w:before="480" w:after="0"/>
      <w:outlineLvl w:val="0"/>
    </w:pPr>
    <w:rPr>
      <w:rFonts w:eastAsiaTheme="majorEastAsia" w:cstheme="majorBidi"/>
      <w:b/>
      <w:bCs/>
      <w:sz w:val="32"/>
      <w:szCs w:val="32"/>
    </w:rPr>
  </w:style>
  <w:style w:type="paragraph" w:styleId="Heading2">
    <w:name w:val="heading 2"/>
    <w:basedOn w:val="Normal"/>
    <w:next w:val="BodyText"/>
    <w:uiPriority w:val="9"/>
    <w:unhideWhenUsed/>
    <w:qFormat/>
    <w:rsid w:val="007E5BDC"/>
    <w:pPr>
      <w:keepNext/>
      <w:keepLines/>
      <w:spacing w:before="200" w:after="0" w:line="480" w:lineRule="auto"/>
      <w:outlineLvl w:val="1"/>
    </w:pPr>
    <w:rPr>
      <w:rFonts w:eastAsiaTheme="majorEastAsia" w:cstheme="majorBidi"/>
      <w:b/>
      <w:bCs/>
      <w:color w:val="000000" w:themeColor="text1"/>
      <w:sz w:val="32"/>
      <w:szCs w:val="32"/>
    </w:rPr>
  </w:style>
  <w:style w:type="paragraph" w:styleId="Heading3">
    <w:name w:val="heading 3"/>
    <w:basedOn w:val="Normal"/>
    <w:next w:val="BodyText"/>
    <w:uiPriority w:val="9"/>
    <w:unhideWhenUsed/>
    <w:qFormat/>
    <w:rsid w:val="007E5BDC"/>
    <w:pPr>
      <w:keepNext/>
      <w:keepLines/>
      <w:spacing w:before="200" w:after="0" w:line="480" w:lineRule="auto"/>
      <w:outlineLvl w:val="2"/>
    </w:pPr>
    <w:rPr>
      <w:rFonts w:eastAsiaTheme="majorEastAsia" w:cstheme="majorBidi"/>
      <w:b/>
      <w:bCs/>
      <w:sz w:val="28"/>
      <w:szCs w:val="28"/>
    </w:rPr>
  </w:style>
  <w:style w:type="paragraph" w:styleId="Heading4">
    <w:name w:val="heading 4"/>
    <w:basedOn w:val="Normal"/>
    <w:next w:val="BodyText"/>
    <w:uiPriority w:val="9"/>
    <w:unhideWhenUsed/>
    <w:qFormat/>
    <w:rsid w:val="007E5BDC"/>
    <w:pPr>
      <w:keepNext/>
      <w:keepLines/>
      <w:spacing w:before="200" w:after="0" w:line="480" w:lineRule="auto"/>
      <w:outlineLvl w:val="3"/>
    </w:pPr>
    <w:rPr>
      <w:rFonts w:eastAsiaTheme="majorEastAsia" w:cstheme="majorBidi"/>
      <w:b/>
      <w:bCs/>
    </w:rPr>
  </w:style>
  <w:style w:type="paragraph" w:styleId="Heading5">
    <w:name w:val="heading 5"/>
    <w:basedOn w:val="Normal"/>
    <w:next w:val="BodyText"/>
    <w:uiPriority w:val="9"/>
    <w:unhideWhenUsed/>
    <w:qFormat/>
    <w:rsid w:val="003C448E"/>
    <w:pPr>
      <w:keepNext/>
      <w:keepLines/>
      <w:pageBreakBefore/>
      <w:suppressLineNumbers/>
      <w:spacing w:before="200" w:after="0"/>
      <w:outlineLvl w:val="4"/>
    </w:pPr>
    <w:rPr>
      <w:rFonts w:asciiTheme="majorHAnsi" w:eastAsiaTheme="majorEastAsia" w:hAnsiTheme="majorHAnsi" w:cstheme="majorBidi"/>
      <w:i/>
      <w:iCs/>
      <w:color w:val="FFFFFF" w:themeColor="background1"/>
      <w:sz w:val="2"/>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sid w:val="002A4BFE"/>
    <w:pPr>
      <w:spacing w:before="180" w:after="180" w:line="480" w:lineRule="auto"/>
      <w:contextualSpacing/>
      <w:jc w:val="both"/>
    </w:pPr>
  </w:style>
  <w:style w:type="paragraph" w:customStyle="1" w:styleId="FirstParagraph">
    <w:name w:val="First Paragraph"/>
    <w:basedOn w:val="BodyText"/>
    <w:next w:val="BodyText"/>
    <w:qFormat/>
    <w:rsid w:val="009C7114"/>
    <w:rPr>
      <w:color w:val="000000" w:themeColor="text1"/>
    </w:rPr>
  </w:style>
  <w:style w:type="paragraph" w:customStyle="1" w:styleId="Compact">
    <w:name w:val="Compact"/>
    <w:basedOn w:val="BodyText"/>
    <w:qFormat/>
    <w:pPr>
      <w:spacing w:before="36" w:after="36"/>
    </w:pPr>
  </w:style>
  <w:style w:type="paragraph" w:styleId="Title">
    <w:name w:val="Title"/>
    <w:basedOn w:val="Normal"/>
    <w:next w:val="BodyText"/>
    <w:qFormat/>
    <w:rsid w:val="007E5BDC"/>
    <w:pPr>
      <w:keepNext/>
      <w:keepLines/>
      <w:spacing w:before="480" w:after="240" w:line="480" w:lineRule="auto"/>
    </w:pPr>
    <w:rPr>
      <w:rFonts w:eastAsiaTheme="majorEastAsia" w:cstheme="majorBidi"/>
      <w:b/>
      <w:bCs/>
      <w:sz w:val="36"/>
      <w:szCs w:val="36"/>
    </w:rPr>
  </w:style>
  <w:style w:type="paragraph" w:styleId="Subtitle">
    <w:name w:val="Subtitle"/>
    <w:basedOn w:val="Title"/>
    <w:next w:val="BodyText"/>
    <w:qFormat/>
    <w:pPr>
      <w:spacing w:before="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FigurewithCaption">
    <w:name w:val="Figure with Caption"/>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hAnsiTheme="majorHAnsi"/>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BalloonText">
    <w:name w:val="Balloon Text"/>
    <w:basedOn w:val="Normal"/>
    <w:link w:val="BalloonTextChar"/>
    <w:rsid w:val="00003C18"/>
    <w:pPr>
      <w:spacing w:after="0"/>
    </w:pPr>
    <w:rPr>
      <w:rFonts w:ascii="Tahoma" w:hAnsi="Tahoma" w:cs="Tahoma"/>
      <w:sz w:val="16"/>
      <w:szCs w:val="16"/>
    </w:rPr>
  </w:style>
  <w:style w:type="character" w:customStyle="1" w:styleId="BalloonTextChar">
    <w:name w:val="Balloon Text Char"/>
    <w:basedOn w:val="DefaultParagraphFont"/>
    <w:link w:val="BalloonText"/>
    <w:rsid w:val="00003C18"/>
    <w:rPr>
      <w:rFonts w:ascii="Tahoma" w:hAnsi="Tahoma" w:cs="Tahoma"/>
      <w:sz w:val="16"/>
      <w:szCs w:val="16"/>
    </w:rPr>
  </w:style>
  <w:style w:type="character" w:styleId="LineNumber">
    <w:name w:val="line number"/>
    <w:basedOn w:val="DefaultParagraphFont"/>
    <w:rsid w:val="004058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36/gutjnl-2015-309595" TargetMode="External"/><Relationship Id="rId13" Type="http://schemas.openxmlformats.org/officeDocument/2006/relationships/hyperlink" Target="https://doi.org/10.1093/bioinformatics/btq461" TargetMode="External"/><Relationship Id="rId18" Type="http://schemas.openxmlformats.org/officeDocument/2006/relationships/hyperlink" Target="https://doi.org/10.18637/jss.v022.i04" TargetMode="External"/><Relationship Id="rId3" Type="http://schemas.openxmlformats.org/officeDocument/2006/relationships/settings" Target="settings.xml"/><Relationship Id="rId21" Type="http://schemas.openxmlformats.org/officeDocument/2006/relationships/hyperlink" Target="https://doi.org/10.3402/mehd.v26.27663" TargetMode="External"/><Relationship Id="rId7" Type="http://schemas.openxmlformats.org/officeDocument/2006/relationships/hyperlink" Target="https://bitbucket.org/yonatanf/sparcc/downloads/" TargetMode="External"/><Relationship Id="rId12" Type="http://schemas.openxmlformats.org/officeDocument/2006/relationships/hyperlink" Target="https://doi.org/10.1038/nmeth.f.303" TargetMode="External"/><Relationship Id="rId17" Type="http://schemas.openxmlformats.org/officeDocument/2006/relationships/hyperlink" Target="http://ggplot2.or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R-project.org/" TargetMode="External"/><Relationship Id="rId20" Type="http://schemas.openxmlformats.org/officeDocument/2006/relationships/hyperlink" Target="https://doi.org/10.1371/journal.pcbi.100268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93/bioinformatics/btr507"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016/j.chom.2014.02.005" TargetMode="External"/><Relationship Id="rId23" Type="http://schemas.openxmlformats.org/officeDocument/2006/relationships/hyperlink" Target="https://CRAN.R-project.org/package=AUCRF" TargetMode="External"/><Relationship Id="rId10" Type="http://schemas.openxmlformats.org/officeDocument/2006/relationships/hyperlink" Target="https://doi.org/10.14806/ej.17.1.200%20pp.%2010-12" TargetMode="External"/><Relationship Id="rId19" Type="http://schemas.openxmlformats.org/officeDocument/2006/relationships/hyperlink" Target="https://CRAN.R-project.org/package=vegan" TargetMode="External"/><Relationship Id="rId4" Type="http://schemas.openxmlformats.org/officeDocument/2006/relationships/webSettings" Target="webSettings.xml"/><Relationship Id="rId9" Type="http://schemas.openxmlformats.org/officeDocument/2006/relationships/hyperlink" Target="https://doi.org/10.1038/nature11319" TargetMode="External"/><Relationship Id="rId14" Type="http://schemas.openxmlformats.org/officeDocument/2006/relationships/hyperlink" Target="https://doi.org/10.1128/AEM.01541-09" TargetMode="External"/><Relationship Id="rId22" Type="http://schemas.openxmlformats.org/officeDocument/2006/relationships/hyperlink" Target="https://doi.org/10.1186/s13073-016-029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7299869.dotm</Template>
  <TotalTime>0</TotalTime>
  <Pages>8</Pages>
  <Words>1946</Words>
  <Characters>12264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Supplementary Information</vt:lpstr>
    </vt:vector>
  </TitlesOfParts>
  <Company/>
  <LinksUpToDate>false</LinksUpToDate>
  <CharactersWithSpaces>14182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Information</dc:title>
  <dc:creator>Burkhardt Flemer</dc:creator>
  <cp:lastModifiedBy>Burkhardt Flemer</cp:lastModifiedBy>
  <cp:revision>2</cp:revision>
  <dcterms:created xsi:type="dcterms:W3CDTF">2017-09-19T12:20:00Z</dcterms:created>
  <dcterms:modified xsi:type="dcterms:W3CDTF">2017-09-19T12:20:00Z</dcterms:modified>
</cp:coreProperties>
</file>