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2C0806" w14:textId="1348DC25" w:rsidR="00354092" w:rsidRPr="008E28E6" w:rsidRDefault="009A7AA0" w:rsidP="000E3240">
      <w:pPr>
        <w:spacing w:line="480" w:lineRule="auto"/>
        <w:rPr>
          <w:rFonts w:ascii="Times New Roman" w:hAnsi="Times New Roman" w:cs="Times New Roman"/>
          <w:b/>
          <w:sz w:val="24"/>
          <w:szCs w:val="24"/>
        </w:rPr>
      </w:pPr>
      <w:bookmarkStart w:id="0" w:name="_GoBack"/>
      <w:bookmarkEnd w:id="0"/>
      <w:r w:rsidRPr="008E28E6">
        <w:rPr>
          <w:rFonts w:ascii="Times New Roman" w:hAnsi="Times New Roman" w:cs="Times New Roman"/>
          <w:b/>
          <w:sz w:val="24"/>
          <w:szCs w:val="24"/>
        </w:rPr>
        <w:t>S</w:t>
      </w:r>
      <w:r w:rsidR="00B81C00" w:rsidRPr="008E28E6">
        <w:rPr>
          <w:rFonts w:ascii="Times New Roman" w:hAnsi="Times New Roman" w:cs="Times New Roman"/>
          <w:b/>
          <w:sz w:val="24"/>
          <w:szCs w:val="24"/>
        </w:rPr>
        <w:t xml:space="preserve"> 1</w:t>
      </w:r>
      <w:r w:rsidRPr="008E28E6">
        <w:rPr>
          <w:rFonts w:ascii="Times New Roman" w:hAnsi="Times New Roman" w:cs="Times New Roman"/>
          <w:b/>
          <w:sz w:val="24"/>
          <w:szCs w:val="24"/>
        </w:rPr>
        <w:t xml:space="preserve"> </w:t>
      </w:r>
      <w:r w:rsidR="00354092" w:rsidRPr="008E28E6">
        <w:rPr>
          <w:rFonts w:ascii="Times New Roman" w:hAnsi="Times New Roman" w:cs="Times New Roman"/>
          <w:b/>
          <w:sz w:val="24"/>
          <w:szCs w:val="24"/>
        </w:rPr>
        <w:t>Appendix:</w:t>
      </w:r>
    </w:p>
    <w:p w14:paraId="38115BE4" w14:textId="71086794" w:rsidR="0026343E" w:rsidRPr="008E28E6" w:rsidRDefault="0026343E" w:rsidP="000E3240">
      <w:pPr>
        <w:spacing w:line="480" w:lineRule="auto"/>
        <w:rPr>
          <w:rFonts w:ascii="Times New Roman" w:hAnsi="Times New Roman" w:cs="Times New Roman"/>
          <w:b/>
          <w:sz w:val="24"/>
          <w:szCs w:val="24"/>
        </w:rPr>
      </w:pPr>
      <w:r w:rsidRPr="008E28E6">
        <w:rPr>
          <w:rFonts w:ascii="Times New Roman" w:hAnsi="Times New Roman" w:cs="Times New Roman"/>
          <w:b/>
          <w:sz w:val="24"/>
          <w:szCs w:val="24"/>
        </w:rPr>
        <w:t xml:space="preserve">Clinical and biochemical factors associated with </w:t>
      </w:r>
      <w:r w:rsidR="00180C94" w:rsidRPr="008E28E6">
        <w:rPr>
          <w:rFonts w:ascii="Times New Roman" w:hAnsi="Times New Roman" w:cs="Times New Roman"/>
          <w:b/>
          <w:sz w:val="24"/>
          <w:szCs w:val="24"/>
        </w:rPr>
        <w:t>small for gestational age</w:t>
      </w:r>
    </w:p>
    <w:p w14:paraId="3688A54A" w14:textId="1E321D16" w:rsidR="00686691" w:rsidRPr="008E28E6" w:rsidRDefault="008171E2" w:rsidP="000E3240">
      <w:pPr>
        <w:spacing w:line="480" w:lineRule="auto"/>
        <w:rPr>
          <w:rFonts w:ascii="Times New Roman" w:hAnsi="Times New Roman" w:cs="Times New Roman"/>
          <w:b/>
          <w:bCs/>
          <w:sz w:val="24"/>
          <w:szCs w:val="24"/>
        </w:rPr>
      </w:pPr>
      <w:r w:rsidRPr="008E28E6">
        <w:rPr>
          <w:rFonts w:ascii="Times New Roman" w:hAnsi="Times New Roman" w:cs="Times New Roman"/>
          <w:b/>
          <w:bCs/>
          <w:sz w:val="24"/>
          <w:szCs w:val="24"/>
        </w:rPr>
        <w:t>M</w:t>
      </w:r>
      <w:r w:rsidR="00A73925" w:rsidRPr="008E28E6">
        <w:rPr>
          <w:rFonts w:ascii="Times New Roman" w:hAnsi="Times New Roman" w:cs="Times New Roman"/>
          <w:b/>
          <w:bCs/>
          <w:sz w:val="24"/>
          <w:szCs w:val="24"/>
        </w:rPr>
        <w:t>ethodology</w:t>
      </w:r>
    </w:p>
    <w:p w14:paraId="3353910C" w14:textId="77777777" w:rsidR="00FD532C" w:rsidRPr="008E28E6" w:rsidRDefault="00FD532C" w:rsidP="005E4732">
      <w:pPr>
        <w:autoSpaceDE w:val="0"/>
        <w:autoSpaceDN w:val="0"/>
        <w:adjustRightInd w:val="0"/>
        <w:spacing w:after="0" w:line="480" w:lineRule="auto"/>
        <w:ind w:firstLine="720"/>
        <w:jc w:val="both"/>
        <w:rPr>
          <w:rFonts w:ascii="Times New Roman" w:hAnsi="Times New Roman" w:cs="Times New Roman"/>
          <w:sz w:val="24"/>
          <w:szCs w:val="24"/>
        </w:rPr>
      </w:pPr>
      <w:r w:rsidRPr="008E28E6">
        <w:rPr>
          <w:rFonts w:ascii="Times New Roman" w:hAnsi="Times New Roman" w:cs="Times New Roman"/>
          <w:sz w:val="24"/>
          <w:szCs w:val="24"/>
        </w:rPr>
        <w:t>Plasma, collected in a BD 6ml plastic EDTA spray coated vacutainer tube, was centrifuged at 3000 rpm (2400xg) for 10 minutes at 4</w:t>
      </w:r>
      <w:r w:rsidRPr="008E28E6">
        <w:rPr>
          <w:rFonts w:ascii="Times New Roman" w:hAnsi="Times New Roman" w:cs="Times New Roman"/>
          <w:sz w:val="24"/>
          <w:szCs w:val="24"/>
          <w:vertAlign w:val="superscript"/>
        </w:rPr>
        <w:t>Ο</w:t>
      </w:r>
      <w:r w:rsidRPr="008E28E6">
        <w:rPr>
          <w:rFonts w:ascii="Times New Roman" w:hAnsi="Times New Roman" w:cs="Times New Roman"/>
          <w:sz w:val="24"/>
          <w:szCs w:val="24"/>
        </w:rPr>
        <w:t xml:space="preserve"> C and then aliquoted into 0.25ml barcoded aliquots and stored at -80°C within four hours of collection. Specimens were kept on ice during the transport and processing phase and no specimens went through a freeze/thaw cycle prior to analyses.</w:t>
      </w:r>
    </w:p>
    <w:p w14:paraId="216D8B02" w14:textId="7705B09C" w:rsidR="00DE5587" w:rsidRPr="008E28E6" w:rsidRDefault="00DE1120" w:rsidP="00C57F8F">
      <w:pPr>
        <w:autoSpaceDE w:val="0"/>
        <w:autoSpaceDN w:val="0"/>
        <w:adjustRightInd w:val="0"/>
        <w:spacing w:after="0" w:line="480" w:lineRule="auto"/>
        <w:ind w:firstLine="720"/>
        <w:jc w:val="both"/>
        <w:rPr>
          <w:rFonts w:ascii="Times New Roman" w:hAnsi="Times New Roman" w:cs="Times New Roman"/>
          <w:sz w:val="24"/>
          <w:szCs w:val="24"/>
        </w:rPr>
      </w:pPr>
      <w:r w:rsidRPr="008E28E6">
        <w:rPr>
          <w:rFonts w:ascii="Times New Roman" w:eastAsia="TimesNewRomanPSMT" w:hAnsi="Times New Roman" w:cs="Times New Roman"/>
          <w:sz w:val="24"/>
          <w:szCs w:val="24"/>
        </w:rPr>
        <w:t xml:space="preserve">Of the 7 additional biomarkers assessed in this analysis, 3 </w:t>
      </w:r>
      <w:r w:rsidR="0072655E" w:rsidRPr="008E28E6">
        <w:rPr>
          <w:rFonts w:ascii="Times New Roman" w:eastAsia="TimesNewRomanPSMT" w:hAnsi="Times New Roman" w:cs="Times New Roman"/>
          <w:sz w:val="24"/>
          <w:szCs w:val="24"/>
        </w:rPr>
        <w:t xml:space="preserve">(total cholesterol, HDL-cholesterol and triglycerides) </w:t>
      </w:r>
      <w:r w:rsidRPr="008E28E6">
        <w:rPr>
          <w:rFonts w:ascii="Times New Roman" w:eastAsia="TimesNewRomanPSMT" w:hAnsi="Times New Roman" w:cs="Times New Roman"/>
          <w:sz w:val="24"/>
          <w:szCs w:val="24"/>
        </w:rPr>
        <w:t xml:space="preserve">were measured </w:t>
      </w:r>
      <w:r w:rsidR="00460A8A" w:rsidRPr="008E28E6">
        <w:rPr>
          <w:rFonts w:ascii="Times New Roman" w:eastAsia="TimesNewRomanPSMT" w:hAnsi="Times New Roman" w:cs="Times New Roman"/>
          <w:sz w:val="24"/>
          <w:szCs w:val="24"/>
        </w:rPr>
        <w:t xml:space="preserve">using </w:t>
      </w:r>
      <w:r w:rsidRPr="008E28E6">
        <w:rPr>
          <w:rFonts w:ascii="Times New Roman" w:eastAsia="TimesNewRomanPSMT" w:hAnsi="Times New Roman" w:cs="Times New Roman"/>
          <w:sz w:val="24"/>
          <w:szCs w:val="24"/>
        </w:rPr>
        <w:t>Beckman Unicel Syncron DxC</w:t>
      </w:r>
      <w:r w:rsidR="008171E2" w:rsidRPr="008E28E6">
        <w:rPr>
          <w:rFonts w:ascii="Times New Roman" w:eastAsia="TimesNewRomanPSMT" w:hAnsi="Times New Roman" w:cs="Times New Roman"/>
          <w:sz w:val="24"/>
          <w:szCs w:val="24"/>
        </w:rPr>
        <w:t xml:space="preserve"> (Beckman Coulter, Inc., Brea, CA 92821 USA</w:t>
      </w:r>
      <w:r w:rsidRPr="008E28E6">
        <w:rPr>
          <w:rFonts w:ascii="Times New Roman" w:eastAsia="TimesNewRomanPSMT" w:hAnsi="Times New Roman" w:cs="Times New Roman"/>
          <w:sz w:val="24"/>
          <w:szCs w:val="24"/>
        </w:rPr>
        <w:t xml:space="preserve">). </w:t>
      </w:r>
      <w:r w:rsidR="00406A9A" w:rsidRPr="008E28E6">
        <w:rPr>
          <w:rFonts w:ascii="Times New Roman" w:eastAsia="TimesNewRomanPSMT" w:hAnsi="Times New Roman" w:cs="Times New Roman"/>
          <w:sz w:val="24"/>
          <w:szCs w:val="24"/>
        </w:rPr>
        <w:t>Measurement</w:t>
      </w:r>
      <w:r w:rsidR="0072655E" w:rsidRPr="008E28E6">
        <w:rPr>
          <w:rFonts w:ascii="Times New Roman" w:eastAsia="TimesNewRomanPSMT" w:hAnsi="Times New Roman" w:cs="Times New Roman"/>
          <w:sz w:val="24"/>
          <w:szCs w:val="24"/>
        </w:rPr>
        <w:t xml:space="preserve">s </w:t>
      </w:r>
      <w:r w:rsidR="00406A9A" w:rsidRPr="008E28E6">
        <w:rPr>
          <w:rFonts w:ascii="Times New Roman" w:eastAsia="TimesNewRomanPSMT" w:hAnsi="Times New Roman" w:cs="Times New Roman"/>
          <w:sz w:val="24"/>
          <w:szCs w:val="24"/>
        </w:rPr>
        <w:t>were not repeated for participants with</w:t>
      </w:r>
      <w:r w:rsidR="0072655E" w:rsidRPr="008E28E6">
        <w:rPr>
          <w:rFonts w:ascii="Times New Roman" w:eastAsia="TimesNewRomanPSMT" w:hAnsi="Times New Roman" w:cs="Times New Roman"/>
          <w:sz w:val="24"/>
          <w:szCs w:val="24"/>
        </w:rPr>
        <w:t xml:space="preserve"> previously</w:t>
      </w:r>
      <w:r w:rsidR="00406A9A" w:rsidRPr="008E28E6">
        <w:rPr>
          <w:rFonts w:ascii="Times New Roman" w:eastAsia="TimesNewRomanPSMT" w:hAnsi="Times New Roman" w:cs="Times New Roman"/>
          <w:sz w:val="24"/>
          <w:szCs w:val="24"/>
        </w:rPr>
        <w:t xml:space="preserve"> available</w:t>
      </w:r>
      <w:r w:rsidR="00470772" w:rsidRPr="008E28E6">
        <w:rPr>
          <w:rFonts w:ascii="Times New Roman" w:eastAsia="TimesNewRomanPSMT" w:hAnsi="Times New Roman" w:cs="Times New Roman"/>
          <w:sz w:val="24"/>
          <w:szCs w:val="24"/>
        </w:rPr>
        <w:t xml:space="preserve"> results</w:t>
      </w:r>
      <w:r w:rsidR="0072655E" w:rsidRPr="008E28E6">
        <w:rPr>
          <w:rFonts w:ascii="Times New Roman" w:eastAsia="TimesNewRomanPSMT" w:hAnsi="Times New Roman" w:cs="Times New Roman"/>
          <w:sz w:val="24"/>
          <w:szCs w:val="24"/>
        </w:rPr>
        <w:t xml:space="preserve"> for these analytes</w:t>
      </w:r>
      <w:r w:rsidR="00351CFD" w:rsidRPr="008E28E6">
        <w:rPr>
          <w:rFonts w:ascii="Times New Roman" w:eastAsia="TimesNewRomanPSMT" w:hAnsi="Times New Roman" w:cs="Times New Roman"/>
          <w:sz w:val="24"/>
          <w:szCs w:val="24"/>
        </w:rPr>
        <w:t xml:space="preserve">, which were </w:t>
      </w:r>
      <w:r w:rsidR="001B7BD5" w:rsidRPr="008E28E6">
        <w:rPr>
          <w:rFonts w:ascii="Times New Roman" w:eastAsia="TimesNewRomanPSMT" w:hAnsi="Times New Roman" w:cs="Times New Roman"/>
          <w:sz w:val="24"/>
          <w:szCs w:val="24"/>
        </w:rPr>
        <w:t xml:space="preserve">performed </w:t>
      </w:r>
      <w:r w:rsidR="0072655E" w:rsidRPr="008E28E6">
        <w:rPr>
          <w:rFonts w:ascii="Times New Roman" w:eastAsia="TimesNewRomanPSMT" w:hAnsi="Times New Roman" w:cs="Times New Roman"/>
          <w:sz w:val="24"/>
          <w:szCs w:val="24"/>
        </w:rPr>
        <w:t xml:space="preserve">using </w:t>
      </w:r>
      <w:r w:rsidR="00351CFD" w:rsidRPr="008E28E6">
        <w:rPr>
          <w:rFonts w:ascii="Times New Roman" w:eastAsia="TimesNewRomanPSMT" w:hAnsi="Times New Roman" w:cs="Times New Roman"/>
          <w:sz w:val="24"/>
          <w:szCs w:val="24"/>
        </w:rPr>
        <w:t>COBAS (Roche Diagnostics Ltd., CH-6343 Rotkreuz, Switzerland).</w:t>
      </w:r>
      <w:r w:rsidR="001B7BD5" w:rsidRPr="008E28E6">
        <w:rPr>
          <w:rFonts w:ascii="Times New Roman" w:eastAsia="TimesNewRomanPSMT" w:hAnsi="Times New Roman" w:cs="Times New Roman"/>
          <w:sz w:val="24"/>
          <w:szCs w:val="24"/>
          <w:vertAlign w:val="superscript"/>
        </w:rPr>
        <w:t>1</w:t>
      </w:r>
      <w:r w:rsidR="001B7BD5" w:rsidRPr="008E28E6">
        <w:rPr>
          <w:rFonts w:ascii="Times New Roman" w:eastAsia="TimesNewRomanPSMT" w:hAnsi="Times New Roman" w:cs="Times New Roman"/>
          <w:sz w:val="24"/>
          <w:szCs w:val="24"/>
        </w:rPr>
        <w:t xml:space="preserve"> Both </w:t>
      </w:r>
      <w:r w:rsidR="0072655E" w:rsidRPr="008E28E6">
        <w:rPr>
          <w:rFonts w:ascii="Times New Roman" w:eastAsia="TimesNewRomanPSMT" w:hAnsi="Times New Roman" w:cs="Times New Roman"/>
          <w:sz w:val="24"/>
          <w:szCs w:val="24"/>
        </w:rPr>
        <w:t>methods</w:t>
      </w:r>
      <w:r w:rsidR="001B7BD5" w:rsidRPr="008E28E6">
        <w:rPr>
          <w:rFonts w:ascii="Times New Roman" w:eastAsia="TimesNewRomanPSMT" w:hAnsi="Times New Roman" w:cs="Times New Roman"/>
          <w:sz w:val="24"/>
          <w:szCs w:val="24"/>
        </w:rPr>
        <w:t xml:space="preserve"> used the same reactions. </w:t>
      </w:r>
      <w:r w:rsidR="007E65DE" w:rsidRPr="008E28E6">
        <w:rPr>
          <w:rFonts w:ascii="Times New Roman" w:hAnsi="Times New Roman" w:cs="Times New Roman"/>
          <w:sz w:val="24"/>
          <w:szCs w:val="24"/>
        </w:rPr>
        <w:t>The results from the Beckmann Unicel Syncron DxC and the Roche Cobas platform</w:t>
      </w:r>
      <w:r w:rsidR="008F2EEE" w:rsidRPr="008E28E6">
        <w:rPr>
          <w:rFonts w:ascii="Times New Roman" w:hAnsi="Times New Roman" w:cs="Times New Roman"/>
          <w:sz w:val="24"/>
          <w:szCs w:val="24"/>
        </w:rPr>
        <w:t>s</w:t>
      </w:r>
      <w:r w:rsidR="007E65DE" w:rsidRPr="008E28E6">
        <w:rPr>
          <w:rFonts w:ascii="Times New Roman" w:hAnsi="Times New Roman" w:cs="Times New Roman"/>
          <w:sz w:val="24"/>
          <w:szCs w:val="24"/>
        </w:rPr>
        <w:t xml:space="preserve"> were compared</w:t>
      </w:r>
      <w:r w:rsidR="00E01DDB" w:rsidRPr="008E28E6">
        <w:rPr>
          <w:rFonts w:ascii="Times New Roman" w:hAnsi="Times New Roman" w:cs="Times New Roman"/>
          <w:sz w:val="24"/>
          <w:szCs w:val="24"/>
        </w:rPr>
        <w:t xml:space="preserve">. </w:t>
      </w:r>
      <w:r w:rsidR="00DE5587" w:rsidRPr="008E28E6">
        <w:rPr>
          <w:rFonts w:ascii="Times New Roman" w:hAnsi="Times New Roman" w:cs="Times New Roman"/>
          <w:sz w:val="24"/>
          <w:szCs w:val="24"/>
        </w:rPr>
        <w:t>This analysis showed</w:t>
      </w:r>
      <w:r w:rsidR="00E01DDB" w:rsidRPr="008E28E6">
        <w:rPr>
          <w:rFonts w:ascii="Times New Roman" w:hAnsi="Times New Roman" w:cs="Times New Roman"/>
          <w:sz w:val="24"/>
          <w:szCs w:val="24"/>
        </w:rPr>
        <w:t xml:space="preserve"> small differences in mean </w:t>
      </w:r>
      <w:r w:rsidR="00C57F8F" w:rsidRPr="008E28E6">
        <w:rPr>
          <w:rFonts w:ascii="Times New Roman" w:hAnsi="Times New Roman" w:cs="Times New Roman"/>
          <w:sz w:val="24"/>
          <w:szCs w:val="24"/>
        </w:rPr>
        <w:t xml:space="preserve">lipid </w:t>
      </w:r>
      <w:r w:rsidR="00E01DDB" w:rsidRPr="008E28E6">
        <w:rPr>
          <w:rFonts w:ascii="Times New Roman" w:hAnsi="Times New Roman" w:cs="Times New Roman"/>
          <w:sz w:val="24"/>
          <w:szCs w:val="24"/>
        </w:rPr>
        <w:t>values. H</w:t>
      </w:r>
      <w:r w:rsidR="00DE5587" w:rsidRPr="008E28E6">
        <w:rPr>
          <w:rFonts w:ascii="Times New Roman" w:hAnsi="Times New Roman" w:cs="Times New Roman"/>
          <w:sz w:val="24"/>
          <w:szCs w:val="24"/>
        </w:rPr>
        <w:t xml:space="preserve">owever after adjusting for factors such as BMI </w:t>
      </w:r>
      <w:r w:rsidR="00C57F8F" w:rsidRPr="008E28E6">
        <w:rPr>
          <w:rFonts w:ascii="Times New Roman" w:hAnsi="Times New Roman" w:cs="Times New Roman"/>
          <w:sz w:val="24"/>
          <w:szCs w:val="24"/>
        </w:rPr>
        <w:t xml:space="preserve">and age </w:t>
      </w:r>
      <w:r w:rsidR="00DE5587" w:rsidRPr="008E28E6">
        <w:rPr>
          <w:rFonts w:ascii="Times New Roman" w:hAnsi="Times New Roman" w:cs="Times New Roman"/>
          <w:sz w:val="24"/>
          <w:szCs w:val="24"/>
        </w:rPr>
        <w:t>which are related to lipid levels and also between study centres the</w:t>
      </w:r>
      <w:r w:rsidR="00C57F8F" w:rsidRPr="008E28E6">
        <w:rPr>
          <w:rFonts w:ascii="Times New Roman" w:hAnsi="Times New Roman" w:cs="Times New Roman"/>
          <w:sz w:val="24"/>
          <w:szCs w:val="24"/>
        </w:rPr>
        <w:t xml:space="preserve"> differences between platforms were minimal</w:t>
      </w:r>
      <w:r w:rsidR="00E01DDB" w:rsidRPr="008E28E6">
        <w:rPr>
          <w:rFonts w:ascii="Times New Roman" w:hAnsi="Times New Roman" w:cs="Times New Roman"/>
          <w:sz w:val="24"/>
          <w:szCs w:val="24"/>
        </w:rPr>
        <w:t xml:space="preserve">. This suggests any </w:t>
      </w:r>
      <w:r w:rsidR="00DE5587" w:rsidRPr="008E28E6">
        <w:rPr>
          <w:rFonts w:ascii="Times New Roman" w:hAnsi="Times New Roman" w:cs="Times New Roman"/>
          <w:sz w:val="24"/>
          <w:szCs w:val="24"/>
        </w:rPr>
        <w:t xml:space="preserve">differences are </w:t>
      </w:r>
      <w:r w:rsidR="00E01DDB" w:rsidRPr="008E28E6">
        <w:rPr>
          <w:rFonts w:ascii="Times New Roman" w:hAnsi="Times New Roman" w:cs="Times New Roman"/>
          <w:sz w:val="24"/>
          <w:szCs w:val="24"/>
        </w:rPr>
        <w:t>largely</w:t>
      </w:r>
      <w:r w:rsidR="00DE5587" w:rsidRPr="008E28E6">
        <w:rPr>
          <w:rFonts w:ascii="Times New Roman" w:hAnsi="Times New Roman" w:cs="Times New Roman"/>
          <w:sz w:val="24"/>
          <w:szCs w:val="24"/>
        </w:rPr>
        <w:t xml:space="preserve"> </w:t>
      </w:r>
      <w:r w:rsidR="00C57F8F" w:rsidRPr="008E28E6">
        <w:rPr>
          <w:rFonts w:ascii="Times New Roman" w:hAnsi="Times New Roman" w:cs="Times New Roman"/>
          <w:sz w:val="24"/>
          <w:szCs w:val="24"/>
        </w:rPr>
        <w:t>explained by</w:t>
      </w:r>
      <w:r w:rsidR="00DE5587" w:rsidRPr="008E28E6">
        <w:rPr>
          <w:rFonts w:ascii="Times New Roman" w:hAnsi="Times New Roman" w:cs="Times New Roman"/>
          <w:sz w:val="24"/>
          <w:szCs w:val="24"/>
        </w:rPr>
        <w:t xml:space="preserve"> population </w:t>
      </w:r>
      <w:r w:rsidR="00C57F8F" w:rsidRPr="008E28E6">
        <w:rPr>
          <w:rFonts w:ascii="Times New Roman" w:hAnsi="Times New Roman" w:cs="Times New Roman"/>
          <w:sz w:val="24"/>
          <w:szCs w:val="24"/>
        </w:rPr>
        <w:t>characteristics</w:t>
      </w:r>
      <w:r w:rsidR="00DE5587" w:rsidRPr="008E28E6">
        <w:rPr>
          <w:rFonts w:ascii="Times New Roman" w:hAnsi="Times New Roman" w:cs="Times New Roman"/>
          <w:sz w:val="24"/>
          <w:szCs w:val="24"/>
        </w:rPr>
        <w:t xml:space="preserve"> rather than </w:t>
      </w:r>
      <w:r w:rsidR="00E01DDB" w:rsidRPr="008E28E6">
        <w:rPr>
          <w:rFonts w:ascii="Times New Roman" w:hAnsi="Times New Roman" w:cs="Times New Roman"/>
          <w:sz w:val="24"/>
          <w:szCs w:val="24"/>
        </w:rPr>
        <w:t xml:space="preserve">the </w:t>
      </w:r>
      <w:r w:rsidR="00DE5587" w:rsidRPr="008E28E6">
        <w:rPr>
          <w:rFonts w:ascii="Times New Roman" w:hAnsi="Times New Roman" w:cs="Times New Roman"/>
          <w:sz w:val="24"/>
          <w:szCs w:val="24"/>
        </w:rPr>
        <w:t xml:space="preserve">testing </w:t>
      </w:r>
      <w:r w:rsidR="00E01DDB" w:rsidRPr="008E28E6">
        <w:rPr>
          <w:rFonts w:ascii="Times New Roman" w:hAnsi="Times New Roman" w:cs="Times New Roman"/>
          <w:sz w:val="24"/>
          <w:szCs w:val="24"/>
        </w:rPr>
        <w:t>platforms</w:t>
      </w:r>
      <w:r w:rsidR="00DE5587" w:rsidRPr="008E28E6">
        <w:rPr>
          <w:rFonts w:ascii="Times New Roman" w:hAnsi="Times New Roman" w:cs="Times New Roman"/>
          <w:sz w:val="24"/>
          <w:szCs w:val="24"/>
        </w:rPr>
        <w:t xml:space="preserve">. </w:t>
      </w:r>
      <w:r w:rsidR="00C57F8F" w:rsidRPr="008E28E6">
        <w:rPr>
          <w:rFonts w:ascii="Times New Roman" w:hAnsi="Times New Roman" w:cs="Times New Roman"/>
          <w:sz w:val="24"/>
          <w:szCs w:val="24"/>
        </w:rPr>
        <w:t>As an</w:t>
      </w:r>
      <w:r w:rsidR="00DE5587" w:rsidRPr="008E28E6">
        <w:rPr>
          <w:rFonts w:ascii="Times New Roman" w:hAnsi="Times New Roman" w:cs="Times New Roman"/>
          <w:sz w:val="24"/>
          <w:szCs w:val="24"/>
        </w:rPr>
        <w:t xml:space="preserve"> additional check the univariable relationships of the lipids stratified by platform </w:t>
      </w:r>
      <w:r w:rsidR="00C57F8F" w:rsidRPr="008E28E6">
        <w:rPr>
          <w:rFonts w:ascii="Times New Roman" w:hAnsi="Times New Roman" w:cs="Times New Roman"/>
          <w:sz w:val="24"/>
          <w:szCs w:val="24"/>
        </w:rPr>
        <w:t xml:space="preserve">were investigated </w:t>
      </w:r>
      <w:r w:rsidR="00DE5587" w:rsidRPr="008E28E6">
        <w:rPr>
          <w:rFonts w:ascii="Times New Roman" w:hAnsi="Times New Roman" w:cs="Times New Roman"/>
          <w:sz w:val="24"/>
          <w:szCs w:val="24"/>
        </w:rPr>
        <w:t>and the results are consistent</w:t>
      </w:r>
      <w:r w:rsidR="00C57F8F" w:rsidRPr="008E28E6">
        <w:rPr>
          <w:rFonts w:ascii="Times New Roman" w:hAnsi="Times New Roman" w:cs="Times New Roman"/>
          <w:sz w:val="24"/>
          <w:szCs w:val="24"/>
        </w:rPr>
        <w:t>.</w:t>
      </w:r>
    </w:p>
    <w:p w14:paraId="0FDD8D75" w14:textId="77777777" w:rsidR="00DE5587" w:rsidRPr="008E28E6" w:rsidRDefault="00DE5587" w:rsidP="007E65DE">
      <w:pPr>
        <w:autoSpaceDE w:val="0"/>
        <w:autoSpaceDN w:val="0"/>
        <w:adjustRightInd w:val="0"/>
        <w:spacing w:after="0" w:line="480" w:lineRule="auto"/>
        <w:ind w:firstLine="720"/>
        <w:jc w:val="both"/>
        <w:rPr>
          <w:rFonts w:ascii="Times New Roman" w:eastAsia="TimesNewRomanPSMT" w:hAnsi="Times New Roman" w:cs="Times New Roman"/>
          <w:sz w:val="24"/>
          <w:szCs w:val="24"/>
        </w:rPr>
      </w:pPr>
    </w:p>
    <w:p w14:paraId="1EC16A08" w14:textId="2894D56F" w:rsidR="00DE1120" w:rsidRPr="008E28E6" w:rsidRDefault="00DE1120" w:rsidP="005E4732">
      <w:pPr>
        <w:autoSpaceDE w:val="0"/>
        <w:autoSpaceDN w:val="0"/>
        <w:adjustRightInd w:val="0"/>
        <w:spacing w:after="0" w:line="480" w:lineRule="auto"/>
        <w:ind w:firstLine="720"/>
        <w:jc w:val="both"/>
        <w:rPr>
          <w:rFonts w:ascii="Times New Roman" w:eastAsia="TimesNewRomanPSMT" w:hAnsi="Times New Roman" w:cs="Times New Roman"/>
          <w:sz w:val="24"/>
          <w:szCs w:val="24"/>
        </w:rPr>
      </w:pPr>
      <w:r w:rsidRPr="008E28E6">
        <w:rPr>
          <w:rFonts w:ascii="Times New Roman" w:eastAsia="TimesNewRomanPSMT" w:hAnsi="Times New Roman" w:cs="Times New Roman"/>
          <w:sz w:val="24"/>
          <w:szCs w:val="24"/>
        </w:rPr>
        <w:lastRenderedPageBreak/>
        <w:t>The LDL-cholesterol was calculated using the Friedewald Formula. The remaining three additional biomarkers</w:t>
      </w:r>
      <w:r w:rsidR="00193F3B" w:rsidRPr="008E28E6">
        <w:rPr>
          <w:rFonts w:ascii="Times New Roman" w:eastAsia="TimesNewRomanPSMT" w:hAnsi="Times New Roman" w:cs="Times New Roman"/>
          <w:sz w:val="24"/>
          <w:szCs w:val="24"/>
        </w:rPr>
        <w:t xml:space="preserve"> (adiponectin, insulin and placental growth hormone)</w:t>
      </w:r>
      <w:r w:rsidRPr="008E28E6">
        <w:rPr>
          <w:rFonts w:ascii="Times New Roman" w:eastAsia="TimesNewRomanPSMT" w:hAnsi="Times New Roman" w:cs="Times New Roman"/>
          <w:sz w:val="24"/>
          <w:szCs w:val="24"/>
        </w:rPr>
        <w:t xml:space="preserve"> were measured using the same platform used </w:t>
      </w:r>
      <w:r w:rsidR="0072655E" w:rsidRPr="008E28E6">
        <w:rPr>
          <w:rFonts w:ascii="Times New Roman" w:eastAsia="TimesNewRomanPSMT" w:hAnsi="Times New Roman" w:cs="Times New Roman"/>
          <w:sz w:val="24"/>
          <w:szCs w:val="24"/>
        </w:rPr>
        <w:t>for</w:t>
      </w:r>
      <w:r w:rsidRPr="008E28E6">
        <w:rPr>
          <w:rFonts w:ascii="Times New Roman" w:eastAsia="TimesNewRomanPSMT" w:hAnsi="Times New Roman" w:cs="Times New Roman"/>
          <w:sz w:val="24"/>
          <w:szCs w:val="24"/>
        </w:rPr>
        <w:t xml:space="preserve"> measurement</w:t>
      </w:r>
      <w:r w:rsidR="00786DE6" w:rsidRPr="008E28E6">
        <w:rPr>
          <w:rFonts w:ascii="Times New Roman" w:eastAsia="TimesNewRomanPSMT" w:hAnsi="Times New Roman" w:cs="Times New Roman"/>
          <w:sz w:val="24"/>
          <w:szCs w:val="24"/>
        </w:rPr>
        <w:t xml:space="preserve"> of the 46</w:t>
      </w:r>
      <w:r w:rsidRPr="008E28E6">
        <w:rPr>
          <w:rFonts w:ascii="Times New Roman" w:eastAsia="TimesNewRomanPSMT" w:hAnsi="Times New Roman" w:cs="Times New Roman"/>
          <w:sz w:val="24"/>
          <w:szCs w:val="24"/>
        </w:rPr>
        <w:t xml:space="preserve"> previously reported biomarkers</w:t>
      </w:r>
      <w:r w:rsidR="00BD209E" w:rsidRPr="008E28E6">
        <w:rPr>
          <w:rFonts w:ascii="Times New Roman" w:eastAsia="TimesNewRomanPSMT" w:hAnsi="Times New Roman" w:cs="Times New Roman"/>
          <w:sz w:val="24"/>
          <w:szCs w:val="24"/>
          <w:vertAlign w:val="superscript"/>
        </w:rPr>
        <w:t>2</w:t>
      </w:r>
      <w:r w:rsidRPr="008E28E6">
        <w:rPr>
          <w:rFonts w:ascii="Times New Roman" w:eastAsia="TimesNewRomanPSMT" w:hAnsi="Times New Roman" w:cs="Times New Roman"/>
          <w:sz w:val="24"/>
          <w:szCs w:val="24"/>
        </w:rPr>
        <w:t xml:space="preserve"> </w:t>
      </w:r>
      <w:r w:rsidR="008171E2" w:rsidRPr="008E28E6">
        <w:rPr>
          <w:rFonts w:ascii="Times New Roman" w:eastAsia="TimesNewRomanPSMT" w:hAnsi="Times New Roman" w:cs="Times New Roman"/>
          <w:sz w:val="24"/>
          <w:szCs w:val="24"/>
        </w:rPr>
        <w:t>with the methodology</w:t>
      </w:r>
      <w:r w:rsidR="0072655E" w:rsidRPr="008E28E6">
        <w:rPr>
          <w:rFonts w:ascii="Times New Roman" w:eastAsia="TimesNewRomanPSMT" w:hAnsi="Times New Roman" w:cs="Times New Roman"/>
          <w:sz w:val="24"/>
          <w:szCs w:val="24"/>
        </w:rPr>
        <w:t xml:space="preserve"> below.</w:t>
      </w:r>
    </w:p>
    <w:p w14:paraId="7D0D72CB" w14:textId="6971DFE0" w:rsidR="00DE1120" w:rsidRPr="008E28E6" w:rsidRDefault="00DE1120" w:rsidP="00C86E74">
      <w:pPr>
        <w:autoSpaceDE w:val="0"/>
        <w:autoSpaceDN w:val="0"/>
        <w:adjustRightInd w:val="0"/>
        <w:spacing w:after="0" w:line="480" w:lineRule="auto"/>
        <w:ind w:firstLine="567"/>
        <w:jc w:val="both"/>
        <w:rPr>
          <w:rFonts w:ascii="Times New Roman" w:eastAsia="TimesNewRomanPSMT" w:hAnsi="Times New Roman" w:cs="Times New Roman"/>
          <w:sz w:val="24"/>
          <w:szCs w:val="24"/>
        </w:rPr>
      </w:pPr>
      <w:r w:rsidRPr="008E28E6">
        <w:rPr>
          <w:rFonts w:ascii="Times New Roman" w:eastAsia="TimesNewRomanPSMT" w:hAnsi="Times New Roman" w:cs="Times New Roman"/>
          <w:sz w:val="24"/>
          <w:szCs w:val="24"/>
        </w:rPr>
        <w:t>Mouse derived recombinant Fab(s), generated by unique phage display technology (Alere, San Diego), were used in several immunoassay formats for the measurement of biomarker concentrations. These reagents were optimized for use in Luminex xMap technology (Alere, San Diego) or micro-titer plate ELISAs. Once optimized for format, a small subset of clinical patient samples were used to determine the final reagents (pairings or single recombinant Fabs) to use in the full cohort screening.</w:t>
      </w:r>
    </w:p>
    <w:p w14:paraId="07F9D74D" w14:textId="77777777" w:rsidR="00DE1120" w:rsidRPr="008E28E6" w:rsidRDefault="00DE1120" w:rsidP="00C86E74">
      <w:pPr>
        <w:autoSpaceDE w:val="0"/>
        <w:autoSpaceDN w:val="0"/>
        <w:adjustRightInd w:val="0"/>
        <w:spacing w:after="0" w:line="480" w:lineRule="auto"/>
        <w:ind w:firstLine="720"/>
        <w:jc w:val="both"/>
        <w:rPr>
          <w:rFonts w:ascii="Times New Roman" w:eastAsia="TimesNewRomanPSMT" w:hAnsi="Times New Roman" w:cs="Times New Roman"/>
          <w:sz w:val="24"/>
          <w:szCs w:val="24"/>
        </w:rPr>
      </w:pPr>
      <w:r w:rsidRPr="008E28E6">
        <w:rPr>
          <w:rFonts w:ascii="Times New Roman" w:eastAsia="TimesNewRomanPSMT" w:hAnsi="Times New Roman" w:cs="Times New Roman"/>
          <w:sz w:val="24"/>
          <w:szCs w:val="24"/>
        </w:rPr>
        <w:t>Luminex assays utilize magnetic beads that have a unique ratio of two dyes that are used to distinguish the identity of each bead, thereby enabling the multiplexing of assays within the same well. The Luminex sandwich assay format uses a recombinant Fab conjugated to a magnetic bead as the capture and a biotin-conjugated recombinant Fab as the assay detection. Recombinant Fab conjugated magnetic beads are added to the plate and washed. Sample is then incubated with the beads, followed by incubation with the detection antibody. The plate is washed, incubated with strepavidin labeled phycoerythrin, washed and then read using a Luminex 200 reader. The Luminex competitive assay format uses a recombinant Fab conjugated to the bead and a biotin-conjugated antigen as the assay detection. Recombinant Fab conjugated magnetic beads are added to the plate and washed. The sample and detection reagent are premixed, added simultaneously and then incubated. The final steps are as described for the Luminex sandwich assay.</w:t>
      </w:r>
    </w:p>
    <w:p w14:paraId="44F47595" w14:textId="0C43A126" w:rsidR="007E65DE" w:rsidRPr="008E28E6" w:rsidRDefault="007E65DE" w:rsidP="007E65DE">
      <w:pPr>
        <w:pStyle w:val="ListParagraph"/>
        <w:spacing w:line="480" w:lineRule="auto"/>
        <w:ind w:left="0" w:right="-284"/>
        <w:rPr>
          <w:rFonts w:ascii="Times New Roman" w:hAnsi="Times New Roman" w:cs="Times New Roman"/>
          <w:sz w:val="24"/>
          <w:szCs w:val="24"/>
        </w:rPr>
      </w:pPr>
      <w:r w:rsidRPr="008E28E6">
        <w:rPr>
          <w:szCs w:val="24"/>
        </w:rPr>
        <w:lastRenderedPageBreak/>
        <w:tab/>
      </w:r>
      <w:r w:rsidRPr="008E28E6">
        <w:rPr>
          <w:rFonts w:ascii="Times New Roman" w:hAnsi="Times New Roman" w:cs="Times New Roman"/>
          <w:sz w:val="24"/>
          <w:szCs w:val="24"/>
        </w:rPr>
        <w:t>The Luminex multiplex method was tested for possible interference between the measured biomarkers. If the assay did not perform in a plex format for interference it was removed from the plex and further optimized into another plex or on its own in a single assay format.  Each assay was measured in a linear range.The ranges of each assay was noted and if the sample fell out of range it was clipped at the tails.</w:t>
      </w:r>
    </w:p>
    <w:p w14:paraId="16C55AB3" w14:textId="77777777" w:rsidR="00DE1120" w:rsidRPr="008E28E6" w:rsidRDefault="00DE1120" w:rsidP="00C86E74">
      <w:pPr>
        <w:autoSpaceDE w:val="0"/>
        <w:autoSpaceDN w:val="0"/>
        <w:adjustRightInd w:val="0"/>
        <w:spacing w:after="0" w:line="480" w:lineRule="auto"/>
        <w:ind w:firstLine="720"/>
        <w:jc w:val="both"/>
        <w:rPr>
          <w:rFonts w:ascii="Times New Roman" w:eastAsia="TimesNewRomanPSMT" w:hAnsi="Times New Roman" w:cs="Times New Roman"/>
          <w:sz w:val="24"/>
          <w:szCs w:val="24"/>
        </w:rPr>
      </w:pPr>
      <w:r w:rsidRPr="008E28E6">
        <w:rPr>
          <w:rFonts w:ascii="Times New Roman" w:eastAsia="TimesNewRomanPSMT" w:hAnsi="Times New Roman" w:cs="Times New Roman"/>
          <w:sz w:val="24"/>
          <w:szCs w:val="24"/>
        </w:rPr>
        <w:t>The micro-titer ELISA assays use a streptavidin coated plate and biotin or fluorescein conjugated recombinant Fabs. The ELISA sandwich assay uses a biotin-conjugated recombinant Fab as the capture and a fluorescein-conjugated recombinant Fab as the detection antibody. Capture antibody is coated on the plate, incubated, washed and sample added. After sample incubation, the plate is washed and then incubated with detection antibody. Following washing, the plate is incubated with anti fluorescein antibody conjugated to alkaline phosphatase, washed, fluorescent substrate added and then read using a Tecan infinite F200 reader.</w:t>
      </w:r>
    </w:p>
    <w:p w14:paraId="2C354192" w14:textId="77777777" w:rsidR="00DE1120" w:rsidRPr="008E28E6" w:rsidRDefault="00DE1120" w:rsidP="00C86E74">
      <w:pPr>
        <w:autoSpaceDE w:val="0"/>
        <w:autoSpaceDN w:val="0"/>
        <w:adjustRightInd w:val="0"/>
        <w:spacing w:after="0" w:line="480" w:lineRule="auto"/>
        <w:ind w:firstLine="720"/>
        <w:jc w:val="both"/>
        <w:rPr>
          <w:rFonts w:ascii="Times New Roman" w:eastAsia="TimesNewRomanPSMT" w:hAnsi="Times New Roman" w:cs="Times New Roman"/>
          <w:sz w:val="24"/>
          <w:szCs w:val="24"/>
        </w:rPr>
      </w:pPr>
      <w:r w:rsidRPr="008E28E6">
        <w:rPr>
          <w:rFonts w:ascii="Times New Roman" w:eastAsia="TimesNewRomanPSMT" w:hAnsi="Times New Roman" w:cs="Times New Roman"/>
          <w:sz w:val="24"/>
          <w:szCs w:val="24"/>
        </w:rPr>
        <w:t>The ELISA competitive assay uses a biotin-conjugated antigen as the capture and a fluorescein-conjugated recombinant Fab as the detection antibody. The plate is coated with capture antibody, incubated and washed. Addition of sample is immediately followed by addition of the detection antibody and incubated. The final steps are the same as the ELISA sandwich.</w:t>
      </w:r>
    </w:p>
    <w:p w14:paraId="12214EE4" w14:textId="77777777" w:rsidR="00DE1120" w:rsidRPr="008E28E6" w:rsidRDefault="00DE1120" w:rsidP="00C86E74">
      <w:pPr>
        <w:autoSpaceDE w:val="0"/>
        <w:autoSpaceDN w:val="0"/>
        <w:adjustRightInd w:val="0"/>
        <w:spacing w:after="0" w:line="480" w:lineRule="auto"/>
        <w:ind w:firstLine="720"/>
        <w:jc w:val="both"/>
        <w:rPr>
          <w:rFonts w:ascii="Times New Roman" w:eastAsia="TimesNewRomanPSMT" w:hAnsi="Times New Roman" w:cs="Times New Roman"/>
          <w:sz w:val="24"/>
          <w:szCs w:val="24"/>
        </w:rPr>
      </w:pPr>
      <w:r w:rsidRPr="008E28E6">
        <w:rPr>
          <w:rFonts w:ascii="Times New Roman" w:eastAsia="TimesNewRomanPSMT" w:hAnsi="Times New Roman" w:cs="Times New Roman"/>
          <w:sz w:val="24"/>
          <w:szCs w:val="24"/>
        </w:rPr>
        <w:t>Each assay uses an 8 point dose curve prepared gravimetrically in EDTA plasma or buffer.</w:t>
      </w:r>
    </w:p>
    <w:p w14:paraId="2C2922AA" w14:textId="77777777" w:rsidR="00231F53" w:rsidRPr="008E28E6" w:rsidRDefault="00231F53" w:rsidP="00C86E74">
      <w:pPr>
        <w:autoSpaceDE w:val="0"/>
        <w:autoSpaceDN w:val="0"/>
        <w:adjustRightInd w:val="0"/>
        <w:spacing w:after="0" w:line="480" w:lineRule="auto"/>
        <w:ind w:firstLine="567"/>
        <w:jc w:val="both"/>
        <w:rPr>
          <w:rFonts w:ascii="Times New Roman" w:eastAsia="TimesNewRomanPSMT" w:hAnsi="Times New Roman" w:cs="Times New Roman"/>
          <w:sz w:val="24"/>
          <w:szCs w:val="24"/>
        </w:rPr>
      </w:pPr>
    </w:p>
    <w:p w14:paraId="4123A01C" w14:textId="77777777" w:rsidR="00231F53" w:rsidRPr="008E28E6" w:rsidRDefault="00231F53" w:rsidP="00C86E74">
      <w:pPr>
        <w:autoSpaceDE w:val="0"/>
        <w:autoSpaceDN w:val="0"/>
        <w:adjustRightInd w:val="0"/>
        <w:spacing w:after="0" w:line="480" w:lineRule="auto"/>
        <w:jc w:val="both"/>
        <w:rPr>
          <w:rFonts w:ascii="Times New Roman" w:eastAsia="TimesNewRomanPSMT" w:hAnsi="Times New Roman" w:cs="Times New Roman"/>
          <w:sz w:val="24"/>
          <w:szCs w:val="24"/>
        </w:rPr>
      </w:pPr>
      <w:r w:rsidRPr="008E28E6">
        <w:rPr>
          <w:rFonts w:ascii="Times New Roman" w:hAnsi="Times New Roman" w:cs="Times New Roman"/>
          <w:b/>
          <w:sz w:val="24"/>
          <w:szCs w:val="24"/>
        </w:rPr>
        <w:t>References</w:t>
      </w:r>
    </w:p>
    <w:p w14:paraId="0D1A9AAA" w14:textId="3E57E4DB" w:rsidR="001B7BD5" w:rsidRPr="008E28E6" w:rsidRDefault="00231F53" w:rsidP="00C86E74">
      <w:pPr>
        <w:autoSpaceDE w:val="0"/>
        <w:autoSpaceDN w:val="0"/>
        <w:adjustRightInd w:val="0"/>
        <w:spacing w:after="0" w:line="480" w:lineRule="auto"/>
        <w:jc w:val="both"/>
        <w:rPr>
          <w:rFonts w:ascii="Times New Roman" w:eastAsia="TimesNewRomanPSMT" w:hAnsi="Times New Roman" w:cs="Times New Roman"/>
          <w:sz w:val="24"/>
          <w:szCs w:val="24"/>
        </w:rPr>
      </w:pPr>
      <w:r w:rsidRPr="008E28E6">
        <w:rPr>
          <w:rFonts w:ascii="Times New Roman" w:eastAsia="TimesNewRomanPSMT" w:hAnsi="Times New Roman" w:cs="Times New Roman"/>
          <w:sz w:val="24"/>
          <w:szCs w:val="24"/>
        </w:rPr>
        <w:t>1.</w:t>
      </w:r>
      <w:r w:rsidRPr="008E28E6">
        <w:rPr>
          <w:rFonts w:ascii="Times New Roman" w:eastAsia="TimesNewRomanPSMT" w:hAnsi="Times New Roman" w:cs="Times New Roman"/>
          <w:sz w:val="24"/>
          <w:szCs w:val="24"/>
        </w:rPr>
        <w:tab/>
      </w:r>
      <w:r w:rsidR="001B7BD5" w:rsidRPr="008E28E6">
        <w:rPr>
          <w:rFonts w:ascii="Times New Roman" w:eastAsia="TimesNewRomanPSMT" w:hAnsi="Times New Roman" w:cs="Times New Roman"/>
          <w:sz w:val="24"/>
          <w:szCs w:val="24"/>
        </w:rPr>
        <w:t xml:space="preserve">Fyfe EM, Rivers KS, Thompson JM, Thiyagarajan KP, Groom KM, Dekker GA, </w:t>
      </w:r>
      <w:r w:rsidR="00321D68" w:rsidRPr="008E28E6">
        <w:rPr>
          <w:rFonts w:ascii="Times New Roman" w:eastAsia="TimesNewRomanPSMT" w:hAnsi="Times New Roman" w:cs="Times New Roman"/>
          <w:sz w:val="24"/>
          <w:szCs w:val="24"/>
        </w:rPr>
        <w:t xml:space="preserve">et al. </w:t>
      </w:r>
      <w:r w:rsidR="001B7BD5" w:rsidRPr="008E28E6">
        <w:rPr>
          <w:rFonts w:ascii="Times New Roman" w:eastAsia="TimesNewRomanPSMT" w:hAnsi="Times New Roman" w:cs="Times New Roman"/>
          <w:sz w:val="24"/>
          <w:szCs w:val="24"/>
        </w:rPr>
        <w:t xml:space="preserve">Elevated maternal lipids in early pregnancy are not associated with risk of </w:t>
      </w:r>
      <w:r w:rsidR="001B7BD5" w:rsidRPr="008E28E6">
        <w:rPr>
          <w:rFonts w:ascii="Times New Roman" w:eastAsia="TimesNewRomanPSMT" w:hAnsi="Times New Roman" w:cs="Times New Roman"/>
          <w:sz w:val="24"/>
          <w:szCs w:val="24"/>
        </w:rPr>
        <w:lastRenderedPageBreak/>
        <w:t>intrapartum caesarean in overweight and obese nulliparous women. BMC Pregnancy Childbirth. 2013;13:143</w:t>
      </w:r>
      <w:r w:rsidR="00C42750" w:rsidRPr="008E28E6">
        <w:rPr>
          <w:rFonts w:ascii="Times New Roman" w:eastAsia="TimesNewRomanPSMT" w:hAnsi="Times New Roman" w:cs="Times New Roman"/>
          <w:sz w:val="24"/>
          <w:szCs w:val="24"/>
        </w:rPr>
        <w:t>.</w:t>
      </w:r>
    </w:p>
    <w:p w14:paraId="0EC22F89" w14:textId="1AD84FE8" w:rsidR="00231F53" w:rsidRPr="008E28E6" w:rsidRDefault="001B7BD5" w:rsidP="00C42750">
      <w:pPr>
        <w:autoSpaceDE w:val="0"/>
        <w:autoSpaceDN w:val="0"/>
        <w:adjustRightInd w:val="0"/>
        <w:spacing w:line="480" w:lineRule="auto"/>
        <w:rPr>
          <w:rFonts w:ascii="Times New Roman" w:hAnsi="Times New Roman" w:cs="Times New Roman"/>
          <w:sz w:val="24"/>
          <w:szCs w:val="24"/>
          <w:lang w:val="en-NZ"/>
        </w:rPr>
      </w:pPr>
      <w:r w:rsidRPr="008E28E6">
        <w:rPr>
          <w:rFonts w:ascii="Times New Roman" w:eastAsia="TimesNewRomanPSMT" w:hAnsi="Times New Roman" w:cs="Times New Roman"/>
          <w:sz w:val="24"/>
          <w:szCs w:val="24"/>
        </w:rPr>
        <w:t>2.</w:t>
      </w:r>
      <w:r w:rsidRPr="008E28E6">
        <w:rPr>
          <w:rFonts w:ascii="Times New Roman" w:eastAsia="TimesNewRomanPSMT" w:hAnsi="Times New Roman" w:cs="Times New Roman"/>
          <w:sz w:val="24"/>
          <w:szCs w:val="24"/>
        </w:rPr>
        <w:tab/>
      </w:r>
      <w:r w:rsidR="00231F53" w:rsidRPr="008E28E6">
        <w:rPr>
          <w:rFonts w:ascii="Times New Roman" w:eastAsia="TimesNewRomanPSMT" w:hAnsi="Times New Roman" w:cs="Times New Roman"/>
          <w:sz w:val="24"/>
          <w:szCs w:val="24"/>
        </w:rPr>
        <w:t xml:space="preserve">Kenny LC, Black MA, Poston L, Taylor R, Myers JE, Baker PN, </w:t>
      </w:r>
      <w:r w:rsidR="00321D68" w:rsidRPr="008E28E6">
        <w:rPr>
          <w:rFonts w:ascii="Times New Roman" w:eastAsia="TimesNewRomanPSMT" w:hAnsi="Times New Roman" w:cs="Times New Roman"/>
          <w:sz w:val="24"/>
          <w:szCs w:val="24"/>
        </w:rPr>
        <w:t>et al.</w:t>
      </w:r>
      <w:r w:rsidR="00231F53" w:rsidRPr="008E28E6">
        <w:rPr>
          <w:rFonts w:ascii="Times New Roman" w:eastAsia="TimesNewRomanPSMT" w:hAnsi="Times New Roman" w:cs="Times New Roman"/>
          <w:sz w:val="24"/>
          <w:szCs w:val="24"/>
        </w:rPr>
        <w:t xml:space="preserve"> Early pregnancy prediction of preeclampsia in nulliparous women, combining clinical risk and biomarkers: the Screening for Pregnancy Endpoints (SCOPE) internat</w:t>
      </w:r>
      <w:r w:rsidR="00C42750" w:rsidRPr="008E28E6">
        <w:rPr>
          <w:rFonts w:ascii="Times New Roman" w:eastAsia="TimesNewRomanPSMT" w:hAnsi="Times New Roman" w:cs="Times New Roman"/>
          <w:sz w:val="24"/>
          <w:szCs w:val="24"/>
        </w:rPr>
        <w:t>ional cohort study. Hypertens</w:t>
      </w:r>
      <w:r w:rsidR="00231F53" w:rsidRPr="008E28E6">
        <w:rPr>
          <w:rFonts w:ascii="Times New Roman" w:eastAsia="TimesNewRomanPSMT" w:hAnsi="Times New Roman" w:cs="Times New Roman"/>
          <w:sz w:val="24"/>
          <w:szCs w:val="24"/>
        </w:rPr>
        <w:t>. 2014;64(3):644-52.</w:t>
      </w:r>
    </w:p>
    <w:p w14:paraId="0D1198F5" w14:textId="77777777" w:rsidR="00C414E7" w:rsidRPr="008E28E6" w:rsidRDefault="00C414E7" w:rsidP="00C86E74">
      <w:pPr>
        <w:autoSpaceDE w:val="0"/>
        <w:autoSpaceDN w:val="0"/>
        <w:adjustRightInd w:val="0"/>
        <w:spacing w:after="0" w:line="480" w:lineRule="auto"/>
        <w:jc w:val="both"/>
        <w:rPr>
          <w:rFonts w:ascii="Times New Roman" w:eastAsia="TimesNewRomanPSMT" w:hAnsi="Times New Roman" w:cs="Times New Roman"/>
          <w:sz w:val="24"/>
          <w:szCs w:val="24"/>
        </w:rPr>
        <w:sectPr w:rsidR="00C414E7" w:rsidRPr="008E28E6" w:rsidSect="00C42750">
          <w:footerReference w:type="default" r:id="rId7"/>
          <w:pgSz w:w="11906" w:h="16838"/>
          <w:pgMar w:top="1701" w:right="1701" w:bottom="1701" w:left="1701" w:header="709" w:footer="709" w:gutter="0"/>
          <w:cols w:space="708"/>
          <w:docGrid w:linePitch="360"/>
        </w:sectPr>
      </w:pPr>
    </w:p>
    <w:p w14:paraId="061751BC" w14:textId="30D3615D" w:rsidR="00F7413D" w:rsidRPr="008E28E6" w:rsidRDefault="00354092" w:rsidP="00F7413D">
      <w:pPr>
        <w:spacing w:after="0" w:line="480" w:lineRule="auto"/>
        <w:rPr>
          <w:rFonts w:ascii="Times New Roman" w:hAnsi="Times New Roman" w:cs="Times New Roman"/>
          <w:b/>
          <w:sz w:val="24"/>
          <w:szCs w:val="24"/>
        </w:rPr>
      </w:pPr>
      <w:r w:rsidRPr="008E28E6">
        <w:rPr>
          <w:rFonts w:ascii="Times New Roman" w:hAnsi="Times New Roman" w:cs="Times New Roman"/>
          <w:b/>
          <w:sz w:val="24"/>
          <w:szCs w:val="24"/>
        </w:rPr>
        <w:lastRenderedPageBreak/>
        <w:t>Table A</w:t>
      </w:r>
      <w:r w:rsidR="00F7413D" w:rsidRPr="008E28E6">
        <w:rPr>
          <w:rFonts w:ascii="Times New Roman" w:hAnsi="Times New Roman" w:cs="Times New Roman"/>
          <w:b/>
          <w:sz w:val="24"/>
          <w:szCs w:val="24"/>
        </w:rPr>
        <w:t>. Variables available to SGA, Normotensive SGA or Hypertensive SGA models</w:t>
      </w:r>
      <w:r w:rsidR="00030C12" w:rsidRPr="008E28E6">
        <w:rPr>
          <w:rFonts w:ascii="Times New Roman" w:hAnsi="Times New Roman" w:cs="Times New Roman"/>
          <w:b/>
          <w:sz w:val="24"/>
          <w:szCs w:val="24"/>
        </w:rPr>
        <w:t xml:space="preserve"> </w:t>
      </w:r>
      <w:r w:rsidR="00F7413D" w:rsidRPr="008E28E6">
        <w:rPr>
          <w:rFonts w:ascii="Times New Roman" w:hAnsi="Times New Roman" w:cs="Times New Roman"/>
          <w:b/>
          <w:sz w:val="24"/>
          <w:szCs w:val="24"/>
        </w:rPr>
        <w:t xml:space="preserve"> </w:t>
      </w:r>
    </w:p>
    <w:tbl>
      <w:tblPr>
        <w:tblStyle w:val="TableGrid"/>
        <w:tblW w:w="14283" w:type="dxa"/>
        <w:tblBorders>
          <w:left w:val="none" w:sz="0" w:space="0" w:color="auto"/>
          <w:right w:val="none" w:sz="0" w:space="0" w:color="auto"/>
        </w:tblBorders>
        <w:tblLayout w:type="fixed"/>
        <w:tblLook w:val="04A0" w:firstRow="1" w:lastRow="0" w:firstColumn="1" w:lastColumn="0" w:noHBand="0" w:noVBand="1"/>
      </w:tblPr>
      <w:tblGrid>
        <w:gridCol w:w="2518"/>
        <w:gridCol w:w="1418"/>
        <w:gridCol w:w="4375"/>
        <w:gridCol w:w="938"/>
        <w:gridCol w:w="1218"/>
        <w:gridCol w:w="981"/>
        <w:gridCol w:w="1418"/>
        <w:gridCol w:w="1417"/>
      </w:tblGrid>
      <w:tr w:rsidR="00F7413D" w:rsidRPr="008E28E6" w14:paraId="702E020A" w14:textId="77777777" w:rsidTr="00F7413D">
        <w:tc>
          <w:tcPr>
            <w:tcW w:w="2518" w:type="dxa"/>
            <w:shd w:val="clear" w:color="auto" w:fill="D9D9D9" w:themeFill="background1" w:themeFillShade="D9"/>
          </w:tcPr>
          <w:p w14:paraId="47A75131" w14:textId="77777777" w:rsidR="00F7413D" w:rsidRPr="008E28E6" w:rsidRDefault="00F7413D" w:rsidP="00F7413D">
            <w:pPr>
              <w:rPr>
                <w:rFonts w:ascii="Times New Roman" w:hAnsi="Times New Roman" w:cs="Times New Roman"/>
                <w:b/>
                <w:sz w:val="20"/>
                <w:szCs w:val="20"/>
              </w:rPr>
            </w:pPr>
            <w:r w:rsidRPr="008E28E6">
              <w:rPr>
                <w:rFonts w:ascii="Times New Roman" w:hAnsi="Times New Roman" w:cs="Times New Roman"/>
                <w:b/>
                <w:sz w:val="20"/>
                <w:szCs w:val="20"/>
              </w:rPr>
              <w:t>Variable Name</w:t>
            </w:r>
          </w:p>
        </w:tc>
        <w:tc>
          <w:tcPr>
            <w:tcW w:w="1418" w:type="dxa"/>
            <w:shd w:val="clear" w:color="auto" w:fill="D9D9D9" w:themeFill="background1" w:themeFillShade="D9"/>
          </w:tcPr>
          <w:p w14:paraId="78E2B1F8" w14:textId="77777777" w:rsidR="00F7413D" w:rsidRPr="008E28E6" w:rsidRDefault="00F7413D" w:rsidP="00F7413D">
            <w:pPr>
              <w:jc w:val="center"/>
              <w:rPr>
                <w:rFonts w:ascii="Times New Roman" w:hAnsi="Times New Roman" w:cs="Times New Roman"/>
                <w:b/>
                <w:sz w:val="20"/>
                <w:szCs w:val="20"/>
              </w:rPr>
            </w:pPr>
            <w:r w:rsidRPr="008E28E6">
              <w:rPr>
                <w:rFonts w:ascii="Times New Roman" w:hAnsi="Times New Roman" w:cs="Times New Roman"/>
                <w:b/>
                <w:sz w:val="20"/>
                <w:szCs w:val="20"/>
              </w:rPr>
              <w:t>Variable categories</w:t>
            </w:r>
          </w:p>
        </w:tc>
        <w:tc>
          <w:tcPr>
            <w:tcW w:w="4375" w:type="dxa"/>
            <w:shd w:val="clear" w:color="auto" w:fill="D9D9D9" w:themeFill="background1" w:themeFillShade="D9"/>
          </w:tcPr>
          <w:p w14:paraId="2BD269E3" w14:textId="77777777" w:rsidR="00F7413D" w:rsidRPr="008E28E6" w:rsidRDefault="00F7413D" w:rsidP="00F7413D">
            <w:pPr>
              <w:rPr>
                <w:rFonts w:ascii="Times New Roman" w:hAnsi="Times New Roman" w:cs="Times New Roman"/>
                <w:b/>
                <w:sz w:val="20"/>
                <w:szCs w:val="20"/>
              </w:rPr>
            </w:pPr>
            <w:r w:rsidRPr="008E28E6">
              <w:rPr>
                <w:rFonts w:ascii="Times New Roman" w:hAnsi="Times New Roman" w:cs="Times New Roman"/>
                <w:b/>
                <w:sz w:val="20"/>
                <w:szCs w:val="20"/>
              </w:rPr>
              <w:t xml:space="preserve">Comments </w:t>
            </w:r>
          </w:p>
        </w:tc>
        <w:tc>
          <w:tcPr>
            <w:tcW w:w="938" w:type="dxa"/>
            <w:shd w:val="clear" w:color="auto" w:fill="D9D9D9" w:themeFill="background1" w:themeFillShade="D9"/>
          </w:tcPr>
          <w:p w14:paraId="4234E76E" w14:textId="77777777" w:rsidR="00F7413D" w:rsidRPr="008E28E6" w:rsidRDefault="00F7413D" w:rsidP="00F7413D">
            <w:pPr>
              <w:rPr>
                <w:rFonts w:ascii="Times New Roman" w:hAnsi="Times New Roman" w:cs="Times New Roman"/>
                <w:b/>
                <w:sz w:val="20"/>
                <w:szCs w:val="20"/>
              </w:rPr>
            </w:pPr>
            <w:r w:rsidRPr="008E28E6">
              <w:rPr>
                <w:rFonts w:ascii="Times New Roman" w:hAnsi="Times New Roman" w:cs="Times New Roman"/>
                <w:b/>
                <w:sz w:val="20"/>
                <w:szCs w:val="20"/>
              </w:rPr>
              <w:t>Missing</w:t>
            </w:r>
          </w:p>
        </w:tc>
        <w:tc>
          <w:tcPr>
            <w:tcW w:w="1218" w:type="dxa"/>
            <w:shd w:val="clear" w:color="auto" w:fill="D9D9D9" w:themeFill="background1" w:themeFillShade="D9"/>
          </w:tcPr>
          <w:p w14:paraId="029F491F" w14:textId="77777777" w:rsidR="00F7413D" w:rsidRPr="008E28E6" w:rsidRDefault="00F7413D" w:rsidP="00F7413D">
            <w:pPr>
              <w:rPr>
                <w:rFonts w:ascii="Times New Roman" w:hAnsi="Times New Roman" w:cs="Times New Roman"/>
                <w:b/>
                <w:sz w:val="20"/>
                <w:szCs w:val="20"/>
              </w:rPr>
            </w:pPr>
            <w:r w:rsidRPr="008E28E6">
              <w:rPr>
                <w:rFonts w:ascii="Times New Roman" w:hAnsi="Times New Roman" w:cs="Times New Roman"/>
                <w:b/>
                <w:sz w:val="20"/>
                <w:szCs w:val="20"/>
              </w:rPr>
              <w:t>Imputation type</w:t>
            </w:r>
          </w:p>
        </w:tc>
        <w:tc>
          <w:tcPr>
            <w:tcW w:w="981" w:type="dxa"/>
            <w:shd w:val="clear" w:color="auto" w:fill="D9D9D9" w:themeFill="background1" w:themeFillShade="D9"/>
          </w:tcPr>
          <w:p w14:paraId="33C4DBCA" w14:textId="77777777" w:rsidR="00F7413D" w:rsidRPr="008E28E6" w:rsidRDefault="00F7413D" w:rsidP="00F7413D">
            <w:pPr>
              <w:rPr>
                <w:rFonts w:ascii="Times New Roman" w:hAnsi="Times New Roman" w:cs="Times New Roman"/>
                <w:b/>
                <w:sz w:val="20"/>
                <w:szCs w:val="20"/>
              </w:rPr>
            </w:pPr>
            <w:r w:rsidRPr="008E28E6">
              <w:rPr>
                <w:rFonts w:ascii="Times New Roman" w:hAnsi="Times New Roman" w:cs="Times New Roman"/>
                <w:b/>
                <w:sz w:val="20"/>
                <w:szCs w:val="20"/>
              </w:rPr>
              <w:t>All-SGA</w:t>
            </w:r>
          </w:p>
          <w:p w14:paraId="2230B0B3" w14:textId="77777777" w:rsidR="00F7413D" w:rsidRPr="008E28E6" w:rsidRDefault="00F7413D" w:rsidP="00F7413D">
            <w:pPr>
              <w:rPr>
                <w:rFonts w:ascii="Times New Roman" w:hAnsi="Times New Roman" w:cs="Times New Roman"/>
                <w:b/>
                <w:sz w:val="20"/>
                <w:szCs w:val="20"/>
              </w:rPr>
            </w:pPr>
            <w:r w:rsidRPr="008E28E6">
              <w:rPr>
                <w:rFonts w:ascii="Times New Roman" w:hAnsi="Times New Roman" w:cs="Times New Roman"/>
                <w:b/>
                <w:sz w:val="20"/>
                <w:szCs w:val="20"/>
              </w:rPr>
              <w:t xml:space="preserve">N=38 </w:t>
            </w:r>
          </w:p>
        </w:tc>
        <w:tc>
          <w:tcPr>
            <w:tcW w:w="1418" w:type="dxa"/>
            <w:shd w:val="clear" w:color="auto" w:fill="D9D9D9" w:themeFill="background1" w:themeFillShade="D9"/>
          </w:tcPr>
          <w:p w14:paraId="40F7851D" w14:textId="0CCF0D05" w:rsidR="00F7413D" w:rsidRPr="008E28E6" w:rsidRDefault="00F7413D" w:rsidP="00F7413D">
            <w:pPr>
              <w:rPr>
                <w:rFonts w:ascii="Times New Roman" w:hAnsi="Times New Roman" w:cs="Times New Roman"/>
                <w:b/>
                <w:sz w:val="20"/>
                <w:szCs w:val="20"/>
              </w:rPr>
            </w:pPr>
            <w:r w:rsidRPr="008E28E6">
              <w:rPr>
                <w:rFonts w:ascii="Times New Roman" w:hAnsi="Times New Roman" w:cs="Times New Roman"/>
                <w:b/>
                <w:sz w:val="20"/>
                <w:szCs w:val="20"/>
              </w:rPr>
              <w:t>Normotensive-SGA</w:t>
            </w:r>
          </w:p>
          <w:p w14:paraId="72BA8B50" w14:textId="77777777" w:rsidR="00F7413D" w:rsidRPr="008E28E6" w:rsidRDefault="00F7413D" w:rsidP="00F7413D">
            <w:pPr>
              <w:rPr>
                <w:rFonts w:ascii="Times New Roman" w:hAnsi="Times New Roman" w:cs="Times New Roman"/>
                <w:b/>
                <w:sz w:val="20"/>
                <w:szCs w:val="20"/>
              </w:rPr>
            </w:pPr>
            <w:r w:rsidRPr="008E28E6">
              <w:rPr>
                <w:rFonts w:ascii="Times New Roman" w:hAnsi="Times New Roman" w:cs="Times New Roman"/>
                <w:b/>
                <w:sz w:val="20"/>
                <w:szCs w:val="20"/>
              </w:rPr>
              <w:t>N=26</w:t>
            </w:r>
          </w:p>
        </w:tc>
        <w:tc>
          <w:tcPr>
            <w:tcW w:w="1417" w:type="dxa"/>
            <w:shd w:val="clear" w:color="auto" w:fill="D9D9D9" w:themeFill="background1" w:themeFillShade="D9"/>
          </w:tcPr>
          <w:p w14:paraId="797F7DD6" w14:textId="7E333F3F" w:rsidR="00F7413D" w:rsidRPr="008E28E6" w:rsidRDefault="00F7413D" w:rsidP="00F7413D">
            <w:pPr>
              <w:rPr>
                <w:rFonts w:ascii="Times New Roman" w:hAnsi="Times New Roman" w:cs="Times New Roman"/>
                <w:b/>
                <w:sz w:val="20"/>
                <w:szCs w:val="20"/>
              </w:rPr>
            </w:pPr>
            <w:r w:rsidRPr="008E28E6">
              <w:rPr>
                <w:rFonts w:ascii="Times New Roman" w:hAnsi="Times New Roman" w:cs="Times New Roman"/>
                <w:b/>
                <w:sz w:val="20"/>
                <w:szCs w:val="20"/>
              </w:rPr>
              <w:t>Hypertensive-SGA</w:t>
            </w:r>
          </w:p>
          <w:p w14:paraId="2B0B6BA9" w14:textId="77777777" w:rsidR="00F7413D" w:rsidRPr="008E28E6" w:rsidRDefault="00F7413D" w:rsidP="00F7413D">
            <w:pPr>
              <w:rPr>
                <w:rFonts w:ascii="Times New Roman" w:hAnsi="Times New Roman" w:cs="Times New Roman"/>
                <w:b/>
                <w:sz w:val="20"/>
                <w:szCs w:val="20"/>
              </w:rPr>
            </w:pPr>
            <w:r w:rsidRPr="008E28E6">
              <w:rPr>
                <w:rFonts w:ascii="Times New Roman" w:hAnsi="Times New Roman" w:cs="Times New Roman"/>
                <w:b/>
                <w:sz w:val="20"/>
                <w:szCs w:val="20"/>
              </w:rPr>
              <w:t>N=17</w:t>
            </w:r>
          </w:p>
        </w:tc>
      </w:tr>
      <w:tr w:rsidR="00F7413D" w:rsidRPr="008E28E6" w14:paraId="1C01B1D4" w14:textId="77777777" w:rsidTr="00F7413D">
        <w:tc>
          <w:tcPr>
            <w:tcW w:w="2518" w:type="dxa"/>
          </w:tcPr>
          <w:p w14:paraId="30113D0F"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Maternal age (years)</w:t>
            </w:r>
          </w:p>
        </w:tc>
        <w:tc>
          <w:tcPr>
            <w:tcW w:w="1418" w:type="dxa"/>
          </w:tcPr>
          <w:p w14:paraId="20603301"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1: &lt;25y</w:t>
            </w:r>
          </w:p>
          <w:p w14:paraId="25917CF0"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2: 25-34y</w:t>
            </w:r>
          </w:p>
          <w:p w14:paraId="5972D947"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3: ≥ 35y</w:t>
            </w:r>
          </w:p>
        </w:tc>
        <w:tc>
          <w:tcPr>
            <w:tcW w:w="4375" w:type="dxa"/>
          </w:tcPr>
          <w:p w14:paraId="26066DAF" w14:textId="77777777" w:rsidR="00F7413D" w:rsidRPr="008E28E6" w:rsidRDefault="00F7413D" w:rsidP="00F7413D">
            <w:pPr>
              <w:rPr>
                <w:rFonts w:ascii="Times New Roman" w:hAnsi="Times New Roman" w:cs="Times New Roman"/>
                <w:sz w:val="20"/>
                <w:szCs w:val="20"/>
              </w:rPr>
            </w:pPr>
          </w:p>
        </w:tc>
        <w:tc>
          <w:tcPr>
            <w:tcW w:w="938" w:type="dxa"/>
          </w:tcPr>
          <w:p w14:paraId="5FAA93D6"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Nil</w:t>
            </w:r>
          </w:p>
        </w:tc>
        <w:tc>
          <w:tcPr>
            <w:tcW w:w="1218" w:type="dxa"/>
          </w:tcPr>
          <w:p w14:paraId="2DF65A9A" w14:textId="77777777" w:rsidR="00F7413D" w:rsidRPr="008E28E6" w:rsidRDefault="00F7413D" w:rsidP="00F7413D">
            <w:pPr>
              <w:rPr>
                <w:rFonts w:ascii="Times New Roman" w:hAnsi="Times New Roman" w:cs="Times New Roman"/>
                <w:sz w:val="20"/>
                <w:szCs w:val="20"/>
              </w:rPr>
            </w:pPr>
          </w:p>
        </w:tc>
        <w:tc>
          <w:tcPr>
            <w:tcW w:w="981" w:type="dxa"/>
          </w:tcPr>
          <w:p w14:paraId="5EFE81F6"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sym w:font="Wingdings" w:char="F0FC"/>
            </w:r>
          </w:p>
        </w:tc>
        <w:tc>
          <w:tcPr>
            <w:tcW w:w="1418" w:type="dxa"/>
          </w:tcPr>
          <w:p w14:paraId="64CCA729"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sym w:font="Wingdings" w:char="F0FC"/>
            </w:r>
          </w:p>
        </w:tc>
        <w:tc>
          <w:tcPr>
            <w:tcW w:w="1417" w:type="dxa"/>
          </w:tcPr>
          <w:p w14:paraId="1A35C635" w14:textId="77777777" w:rsidR="00F7413D" w:rsidRPr="008E28E6" w:rsidRDefault="00F7413D" w:rsidP="00F7413D">
            <w:pPr>
              <w:rPr>
                <w:rFonts w:ascii="Times New Roman" w:hAnsi="Times New Roman" w:cs="Times New Roman"/>
                <w:sz w:val="20"/>
                <w:szCs w:val="20"/>
              </w:rPr>
            </w:pPr>
          </w:p>
        </w:tc>
      </w:tr>
      <w:tr w:rsidR="00F7413D" w:rsidRPr="008E28E6" w14:paraId="689E5B26" w14:textId="77777777" w:rsidTr="00F7413D">
        <w:tc>
          <w:tcPr>
            <w:tcW w:w="2518" w:type="dxa"/>
          </w:tcPr>
          <w:p w14:paraId="080FCBF0"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Currently attending university</w:t>
            </w:r>
          </w:p>
        </w:tc>
        <w:tc>
          <w:tcPr>
            <w:tcW w:w="1418" w:type="dxa"/>
          </w:tcPr>
          <w:p w14:paraId="610F7952"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No</w:t>
            </w:r>
            <w:r w:rsidRPr="008E28E6">
              <w:rPr>
                <w:rFonts w:ascii="Times New Roman" w:hAnsi="Times New Roman" w:cs="Times New Roman"/>
                <w:sz w:val="20"/>
                <w:szCs w:val="20"/>
              </w:rPr>
              <w:br/>
              <w:t>Yes</w:t>
            </w:r>
          </w:p>
        </w:tc>
        <w:tc>
          <w:tcPr>
            <w:tcW w:w="4375" w:type="dxa"/>
          </w:tcPr>
          <w:p w14:paraId="29AE3567" w14:textId="77777777" w:rsidR="00F7413D" w:rsidRPr="008E28E6" w:rsidRDefault="00F7413D" w:rsidP="00F7413D">
            <w:pPr>
              <w:rPr>
                <w:rFonts w:ascii="Times New Roman" w:hAnsi="Times New Roman" w:cs="Times New Roman"/>
                <w:sz w:val="20"/>
                <w:szCs w:val="20"/>
              </w:rPr>
            </w:pPr>
          </w:p>
        </w:tc>
        <w:tc>
          <w:tcPr>
            <w:tcW w:w="938" w:type="dxa"/>
          </w:tcPr>
          <w:p w14:paraId="1B437880"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Nil</w:t>
            </w:r>
          </w:p>
        </w:tc>
        <w:tc>
          <w:tcPr>
            <w:tcW w:w="1218" w:type="dxa"/>
          </w:tcPr>
          <w:p w14:paraId="0672964D" w14:textId="77777777" w:rsidR="00F7413D" w:rsidRPr="008E28E6" w:rsidRDefault="00F7413D" w:rsidP="00F7413D">
            <w:pPr>
              <w:rPr>
                <w:rFonts w:ascii="Times New Roman" w:hAnsi="Times New Roman" w:cs="Times New Roman"/>
                <w:sz w:val="20"/>
                <w:szCs w:val="20"/>
              </w:rPr>
            </w:pPr>
          </w:p>
        </w:tc>
        <w:tc>
          <w:tcPr>
            <w:tcW w:w="981" w:type="dxa"/>
          </w:tcPr>
          <w:p w14:paraId="74FCCC9B"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sym w:font="Wingdings" w:char="F0FC"/>
            </w:r>
          </w:p>
        </w:tc>
        <w:tc>
          <w:tcPr>
            <w:tcW w:w="1418" w:type="dxa"/>
          </w:tcPr>
          <w:p w14:paraId="21423ED6"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sym w:font="Wingdings" w:char="F0FC"/>
            </w:r>
          </w:p>
        </w:tc>
        <w:tc>
          <w:tcPr>
            <w:tcW w:w="1417" w:type="dxa"/>
          </w:tcPr>
          <w:p w14:paraId="05715A35" w14:textId="77777777" w:rsidR="00F7413D" w:rsidRPr="008E28E6" w:rsidRDefault="00F7413D" w:rsidP="00F7413D">
            <w:pPr>
              <w:rPr>
                <w:rFonts w:ascii="Times New Roman" w:hAnsi="Times New Roman" w:cs="Times New Roman"/>
                <w:sz w:val="20"/>
                <w:szCs w:val="20"/>
              </w:rPr>
            </w:pPr>
          </w:p>
        </w:tc>
      </w:tr>
      <w:tr w:rsidR="00F7413D" w:rsidRPr="008E28E6" w14:paraId="32559236" w14:textId="77777777" w:rsidTr="00F7413D">
        <w:tc>
          <w:tcPr>
            <w:tcW w:w="2518" w:type="dxa"/>
          </w:tcPr>
          <w:p w14:paraId="1E1BADFA"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Paid employment</w:t>
            </w:r>
          </w:p>
        </w:tc>
        <w:tc>
          <w:tcPr>
            <w:tcW w:w="1418" w:type="dxa"/>
          </w:tcPr>
          <w:p w14:paraId="26EE1C40"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No</w:t>
            </w:r>
            <w:r w:rsidRPr="008E28E6">
              <w:rPr>
                <w:rFonts w:ascii="Times New Roman" w:hAnsi="Times New Roman" w:cs="Times New Roman"/>
                <w:sz w:val="20"/>
                <w:szCs w:val="20"/>
              </w:rPr>
              <w:br/>
              <w:t>Yes</w:t>
            </w:r>
          </w:p>
        </w:tc>
        <w:tc>
          <w:tcPr>
            <w:tcW w:w="4375" w:type="dxa"/>
          </w:tcPr>
          <w:p w14:paraId="17BE8138"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Included full and part-time paid employment at 15 weeks.</w:t>
            </w:r>
          </w:p>
        </w:tc>
        <w:tc>
          <w:tcPr>
            <w:tcW w:w="938" w:type="dxa"/>
          </w:tcPr>
          <w:p w14:paraId="026FFD24"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Nil</w:t>
            </w:r>
          </w:p>
        </w:tc>
        <w:tc>
          <w:tcPr>
            <w:tcW w:w="1218" w:type="dxa"/>
          </w:tcPr>
          <w:p w14:paraId="1D4EFF9C" w14:textId="77777777" w:rsidR="00F7413D" w:rsidRPr="008E28E6" w:rsidRDefault="00F7413D" w:rsidP="00F7413D">
            <w:pPr>
              <w:rPr>
                <w:rFonts w:ascii="Times New Roman" w:hAnsi="Times New Roman" w:cs="Times New Roman"/>
                <w:sz w:val="20"/>
                <w:szCs w:val="20"/>
              </w:rPr>
            </w:pPr>
          </w:p>
        </w:tc>
        <w:tc>
          <w:tcPr>
            <w:tcW w:w="981" w:type="dxa"/>
          </w:tcPr>
          <w:p w14:paraId="7AB0B99F"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sym w:font="Wingdings" w:char="F0FC"/>
            </w:r>
          </w:p>
        </w:tc>
        <w:tc>
          <w:tcPr>
            <w:tcW w:w="1418" w:type="dxa"/>
          </w:tcPr>
          <w:p w14:paraId="68CDF136"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sym w:font="Wingdings" w:char="F0FC"/>
            </w:r>
          </w:p>
        </w:tc>
        <w:tc>
          <w:tcPr>
            <w:tcW w:w="1417" w:type="dxa"/>
          </w:tcPr>
          <w:p w14:paraId="3FAB868C" w14:textId="77777777" w:rsidR="00F7413D" w:rsidRPr="008E28E6" w:rsidRDefault="00F7413D" w:rsidP="00F7413D">
            <w:pPr>
              <w:rPr>
                <w:rFonts w:ascii="Times New Roman" w:hAnsi="Times New Roman" w:cs="Times New Roman"/>
                <w:sz w:val="20"/>
                <w:szCs w:val="20"/>
              </w:rPr>
            </w:pPr>
          </w:p>
        </w:tc>
      </w:tr>
      <w:tr w:rsidR="00F7413D" w:rsidRPr="008E28E6" w14:paraId="5869538B" w14:textId="77777777" w:rsidTr="00F7413D">
        <w:tc>
          <w:tcPr>
            <w:tcW w:w="2518" w:type="dxa"/>
          </w:tcPr>
          <w:p w14:paraId="17D6E3EE"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Participant’s birthweight</w:t>
            </w:r>
          </w:p>
        </w:tc>
        <w:tc>
          <w:tcPr>
            <w:tcW w:w="1418" w:type="dxa"/>
          </w:tcPr>
          <w:p w14:paraId="29F2F1C9" w14:textId="77777777" w:rsidR="00F7413D" w:rsidRPr="008E28E6" w:rsidRDefault="00F7413D" w:rsidP="00F7413D">
            <w:pPr>
              <w:ind w:right="-250"/>
            </w:pPr>
            <w:r w:rsidRPr="008E28E6">
              <w:t>1: &lt;3000</w:t>
            </w:r>
          </w:p>
          <w:p w14:paraId="68327B11" w14:textId="77777777" w:rsidR="00F7413D" w:rsidRPr="008E28E6" w:rsidRDefault="00F7413D" w:rsidP="00F7413D">
            <w:pPr>
              <w:ind w:right="-250"/>
            </w:pPr>
            <w:r w:rsidRPr="008E28E6">
              <w:t>2: 3000 to 3499</w:t>
            </w:r>
          </w:p>
          <w:p w14:paraId="73A82D37" w14:textId="77777777" w:rsidR="00F7413D" w:rsidRPr="008E28E6" w:rsidRDefault="00F7413D" w:rsidP="00F7413D">
            <w:pPr>
              <w:rPr>
                <w:rFonts w:ascii="Times New Roman" w:hAnsi="Times New Roman" w:cs="Times New Roman"/>
                <w:sz w:val="20"/>
                <w:szCs w:val="20"/>
              </w:rPr>
            </w:pPr>
            <w:r w:rsidRPr="008E28E6">
              <w:t xml:space="preserve">3: </w:t>
            </w:r>
            <w:r w:rsidRPr="008E28E6">
              <w:rPr>
                <w:u w:val="single"/>
              </w:rPr>
              <w:t>&gt;</w:t>
            </w:r>
            <w:r w:rsidRPr="008E28E6">
              <w:t>3500</w:t>
            </w:r>
          </w:p>
        </w:tc>
        <w:tc>
          <w:tcPr>
            <w:tcW w:w="4375" w:type="dxa"/>
          </w:tcPr>
          <w:p w14:paraId="15DB825B" w14:textId="77777777" w:rsidR="00F7413D" w:rsidRPr="008E28E6" w:rsidRDefault="00F7413D" w:rsidP="00F7413D">
            <w:pPr>
              <w:rPr>
                <w:rFonts w:ascii="Times New Roman" w:hAnsi="Times New Roman" w:cs="Times New Roman"/>
                <w:sz w:val="20"/>
                <w:szCs w:val="20"/>
              </w:rPr>
            </w:pPr>
            <w:r w:rsidRPr="008E28E6">
              <w:rPr>
                <w:rFonts w:ascii="Times New Roman" w:eastAsia="Times New Roman" w:hAnsi="Times New Roman" w:cs="Times New Roman"/>
                <w:sz w:val="20"/>
                <w:szCs w:val="20"/>
                <w:lang w:eastAsia="en-GB"/>
              </w:rPr>
              <w:t>Data was self-reported, but women were asked to bring their ‘birth record’ if kept at home. Birthweight was confirmed from this birth record in 77%. I</w:t>
            </w:r>
            <w:r w:rsidRPr="008E28E6">
              <w:rPr>
                <w:rFonts w:ascii="Times New Roman" w:hAnsi="Times New Roman" w:cs="Times New Roman"/>
                <w:sz w:val="20"/>
                <w:szCs w:val="20"/>
              </w:rPr>
              <w:t>mputed with expectation maximum likelihood estimation (EM).</w:t>
            </w:r>
          </w:p>
        </w:tc>
        <w:tc>
          <w:tcPr>
            <w:tcW w:w="938" w:type="dxa"/>
          </w:tcPr>
          <w:p w14:paraId="21249BC7"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5.1%</w:t>
            </w:r>
          </w:p>
        </w:tc>
        <w:tc>
          <w:tcPr>
            <w:tcW w:w="1218" w:type="dxa"/>
          </w:tcPr>
          <w:p w14:paraId="1478D60C"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EM</w:t>
            </w:r>
          </w:p>
        </w:tc>
        <w:tc>
          <w:tcPr>
            <w:tcW w:w="981" w:type="dxa"/>
          </w:tcPr>
          <w:p w14:paraId="7AB83909"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sym w:font="Wingdings" w:char="F0FC"/>
            </w:r>
          </w:p>
        </w:tc>
        <w:tc>
          <w:tcPr>
            <w:tcW w:w="1418" w:type="dxa"/>
          </w:tcPr>
          <w:p w14:paraId="087114B2"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sym w:font="Wingdings" w:char="F0FC"/>
            </w:r>
          </w:p>
        </w:tc>
        <w:tc>
          <w:tcPr>
            <w:tcW w:w="1417" w:type="dxa"/>
          </w:tcPr>
          <w:p w14:paraId="75339F0B"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sym w:font="Wingdings" w:char="F0FC"/>
            </w:r>
          </w:p>
        </w:tc>
      </w:tr>
      <w:tr w:rsidR="00F7413D" w:rsidRPr="008E28E6" w14:paraId="6C15F0C7" w14:textId="77777777" w:rsidTr="00F7413D">
        <w:tc>
          <w:tcPr>
            <w:tcW w:w="2518" w:type="dxa"/>
          </w:tcPr>
          <w:p w14:paraId="5BB6E0B9"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Primigravida</w:t>
            </w:r>
          </w:p>
        </w:tc>
        <w:tc>
          <w:tcPr>
            <w:tcW w:w="1418" w:type="dxa"/>
          </w:tcPr>
          <w:p w14:paraId="11D80242" w14:textId="77777777" w:rsidR="00F7413D" w:rsidRPr="008E28E6" w:rsidRDefault="00F7413D" w:rsidP="00F7413D">
            <w:pPr>
              <w:rPr>
                <w:rFonts w:ascii="Times New Roman" w:hAnsi="Times New Roman" w:cs="Times New Roman"/>
                <w:strike/>
                <w:sz w:val="20"/>
                <w:szCs w:val="20"/>
              </w:rPr>
            </w:pPr>
            <w:r w:rsidRPr="008E28E6">
              <w:rPr>
                <w:rFonts w:ascii="Times New Roman" w:hAnsi="Times New Roman" w:cs="Times New Roman"/>
                <w:sz w:val="20"/>
                <w:szCs w:val="20"/>
              </w:rPr>
              <w:t>No</w:t>
            </w:r>
            <w:r w:rsidRPr="008E28E6">
              <w:rPr>
                <w:rFonts w:ascii="Times New Roman" w:hAnsi="Times New Roman" w:cs="Times New Roman"/>
                <w:sz w:val="20"/>
                <w:szCs w:val="20"/>
              </w:rPr>
              <w:br/>
              <w:t>Yes</w:t>
            </w:r>
          </w:p>
        </w:tc>
        <w:tc>
          <w:tcPr>
            <w:tcW w:w="4375" w:type="dxa"/>
          </w:tcPr>
          <w:p w14:paraId="26DB6AC8" w14:textId="77777777" w:rsidR="00F7413D" w:rsidRPr="008E28E6" w:rsidRDefault="00F7413D" w:rsidP="00F7413D">
            <w:pPr>
              <w:rPr>
                <w:rFonts w:ascii="Times New Roman" w:hAnsi="Times New Roman" w:cs="Times New Roman"/>
                <w:strike/>
                <w:sz w:val="20"/>
                <w:szCs w:val="20"/>
              </w:rPr>
            </w:pPr>
          </w:p>
        </w:tc>
        <w:tc>
          <w:tcPr>
            <w:tcW w:w="938" w:type="dxa"/>
          </w:tcPr>
          <w:p w14:paraId="4A9C351A"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Nil</w:t>
            </w:r>
          </w:p>
        </w:tc>
        <w:tc>
          <w:tcPr>
            <w:tcW w:w="1218" w:type="dxa"/>
          </w:tcPr>
          <w:p w14:paraId="65ADF3FE" w14:textId="77777777" w:rsidR="00F7413D" w:rsidRPr="008E28E6" w:rsidRDefault="00F7413D" w:rsidP="00F7413D">
            <w:pPr>
              <w:rPr>
                <w:rFonts w:ascii="Times New Roman" w:hAnsi="Times New Roman" w:cs="Times New Roman"/>
                <w:strike/>
                <w:sz w:val="20"/>
                <w:szCs w:val="20"/>
              </w:rPr>
            </w:pPr>
          </w:p>
        </w:tc>
        <w:tc>
          <w:tcPr>
            <w:tcW w:w="981" w:type="dxa"/>
          </w:tcPr>
          <w:p w14:paraId="5D765766" w14:textId="77777777" w:rsidR="00F7413D" w:rsidRPr="008E28E6" w:rsidRDefault="00F7413D" w:rsidP="00F7413D">
            <w:pPr>
              <w:rPr>
                <w:rFonts w:ascii="Times New Roman" w:hAnsi="Times New Roman" w:cs="Times New Roman"/>
                <w:strike/>
                <w:sz w:val="20"/>
                <w:szCs w:val="20"/>
              </w:rPr>
            </w:pPr>
            <w:r w:rsidRPr="008E28E6">
              <w:rPr>
                <w:rFonts w:ascii="Times New Roman" w:hAnsi="Times New Roman" w:cs="Times New Roman"/>
                <w:sz w:val="20"/>
                <w:szCs w:val="20"/>
              </w:rPr>
              <w:sym w:font="Wingdings" w:char="F0FC"/>
            </w:r>
          </w:p>
        </w:tc>
        <w:tc>
          <w:tcPr>
            <w:tcW w:w="1418" w:type="dxa"/>
          </w:tcPr>
          <w:p w14:paraId="2003D520" w14:textId="77777777" w:rsidR="00F7413D" w:rsidRPr="008E28E6" w:rsidRDefault="00F7413D" w:rsidP="00F7413D">
            <w:pPr>
              <w:rPr>
                <w:rFonts w:ascii="Times New Roman" w:hAnsi="Times New Roman" w:cs="Times New Roman"/>
                <w:strike/>
                <w:sz w:val="20"/>
                <w:szCs w:val="20"/>
              </w:rPr>
            </w:pPr>
          </w:p>
        </w:tc>
        <w:tc>
          <w:tcPr>
            <w:tcW w:w="1417" w:type="dxa"/>
          </w:tcPr>
          <w:p w14:paraId="4E13E3C6" w14:textId="77777777" w:rsidR="00F7413D" w:rsidRPr="008E28E6" w:rsidRDefault="00F7413D" w:rsidP="00F7413D">
            <w:pPr>
              <w:rPr>
                <w:rFonts w:ascii="Times New Roman" w:hAnsi="Times New Roman" w:cs="Times New Roman"/>
                <w:strike/>
                <w:sz w:val="20"/>
                <w:szCs w:val="20"/>
              </w:rPr>
            </w:pPr>
          </w:p>
        </w:tc>
      </w:tr>
      <w:tr w:rsidR="00F7413D" w:rsidRPr="008E28E6" w14:paraId="0DB2CC77" w14:textId="77777777" w:rsidTr="00F7413D">
        <w:tc>
          <w:tcPr>
            <w:tcW w:w="2518" w:type="dxa"/>
          </w:tcPr>
          <w:p w14:paraId="20C2F7EF"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 xml:space="preserve">Months of sexual relationship with partner </w:t>
            </w:r>
            <w:r w:rsidRPr="008E28E6">
              <w:rPr>
                <w:rFonts w:ascii="Times New Roman" w:hAnsi="Times New Roman" w:cs="Times New Roman"/>
                <w:sz w:val="20"/>
                <w:szCs w:val="20"/>
              </w:rPr>
              <w:sym w:font="Symbol" w:char="F0A3"/>
            </w:r>
            <w:r w:rsidRPr="008E28E6">
              <w:rPr>
                <w:rFonts w:ascii="Times New Roman" w:hAnsi="Times New Roman" w:cs="Times New Roman"/>
                <w:sz w:val="20"/>
                <w:szCs w:val="20"/>
              </w:rPr>
              <w:t>3 months duration.</w:t>
            </w:r>
          </w:p>
        </w:tc>
        <w:tc>
          <w:tcPr>
            <w:tcW w:w="1418" w:type="dxa"/>
          </w:tcPr>
          <w:p w14:paraId="72AE4631"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No</w:t>
            </w:r>
            <w:r w:rsidRPr="008E28E6">
              <w:rPr>
                <w:rFonts w:ascii="Times New Roman" w:hAnsi="Times New Roman" w:cs="Times New Roman"/>
                <w:sz w:val="20"/>
                <w:szCs w:val="20"/>
              </w:rPr>
              <w:br/>
              <w:t>Yes</w:t>
            </w:r>
          </w:p>
        </w:tc>
        <w:tc>
          <w:tcPr>
            <w:tcW w:w="4375" w:type="dxa"/>
          </w:tcPr>
          <w:p w14:paraId="22C7B2C0" w14:textId="77777777" w:rsidR="00F7413D" w:rsidRPr="008E28E6" w:rsidRDefault="00F7413D" w:rsidP="00F7413D">
            <w:pPr>
              <w:rPr>
                <w:rFonts w:ascii="Times New Roman" w:hAnsi="Times New Roman" w:cs="Times New Roman"/>
                <w:sz w:val="20"/>
                <w:szCs w:val="20"/>
              </w:rPr>
            </w:pPr>
          </w:p>
        </w:tc>
        <w:tc>
          <w:tcPr>
            <w:tcW w:w="938" w:type="dxa"/>
          </w:tcPr>
          <w:p w14:paraId="6221276C"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0.2%</w:t>
            </w:r>
          </w:p>
        </w:tc>
        <w:tc>
          <w:tcPr>
            <w:tcW w:w="1218" w:type="dxa"/>
          </w:tcPr>
          <w:p w14:paraId="2CF23280"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Median</w:t>
            </w:r>
          </w:p>
        </w:tc>
        <w:tc>
          <w:tcPr>
            <w:tcW w:w="981" w:type="dxa"/>
          </w:tcPr>
          <w:p w14:paraId="6288314A"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sym w:font="Wingdings" w:char="F0FC"/>
            </w:r>
          </w:p>
        </w:tc>
        <w:tc>
          <w:tcPr>
            <w:tcW w:w="1418" w:type="dxa"/>
          </w:tcPr>
          <w:p w14:paraId="1DD7C717"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sym w:font="Wingdings" w:char="F0FC"/>
            </w:r>
          </w:p>
        </w:tc>
        <w:tc>
          <w:tcPr>
            <w:tcW w:w="1417" w:type="dxa"/>
          </w:tcPr>
          <w:p w14:paraId="79FD83B6" w14:textId="77777777" w:rsidR="00F7413D" w:rsidRPr="008E28E6" w:rsidRDefault="00F7413D" w:rsidP="00F7413D">
            <w:pPr>
              <w:rPr>
                <w:rFonts w:ascii="Times New Roman" w:hAnsi="Times New Roman" w:cs="Times New Roman"/>
                <w:sz w:val="20"/>
                <w:szCs w:val="20"/>
              </w:rPr>
            </w:pPr>
          </w:p>
        </w:tc>
      </w:tr>
      <w:tr w:rsidR="00F7413D" w:rsidRPr="008E28E6" w14:paraId="48DA2D11" w14:textId="77777777" w:rsidTr="00F7413D">
        <w:tc>
          <w:tcPr>
            <w:tcW w:w="2518" w:type="dxa"/>
          </w:tcPr>
          <w:p w14:paraId="1F5AA1B6"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Any pregnancy loss &lt;10weeks with same partner</w:t>
            </w:r>
          </w:p>
        </w:tc>
        <w:tc>
          <w:tcPr>
            <w:tcW w:w="1418" w:type="dxa"/>
          </w:tcPr>
          <w:p w14:paraId="72FA8A99" w14:textId="77777777" w:rsidR="00F7413D" w:rsidRPr="008E28E6" w:rsidRDefault="00F7413D" w:rsidP="00F7413D">
            <w:pPr>
              <w:rPr>
                <w:rFonts w:ascii="Times New Roman" w:hAnsi="Times New Roman" w:cs="Times New Roman"/>
                <w:strike/>
                <w:sz w:val="20"/>
                <w:szCs w:val="20"/>
              </w:rPr>
            </w:pPr>
            <w:r w:rsidRPr="008E28E6">
              <w:rPr>
                <w:rFonts w:ascii="Times New Roman" w:hAnsi="Times New Roman" w:cs="Times New Roman"/>
                <w:sz w:val="20"/>
                <w:szCs w:val="20"/>
              </w:rPr>
              <w:t>No</w:t>
            </w:r>
            <w:r w:rsidRPr="008E28E6">
              <w:rPr>
                <w:rFonts w:ascii="Times New Roman" w:hAnsi="Times New Roman" w:cs="Times New Roman"/>
                <w:sz w:val="20"/>
                <w:szCs w:val="20"/>
              </w:rPr>
              <w:br/>
              <w:t>Yes</w:t>
            </w:r>
          </w:p>
        </w:tc>
        <w:tc>
          <w:tcPr>
            <w:tcW w:w="4375" w:type="dxa"/>
          </w:tcPr>
          <w:p w14:paraId="10A3F45D"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Any previous termination or miscarriage &lt;=10wks gestation or an ectopic pregnancy with same man who has fathered the current pregnancy.</w:t>
            </w:r>
          </w:p>
        </w:tc>
        <w:tc>
          <w:tcPr>
            <w:tcW w:w="938" w:type="dxa"/>
          </w:tcPr>
          <w:p w14:paraId="7CE25319"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Nil</w:t>
            </w:r>
          </w:p>
        </w:tc>
        <w:tc>
          <w:tcPr>
            <w:tcW w:w="1218" w:type="dxa"/>
          </w:tcPr>
          <w:p w14:paraId="119AD295" w14:textId="77777777" w:rsidR="00F7413D" w:rsidRPr="008E28E6" w:rsidRDefault="00F7413D" w:rsidP="00F7413D">
            <w:pPr>
              <w:rPr>
                <w:rFonts w:ascii="Times New Roman" w:hAnsi="Times New Roman" w:cs="Times New Roman"/>
                <w:strike/>
                <w:sz w:val="20"/>
                <w:szCs w:val="20"/>
              </w:rPr>
            </w:pPr>
          </w:p>
        </w:tc>
        <w:tc>
          <w:tcPr>
            <w:tcW w:w="981" w:type="dxa"/>
          </w:tcPr>
          <w:p w14:paraId="7B8D5233" w14:textId="77777777" w:rsidR="00F7413D" w:rsidRPr="008E28E6" w:rsidRDefault="00F7413D" w:rsidP="00F7413D">
            <w:pPr>
              <w:rPr>
                <w:rFonts w:ascii="Times New Roman" w:hAnsi="Times New Roman" w:cs="Times New Roman"/>
                <w:strike/>
                <w:sz w:val="20"/>
                <w:szCs w:val="20"/>
              </w:rPr>
            </w:pPr>
            <w:r w:rsidRPr="008E28E6">
              <w:rPr>
                <w:rFonts w:ascii="Times New Roman" w:hAnsi="Times New Roman" w:cs="Times New Roman"/>
                <w:sz w:val="20"/>
                <w:szCs w:val="20"/>
              </w:rPr>
              <w:sym w:font="Wingdings" w:char="F0FC"/>
            </w:r>
          </w:p>
        </w:tc>
        <w:tc>
          <w:tcPr>
            <w:tcW w:w="1418" w:type="dxa"/>
          </w:tcPr>
          <w:p w14:paraId="779777F1" w14:textId="77777777" w:rsidR="00F7413D" w:rsidRPr="008E28E6" w:rsidRDefault="00F7413D" w:rsidP="00F7413D">
            <w:pPr>
              <w:rPr>
                <w:rFonts w:ascii="Times New Roman" w:hAnsi="Times New Roman" w:cs="Times New Roman"/>
                <w:strike/>
                <w:sz w:val="20"/>
                <w:szCs w:val="20"/>
              </w:rPr>
            </w:pPr>
          </w:p>
        </w:tc>
        <w:tc>
          <w:tcPr>
            <w:tcW w:w="1417" w:type="dxa"/>
          </w:tcPr>
          <w:p w14:paraId="08E15DDA" w14:textId="77777777" w:rsidR="00F7413D" w:rsidRPr="008E28E6" w:rsidRDefault="00F7413D" w:rsidP="00F7413D">
            <w:pPr>
              <w:rPr>
                <w:rFonts w:ascii="Times New Roman" w:hAnsi="Times New Roman" w:cs="Times New Roman"/>
                <w:strike/>
                <w:sz w:val="20"/>
                <w:szCs w:val="20"/>
              </w:rPr>
            </w:pPr>
          </w:p>
        </w:tc>
      </w:tr>
      <w:tr w:rsidR="00F7413D" w:rsidRPr="008E28E6" w14:paraId="7708E9D3" w14:textId="77777777" w:rsidTr="00F7413D">
        <w:tc>
          <w:tcPr>
            <w:tcW w:w="2518" w:type="dxa"/>
          </w:tcPr>
          <w:p w14:paraId="74FFB9D8"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History of infertility</w:t>
            </w:r>
          </w:p>
        </w:tc>
        <w:tc>
          <w:tcPr>
            <w:tcW w:w="1418" w:type="dxa"/>
          </w:tcPr>
          <w:p w14:paraId="1189770D"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No</w:t>
            </w:r>
            <w:r w:rsidRPr="008E28E6">
              <w:rPr>
                <w:rFonts w:ascii="Times New Roman" w:hAnsi="Times New Roman" w:cs="Times New Roman"/>
                <w:sz w:val="20"/>
                <w:szCs w:val="20"/>
              </w:rPr>
              <w:br/>
              <w:t>Yes</w:t>
            </w:r>
          </w:p>
        </w:tc>
        <w:tc>
          <w:tcPr>
            <w:tcW w:w="4375" w:type="dxa"/>
          </w:tcPr>
          <w:p w14:paraId="61A8F0A2"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 xml:space="preserve">History of infertility defined as &gt;=12 months of regular intercourse without contraception and conception has not occurred or if partner is known to be sterile. 0.2% were unknown and were included in the ‘No’ category. </w:t>
            </w:r>
          </w:p>
        </w:tc>
        <w:tc>
          <w:tcPr>
            <w:tcW w:w="938" w:type="dxa"/>
          </w:tcPr>
          <w:p w14:paraId="2924588F"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Nil</w:t>
            </w:r>
          </w:p>
        </w:tc>
        <w:tc>
          <w:tcPr>
            <w:tcW w:w="1218" w:type="dxa"/>
          </w:tcPr>
          <w:p w14:paraId="72663A64" w14:textId="77777777" w:rsidR="00F7413D" w:rsidRPr="008E28E6" w:rsidRDefault="00F7413D" w:rsidP="00F7413D">
            <w:pPr>
              <w:rPr>
                <w:rFonts w:ascii="Times New Roman" w:hAnsi="Times New Roman" w:cs="Times New Roman"/>
                <w:sz w:val="20"/>
                <w:szCs w:val="20"/>
              </w:rPr>
            </w:pPr>
          </w:p>
        </w:tc>
        <w:tc>
          <w:tcPr>
            <w:tcW w:w="981" w:type="dxa"/>
          </w:tcPr>
          <w:p w14:paraId="56DB035D"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sym w:font="Wingdings" w:char="F0FC"/>
            </w:r>
          </w:p>
        </w:tc>
        <w:tc>
          <w:tcPr>
            <w:tcW w:w="1418" w:type="dxa"/>
          </w:tcPr>
          <w:p w14:paraId="2B1CFC80" w14:textId="77777777" w:rsidR="00F7413D" w:rsidRPr="008E28E6" w:rsidRDefault="00F7413D" w:rsidP="00F7413D">
            <w:pPr>
              <w:rPr>
                <w:rFonts w:ascii="Times New Roman" w:hAnsi="Times New Roman" w:cs="Times New Roman"/>
                <w:sz w:val="20"/>
                <w:szCs w:val="20"/>
              </w:rPr>
            </w:pPr>
          </w:p>
        </w:tc>
        <w:tc>
          <w:tcPr>
            <w:tcW w:w="1417" w:type="dxa"/>
          </w:tcPr>
          <w:p w14:paraId="120F7BB1"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sym w:font="Wingdings" w:char="F0FC"/>
            </w:r>
          </w:p>
        </w:tc>
      </w:tr>
      <w:tr w:rsidR="00F7413D" w:rsidRPr="008E28E6" w14:paraId="09EDB1AF" w14:textId="77777777" w:rsidTr="00F7413D">
        <w:tc>
          <w:tcPr>
            <w:tcW w:w="2518" w:type="dxa"/>
          </w:tcPr>
          <w:p w14:paraId="2BFF2A28"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Hypertension on combined oral contraception (OC)</w:t>
            </w:r>
          </w:p>
        </w:tc>
        <w:tc>
          <w:tcPr>
            <w:tcW w:w="1418" w:type="dxa"/>
          </w:tcPr>
          <w:p w14:paraId="77010696"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No</w:t>
            </w:r>
            <w:r w:rsidRPr="008E28E6">
              <w:rPr>
                <w:rFonts w:ascii="Times New Roman" w:hAnsi="Times New Roman" w:cs="Times New Roman"/>
                <w:sz w:val="20"/>
                <w:szCs w:val="20"/>
              </w:rPr>
              <w:br/>
              <w:t>Yes</w:t>
            </w:r>
          </w:p>
        </w:tc>
        <w:tc>
          <w:tcPr>
            <w:tcW w:w="4375" w:type="dxa"/>
          </w:tcPr>
          <w:p w14:paraId="7D66A252" w14:textId="77777777" w:rsidR="00F7413D" w:rsidRPr="008E28E6" w:rsidRDefault="00F7413D" w:rsidP="00F7413D">
            <w:pPr>
              <w:pStyle w:val="BodyText"/>
              <w:spacing w:before="0" w:after="0"/>
              <w:rPr>
                <w:rFonts w:ascii="Times New Roman" w:hAnsi="Times New Roman" w:cs="Times New Roman"/>
              </w:rPr>
            </w:pPr>
            <w:r w:rsidRPr="008E28E6">
              <w:rPr>
                <w:rFonts w:ascii="Times New Roman" w:hAnsi="Times New Roman" w:cs="Times New Roman"/>
              </w:rPr>
              <w:t>Participant had been told on more than one occasion that her blood pressure was elevated by her health care worker when on combined OC or had ceased the OC because of raised blood pressure.</w:t>
            </w:r>
          </w:p>
        </w:tc>
        <w:tc>
          <w:tcPr>
            <w:tcW w:w="938" w:type="dxa"/>
          </w:tcPr>
          <w:p w14:paraId="656E317A" w14:textId="77777777" w:rsidR="00F7413D" w:rsidRPr="008E28E6" w:rsidRDefault="00F7413D" w:rsidP="00F7413D">
            <w:pPr>
              <w:pStyle w:val="BodyText"/>
              <w:spacing w:before="0" w:after="0"/>
              <w:rPr>
                <w:rFonts w:ascii="Times New Roman" w:hAnsi="Times New Roman" w:cs="Times New Roman"/>
              </w:rPr>
            </w:pPr>
            <w:r w:rsidRPr="008E28E6">
              <w:rPr>
                <w:rFonts w:ascii="Times New Roman" w:hAnsi="Times New Roman" w:cs="Times New Roman"/>
              </w:rPr>
              <w:t>Nil</w:t>
            </w:r>
          </w:p>
        </w:tc>
        <w:tc>
          <w:tcPr>
            <w:tcW w:w="1218" w:type="dxa"/>
          </w:tcPr>
          <w:p w14:paraId="4F6D01BE" w14:textId="77777777" w:rsidR="00F7413D" w:rsidRPr="008E28E6" w:rsidRDefault="00F7413D" w:rsidP="00F7413D">
            <w:pPr>
              <w:pStyle w:val="BodyText"/>
              <w:spacing w:before="0" w:after="0"/>
              <w:rPr>
                <w:rFonts w:ascii="Times New Roman" w:hAnsi="Times New Roman" w:cs="Times New Roman"/>
              </w:rPr>
            </w:pPr>
          </w:p>
        </w:tc>
        <w:tc>
          <w:tcPr>
            <w:tcW w:w="981" w:type="dxa"/>
          </w:tcPr>
          <w:p w14:paraId="23E8A97F" w14:textId="77777777" w:rsidR="00F7413D" w:rsidRPr="008E28E6" w:rsidRDefault="00F7413D" w:rsidP="00F7413D">
            <w:pPr>
              <w:pStyle w:val="BodyText"/>
              <w:spacing w:before="0" w:after="0"/>
              <w:rPr>
                <w:rFonts w:ascii="Times New Roman" w:hAnsi="Times New Roman" w:cs="Times New Roman"/>
              </w:rPr>
            </w:pPr>
            <w:r w:rsidRPr="008E28E6">
              <w:rPr>
                <w:rFonts w:ascii="Times New Roman" w:hAnsi="Times New Roman" w:cs="Times New Roman"/>
                <w:sz w:val="24"/>
                <w:szCs w:val="24"/>
              </w:rPr>
              <w:sym w:font="Wingdings" w:char="F0FC"/>
            </w:r>
          </w:p>
        </w:tc>
        <w:tc>
          <w:tcPr>
            <w:tcW w:w="1418" w:type="dxa"/>
          </w:tcPr>
          <w:p w14:paraId="2FBB2DF3" w14:textId="77777777" w:rsidR="00F7413D" w:rsidRPr="008E28E6" w:rsidRDefault="00F7413D" w:rsidP="00F7413D">
            <w:pPr>
              <w:pStyle w:val="BodyText"/>
              <w:spacing w:before="0" w:after="0"/>
              <w:rPr>
                <w:rFonts w:ascii="Times New Roman" w:hAnsi="Times New Roman" w:cs="Times New Roman"/>
              </w:rPr>
            </w:pPr>
          </w:p>
        </w:tc>
        <w:tc>
          <w:tcPr>
            <w:tcW w:w="1417" w:type="dxa"/>
          </w:tcPr>
          <w:p w14:paraId="3ADEA1B0" w14:textId="77777777" w:rsidR="00F7413D" w:rsidRPr="008E28E6" w:rsidRDefault="00F7413D" w:rsidP="00F7413D">
            <w:pPr>
              <w:pStyle w:val="BodyText"/>
              <w:spacing w:before="0" w:after="0"/>
              <w:rPr>
                <w:rFonts w:ascii="Times New Roman" w:hAnsi="Times New Roman" w:cs="Times New Roman"/>
              </w:rPr>
            </w:pPr>
            <w:r w:rsidRPr="008E28E6">
              <w:rPr>
                <w:rFonts w:ascii="Times New Roman" w:hAnsi="Times New Roman" w:cs="Times New Roman"/>
              </w:rPr>
              <w:sym w:font="Wingdings" w:char="F0FC"/>
            </w:r>
          </w:p>
        </w:tc>
      </w:tr>
      <w:tr w:rsidR="00F7413D" w:rsidRPr="008E28E6" w14:paraId="7E6EA9D9" w14:textId="77777777" w:rsidTr="00F7413D">
        <w:tc>
          <w:tcPr>
            <w:tcW w:w="2518" w:type="dxa"/>
          </w:tcPr>
          <w:p w14:paraId="7EC64AC1"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Participant’s mother had a history of gestational hypertension</w:t>
            </w:r>
          </w:p>
        </w:tc>
        <w:tc>
          <w:tcPr>
            <w:tcW w:w="1418" w:type="dxa"/>
          </w:tcPr>
          <w:p w14:paraId="182ED98F"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No</w:t>
            </w:r>
            <w:r w:rsidRPr="008E28E6">
              <w:rPr>
                <w:rFonts w:ascii="Times New Roman" w:hAnsi="Times New Roman" w:cs="Times New Roman"/>
                <w:sz w:val="20"/>
                <w:szCs w:val="20"/>
              </w:rPr>
              <w:br/>
              <w:t>Yes</w:t>
            </w:r>
          </w:p>
        </w:tc>
        <w:tc>
          <w:tcPr>
            <w:tcW w:w="4375" w:type="dxa"/>
          </w:tcPr>
          <w:p w14:paraId="585CF7C6"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 xml:space="preserve">Mother of woman developed gestational hypertension defined as new onset hypertension in second half of pregnancy and known to not have </w:t>
            </w:r>
            <w:r w:rsidRPr="008E28E6">
              <w:rPr>
                <w:rFonts w:ascii="Times New Roman" w:hAnsi="Times New Roman" w:cs="Times New Roman"/>
                <w:sz w:val="20"/>
                <w:szCs w:val="20"/>
              </w:rPr>
              <w:lastRenderedPageBreak/>
              <w:t>proteinuria.</w:t>
            </w:r>
          </w:p>
        </w:tc>
        <w:tc>
          <w:tcPr>
            <w:tcW w:w="938" w:type="dxa"/>
          </w:tcPr>
          <w:p w14:paraId="019A42F2"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lastRenderedPageBreak/>
              <w:t>Nil</w:t>
            </w:r>
          </w:p>
        </w:tc>
        <w:tc>
          <w:tcPr>
            <w:tcW w:w="1218" w:type="dxa"/>
          </w:tcPr>
          <w:p w14:paraId="1606F37E" w14:textId="77777777" w:rsidR="00F7413D" w:rsidRPr="008E28E6" w:rsidRDefault="00F7413D" w:rsidP="00F7413D">
            <w:pPr>
              <w:rPr>
                <w:rFonts w:ascii="Times New Roman" w:hAnsi="Times New Roman" w:cs="Times New Roman"/>
                <w:sz w:val="20"/>
                <w:szCs w:val="20"/>
              </w:rPr>
            </w:pPr>
          </w:p>
        </w:tc>
        <w:tc>
          <w:tcPr>
            <w:tcW w:w="981" w:type="dxa"/>
          </w:tcPr>
          <w:p w14:paraId="23B7D762"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4"/>
                <w:szCs w:val="24"/>
              </w:rPr>
              <w:sym w:font="Wingdings" w:char="F0FC"/>
            </w:r>
          </w:p>
        </w:tc>
        <w:tc>
          <w:tcPr>
            <w:tcW w:w="1418" w:type="dxa"/>
          </w:tcPr>
          <w:p w14:paraId="5ECE88D4" w14:textId="77777777" w:rsidR="00F7413D" w:rsidRPr="008E28E6" w:rsidRDefault="00F7413D" w:rsidP="00F7413D">
            <w:pPr>
              <w:rPr>
                <w:rFonts w:ascii="Times New Roman" w:hAnsi="Times New Roman" w:cs="Times New Roman"/>
                <w:sz w:val="20"/>
                <w:szCs w:val="20"/>
              </w:rPr>
            </w:pPr>
          </w:p>
        </w:tc>
        <w:tc>
          <w:tcPr>
            <w:tcW w:w="1417" w:type="dxa"/>
          </w:tcPr>
          <w:p w14:paraId="34641461" w14:textId="77777777" w:rsidR="00F7413D" w:rsidRPr="008E28E6" w:rsidRDefault="00F7413D" w:rsidP="00F7413D">
            <w:pPr>
              <w:rPr>
                <w:rFonts w:ascii="Times New Roman" w:hAnsi="Times New Roman" w:cs="Times New Roman"/>
                <w:sz w:val="20"/>
                <w:szCs w:val="20"/>
              </w:rPr>
            </w:pPr>
          </w:p>
        </w:tc>
      </w:tr>
      <w:tr w:rsidR="00F7413D" w:rsidRPr="008E28E6" w14:paraId="0321A3FC" w14:textId="77777777" w:rsidTr="00F7413D">
        <w:tc>
          <w:tcPr>
            <w:tcW w:w="2518" w:type="dxa"/>
          </w:tcPr>
          <w:p w14:paraId="7676D726"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lastRenderedPageBreak/>
              <w:t>Participant’s mother had a  history of preterm birth</w:t>
            </w:r>
          </w:p>
        </w:tc>
        <w:tc>
          <w:tcPr>
            <w:tcW w:w="1418" w:type="dxa"/>
          </w:tcPr>
          <w:p w14:paraId="4828CD9B"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No</w:t>
            </w:r>
            <w:r w:rsidRPr="008E28E6">
              <w:rPr>
                <w:rFonts w:ascii="Times New Roman" w:hAnsi="Times New Roman" w:cs="Times New Roman"/>
                <w:sz w:val="20"/>
                <w:szCs w:val="20"/>
              </w:rPr>
              <w:br/>
              <w:t>Yes</w:t>
            </w:r>
          </w:p>
        </w:tc>
        <w:tc>
          <w:tcPr>
            <w:tcW w:w="4375" w:type="dxa"/>
          </w:tcPr>
          <w:p w14:paraId="60649670" w14:textId="77777777" w:rsidR="00F7413D" w:rsidRPr="008E28E6" w:rsidRDefault="00F7413D" w:rsidP="00F7413D">
            <w:pPr>
              <w:pStyle w:val="BodyText"/>
              <w:spacing w:before="0" w:after="0"/>
              <w:rPr>
                <w:rFonts w:ascii="Times New Roman" w:hAnsi="Times New Roman" w:cs="Times New Roman"/>
              </w:rPr>
            </w:pPr>
            <w:r w:rsidRPr="008E28E6">
              <w:rPr>
                <w:rFonts w:ascii="Times New Roman" w:hAnsi="Times New Roman" w:cs="Times New Roman"/>
              </w:rPr>
              <w:t>Participant's mother had a history of recurrent preterm births (included both spontaneous and iatrogenic preterm births)</w:t>
            </w:r>
          </w:p>
        </w:tc>
        <w:tc>
          <w:tcPr>
            <w:tcW w:w="938" w:type="dxa"/>
          </w:tcPr>
          <w:p w14:paraId="0DEC2C72" w14:textId="77777777" w:rsidR="00F7413D" w:rsidRPr="008E28E6" w:rsidRDefault="00F7413D" w:rsidP="00F7413D">
            <w:pPr>
              <w:pStyle w:val="BodyText"/>
              <w:spacing w:before="0" w:after="0"/>
              <w:rPr>
                <w:rFonts w:ascii="Times New Roman" w:hAnsi="Times New Roman" w:cs="Times New Roman"/>
              </w:rPr>
            </w:pPr>
            <w:r w:rsidRPr="008E28E6">
              <w:rPr>
                <w:rFonts w:ascii="Times New Roman" w:hAnsi="Times New Roman" w:cs="Times New Roman"/>
              </w:rPr>
              <w:t>Nil</w:t>
            </w:r>
          </w:p>
        </w:tc>
        <w:tc>
          <w:tcPr>
            <w:tcW w:w="1218" w:type="dxa"/>
          </w:tcPr>
          <w:p w14:paraId="3871B827" w14:textId="77777777" w:rsidR="00F7413D" w:rsidRPr="008E28E6" w:rsidRDefault="00F7413D" w:rsidP="00F7413D">
            <w:pPr>
              <w:pStyle w:val="BodyText"/>
              <w:spacing w:before="0" w:after="0"/>
              <w:rPr>
                <w:rFonts w:ascii="Times New Roman" w:hAnsi="Times New Roman" w:cs="Times New Roman"/>
              </w:rPr>
            </w:pPr>
          </w:p>
        </w:tc>
        <w:tc>
          <w:tcPr>
            <w:tcW w:w="981" w:type="dxa"/>
          </w:tcPr>
          <w:p w14:paraId="7DB2867B" w14:textId="77777777" w:rsidR="00F7413D" w:rsidRPr="008E28E6" w:rsidRDefault="00F7413D" w:rsidP="00F7413D">
            <w:pPr>
              <w:pStyle w:val="BodyText"/>
              <w:spacing w:before="0" w:after="0"/>
              <w:rPr>
                <w:rFonts w:ascii="Times New Roman" w:hAnsi="Times New Roman" w:cs="Times New Roman"/>
              </w:rPr>
            </w:pPr>
            <w:r w:rsidRPr="008E28E6">
              <w:rPr>
                <w:rFonts w:ascii="Times New Roman" w:hAnsi="Times New Roman" w:cs="Times New Roman"/>
              </w:rPr>
              <w:sym w:font="Wingdings" w:char="F0FC"/>
            </w:r>
          </w:p>
        </w:tc>
        <w:tc>
          <w:tcPr>
            <w:tcW w:w="1418" w:type="dxa"/>
          </w:tcPr>
          <w:p w14:paraId="44DE267A" w14:textId="77777777" w:rsidR="00F7413D" w:rsidRPr="008E28E6" w:rsidRDefault="00F7413D" w:rsidP="00F7413D">
            <w:pPr>
              <w:pStyle w:val="BodyText"/>
              <w:spacing w:before="0" w:after="0"/>
              <w:rPr>
                <w:rFonts w:ascii="Times New Roman" w:hAnsi="Times New Roman" w:cs="Times New Roman"/>
              </w:rPr>
            </w:pPr>
          </w:p>
        </w:tc>
        <w:tc>
          <w:tcPr>
            <w:tcW w:w="1417" w:type="dxa"/>
          </w:tcPr>
          <w:p w14:paraId="1976F1A9" w14:textId="77777777" w:rsidR="00F7413D" w:rsidRPr="008E28E6" w:rsidRDefault="00F7413D" w:rsidP="00F7413D">
            <w:pPr>
              <w:pStyle w:val="BodyText"/>
              <w:spacing w:before="0" w:after="0"/>
              <w:rPr>
                <w:rFonts w:ascii="Times New Roman" w:hAnsi="Times New Roman" w:cs="Times New Roman"/>
              </w:rPr>
            </w:pPr>
          </w:p>
        </w:tc>
      </w:tr>
      <w:tr w:rsidR="00F7413D" w:rsidRPr="008E28E6" w14:paraId="45A01A32" w14:textId="77777777" w:rsidTr="00F7413D">
        <w:tc>
          <w:tcPr>
            <w:tcW w:w="2518" w:type="dxa"/>
          </w:tcPr>
          <w:p w14:paraId="3C9CA7E1"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Participant’s mother had a  history of low birth weight baby</w:t>
            </w:r>
          </w:p>
        </w:tc>
        <w:tc>
          <w:tcPr>
            <w:tcW w:w="1418" w:type="dxa"/>
          </w:tcPr>
          <w:p w14:paraId="60E13875"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 xml:space="preserve">No </w:t>
            </w:r>
            <w:r w:rsidRPr="008E28E6">
              <w:rPr>
                <w:rFonts w:ascii="Times New Roman" w:hAnsi="Times New Roman" w:cs="Times New Roman"/>
                <w:sz w:val="20"/>
                <w:szCs w:val="20"/>
              </w:rPr>
              <w:br/>
              <w:t>Yes</w:t>
            </w:r>
          </w:p>
        </w:tc>
        <w:tc>
          <w:tcPr>
            <w:tcW w:w="4375" w:type="dxa"/>
          </w:tcPr>
          <w:p w14:paraId="3B3FC98E" w14:textId="77777777" w:rsidR="00F7413D" w:rsidRPr="008E28E6" w:rsidRDefault="00F7413D" w:rsidP="00F7413D">
            <w:pPr>
              <w:pStyle w:val="BodyText"/>
              <w:spacing w:before="0" w:after="0"/>
              <w:rPr>
                <w:rFonts w:ascii="Times New Roman" w:hAnsi="Times New Roman" w:cs="Times New Roman"/>
              </w:rPr>
            </w:pPr>
            <w:r w:rsidRPr="008E28E6">
              <w:rPr>
                <w:rFonts w:ascii="Times New Roman" w:hAnsi="Times New Roman" w:cs="Times New Roman"/>
              </w:rPr>
              <w:t xml:space="preserve">Mother of woman had one or more low birth weight babies defined as &lt;2500g. </w:t>
            </w:r>
          </w:p>
        </w:tc>
        <w:tc>
          <w:tcPr>
            <w:tcW w:w="938" w:type="dxa"/>
          </w:tcPr>
          <w:p w14:paraId="19241964" w14:textId="77777777" w:rsidR="00F7413D" w:rsidRPr="008E28E6" w:rsidRDefault="00F7413D" w:rsidP="00F7413D">
            <w:pPr>
              <w:pStyle w:val="BodyText"/>
              <w:spacing w:before="0" w:after="0"/>
              <w:rPr>
                <w:rFonts w:ascii="Times New Roman" w:hAnsi="Times New Roman" w:cs="Times New Roman"/>
              </w:rPr>
            </w:pPr>
            <w:r w:rsidRPr="008E28E6">
              <w:rPr>
                <w:rFonts w:ascii="Times New Roman" w:hAnsi="Times New Roman" w:cs="Times New Roman"/>
              </w:rPr>
              <w:t>Nil</w:t>
            </w:r>
          </w:p>
        </w:tc>
        <w:tc>
          <w:tcPr>
            <w:tcW w:w="1218" w:type="dxa"/>
          </w:tcPr>
          <w:p w14:paraId="18EECBC6" w14:textId="77777777" w:rsidR="00F7413D" w:rsidRPr="008E28E6" w:rsidRDefault="00F7413D" w:rsidP="00F7413D">
            <w:pPr>
              <w:pStyle w:val="BodyText"/>
              <w:spacing w:before="0" w:after="0"/>
              <w:rPr>
                <w:rFonts w:ascii="Times New Roman" w:hAnsi="Times New Roman" w:cs="Times New Roman"/>
              </w:rPr>
            </w:pPr>
          </w:p>
        </w:tc>
        <w:tc>
          <w:tcPr>
            <w:tcW w:w="981" w:type="dxa"/>
          </w:tcPr>
          <w:p w14:paraId="1C0C387C" w14:textId="77777777" w:rsidR="00F7413D" w:rsidRPr="008E28E6" w:rsidRDefault="00F7413D" w:rsidP="00F7413D">
            <w:pPr>
              <w:pStyle w:val="BodyText"/>
              <w:spacing w:before="0" w:after="0"/>
              <w:rPr>
                <w:rFonts w:ascii="Times New Roman" w:hAnsi="Times New Roman" w:cs="Times New Roman"/>
              </w:rPr>
            </w:pPr>
            <w:r w:rsidRPr="008E28E6">
              <w:rPr>
                <w:rFonts w:ascii="Times New Roman" w:hAnsi="Times New Roman" w:cs="Times New Roman"/>
              </w:rPr>
              <w:sym w:font="Wingdings" w:char="F0FC"/>
            </w:r>
          </w:p>
        </w:tc>
        <w:tc>
          <w:tcPr>
            <w:tcW w:w="1418" w:type="dxa"/>
          </w:tcPr>
          <w:p w14:paraId="1BDFA073" w14:textId="77777777" w:rsidR="00F7413D" w:rsidRPr="008E28E6" w:rsidRDefault="00F7413D" w:rsidP="00F7413D">
            <w:pPr>
              <w:pStyle w:val="BodyText"/>
              <w:spacing w:before="0" w:after="0"/>
              <w:rPr>
                <w:rFonts w:ascii="Times New Roman" w:hAnsi="Times New Roman" w:cs="Times New Roman"/>
              </w:rPr>
            </w:pPr>
            <w:r w:rsidRPr="008E28E6">
              <w:rPr>
                <w:rFonts w:ascii="Times New Roman" w:hAnsi="Times New Roman" w:cs="Times New Roman"/>
              </w:rPr>
              <w:sym w:font="Wingdings" w:char="F0FC"/>
            </w:r>
          </w:p>
        </w:tc>
        <w:tc>
          <w:tcPr>
            <w:tcW w:w="1417" w:type="dxa"/>
          </w:tcPr>
          <w:p w14:paraId="6D1B267A" w14:textId="77777777" w:rsidR="00F7413D" w:rsidRPr="008E28E6" w:rsidRDefault="00F7413D" w:rsidP="00F7413D">
            <w:pPr>
              <w:pStyle w:val="BodyText"/>
              <w:spacing w:before="0" w:after="0"/>
              <w:rPr>
                <w:rFonts w:ascii="Times New Roman" w:hAnsi="Times New Roman" w:cs="Times New Roman"/>
              </w:rPr>
            </w:pPr>
          </w:p>
        </w:tc>
      </w:tr>
      <w:tr w:rsidR="00F7413D" w:rsidRPr="008E28E6" w14:paraId="49FD0766" w14:textId="77777777" w:rsidTr="00F7413D">
        <w:tc>
          <w:tcPr>
            <w:tcW w:w="2518" w:type="dxa"/>
          </w:tcPr>
          <w:p w14:paraId="2A19BE04"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 xml:space="preserve">Participant’s mother had a  history of metabolic disease </w:t>
            </w:r>
          </w:p>
        </w:tc>
        <w:tc>
          <w:tcPr>
            <w:tcW w:w="1418" w:type="dxa"/>
          </w:tcPr>
          <w:p w14:paraId="389B6EBA"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 xml:space="preserve">No </w:t>
            </w:r>
            <w:r w:rsidRPr="008E28E6">
              <w:rPr>
                <w:rFonts w:ascii="Times New Roman" w:hAnsi="Times New Roman" w:cs="Times New Roman"/>
                <w:sz w:val="20"/>
                <w:szCs w:val="20"/>
              </w:rPr>
              <w:br/>
              <w:t>Yes</w:t>
            </w:r>
          </w:p>
        </w:tc>
        <w:tc>
          <w:tcPr>
            <w:tcW w:w="4375" w:type="dxa"/>
          </w:tcPr>
          <w:p w14:paraId="3DF3B627" w14:textId="77777777" w:rsidR="00F7413D" w:rsidRPr="008E28E6" w:rsidRDefault="00F7413D" w:rsidP="00F7413D">
            <w:pPr>
              <w:pStyle w:val="BodyText"/>
              <w:spacing w:before="0" w:after="0"/>
              <w:rPr>
                <w:rFonts w:ascii="Times New Roman" w:hAnsi="Times New Roman" w:cs="Times New Roman"/>
              </w:rPr>
            </w:pPr>
            <w:r w:rsidRPr="008E28E6">
              <w:rPr>
                <w:rFonts w:ascii="Times New Roman" w:hAnsi="Times New Roman" w:cs="Times New Roman"/>
              </w:rPr>
              <w:t>Mother of woman had one or more of type 2 diabetes, chronic hypertension, CVA and IHD.</w:t>
            </w:r>
          </w:p>
        </w:tc>
        <w:tc>
          <w:tcPr>
            <w:tcW w:w="938" w:type="dxa"/>
          </w:tcPr>
          <w:p w14:paraId="499FD52D" w14:textId="77777777" w:rsidR="00F7413D" w:rsidRPr="008E28E6" w:rsidRDefault="00F7413D" w:rsidP="00F7413D">
            <w:pPr>
              <w:pStyle w:val="BodyText"/>
              <w:spacing w:before="0" w:after="0"/>
              <w:rPr>
                <w:rFonts w:ascii="Times New Roman" w:hAnsi="Times New Roman" w:cs="Times New Roman"/>
              </w:rPr>
            </w:pPr>
            <w:r w:rsidRPr="008E28E6">
              <w:rPr>
                <w:rFonts w:ascii="Times New Roman" w:hAnsi="Times New Roman" w:cs="Times New Roman"/>
              </w:rPr>
              <w:t>Nil</w:t>
            </w:r>
          </w:p>
        </w:tc>
        <w:tc>
          <w:tcPr>
            <w:tcW w:w="1218" w:type="dxa"/>
          </w:tcPr>
          <w:p w14:paraId="13C2057A" w14:textId="77777777" w:rsidR="00F7413D" w:rsidRPr="008E28E6" w:rsidRDefault="00F7413D" w:rsidP="00F7413D">
            <w:pPr>
              <w:pStyle w:val="BodyText"/>
              <w:spacing w:before="0" w:after="0"/>
              <w:rPr>
                <w:rFonts w:ascii="Times New Roman" w:hAnsi="Times New Roman" w:cs="Times New Roman"/>
              </w:rPr>
            </w:pPr>
          </w:p>
        </w:tc>
        <w:tc>
          <w:tcPr>
            <w:tcW w:w="981" w:type="dxa"/>
          </w:tcPr>
          <w:p w14:paraId="1558E2E7" w14:textId="77777777" w:rsidR="00F7413D" w:rsidRPr="008E28E6" w:rsidRDefault="00F7413D" w:rsidP="00F7413D">
            <w:pPr>
              <w:pStyle w:val="BodyText"/>
              <w:spacing w:before="0" w:after="0"/>
              <w:rPr>
                <w:rFonts w:ascii="Times New Roman" w:hAnsi="Times New Roman" w:cs="Times New Roman"/>
              </w:rPr>
            </w:pPr>
            <w:r w:rsidRPr="008E28E6">
              <w:rPr>
                <w:rFonts w:ascii="Times New Roman" w:hAnsi="Times New Roman" w:cs="Times New Roman"/>
              </w:rPr>
              <w:sym w:font="Wingdings" w:char="F0FC"/>
            </w:r>
          </w:p>
        </w:tc>
        <w:tc>
          <w:tcPr>
            <w:tcW w:w="1418" w:type="dxa"/>
          </w:tcPr>
          <w:p w14:paraId="0E0579A2" w14:textId="77777777" w:rsidR="00F7413D" w:rsidRPr="008E28E6" w:rsidRDefault="00F7413D" w:rsidP="00F7413D">
            <w:pPr>
              <w:pStyle w:val="BodyText"/>
              <w:spacing w:before="0" w:after="0"/>
              <w:rPr>
                <w:rFonts w:ascii="Times New Roman" w:hAnsi="Times New Roman" w:cs="Times New Roman"/>
              </w:rPr>
            </w:pPr>
          </w:p>
        </w:tc>
        <w:tc>
          <w:tcPr>
            <w:tcW w:w="1417" w:type="dxa"/>
          </w:tcPr>
          <w:p w14:paraId="0317FACC" w14:textId="77777777" w:rsidR="00F7413D" w:rsidRPr="008E28E6" w:rsidRDefault="00F7413D" w:rsidP="00F7413D">
            <w:pPr>
              <w:pStyle w:val="BodyText"/>
              <w:spacing w:before="0" w:after="0"/>
              <w:rPr>
                <w:rFonts w:ascii="Times New Roman" w:hAnsi="Times New Roman" w:cs="Times New Roman"/>
              </w:rPr>
            </w:pPr>
            <w:r w:rsidRPr="008E28E6">
              <w:rPr>
                <w:rFonts w:ascii="Times New Roman" w:hAnsi="Times New Roman" w:cs="Times New Roman"/>
              </w:rPr>
              <w:sym w:font="Wingdings" w:char="F0FC"/>
            </w:r>
          </w:p>
        </w:tc>
      </w:tr>
      <w:tr w:rsidR="00F7413D" w:rsidRPr="008E28E6" w14:paraId="7100A17D" w14:textId="77777777" w:rsidTr="00F7413D">
        <w:tc>
          <w:tcPr>
            <w:tcW w:w="2518" w:type="dxa"/>
          </w:tcPr>
          <w:p w14:paraId="0B11C31B"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Participant’s father has coronary heart disease</w:t>
            </w:r>
          </w:p>
        </w:tc>
        <w:tc>
          <w:tcPr>
            <w:tcW w:w="1418" w:type="dxa"/>
          </w:tcPr>
          <w:p w14:paraId="43768E44"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 xml:space="preserve">No </w:t>
            </w:r>
            <w:r w:rsidRPr="008E28E6">
              <w:rPr>
                <w:rFonts w:ascii="Times New Roman" w:hAnsi="Times New Roman" w:cs="Times New Roman"/>
                <w:sz w:val="20"/>
                <w:szCs w:val="20"/>
              </w:rPr>
              <w:br/>
              <w:t>Yes</w:t>
            </w:r>
          </w:p>
        </w:tc>
        <w:tc>
          <w:tcPr>
            <w:tcW w:w="4375" w:type="dxa"/>
          </w:tcPr>
          <w:p w14:paraId="363CAE08" w14:textId="77777777" w:rsidR="00F7413D" w:rsidRPr="008E28E6" w:rsidRDefault="00F7413D" w:rsidP="00F7413D">
            <w:pPr>
              <w:pStyle w:val="BodyText"/>
              <w:spacing w:before="0" w:after="0"/>
              <w:rPr>
                <w:rFonts w:ascii="Times New Roman" w:hAnsi="Times New Roman" w:cs="Times New Roman"/>
              </w:rPr>
            </w:pPr>
            <w:r w:rsidRPr="008E28E6">
              <w:rPr>
                <w:rFonts w:ascii="Times New Roman" w:hAnsi="Times New Roman" w:cs="Times New Roman"/>
              </w:rPr>
              <w:t>Father of woman has had a heart attack, coronary heart disease, coronary bypass, angioplasty or angina. If father had coronary heart disease=Yes; no paternal history of coronary heart disease or no paternal history available=No.</w:t>
            </w:r>
          </w:p>
        </w:tc>
        <w:tc>
          <w:tcPr>
            <w:tcW w:w="938" w:type="dxa"/>
          </w:tcPr>
          <w:p w14:paraId="50ED2EE3" w14:textId="77777777" w:rsidR="00F7413D" w:rsidRPr="008E28E6" w:rsidRDefault="00F7413D" w:rsidP="00F7413D">
            <w:pPr>
              <w:pStyle w:val="BodyText"/>
              <w:spacing w:before="0" w:after="0"/>
              <w:rPr>
                <w:rFonts w:ascii="Times New Roman" w:hAnsi="Times New Roman" w:cs="Times New Roman"/>
              </w:rPr>
            </w:pPr>
            <w:r w:rsidRPr="008E28E6">
              <w:rPr>
                <w:rFonts w:ascii="Times New Roman" w:hAnsi="Times New Roman" w:cs="Times New Roman"/>
              </w:rPr>
              <w:t>Nil</w:t>
            </w:r>
          </w:p>
        </w:tc>
        <w:tc>
          <w:tcPr>
            <w:tcW w:w="1218" w:type="dxa"/>
          </w:tcPr>
          <w:p w14:paraId="362CAD55" w14:textId="77777777" w:rsidR="00F7413D" w:rsidRPr="008E28E6" w:rsidRDefault="00F7413D" w:rsidP="00F7413D">
            <w:pPr>
              <w:pStyle w:val="BodyText"/>
              <w:spacing w:before="0" w:after="0"/>
              <w:rPr>
                <w:rFonts w:ascii="Times New Roman" w:hAnsi="Times New Roman" w:cs="Times New Roman"/>
              </w:rPr>
            </w:pPr>
          </w:p>
        </w:tc>
        <w:tc>
          <w:tcPr>
            <w:tcW w:w="981" w:type="dxa"/>
          </w:tcPr>
          <w:p w14:paraId="6B025AD0" w14:textId="77777777" w:rsidR="00F7413D" w:rsidRPr="008E28E6" w:rsidRDefault="00F7413D" w:rsidP="00F7413D">
            <w:pPr>
              <w:pStyle w:val="BodyText"/>
              <w:spacing w:before="0" w:after="0"/>
              <w:rPr>
                <w:rFonts w:ascii="Times New Roman" w:hAnsi="Times New Roman" w:cs="Times New Roman"/>
              </w:rPr>
            </w:pPr>
            <w:r w:rsidRPr="008E28E6">
              <w:rPr>
                <w:rFonts w:ascii="Times New Roman" w:hAnsi="Times New Roman" w:cs="Times New Roman"/>
                <w:sz w:val="24"/>
                <w:szCs w:val="24"/>
              </w:rPr>
              <w:sym w:font="Wingdings" w:char="F0FC"/>
            </w:r>
          </w:p>
        </w:tc>
        <w:tc>
          <w:tcPr>
            <w:tcW w:w="1418" w:type="dxa"/>
          </w:tcPr>
          <w:p w14:paraId="5462BB99" w14:textId="77777777" w:rsidR="00F7413D" w:rsidRPr="008E28E6" w:rsidRDefault="00F7413D" w:rsidP="00F7413D">
            <w:pPr>
              <w:pStyle w:val="BodyText"/>
              <w:spacing w:before="0" w:after="0"/>
              <w:rPr>
                <w:rFonts w:ascii="Times New Roman" w:hAnsi="Times New Roman" w:cs="Times New Roman"/>
              </w:rPr>
            </w:pPr>
          </w:p>
        </w:tc>
        <w:tc>
          <w:tcPr>
            <w:tcW w:w="1417" w:type="dxa"/>
          </w:tcPr>
          <w:p w14:paraId="6AC3B4EC" w14:textId="77777777" w:rsidR="00F7413D" w:rsidRPr="008E28E6" w:rsidRDefault="00F7413D" w:rsidP="00F7413D">
            <w:pPr>
              <w:pStyle w:val="BodyText"/>
              <w:spacing w:before="0" w:after="0"/>
              <w:rPr>
                <w:rFonts w:ascii="Times New Roman" w:hAnsi="Times New Roman" w:cs="Times New Roman"/>
              </w:rPr>
            </w:pPr>
            <w:r w:rsidRPr="008E28E6">
              <w:rPr>
                <w:rFonts w:ascii="Times New Roman" w:hAnsi="Times New Roman" w:cs="Times New Roman"/>
              </w:rPr>
              <w:sym w:font="Wingdings" w:char="F0FC"/>
            </w:r>
          </w:p>
        </w:tc>
      </w:tr>
      <w:tr w:rsidR="00F7413D" w:rsidRPr="008E28E6" w14:paraId="2C3E59EF" w14:textId="77777777" w:rsidTr="00F7413D">
        <w:tc>
          <w:tcPr>
            <w:tcW w:w="2518" w:type="dxa"/>
          </w:tcPr>
          <w:p w14:paraId="40403DDC"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Vegetarian</w:t>
            </w:r>
          </w:p>
        </w:tc>
        <w:tc>
          <w:tcPr>
            <w:tcW w:w="1418" w:type="dxa"/>
          </w:tcPr>
          <w:p w14:paraId="7B91E7BA"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 xml:space="preserve">No </w:t>
            </w:r>
            <w:r w:rsidRPr="008E28E6">
              <w:rPr>
                <w:rFonts w:ascii="Times New Roman" w:hAnsi="Times New Roman" w:cs="Times New Roman"/>
                <w:sz w:val="20"/>
                <w:szCs w:val="20"/>
              </w:rPr>
              <w:br/>
              <w:t>Yes</w:t>
            </w:r>
          </w:p>
        </w:tc>
        <w:tc>
          <w:tcPr>
            <w:tcW w:w="4375" w:type="dxa"/>
          </w:tcPr>
          <w:p w14:paraId="2773BD5D" w14:textId="77777777" w:rsidR="00F7413D" w:rsidRPr="008E28E6" w:rsidRDefault="00F7413D" w:rsidP="00F7413D">
            <w:pPr>
              <w:pStyle w:val="BodyText"/>
              <w:spacing w:before="0" w:after="0"/>
              <w:rPr>
                <w:rFonts w:ascii="Times New Roman" w:hAnsi="Times New Roman" w:cs="Times New Roman"/>
              </w:rPr>
            </w:pPr>
            <w:r w:rsidRPr="008E28E6">
              <w:rPr>
                <w:rFonts w:ascii="Times New Roman" w:hAnsi="Times New Roman" w:cs="Times New Roman"/>
              </w:rPr>
              <w:t>Woman’s diet did not include meat or fish.</w:t>
            </w:r>
          </w:p>
        </w:tc>
        <w:tc>
          <w:tcPr>
            <w:tcW w:w="938" w:type="dxa"/>
          </w:tcPr>
          <w:p w14:paraId="1E3456C1" w14:textId="77777777" w:rsidR="00F7413D" w:rsidRPr="008E28E6" w:rsidRDefault="00F7413D" w:rsidP="00F7413D">
            <w:pPr>
              <w:pStyle w:val="BodyText"/>
              <w:spacing w:before="0" w:after="0"/>
              <w:rPr>
                <w:rFonts w:ascii="Times New Roman" w:hAnsi="Times New Roman" w:cs="Times New Roman"/>
              </w:rPr>
            </w:pPr>
            <w:r w:rsidRPr="008E28E6">
              <w:rPr>
                <w:rFonts w:ascii="Times New Roman" w:hAnsi="Times New Roman" w:cs="Times New Roman"/>
              </w:rPr>
              <w:t>Nil</w:t>
            </w:r>
          </w:p>
        </w:tc>
        <w:tc>
          <w:tcPr>
            <w:tcW w:w="1218" w:type="dxa"/>
          </w:tcPr>
          <w:p w14:paraId="58F0E5E8" w14:textId="77777777" w:rsidR="00F7413D" w:rsidRPr="008E28E6" w:rsidRDefault="00F7413D" w:rsidP="00F7413D">
            <w:pPr>
              <w:pStyle w:val="BodyText"/>
              <w:spacing w:before="0" w:after="0"/>
              <w:rPr>
                <w:rFonts w:ascii="Times New Roman" w:hAnsi="Times New Roman" w:cs="Times New Roman"/>
              </w:rPr>
            </w:pPr>
          </w:p>
        </w:tc>
        <w:tc>
          <w:tcPr>
            <w:tcW w:w="981" w:type="dxa"/>
          </w:tcPr>
          <w:p w14:paraId="2CB0CD2C" w14:textId="77777777" w:rsidR="00F7413D" w:rsidRPr="008E28E6" w:rsidRDefault="00F7413D" w:rsidP="00F7413D">
            <w:pPr>
              <w:pStyle w:val="BodyText"/>
              <w:spacing w:before="0" w:after="0"/>
              <w:rPr>
                <w:rFonts w:ascii="Times New Roman" w:hAnsi="Times New Roman" w:cs="Times New Roman"/>
              </w:rPr>
            </w:pPr>
            <w:r w:rsidRPr="008E28E6">
              <w:rPr>
                <w:rFonts w:ascii="Times New Roman" w:hAnsi="Times New Roman" w:cs="Times New Roman"/>
              </w:rPr>
              <w:sym w:font="Wingdings" w:char="F0FC"/>
            </w:r>
          </w:p>
        </w:tc>
        <w:tc>
          <w:tcPr>
            <w:tcW w:w="1418" w:type="dxa"/>
          </w:tcPr>
          <w:p w14:paraId="15BBED4D" w14:textId="77777777" w:rsidR="00F7413D" w:rsidRPr="008E28E6" w:rsidRDefault="00F7413D" w:rsidP="00F7413D">
            <w:pPr>
              <w:pStyle w:val="BodyText"/>
              <w:spacing w:before="0" w:after="0"/>
              <w:rPr>
                <w:rFonts w:ascii="Times New Roman" w:hAnsi="Times New Roman" w:cs="Times New Roman"/>
              </w:rPr>
            </w:pPr>
          </w:p>
        </w:tc>
        <w:tc>
          <w:tcPr>
            <w:tcW w:w="1417" w:type="dxa"/>
          </w:tcPr>
          <w:p w14:paraId="658B4E0E" w14:textId="77777777" w:rsidR="00F7413D" w:rsidRPr="008E28E6" w:rsidRDefault="00F7413D" w:rsidP="00F7413D">
            <w:pPr>
              <w:pStyle w:val="BodyText"/>
              <w:spacing w:before="0" w:after="0"/>
              <w:rPr>
                <w:rFonts w:ascii="Times New Roman" w:hAnsi="Times New Roman" w:cs="Times New Roman"/>
              </w:rPr>
            </w:pPr>
            <w:r w:rsidRPr="008E28E6">
              <w:rPr>
                <w:rFonts w:ascii="Times New Roman" w:hAnsi="Times New Roman" w:cs="Times New Roman"/>
              </w:rPr>
              <w:sym w:font="Wingdings" w:char="F0FC"/>
            </w:r>
          </w:p>
        </w:tc>
      </w:tr>
      <w:tr w:rsidR="00F7413D" w:rsidRPr="008E28E6" w14:paraId="26ED1B89" w14:textId="77777777" w:rsidTr="00F7413D">
        <w:tc>
          <w:tcPr>
            <w:tcW w:w="2518" w:type="dxa"/>
          </w:tcPr>
          <w:p w14:paraId="6F0D0069"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Non-oily fish intake pre-pregnancy</w:t>
            </w:r>
          </w:p>
        </w:tc>
        <w:tc>
          <w:tcPr>
            <w:tcW w:w="1418" w:type="dxa"/>
          </w:tcPr>
          <w:p w14:paraId="60D5AD22"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 xml:space="preserve">No </w:t>
            </w:r>
            <w:r w:rsidRPr="008E28E6">
              <w:rPr>
                <w:rFonts w:ascii="Times New Roman" w:hAnsi="Times New Roman" w:cs="Times New Roman"/>
                <w:sz w:val="20"/>
                <w:szCs w:val="20"/>
              </w:rPr>
              <w:br/>
              <w:t>Yes</w:t>
            </w:r>
          </w:p>
        </w:tc>
        <w:tc>
          <w:tcPr>
            <w:tcW w:w="4375" w:type="dxa"/>
          </w:tcPr>
          <w:p w14:paraId="005FEE43"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History of eating any  non-oily fish including shellfish in the month prior to pregnancy</w:t>
            </w:r>
          </w:p>
        </w:tc>
        <w:tc>
          <w:tcPr>
            <w:tcW w:w="938" w:type="dxa"/>
          </w:tcPr>
          <w:p w14:paraId="7B442BF2"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rPr>
              <w:t>Nil</w:t>
            </w:r>
          </w:p>
        </w:tc>
        <w:tc>
          <w:tcPr>
            <w:tcW w:w="1218" w:type="dxa"/>
          </w:tcPr>
          <w:p w14:paraId="0156D82F" w14:textId="77777777" w:rsidR="00F7413D" w:rsidRPr="008E28E6" w:rsidRDefault="00F7413D" w:rsidP="00F7413D">
            <w:pPr>
              <w:rPr>
                <w:rFonts w:ascii="Times New Roman" w:hAnsi="Times New Roman" w:cs="Times New Roman"/>
                <w:sz w:val="20"/>
                <w:szCs w:val="20"/>
              </w:rPr>
            </w:pPr>
          </w:p>
        </w:tc>
        <w:tc>
          <w:tcPr>
            <w:tcW w:w="981" w:type="dxa"/>
          </w:tcPr>
          <w:p w14:paraId="7BB028E9" w14:textId="77777777" w:rsidR="00F7413D" w:rsidRPr="008E28E6" w:rsidRDefault="00F7413D" w:rsidP="00F7413D">
            <w:pPr>
              <w:rPr>
                <w:rFonts w:ascii="Times New Roman" w:hAnsi="Times New Roman" w:cs="Times New Roman"/>
                <w:sz w:val="20"/>
                <w:szCs w:val="20"/>
                <w:highlight w:val="yellow"/>
              </w:rPr>
            </w:pPr>
            <w:r w:rsidRPr="008E28E6">
              <w:rPr>
                <w:rFonts w:ascii="Times New Roman" w:hAnsi="Times New Roman" w:cs="Times New Roman"/>
                <w:sz w:val="20"/>
                <w:szCs w:val="20"/>
              </w:rPr>
              <w:sym w:font="Wingdings" w:char="F0FC"/>
            </w:r>
          </w:p>
        </w:tc>
        <w:tc>
          <w:tcPr>
            <w:tcW w:w="1418" w:type="dxa"/>
          </w:tcPr>
          <w:p w14:paraId="301E686F" w14:textId="77777777" w:rsidR="00F7413D" w:rsidRPr="008E28E6" w:rsidRDefault="00F7413D" w:rsidP="00F7413D">
            <w:pPr>
              <w:rPr>
                <w:rFonts w:ascii="Times New Roman" w:hAnsi="Times New Roman" w:cs="Times New Roman"/>
                <w:sz w:val="20"/>
                <w:szCs w:val="20"/>
                <w:highlight w:val="yellow"/>
              </w:rPr>
            </w:pPr>
          </w:p>
        </w:tc>
        <w:tc>
          <w:tcPr>
            <w:tcW w:w="1417" w:type="dxa"/>
          </w:tcPr>
          <w:p w14:paraId="19993E06" w14:textId="77777777" w:rsidR="00F7413D" w:rsidRPr="008E28E6" w:rsidRDefault="00F7413D" w:rsidP="00F7413D">
            <w:pPr>
              <w:rPr>
                <w:rFonts w:ascii="Times New Roman" w:hAnsi="Times New Roman" w:cs="Times New Roman"/>
                <w:sz w:val="20"/>
                <w:szCs w:val="20"/>
                <w:highlight w:val="yellow"/>
              </w:rPr>
            </w:pPr>
          </w:p>
        </w:tc>
      </w:tr>
      <w:tr w:rsidR="00F7413D" w:rsidRPr="008E28E6" w14:paraId="7D69D09E" w14:textId="77777777" w:rsidTr="00F7413D">
        <w:tc>
          <w:tcPr>
            <w:tcW w:w="2518" w:type="dxa"/>
          </w:tcPr>
          <w:p w14:paraId="714628D0"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Fruit intake pre-pregnancy</w:t>
            </w:r>
          </w:p>
        </w:tc>
        <w:tc>
          <w:tcPr>
            <w:tcW w:w="1418" w:type="dxa"/>
          </w:tcPr>
          <w:p w14:paraId="2B98AFCC"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1: &lt;1/day</w:t>
            </w:r>
          </w:p>
          <w:p w14:paraId="1B9CDEE2" w14:textId="77777777" w:rsidR="00F7413D" w:rsidRPr="008E28E6" w:rsidRDefault="00F7413D" w:rsidP="00F7413D">
            <w:pPr>
              <w:rPr>
                <w:rFonts w:ascii="Times New Roman" w:hAnsi="Times New Roman" w:cs="Times New Roman"/>
                <w:sz w:val="24"/>
                <w:szCs w:val="24"/>
              </w:rPr>
            </w:pPr>
            <w:r w:rsidRPr="008E28E6">
              <w:rPr>
                <w:rFonts w:ascii="Times New Roman" w:hAnsi="Times New Roman" w:cs="Times New Roman"/>
                <w:sz w:val="20"/>
                <w:szCs w:val="20"/>
              </w:rPr>
              <w:t xml:space="preserve">2:  </w:t>
            </w:r>
            <w:r w:rsidRPr="008E28E6">
              <w:rPr>
                <w:rFonts w:ascii="Times New Roman" w:hAnsi="Times New Roman" w:cs="Times New Roman"/>
                <w:sz w:val="20"/>
                <w:szCs w:val="20"/>
                <w:u w:val="single"/>
              </w:rPr>
              <w:t>&gt;</w:t>
            </w:r>
            <w:r w:rsidRPr="008E28E6">
              <w:rPr>
                <w:rFonts w:ascii="Times New Roman" w:hAnsi="Times New Roman" w:cs="Times New Roman"/>
                <w:sz w:val="20"/>
                <w:szCs w:val="20"/>
              </w:rPr>
              <w:t>1/day</w:t>
            </w:r>
          </w:p>
        </w:tc>
        <w:tc>
          <w:tcPr>
            <w:tcW w:w="4375" w:type="dxa"/>
          </w:tcPr>
          <w:p w14:paraId="6C1F394C"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The average number of servings of fruit in the month prior to conception.</w:t>
            </w:r>
          </w:p>
        </w:tc>
        <w:tc>
          <w:tcPr>
            <w:tcW w:w="938" w:type="dxa"/>
          </w:tcPr>
          <w:p w14:paraId="04E61778"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Nil</w:t>
            </w:r>
          </w:p>
        </w:tc>
        <w:tc>
          <w:tcPr>
            <w:tcW w:w="1218" w:type="dxa"/>
          </w:tcPr>
          <w:p w14:paraId="0A1EF7A4" w14:textId="77777777" w:rsidR="00F7413D" w:rsidRPr="008E28E6" w:rsidRDefault="00F7413D" w:rsidP="00F7413D">
            <w:pPr>
              <w:rPr>
                <w:rFonts w:ascii="Times New Roman" w:hAnsi="Times New Roman" w:cs="Times New Roman"/>
                <w:sz w:val="20"/>
                <w:szCs w:val="20"/>
              </w:rPr>
            </w:pPr>
          </w:p>
        </w:tc>
        <w:tc>
          <w:tcPr>
            <w:tcW w:w="981" w:type="dxa"/>
          </w:tcPr>
          <w:p w14:paraId="610F0606"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4"/>
                <w:szCs w:val="24"/>
              </w:rPr>
              <w:sym w:font="Wingdings" w:char="F0FC"/>
            </w:r>
          </w:p>
        </w:tc>
        <w:tc>
          <w:tcPr>
            <w:tcW w:w="1418" w:type="dxa"/>
          </w:tcPr>
          <w:p w14:paraId="1866FDE8"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4"/>
                <w:szCs w:val="24"/>
              </w:rPr>
              <w:sym w:font="Wingdings" w:char="F0FC"/>
            </w:r>
          </w:p>
        </w:tc>
        <w:tc>
          <w:tcPr>
            <w:tcW w:w="1417" w:type="dxa"/>
          </w:tcPr>
          <w:p w14:paraId="42276C12"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sym w:font="Wingdings" w:char="F0FC"/>
            </w:r>
          </w:p>
        </w:tc>
      </w:tr>
      <w:tr w:rsidR="00F7413D" w:rsidRPr="008E28E6" w14:paraId="3DC45D45" w14:textId="77777777" w:rsidTr="00F7413D">
        <w:tc>
          <w:tcPr>
            <w:tcW w:w="2518" w:type="dxa"/>
          </w:tcPr>
          <w:p w14:paraId="5F7534AF"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Fruit intake at 15 weeks</w:t>
            </w:r>
          </w:p>
        </w:tc>
        <w:tc>
          <w:tcPr>
            <w:tcW w:w="1418" w:type="dxa"/>
          </w:tcPr>
          <w:p w14:paraId="2E72FE02"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1: &lt;1/wk</w:t>
            </w:r>
          </w:p>
          <w:p w14:paraId="0C8763CD"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2: 1-6x/wk</w:t>
            </w:r>
          </w:p>
          <w:p w14:paraId="410C777B"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3: &gt;=1/day</w:t>
            </w:r>
          </w:p>
        </w:tc>
        <w:tc>
          <w:tcPr>
            <w:tcW w:w="4375" w:type="dxa"/>
          </w:tcPr>
          <w:p w14:paraId="16507284"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The average number of servings of fruit in the month prior to the 15 week visit.</w:t>
            </w:r>
          </w:p>
        </w:tc>
        <w:tc>
          <w:tcPr>
            <w:tcW w:w="938" w:type="dxa"/>
          </w:tcPr>
          <w:p w14:paraId="2745FAB6"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Nil</w:t>
            </w:r>
          </w:p>
        </w:tc>
        <w:tc>
          <w:tcPr>
            <w:tcW w:w="1218" w:type="dxa"/>
          </w:tcPr>
          <w:p w14:paraId="42AFD9E8" w14:textId="77777777" w:rsidR="00F7413D" w:rsidRPr="008E28E6" w:rsidRDefault="00F7413D" w:rsidP="00F7413D">
            <w:pPr>
              <w:rPr>
                <w:rFonts w:ascii="Times New Roman" w:hAnsi="Times New Roman" w:cs="Times New Roman"/>
                <w:sz w:val="20"/>
                <w:szCs w:val="20"/>
                <w:highlight w:val="yellow"/>
              </w:rPr>
            </w:pPr>
          </w:p>
        </w:tc>
        <w:tc>
          <w:tcPr>
            <w:tcW w:w="981" w:type="dxa"/>
          </w:tcPr>
          <w:p w14:paraId="6F475F30" w14:textId="77777777" w:rsidR="00F7413D" w:rsidRPr="008E28E6" w:rsidRDefault="00F7413D" w:rsidP="00F7413D">
            <w:pPr>
              <w:rPr>
                <w:rFonts w:ascii="Times New Roman" w:hAnsi="Times New Roman" w:cs="Times New Roman"/>
                <w:sz w:val="20"/>
                <w:szCs w:val="20"/>
                <w:highlight w:val="yellow"/>
              </w:rPr>
            </w:pPr>
            <w:r w:rsidRPr="008E28E6">
              <w:rPr>
                <w:rFonts w:ascii="Times New Roman" w:hAnsi="Times New Roman" w:cs="Times New Roman"/>
                <w:sz w:val="24"/>
                <w:szCs w:val="24"/>
              </w:rPr>
              <w:sym w:font="Wingdings" w:char="F0FC"/>
            </w:r>
          </w:p>
        </w:tc>
        <w:tc>
          <w:tcPr>
            <w:tcW w:w="1418" w:type="dxa"/>
          </w:tcPr>
          <w:p w14:paraId="201BA056" w14:textId="77777777" w:rsidR="00F7413D" w:rsidRPr="008E28E6" w:rsidRDefault="00F7413D" w:rsidP="00F7413D">
            <w:pPr>
              <w:rPr>
                <w:rFonts w:ascii="Times New Roman" w:hAnsi="Times New Roman" w:cs="Times New Roman"/>
                <w:sz w:val="20"/>
                <w:szCs w:val="20"/>
                <w:highlight w:val="yellow"/>
              </w:rPr>
            </w:pPr>
          </w:p>
        </w:tc>
        <w:tc>
          <w:tcPr>
            <w:tcW w:w="1417" w:type="dxa"/>
          </w:tcPr>
          <w:p w14:paraId="5EE2CC4C" w14:textId="77777777" w:rsidR="00F7413D" w:rsidRPr="008E28E6" w:rsidRDefault="00F7413D" w:rsidP="00F7413D">
            <w:pPr>
              <w:rPr>
                <w:rFonts w:ascii="Times New Roman" w:hAnsi="Times New Roman" w:cs="Times New Roman"/>
                <w:sz w:val="20"/>
                <w:szCs w:val="20"/>
                <w:highlight w:val="yellow"/>
              </w:rPr>
            </w:pPr>
            <w:r w:rsidRPr="008E28E6">
              <w:rPr>
                <w:rFonts w:ascii="Times New Roman" w:hAnsi="Times New Roman" w:cs="Times New Roman"/>
                <w:sz w:val="20"/>
                <w:szCs w:val="20"/>
              </w:rPr>
              <w:sym w:font="Wingdings" w:char="F0FC"/>
            </w:r>
          </w:p>
        </w:tc>
      </w:tr>
      <w:tr w:rsidR="00F7413D" w:rsidRPr="008E28E6" w14:paraId="3396DF52" w14:textId="77777777" w:rsidTr="00F7413D">
        <w:tc>
          <w:tcPr>
            <w:tcW w:w="2518" w:type="dxa"/>
          </w:tcPr>
          <w:p w14:paraId="313AFBDB"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Green leafy vegetable intake pre-pregnancy</w:t>
            </w:r>
          </w:p>
        </w:tc>
        <w:tc>
          <w:tcPr>
            <w:tcW w:w="1418" w:type="dxa"/>
          </w:tcPr>
          <w:p w14:paraId="3EDCC797"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1:  &lt;1/wk</w:t>
            </w:r>
            <w:r w:rsidRPr="008E28E6">
              <w:rPr>
                <w:rFonts w:ascii="Times New Roman" w:hAnsi="Times New Roman" w:cs="Times New Roman"/>
                <w:sz w:val="20"/>
                <w:szCs w:val="20"/>
              </w:rPr>
              <w:br/>
              <w:t>2: 1-6x/wk</w:t>
            </w:r>
          </w:p>
          <w:p w14:paraId="36E1CD30"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3: &gt;=1/day</w:t>
            </w:r>
          </w:p>
        </w:tc>
        <w:tc>
          <w:tcPr>
            <w:tcW w:w="4375" w:type="dxa"/>
          </w:tcPr>
          <w:p w14:paraId="0F898268"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The average number of servings of green leafy vegetables in the month prior to conception.</w:t>
            </w:r>
          </w:p>
        </w:tc>
        <w:tc>
          <w:tcPr>
            <w:tcW w:w="938" w:type="dxa"/>
          </w:tcPr>
          <w:p w14:paraId="295C8CB3" w14:textId="77777777" w:rsidR="00F7413D" w:rsidRPr="008E28E6" w:rsidRDefault="00F7413D" w:rsidP="00F7413D">
            <w:pPr>
              <w:rPr>
                <w:rFonts w:ascii="Times New Roman" w:hAnsi="Times New Roman" w:cs="Times New Roman"/>
                <w:sz w:val="20"/>
                <w:szCs w:val="20"/>
                <w:highlight w:val="yellow"/>
              </w:rPr>
            </w:pPr>
            <w:r w:rsidRPr="008E28E6">
              <w:rPr>
                <w:rFonts w:ascii="Times New Roman" w:hAnsi="Times New Roman" w:cs="Times New Roman"/>
              </w:rPr>
              <w:t>Nil</w:t>
            </w:r>
          </w:p>
        </w:tc>
        <w:tc>
          <w:tcPr>
            <w:tcW w:w="1218" w:type="dxa"/>
          </w:tcPr>
          <w:p w14:paraId="5E8E7C5A" w14:textId="77777777" w:rsidR="00F7413D" w:rsidRPr="008E28E6" w:rsidRDefault="00F7413D" w:rsidP="00F7413D">
            <w:pPr>
              <w:rPr>
                <w:rFonts w:ascii="Times New Roman" w:hAnsi="Times New Roman" w:cs="Times New Roman"/>
                <w:sz w:val="20"/>
                <w:szCs w:val="20"/>
                <w:highlight w:val="yellow"/>
              </w:rPr>
            </w:pPr>
          </w:p>
        </w:tc>
        <w:tc>
          <w:tcPr>
            <w:tcW w:w="981" w:type="dxa"/>
          </w:tcPr>
          <w:p w14:paraId="1B4573EC" w14:textId="77777777" w:rsidR="00F7413D" w:rsidRPr="008E28E6" w:rsidRDefault="00F7413D" w:rsidP="00F7413D">
            <w:pPr>
              <w:rPr>
                <w:rFonts w:ascii="Times New Roman" w:hAnsi="Times New Roman" w:cs="Times New Roman"/>
                <w:sz w:val="20"/>
                <w:szCs w:val="20"/>
                <w:highlight w:val="yellow"/>
              </w:rPr>
            </w:pPr>
            <w:r w:rsidRPr="008E28E6">
              <w:rPr>
                <w:rFonts w:ascii="Times New Roman" w:hAnsi="Times New Roman" w:cs="Times New Roman"/>
                <w:sz w:val="24"/>
                <w:szCs w:val="24"/>
              </w:rPr>
              <w:sym w:font="Wingdings" w:char="F0FC"/>
            </w:r>
          </w:p>
        </w:tc>
        <w:tc>
          <w:tcPr>
            <w:tcW w:w="1418" w:type="dxa"/>
          </w:tcPr>
          <w:p w14:paraId="527CD570" w14:textId="77777777" w:rsidR="00F7413D" w:rsidRPr="008E28E6" w:rsidRDefault="00F7413D" w:rsidP="00F7413D">
            <w:pPr>
              <w:rPr>
                <w:rFonts w:ascii="Times New Roman" w:hAnsi="Times New Roman" w:cs="Times New Roman"/>
                <w:sz w:val="20"/>
                <w:szCs w:val="20"/>
                <w:highlight w:val="yellow"/>
              </w:rPr>
            </w:pPr>
            <w:r w:rsidRPr="008E28E6">
              <w:rPr>
                <w:rFonts w:ascii="Times New Roman" w:hAnsi="Times New Roman" w:cs="Times New Roman"/>
                <w:sz w:val="24"/>
                <w:szCs w:val="24"/>
              </w:rPr>
              <w:sym w:font="Wingdings" w:char="F0FC"/>
            </w:r>
          </w:p>
        </w:tc>
        <w:tc>
          <w:tcPr>
            <w:tcW w:w="1417" w:type="dxa"/>
          </w:tcPr>
          <w:p w14:paraId="1A150614" w14:textId="77777777" w:rsidR="00F7413D" w:rsidRPr="008E28E6" w:rsidRDefault="00F7413D" w:rsidP="00F7413D">
            <w:pPr>
              <w:rPr>
                <w:rFonts w:ascii="Times New Roman" w:hAnsi="Times New Roman" w:cs="Times New Roman"/>
                <w:sz w:val="20"/>
                <w:szCs w:val="20"/>
                <w:highlight w:val="yellow"/>
              </w:rPr>
            </w:pPr>
          </w:p>
        </w:tc>
      </w:tr>
      <w:tr w:rsidR="00F7413D" w:rsidRPr="008E28E6" w14:paraId="17FAF753" w14:textId="77777777" w:rsidTr="00F7413D">
        <w:tc>
          <w:tcPr>
            <w:tcW w:w="2518" w:type="dxa"/>
          </w:tcPr>
          <w:p w14:paraId="3E020D27"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High oily fish at 15 weeks</w:t>
            </w:r>
          </w:p>
        </w:tc>
        <w:tc>
          <w:tcPr>
            <w:tcW w:w="1418" w:type="dxa"/>
          </w:tcPr>
          <w:p w14:paraId="6FBF6C21"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 xml:space="preserve">No </w:t>
            </w:r>
            <w:r w:rsidRPr="008E28E6">
              <w:rPr>
                <w:rFonts w:ascii="Times New Roman" w:hAnsi="Times New Roman" w:cs="Times New Roman"/>
                <w:sz w:val="20"/>
                <w:szCs w:val="20"/>
              </w:rPr>
              <w:br/>
              <w:t>Yes</w:t>
            </w:r>
          </w:p>
        </w:tc>
        <w:tc>
          <w:tcPr>
            <w:tcW w:w="4375" w:type="dxa"/>
          </w:tcPr>
          <w:p w14:paraId="1DA41B76"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History of eating high amounts of oily fish (defined as three or more servings per week) in the month prior to the 15 week visit. Included salmon, tuna, trout, sardines, herrings, mackerel.</w:t>
            </w:r>
          </w:p>
        </w:tc>
        <w:tc>
          <w:tcPr>
            <w:tcW w:w="938" w:type="dxa"/>
          </w:tcPr>
          <w:p w14:paraId="3BBE3FE1"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rPr>
              <w:t>Nil</w:t>
            </w:r>
          </w:p>
        </w:tc>
        <w:tc>
          <w:tcPr>
            <w:tcW w:w="1218" w:type="dxa"/>
          </w:tcPr>
          <w:p w14:paraId="0CA5758E" w14:textId="77777777" w:rsidR="00F7413D" w:rsidRPr="008E28E6" w:rsidRDefault="00F7413D" w:rsidP="00F7413D">
            <w:pPr>
              <w:rPr>
                <w:rFonts w:ascii="Times New Roman" w:hAnsi="Times New Roman" w:cs="Times New Roman"/>
                <w:sz w:val="20"/>
                <w:szCs w:val="20"/>
              </w:rPr>
            </w:pPr>
          </w:p>
        </w:tc>
        <w:tc>
          <w:tcPr>
            <w:tcW w:w="981" w:type="dxa"/>
          </w:tcPr>
          <w:p w14:paraId="429B81C2" w14:textId="77777777" w:rsidR="00F7413D" w:rsidRPr="008E28E6" w:rsidRDefault="00F7413D" w:rsidP="00F7413D">
            <w:pPr>
              <w:rPr>
                <w:rFonts w:ascii="Times New Roman" w:hAnsi="Times New Roman" w:cs="Times New Roman"/>
                <w:sz w:val="20"/>
                <w:szCs w:val="20"/>
              </w:rPr>
            </w:pPr>
          </w:p>
        </w:tc>
        <w:tc>
          <w:tcPr>
            <w:tcW w:w="1418" w:type="dxa"/>
          </w:tcPr>
          <w:p w14:paraId="62CDB9A7"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4"/>
                <w:szCs w:val="24"/>
              </w:rPr>
              <w:sym w:font="Wingdings" w:char="F0FC"/>
            </w:r>
          </w:p>
        </w:tc>
        <w:tc>
          <w:tcPr>
            <w:tcW w:w="1417" w:type="dxa"/>
          </w:tcPr>
          <w:p w14:paraId="09583521" w14:textId="77777777" w:rsidR="00F7413D" w:rsidRPr="008E28E6" w:rsidRDefault="00F7413D" w:rsidP="00F7413D">
            <w:pPr>
              <w:rPr>
                <w:rFonts w:ascii="Times New Roman" w:hAnsi="Times New Roman" w:cs="Times New Roman"/>
                <w:sz w:val="20"/>
                <w:szCs w:val="20"/>
              </w:rPr>
            </w:pPr>
          </w:p>
        </w:tc>
      </w:tr>
      <w:tr w:rsidR="00F7413D" w:rsidRPr="008E28E6" w14:paraId="20033BC1" w14:textId="77777777" w:rsidTr="00F7413D">
        <w:tc>
          <w:tcPr>
            <w:tcW w:w="2518" w:type="dxa"/>
          </w:tcPr>
          <w:p w14:paraId="11EEF7CF"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Multivitamin intake at 15±1 weeks</w:t>
            </w:r>
          </w:p>
        </w:tc>
        <w:tc>
          <w:tcPr>
            <w:tcW w:w="1418" w:type="dxa"/>
          </w:tcPr>
          <w:p w14:paraId="17A56CB6"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 xml:space="preserve">No </w:t>
            </w:r>
            <w:r w:rsidRPr="008E28E6">
              <w:rPr>
                <w:rFonts w:ascii="Times New Roman" w:hAnsi="Times New Roman" w:cs="Times New Roman"/>
                <w:sz w:val="20"/>
                <w:szCs w:val="20"/>
              </w:rPr>
              <w:br/>
              <w:t>Yes</w:t>
            </w:r>
          </w:p>
        </w:tc>
        <w:tc>
          <w:tcPr>
            <w:tcW w:w="4375" w:type="dxa"/>
          </w:tcPr>
          <w:p w14:paraId="4048318C"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 xml:space="preserve">Any multivitamin intake at the 15±1 week visit. Women were asked to bring these to the 15 week visit. </w:t>
            </w:r>
          </w:p>
        </w:tc>
        <w:tc>
          <w:tcPr>
            <w:tcW w:w="938" w:type="dxa"/>
          </w:tcPr>
          <w:p w14:paraId="2CA1A0E0"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0.3%</w:t>
            </w:r>
          </w:p>
        </w:tc>
        <w:tc>
          <w:tcPr>
            <w:tcW w:w="1218" w:type="dxa"/>
          </w:tcPr>
          <w:p w14:paraId="4FA5831F"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Mode</w:t>
            </w:r>
          </w:p>
        </w:tc>
        <w:tc>
          <w:tcPr>
            <w:tcW w:w="981" w:type="dxa"/>
          </w:tcPr>
          <w:p w14:paraId="1BA41C9F"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4"/>
                <w:szCs w:val="24"/>
              </w:rPr>
              <w:sym w:font="Wingdings" w:char="F0FC"/>
            </w:r>
          </w:p>
        </w:tc>
        <w:tc>
          <w:tcPr>
            <w:tcW w:w="1418" w:type="dxa"/>
          </w:tcPr>
          <w:p w14:paraId="01EAC9DF"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4"/>
                <w:szCs w:val="24"/>
              </w:rPr>
              <w:sym w:font="Wingdings" w:char="F0FC"/>
            </w:r>
          </w:p>
        </w:tc>
        <w:tc>
          <w:tcPr>
            <w:tcW w:w="1417" w:type="dxa"/>
          </w:tcPr>
          <w:p w14:paraId="274F15C7" w14:textId="77777777" w:rsidR="00F7413D" w:rsidRPr="008E28E6" w:rsidRDefault="00F7413D" w:rsidP="00F7413D">
            <w:pPr>
              <w:rPr>
                <w:rFonts w:ascii="Times New Roman" w:hAnsi="Times New Roman" w:cs="Times New Roman"/>
                <w:sz w:val="20"/>
                <w:szCs w:val="20"/>
              </w:rPr>
            </w:pPr>
          </w:p>
        </w:tc>
      </w:tr>
      <w:tr w:rsidR="00F7413D" w:rsidRPr="008E28E6" w14:paraId="4A4732AC" w14:textId="77777777" w:rsidTr="00F7413D">
        <w:tc>
          <w:tcPr>
            <w:tcW w:w="2518" w:type="dxa"/>
          </w:tcPr>
          <w:p w14:paraId="37181808"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Smoking at 15±1 weeks</w:t>
            </w:r>
          </w:p>
        </w:tc>
        <w:tc>
          <w:tcPr>
            <w:tcW w:w="1418" w:type="dxa"/>
          </w:tcPr>
          <w:p w14:paraId="325EB83C"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 xml:space="preserve">No </w:t>
            </w:r>
            <w:r w:rsidRPr="008E28E6">
              <w:rPr>
                <w:rFonts w:ascii="Times New Roman" w:hAnsi="Times New Roman" w:cs="Times New Roman"/>
                <w:sz w:val="20"/>
                <w:szCs w:val="20"/>
              </w:rPr>
              <w:br/>
              <w:t>Yes</w:t>
            </w:r>
          </w:p>
        </w:tc>
        <w:tc>
          <w:tcPr>
            <w:tcW w:w="4375" w:type="dxa"/>
          </w:tcPr>
          <w:p w14:paraId="76CE9AA7"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Women who continued to smoke at the time of the15 week visit.</w:t>
            </w:r>
          </w:p>
        </w:tc>
        <w:tc>
          <w:tcPr>
            <w:tcW w:w="938" w:type="dxa"/>
          </w:tcPr>
          <w:p w14:paraId="6F0FF618"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Nil</w:t>
            </w:r>
          </w:p>
        </w:tc>
        <w:tc>
          <w:tcPr>
            <w:tcW w:w="1218" w:type="dxa"/>
          </w:tcPr>
          <w:p w14:paraId="5260F99E" w14:textId="77777777" w:rsidR="00F7413D" w:rsidRPr="008E28E6" w:rsidRDefault="00F7413D" w:rsidP="00F7413D">
            <w:pPr>
              <w:rPr>
                <w:rFonts w:ascii="Times New Roman" w:hAnsi="Times New Roman" w:cs="Times New Roman"/>
                <w:sz w:val="20"/>
                <w:szCs w:val="20"/>
              </w:rPr>
            </w:pPr>
          </w:p>
        </w:tc>
        <w:tc>
          <w:tcPr>
            <w:tcW w:w="981" w:type="dxa"/>
          </w:tcPr>
          <w:p w14:paraId="6D5508D3"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4"/>
                <w:szCs w:val="24"/>
              </w:rPr>
              <w:sym w:font="Wingdings" w:char="F0FC"/>
            </w:r>
          </w:p>
        </w:tc>
        <w:tc>
          <w:tcPr>
            <w:tcW w:w="1418" w:type="dxa"/>
          </w:tcPr>
          <w:p w14:paraId="72406C1A"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4"/>
                <w:szCs w:val="24"/>
              </w:rPr>
              <w:sym w:font="Wingdings" w:char="F0FC"/>
            </w:r>
          </w:p>
        </w:tc>
        <w:tc>
          <w:tcPr>
            <w:tcW w:w="1417" w:type="dxa"/>
          </w:tcPr>
          <w:p w14:paraId="2C801F8D" w14:textId="77777777" w:rsidR="00F7413D" w:rsidRPr="008E28E6" w:rsidRDefault="00F7413D" w:rsidP="00F7413D">
            <w:pPr>
              <w:rPr>
                <w:rFonts w:ascii="Times New Roman" w:hAnsi="Times New Roman" w:cs="Times New Roman"/>
                <w:sz w:val="20"/>
                <w:szCs w:val="20"/>
              </w:rPr>
            </w:pPr>
          </w:p>
        </w:tc>
      </w:tr>
      <w:tr w:rsidR="00F7413D" w:rsidRPr="008E28E6" w14:paraId="63591D54" w14:textId="77777777" w:rsidTr="00F7413D">
        <w:tc>
          <w:tcPr>
            <w:tcW w:w="2518" w:type="dxa"/>
          </w:tcPr>
          <w:p w14:paraId="286FD125"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Alcohol intake at 15±1 weeks</w:t>
            </w:r>
          </w:p>
        </w:tc>
        <w:tc>
          <w:tcPr>
            <w:tcW w:w="1418" w:type="dxa"/>
          </w:tcPr>
          <w:p w14:paraId="64B7380E"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1: No alcohol in pregnancy</w:t>
            </w:r>
          </w:p>
          <w:p w14:paraId="63EE5317"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2: Quit alcohol prior to 15 weeks</w:t>
            </w:r>
          </w:p>
          <w:p w14:paraId="48F689AC"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3: Continuing to drink alcohol at 15 weeks</w:t>
            </w:r>
          </w:p>
        </w:tc>
        <w:tc>
          <w:tcPr>
            <w:tcW w:w="4375" w:type="dxa"/>
          </w:tcPr>
          <w:p w14:paraId="350C700A"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Alcohol consumption at 15 weeks included any consumption of alcohol in the week prior to the 15 week visit.</w:t>
            </w:r>
          </w:p>
        </w:tc>
        <w:tc>
          <w:tcPr>
            <w:tcW w:w="938" w:type="dxa"/>
          </w:tcPr>
          <w:p w14:paraId="39330055"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rPr>
              <w:t>Nil</w:t>
            </w:r>
          </w:p>
        </w:tc>
        <w:tc>
          <w:tcPr>
            <w:tcW w:w="1218" w:type="dxa"/>
          </w:tcPr>
          <w:p w14:paraId="74A08867" w14:textId="77777777" w:rsidR="00F7413D" w:rsidRPr="008E28E6" w:rsidRDefault="00F7413D" w:rsidP="00F7413D">
            <w:pPr>
              <w:rPr>
                <w:rFonts w:ascii="Times New Roman" w:hAnsi="Times New Roman" w:cs="Times New Roman"/>
                <w:sz w:val="20"/>
                <w:szCs w:val="20"/>
              </w:rPr>
            </w:pPr>
          </w:p>
        </w:tc>
        <w:tc>
          <w:tcPr>
            <w:tcW w:w="981" w:type="dxa"/>
          </w:tcPr>
          <w:p w14:paraId="4D9DDB37" w14:textId="77777777" w:rsidR="00F7413D" w:rsidRPr="008E28E6" w:rsidRDefault="00F7413D" w:rsidP="00F7413D">
            <w:pPr>
              <w:rPr>
                <w:rFonts w:ascii="Times New Roman" w:hAnsi="Times New Roman" w:cs="Times New Roman"/>
                <w:sz w:val="20"/>
                <w:szCs w:val="20"/>
              </w:rPr>
            </w:pPr>
          </w:p>
        </w:tc>
        <w:tc>
          <w:tcPr>
            <w:tcW w:w="1418" w:type="dxa"/>
          </w:tcPr>
          <w:p w14:paraId="3BEFBA4D"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4"/>
                <w:szCs w:val="24"/>
              </w:rPr>
              <w:sym w:font="Wingdings" w:char="F0FC"/>
            </w:r>
          </w:p>
        </w:tc>
        <w:tc>
          <w:tcPr>
            <w:tcW w:w="1417" w:type="dxa"/>
          </w:tcPr>
          <w:p w14:paraId="76CAF655" w14:textId="77777777" w:rsidR="00F7413D" w:rsidRPr="008E28E6" w:rsidRDefault="00F7413D" w:rsidP="00F7413D">
            <w:pPr>
              <w:rPr>
                <w:rFonts w:ascii="Times New Roman" w:hAnsi="Times New Roman" w:cs="Times New Roman"/>
                <w:sz w:val="20"/>
                <w:szCs w:val="20"/>
              </w:rPr>
            </w:pPr>
          </w:p>
        </w:tc>
      </w:tr>
      <w:tr w:rsidR="00F7413D" w:rsidRPr="008E28E6" w14:paraId="0B7AE1FE" w14:textId="77777777" w:rsidTr="00F7413D">
        <w:tc>
          <w:tcPr>
            <w:tcW w:w="2518" w:type="dxa"/>
          </w:tcPr>
          <w:p w14:paraId="6CC7027E"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Binge Alcohol in pregnancy</w:t>
            </w:r>
          </w:p>
        </w:tc>
        <w:tc>
          <w:tcPr>
            <w:tcW w:w="1418" w:type="dxa"/>
          </w:tcPr>
          <w:p w14:paraId="29B799F4"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No</w:t>
            </w:r>
            <w:r w:rsidRPr="008E28E6">
              <w:rPr>
                <w:rFonts w:ascii="Times New Roman" w:hAnsi="Times New Roman" w:cs="Times New Roman"/>
                <w:sz w:val="20"/>
                <w:szCs w:val="20"/>
              </w:rPr>
              <w:br/>
              <w:t>Yes</w:t>
            </w:r>
          </w:p>
        </w:tc>
        <w:tc>
          <w:tcPr>
            <w:tcW w:w="4375" w:type="dxa"/>
          </w:tcPr>
          <w:p w14:paraId="0399FAFD"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 xml:space="preserve">Any binge alcohol consumed in pregnancy up to the time of the 15±1 weeks. Binge defined as the consumption of  </w:t>
            </w:r>
            <w:r w:rsidRPr="008E28E6">
              <w:rPr>
                <w:rFonts w:ascii="Times New Roman" w:hAnsi="Times New Roman" w:cs="Times New Roman"/>
                <w:sz w:val="20"/>
                <w:szCs w:val="20"/>
                <w:u w:val="single"/>
              </w:rPr>
              <w:t>&gt;</w:t>
            </w:r>
            <w:r w:rsidRPr="008E28E6">
              <w:rPr>
                <w:rFonts w:ascii="Times New Roman" w:hAnsi="Times New Roman" w:cs="Times New Roman"/>
                <w:sz w:val="20"/>
                <w:szCs w:val="20"/>
              </w:rPr>
              <w:t xml:space="preserve"> 6 units of alcohol at one time point.</w:t>
            </w:r>
          </w:p>
        </w:tc>
        <w:tc>
          <w:tcPr>
            <w:tcW w:w="938" w:type="dxa"/>
          </w:tcPr>
          <w:p w14:paraId="453E6B1D"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Nil</w:t>
            </w:r>
          </w:p>
        </w:tc>
        <w:tc>
          <w:tcPr>
            <w:tcW w:w="1218" w:type="dxa"/>
          </w:tcPr>
          <w:p w14:paraId="06A02203" w14:textId="77777777" w:rsidR="00F7413D" w:rsidRPr="008E28E6" w:rsidRDefault="00F7413D" w:rsidP="00F7413D">
            <w:pPr>
              <w:rPr>
                <w:rFonts w:ascii="Times New Roman" w:hAnsi="Times New Roman" w:cs="Times New Roman"/>
                <w:sz w:val="20"/>
                <w:szCs w:val="20"/>
              </w:rPr>
            </w:pPr>
          </w:p>
        </w:tc>
        <w:tc>
          <w:tcPr>
            <w:tcW w:w="981" w:type="dxa"/>
          </w:tcPr>
          <w:p w14:paraId="484584D6"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4"/>
                <w:szCs w:val="24"/>
              </w:rPr>
              <w:sym w:font="Wingdings" w:char="F0FC"/>
            </w:r>
          </w:p>
        </w:tc>
        <w:tc>
          <w:tcPr>
            <w:tcW w:w="1418" w:type="dxa"/>
          </w:tcPr>
          <w:p w14:paraId="2E05E4FA" w14:textId="77777777" w:rsidR="00F7413D" w:rsidRPr="008E28E6" w:rsidRDefault="00F7413D" w:rsidP="00F7413D">
            <w:pPr>
              <w:rPr>
                <w:rFonts w:ascii="Times New Roman" w:hAnsi="Times New Roman" w:cs="Times New Roman"/>
                <w:sz w:val="20"/>
                <w:szCs w:val="20"/>
              </w:rPr>
            </w:pPr>
          </w:p>
        </w:tc>
        <w:tc>
          <w:tcPr>
            <w:tcW w:w="1417" w:type="dxa"/>
          </w:tcPr>
          <w:p w14:paraId="332E1F7E"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sym w:font="Wingdings" w:char="F0FC"/>
            </w:r>
          </w:p>
        </w:tc>
      </w:tr>
      <w:tr w:rsidR="00F7413D" w:rsidRPr="008E28E6" w14:paraId="33CAE94D" w14:textId="77777777" w:rsidTr="00F7413D">
        <w:tc>
          <w:tcPr>
            <w:tcW w:w="2518" w:type="dxa"/>
          </w:tcPr>
          <w:p w14:paraId="043C901D"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Other drug use at 15±1 weeks</w:t>
            </w:r>
          </w:p>
        </w:tc>
        <w:tc>
          <w:tcPr>
            <w:tcW w:w="1418" w:type="dxa"/>
          </w:tcPr>
          <w:p w14:paraId="22715CEA"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No</w:t>
            </w:r>
            <w:r w:rsidRPr="008E28E6">
              <w:rPr>
                <w:rFonts w:ascii="Times New Roman" w:hAnsi="Times New Roman" w:cs="Times New Roman"/>
                <w:sz w:val="20"/>
                <w:szCs w:val="20"/>
              </w:rPr>
              <w:br/>
              <w:t>Yes</w:t>
            </w:r>
          </w:p>
        </w:tc>
        <w:tc>
          <w:tcPr>
            <w:tcW w:w="4375" w:type="dxa"/>
          </w:tcPr>
          <w:p w14:paraId="72062F35"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Consumed/inhaled/injected recreational drugs other than cigarettes and alcohol. Included binge drinking.</w:t>
            </w:r>
          </w:p>
        </w:tc>
        <w:tc>
          <w:tcPr>
            <w:tcW w:w="938" w:type="dxa"/>
          </w:tcPr>
          <w:p w14:paraId="724DF8EA"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Nil</w:t>
            </w:r>
          </w:p>
        </w:tc>
        <w:tc>
          <w:tcPr>
            <w:tcW w:w="1218" w:type="dxa"/>
          </w:tcPr>
          <w:p w14:paraId="3453222B" w14:textId="77777777" w:rsidR="00F7413D" w:rsidRPr="008E28E6" w:rsidRDefault="00F7413D" w:rsidP="00F7413D">
            <w:pPr>
              <w:rPr>
                <w:rFonts w:ascii="Times New Roman" w:hAnsi="Times New Roman" w:cs="Times New Roman"/>
                <w:sz w:val="20"/>
                <w:szCs w:val="20"/>
              </w:rPr>
            </w:pPr>
          </w:p>
        </w:tc>
        <w:tc>
          <w:tcPr>
            <w:tcW w:w="981" w:type="dxa"/>
          </w:tcPr>
          <w:p w14:paraId="74529A85"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4"/>
                <w:szCs w:val="24"/>
              </w:rPr>
              <w:sym w:font="Wingdings" w:char="F0FC"/>
            </w:r>
          </w:p>
        </w:tc>
        <w:tc>
          <w:tcPr>
            <w:tcW w:w="1418" w:type="dxa"/>
          </w:tcPr>
          <w:p w14:paraId="1FFEC46C"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4"/>
                <w:szCs w:val="24"/>
              </w:rPr>
              <w:sym w:font="Wingdings" w:char="F0FC"/>
            </w:r>
          </w:p>
        </w:tc>
        <w:tc>
          <w:tcPr>
            <w:tcW w:w="1417" w:type="dxa"/>
          </w:tcPr>
          <w:p w14:paraId="0BC2307D" w14:textId="77777777" w:rsidR="00F7413D" w:rsidRPr="008E28E6" w:rsidRDefault="00F7413D" w:rsidP="00F7413D">
            <w:pPr>
              <w:rPr>
                <w:rFonts w:ascii="Times New Roman" w:hAnsi="Times New Roman" w:cs="Times New Roman"/>
                <w:sz w:val="20"/>
                <w:szCs w:val="20"/>
              </w:rPr>
            </w:pPr>
          </w:p>
        </w:tc>
      </w:tr>
      <w:tr w:rsidR="00F7413D" w:rsidRPr="008E28E6" w14:paraId="21E0089C" w14:textId="77777777" w:rsidTr="00F7413D">
        <w:tc>
          <w:tcPr>
            <w:tcW w:w="2518" w:type="dxa"/>
          </w:tcPr>
          <w:p w14:paraId="0A650A2A"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Systolic blood pressure at 15±1 weeks</w:t>
            </w:r>
          </w:p>
        </w:tc>
        <w:tc>
          <w:tcPr>
            <w:tcW w:w="1418" w:type="dxa"/>
          </w:tcPr>
          <w:p w14:paraId="6143A2E8"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 xml:space="preserve">1: &lt; 120 </w:t>
            </w:r>
          </w:p>
          <w:p w14:paraId="7ACD7A37" w14:textId="77777777" w:rsidR="00F7413D" w:rsidRPr="008E28E6" w:rsidRDefault="00F7413D" w:rsidP="00F7413D">
            <w:pPr>
              <w:rPr>
                <w:rFonts w:ascii="Times New Roman" w:hAnsi="Times New Roman" w:cs="Times New Roman"/>
                <w:sz w:val="20"/>
                <w:szCs w:val="20"/>
                <w:highlight w:val="yellow"/>
              </w:rPr>
            </w:pPr>
            <w:r w:rsidRPr="008E28E6">
              <w:rPr>
                <w:rFonts w:ascii="Times New Roman" w:hAnsi="Times New Roman" w:cs="Times New Roman"/>
                <w:sz w:val="20"/>
                <w:szCs w:val="20"/>
              </w:rPr>
              <w:t xml:space="preserve">2: </w:t>
            </w:r>
            <w:r w:rsidRPr="008E28E6">
              <w:rPr>
                <w:rFonts w:ascii="Times New Roman" w:hAnsi="Times New Roman" w:cs="Times New Roman"/>
                <w:sz w:val="20"/>
                <w:szCs w:val="20"/>
                <w:u w:val="single"/>
              </w:rPr>
              <w:t>&gt;</w:t>
            </w:r>
            <w:r w:rsidRPr="008E28E6">
              <w:rPr>
                <w:rFonts w:ascii="Times New Roman" w:hAnsi="Times New Roman" w:cs="Times New Roman"/>
                <w:sz w:val="20"/>
                <w:szCs w:val="20"/>
              </w:rPr>
              <w:t>120</w:t>
            </w:r>
            <w:r w:rsidRPr="008E28E6">
              <w:rPr>
                <w:rFonts w:ascii="Times New Roman" w:hAnsi="Times New Roman" w:cs="Times New Roman"/>
                <w:sz w:val="20"/>
                <w:szCs w:val="20"/>
                <w:highlight w:val="yellow"/>
              </w:rPr>
              <w:br/>
            </w:r>
          </w:p>
        </w:tc>
        <w:tc>
          <w:tcPr>
            <w:tcW w:w="4375" w:type="dxa"/>
          </w:tcPr>
          <w:p w14:paraId="37D68B50"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 xml:space="preserve">Second measurement of systolic blood pressure. GAMs in SAS was used to determine the shape of the relationship with SGA as opposed to assuming a linear relationship and 2 categories were then created. </w:t>
            </w:r>
          </w:p>
        </w:tc>
        <w:tc>
          <w:tcPr>
            <w:tcW w:w="938" w:type="dxa"/>
          </w:tcPr>
          <w:p w14:paraId="3CAB554D"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Nil</w:t>
            </w:r>
          </w:p>
        </w:tc>
        <w:tc>
          <w:tcPr>
            <w:tcW w:w="1218" w:type="dxa"/>
          </w:tcPr>
          <w:p w14:paraId="13F451A1" w14:textId="77777777" w:rsidR="00F7413D" w:rsidRPr="008E28E6" w:rsidRDefault="00F7413D" w:rsidP="00F7413D">
            <w:pPr>
              <w:rPr>
                <w:rFonts w:ascii="Times New Roman" w:hAnsi="Times New Roman" w:cs="Times New Roman"/>
                <w:sz w:val="20"/>
                <w:szCs w:val="20"/>
              </w:rPr>
            </w:pPr>
          </w:p>
        </w:tc>
        <w:tc>
          <w:tcPr>
            <w:tcW w:w="981" w:type="dxa"/>
          </w:tcPr>
          <w:p w14:paraId="1EEC3B1F"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4"/>
                <w:szCs w:val="24"/>
              </w:rPr>
              <w:sym w:font="Wingdings" w:char="F0FC"/>
            </w:r>
          </w:p>
        </w:tc>
        <w:tc>
          <w:tcPr>
            <w:tcW w:w="1418" w:type="dxa"/>
          </w:tcPr>
          <w:p w14:paraId="67A4DF7D" w14:textId="77777777" w:rsidR="00F7413D" w:rsidRPr="008E28E6" w:rsidRDefault="00F7413D" w:rsidP="00F7413D">
            <w:pPr>
              <w:rPr>
                <w:rFonts w:ascii="Times New Roman" w:hAnsi="Times New Roman" w:cs="Times New Roman"/>
                <w:sz w:val="20"/>
                <w:szCs w:val="20"/>
              </w:rPr>
            </w:pPr>
          </w:p>
        </w:tc>
        <w:tc>
          <w:tcPr>
            <w:tcW w:w="1417" w:type="dxa"/>
          </w:tcPr>
          <w:p w14:paraId="3B1EA656"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sym w:font="Wingdings" w:char="F0FC"/>
            </w:r>
          </w:p>
        </w:tc>
      </w:tr>
      <w:tr w:rsidR="00F7413D" w:rsidRPr="008E28E6" w14:paraId="7C8A038F" w14:textId="77777777" w:rsidTr="00F7413D">
        <w:tc>
          <w:tcPr>
            <w:tcW w:w="2518" w:type="dxa"/>
          </w:tcPr>
          <w:p w14:paraId="2AB71A92"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Diastolic blood pressure at 15±1 weeks</w:t>
            </w:r>
          </w:p>
        </w:tc>
        <w:tc>
          <w:tcPr>
            <w:tcW w:w="1418" w:type="dxa"/>
          </w:tcPr>
          <w:p w14:paraId="4D831AF8"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1: &lt; 80</w:t>
            </w:r>
          </w:p>
          <w:p w14:paraId="39AE8452" w14:textId="77777777" w:rsidR="00F7413D" w:rsidRPr="008E28E6" w:rsidRDefault="00F7413D" w:rsidP="00F7413D">
            <w:pPr>
              <w:rPr>
                <w:rFonts w:ascii="Times New Roman" w:hAnsi="Times New Roman" w:cs="Times New Roman"/>
                <w:sz w:val="20"/>
                <w:szCs w:val="20"/>
                <w:highlight w:val="yellow"/>
              </w:rPr>
            </w:pPr>
            <w:r w:rsidRPr="008E28E6">
              <w:rPr>
                <w:rFonts w:ascii="Times New Roman" w:hAnsi="Times New Roman" w:cs="Times New Roman"/>
                <w:sz w:val="20"/>
                <w:szCs w:val="20"/>
              </w:rPr>
              <w:t xml:space="preserve">2: </w:t>
            </w:r>
            <w:r w:rsidRPr="008E28E6">
              <w:rPr>
                <w:rFonts w:ascii="Times New Roman" w:hAnsi="Times New Roman" w:cs="Times New Roman"/>
                <w:sz w:val="20"/>
                <w:szCs w:val="20"/>
                <w:u w:val="single"/>
              </w:rPr>
              <w:t>&gt;</w:t>
            </w:r>
            <w:r w:rsidRPr="008E28E6">
              <w:rPr>
                <w:rFonts w:ascii="Times New Roman" w:hAnsi="Times New Roman" w:cs="Times New Roman"/>
                <w:sz w:val="20"/>
                <w:szCs w:val="20"/>
              </w:rPr>
              <w:t>80</w:t>
            </w:r>
            <w:r w:rsidRPr="008E28E6">
              <w:rPr>
                <w:rFonts w:ascii="Times New Roman" w:hAnsi="Times New Roman" w:cs="Times New Roman"/>
                <w:sz w:val="20"/>
                <w:szCs w:val="20"/>
                <w:highlight w:val="yellow"/>
              </w:rPr>
              <w:br/>
            </w:r>
          </w:p>
        </w:tc>
        <w:tc>
          <w:tcPr>
            <w:tcW w:w="4375" w:type="dxa"/>
          </w:tcPr>
          <w:p w14:paraId="77170AAA"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Second measurement of diastolic blood pressure. GAMs in SAS was used to determine the shape of the relationship with SGA as opposed to assuming a linear relationship and 2 categories were then created.</w:t>
            </w:r>
          </w:p>
        </w:tc>
        <w:tc>
          <w:tcPr>
            <w:tcW w:w="938" w:type="dxa"/>
          </w:tcPr>
          <w:p w14:paraId="4A010389"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Nil</w:t>
            </w:r>
          </w:p>
        </w:tc>
        <w:tc>
          <w:tcPr>
            <w:tcW w:w="1218" w:type="dxa"/>
          </w:tcPr>
          <w:p w14:paraId="23F16847" w14:textId="77777777" w:rsidR="00F7413D" w:rsidRPr="008E28E6" w:rsidRDefault="00F7413D" w:rsidP="00F7413D">
            <w:pPr>
              <w:rPr>
                <w:rFonts w:ascii="Times New Roman" w:hAnsi="Times New Roman" w:cs="Times New Roman"/>
                <w:sz w:val="20"/>
                <w:szCs w:val="20"/>
              </w:rPr>
            </w:pPr>
          </w:p>
        </w:tc>
        <w:tc>
          <w:tcPr>
            <w:tcW w:w="981" w:type="dxa"/>
          </w:tcPr>
          <w:p w14:paraId="7F3A2689"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4"/>
                <w:szCs w:val="24"/>
              </w:rPr>
              <w:sym w:font="Wingdings" w:char="F0FC"/>
            </w:r>
          </w:p>
        </w:tc>
        <w:tc>
          <w:tcPr>
            <w:tcW w:w="1418" w:type="dxa"/>
          </w:tcPr>
          <w:p w14:paraId="74E53F31" w14:textId="77777777" w:rsidR="00F7413D" w:rsidRPr="008E28E6" w:rsidRDefault="00F7413D" w:rsidP="00F7413D">
            <w:pPr>
              <w:rPr>
                <w:rFonts w:ascii="Times New Roman" w:hAnsi="Times New Roman" w:cs="Times New Roman"/>
                <w:sz w:val="20"/>
                <w:szCs w:val="20"/>
              </w:rPr>
            </w:pPr>
          </w:p>
        </w:tc>
        <w:tc>
          <w:tcPr>
            <w:tcW w:w="1417" w:type="dxa"/>
          </w:tcPr>
          <w:p w14:paraId="19B62A86"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sym w:font="Wingdings" w:char="F0FC"/>
            </w:r>
          </w:p>
        </w:tc>
      </w:tr>
      <w:tr w:rsidR="00F7413D" w:rsidRPr="008E28E6" w14:paraId="07B0FFC2" w14:textId="77777777" w:rsidTr="00F7413D">
        <w:tc>
          <w:tcPr>
            <w:tcW w:w="2518" w:type="dxa"/>
          </w:tcPr>
          <w:p w14:paraId="55B77D95"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Body mass index (BMI) at 15±1 weeks</w:t>
            </w:r>
          </w:p>
        </w:tc>
        <w:tc>
          <w:tcPr>
            <w:tcW w:w="1418" w:type="dxa"/>
          </w:tcPr>
          <w:p w14:paraId="7B59A80C"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1: &lt;20</w:t>
            </w:r>
          </w:p>
          <w:p w14:paraId="3990DC48"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2: 20-24.9</w:t>
            </w:r>
          </w:p>
          <w:p w14:paraId="055F7CD1"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3: 25-29.9</w:t>
            </w:r>
          </w:p>
          <w:p w14:paraId="3B441C6B"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4: &gt;30</w:t>
            </w:r>
          </w:p>
        </w:tc>
        <w:tc>
          <w:tcPr>
            <w:tcW w:w="4375" w:type="dxa"/>
          </w:tcPr>
          <w:p w14:paraId="3F02FB14"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weight (kg) / height</w:t>
            </w:r>
            <w:r w:rsidRPr="008E28E6">
              <w:rPr>
                <w:rFonts w:ascii="Times New Roman" w:hAnsi="Times New Roman" w:cs="Times New Roman"/>
                <w:sz w:val="20"/>
                <w:szCs w:val="20"/>
                <w:vertAlign w:val="superscript"/>
              </w:rPr>
              <w:t>2</w:t>
            </w:r>
            <w:r w:rsidRPr="008E28E6">
              <w:rPr>
                <w:rFonts w:ascii="Times New Roman" w:hAnsi="Times New Roman" w:cs="Times New Roman"/>
                <w:sz w:val="20"/>
                <w:szCs w:val="20"/>
              </w:rPr>
              <w:t xml:space="preserve"> (m). GAMs in SAS was used to determine the shape of the relationship with SGA as opposed to assuming a linear relationship and 4 categories were then created.</w:t>
            </w:r>
          </w:p>
        </w:tc>
        <w:tc>
          <w:tcPr>
            <w:tcW w:w="938" w:type="dxa"/>
          </w:tcPr>
          <w:p w14:paraId="70670FAB"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Nil</w:t>
            </w:r>
          </w:p>
        </w:tc>
        <w:tc>
          <w:tcPr>
            <w:tcW w:w="1218" w:type="dxa"/>
          </w:tcPr>
          <w:p w14:paraId="3CD1186B" w14:textId="77777777" w:rsidR="00F7413D" w:rsidRPr="008E28E6" w:rsidRDefault="00F7413D" w:rsidP="00F7413D">
            <w:pPr>
              <w:rPr>
                <w:rFonts w:ascii="Times New Roman" w:hAnsi="Times New Roman" w:cs="Times New Roman"/>
                <w:sz w:val="20"/>
                <w:szCs w:val="20"/>
              </w:rPr>
            </w:pPr>
          </w:p>
        </w:tc>
        <w:tc>
          <w:tcPr>
            <w:tcW w:w="981" w:type="dxa"/>
          </w:tcPr>
          <w:p w14:paraId="3CA2A01B"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4"/>
                <w:szCs w:val="24"/>
              </w:rPr>
              <w:sym w:font="Wingdings" w:char="F0FC"/>
            </w:r>
          </w:p>
        </w:tc>
        <w:tc>
          <w:tcPr>
            <w:tcW w:w="1418" w:type="dxa"/>
          </w:tcPr>
          <w:p w14:paraId="45E5007A"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4"/>
                <w:szCs w:val="24"/>
              </w:rPr>
              <w:sym w:font="Wingdings" w:char="F0FC"/>
            </w:r>
          </w:p>
        </w:tc>
        <w:tc>
          <w:tcPr>
            <w:tcW w:w="1417" w:type="dxa"/>
          </w:tcPr>
          <w:p w14:paraId="7D502BE6"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sym w:font="Wingdings" w:char="F0FC"/>
            </w:r>
          </w:p>
        </w:tc>
      </w:tr>
      <w:tr w:rsidR="00F7413D" w:rsidRPr="008E28E6" w14:paraId="5214A9ED" w14:textId="77777777" w:rsidTr="00F7413D">
        <w:tc>
          <w:tcPr>
            <w:tcW w:w="2518" w:type="dxa"/>
          </w:tcPr>
          <w:p w14:paraId="2C5069DA"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Head circumference at 15±1 weeks</w:t>
            </w:r>
          </w:p>
        </w:tc>
        <w:tc>
          <w:tcPr>
            <w:tcW w:w="1418" w:type="dxa"/>
          </w:tcPr>
          <w:p w14:paraId="23F9A8C3"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1: &lt; 80</w:t>
            </w:r>
          </w:p>
          <w:p w14:paraId="3BCC0F24"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 xml:space="preserve">2: </w:t>
            </w:r>
            <w:r w:rsidRPr="008E28E6">
              <w:rPr>
                <w:rFonts w:ascii="Times New Roman" w:hAnsi="Times New Roman" w:cs="Times New Roman"/>
                <w:sz w:val="20"/>
                <w:szCs w:val="20"/>
                <w:u w:val="single"/>
              </w:rPr>
              <w:t>&gt;</w:t>
            </w:r>
            <w:r w:rsidRPr="008E28E6">
              <w:rPr>
                <w:rFonts w:ascii="Times New Roman" w:hAnsi="Times New Roman" w:cs="Times New Roman"/>
                <w:sz w:val="20"/>
                <w:szCs w:val="20"/>
              </w:rPr>
              <w:t>80</w:t>
            </w:r>
          </w:p>
        </w:tc>
        <w:tc>
          <w:tcPr>
            <w:tcW w:w="4375" w:type="dxa"/>
          </w:tcPr>
          <w:p w14:paraId="1E6DAACD" w14:textId="77777777" w:rsidR="00F7413D" w:rsidRPr="008E28E6" w:rsidRDefault="00F7413D" w:rsidP="00F7413D">
            <w:pPr>
              <w:pStyle w:val="BodyText"/>
              <w:spacing w:before="0" w:after="0"/>
              <w:rPr>
                <w:rFonts w:ascii="Times New Roman" w:hAnsi="Times New Roman" w:cs="Times New Roman"/>
              </w:rPr>
            </w:pPr>
            <w:r w:rsidRPr="008E28E6">
              <w:rPr>
                <w:rFonts w:ascii="Times New Roman" w:hAnsi="Times New Roman" w:cs="Times New Roman"/>
              </w:rPr>
              <w:t>Maternal head circumference measured, in centimetres, GAMs in SAS was used to determine the shape of the relationship with SGA as opposed to assuming a linear relationship and 2 categories were then created. Imputed with expectation maximum likelihood estimation (EM).</w:t>
            </w:r>
          </w:p>
        </w:tc>
        <w:tc>
          <w:tcPr>
            <w:tcW w:w="938" w:type="dxa"/>
          </w:tcPr>
          <w:p w14:paraId="703E4254" w14:textId="77777777" w:rsidR="00F7413D" w:rsidRPr="008E28E6" w:rsidRDefault="00F7413D" w:rsidP="00F7413D">
            <w:pPr>
              <w:pStyle w:val="BodyText"/>
              <w:spacing w:before="0" w:after="0"/>
              <w:rPr>
                <w:rFonts w:ascii="Times New Roman" w:hAnsi="Times New Roman" w:cs="Times New Roman"/>
              </w:rPr>
            </w:pPr>
            <w:r w:rsidRPr="008E28E6">
              <w:rPr>
                <w:rFonts w:ascii="Times New Roman" w:hAnsi="Times New Roman" w:cs="Times New Roman"/>
              </w:rPr>
              <w:t>0.2%</w:t>
            </w:r>
          </w:p>
        </w:tc>
        <w:tc>
          <w:tcPr>
            <w:tcW w:w="1218" w:type="dxa"/>
          </w:tcPr>
          <w:p w14:paraId="1F8371C6" w14:textId="77777777" w:rsidR="00F7413D" w:rsidRPr="008E28E6" w:rsidRDefault="00F7413D" w:rsidP="00F7413D">
            <w:pPr>
              <w:pStyle w:val="BodyText"/>
              <w:spacing w:before="0" w:after="0"/>
              <w:rPr>
                <w:rFonts w:ascii="Times New Roman" w:hAnsi="Times New Roman" w:cs="Times New Roman"/>
              </w:rPr>
            </w:pPr>
            <w:r w:rsidRPr="008E28E6">
              <w:rPr>
                <w:rFonts w:ascii="Times New Roman" w:hAnsi="Times New Roman" w:cs="Times New Roman"/>
              </w:rPr>
              <w:t>EM</w:t>
            </w:r>
          </w:p>
        </w:tc>
        <w:tc>
          <w:tcPr>
            <w:tcW w:w="981" w:type="dxa"/>
          </w:tcPr>
          <w:p w14:paraId="10B08A15" w14:textId="77777777" w:rsidR="00F7413D" w:rsidRPr="008E28E6" w:rsidRDefault="00F7413D" w:rsidP="00F7413D">
            <w:pPr>
              <w:pStyle w:val="BodyText"/>
              <w:spacing w:before="0" w:after="0"/>
              <w:rPr>
                <w:rFonts w:ascii="Times New Roman" w:hAnsi="Times New Roman" w:cs="Times New Roman"/>
              </w:rPr>
            </w:pPr>
            <w:r w:rsidRPr="008E28E6">
              <w:rPr>
                <w:rFonts w:ascii="Times New Roman" w:hAnsi="Times New Roman" w:cs="Times New Roman"/>
                <w:sz w:val="24"/>
                <w:szCs w:val="24"/>
              </w:rPr>
              <w:sym w:font="Wingdings" w:char="F0FC"/>
            </w:r>
          </w:p>
        </w:tc>
        <w:tc>
          <w:tcPr>
            <w:tcW w:w="1418" w:type="dxa"/>
          </w:tcPr>
          <w:p w14:paraId="5FADF03D" w14:textId="77777777" w:rsidR="00F7413D" w:rsidRPr="008E28E6" w:rsidRDefault="00F7413D" w:rsidP="00F7413D">
            <w:pPr>
              <w:pStyle w:val="BodyText"/>
              <w:spacing w:before="0" w:after="0"/>
              <w:rPr>
                <w:rFonts w:ascii="Times New Roman" w:hAnsi="Times New Roman" w:cs="Times New Roman"/>
              </w:rPr>
            </w:pPr>
            <w:r w:rsidRPr="008E28E6">
              <w:rPr>
                <w:rFonts w:ascii="Times New Roman" w:hAnsi="Times New Roman" w:cs="Times New Roman"/>
                <w:sz w:val="24"/>
                <w:szCs w:val="24"/>
              </w:rPr>
              <w:sym w:font="Wingdings" w:char="F0FC"/>
            </w:r>
          </w:p>
        </w:tc>
        <w:tc>
          <w:tcPr>
            <w:tcW w:w="1417" w:type="dxa"/>
            <w:shd w:val="clear" w:color="auto" w:fill="auto"/>
          </w:tcPr>
          <w:p w14:paraId="2EE63F3C" w14:textId="77777777" w:rsidR="00F7413D" w:rsidRPr="008E28E6" w:rsidRDefault="00F7413D" w:rsidP="00F7413D">
            <w:pPr>
              <w:pStyle w:val="BodyText"/>
              <w:spacing w:before="0" w:after="0"/>
              <w:rPr>
                <w:rFonts w:ascii="Times New Roman" w:hAnsi="Times New Roman" w:cs="Times New Roman"/>
              </w:rPr>
            </w:pPr>
          </w:p>
        </w:tc>
      </w:tr>
      <w:tr w:rsidR="00F7413D" w:rsidRPr="008E28E6" w14:paraId="5D67E377" w14:textId="77777777" w:rsidTr="00F7413D">
        <w:tc>
          <w:tcPr>
            <w:tcW w:w="2518" w:type="dxa"/>
          </w:tcPr>
          <w:p w14:paraId="7DC7CDB9"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Random glucose at 15±1 weeks</w:t>
            </w:r>
          </w:p>
        </w:tc>
        <w:tc>
          <w:tcPr>
            <w:tcW w:w="1418" w:type="dxa"/>
          </w:tcPr>
          <w:p w14:paraId="752C303C"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Continuous</w:t>
            </w:r>
            <w:r w:rsidRPr="008E28E6">
              <w:rPr>
                <w:rFonts w:ascii="Times New Roman" w:hAnsi="Times New Roman" w:cs="Times New Roman"/>
                <w:sz w:val="20"/>
                <w:szCs w:val="20"/>
              </w:rPr>
              <w:br/>
            </w:r>
          </w:p>
        </w:tc>
        <w:tc>
          <w:tcPr>
            <w:tcW w:w="4375" w:type="dxa"/>
          </w:tcPr>
          <w:p w14:paraId="3B435BB8"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mmol/L; imputed with expectation maximum likelihood estimation (EM)..</w:t>
            </w:r>
          </w:p>
        </w:tc>
        <w:tc>
          <w:tcPr>
            <w:tcW w:w="938" w:type="dxa"/>
          </w:tcPr>
          <w:p w14:paraId="2222674E"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1.3%</w:t>
            </w:r>
          </w:p>
        </w:tc>
        <w:tc>
          <w:tcPr>
            <w:tcW w:w="1218" w:type="dxa"/>
          </w:tcPr>
          <w:p w14:paraId="1CE1DD6D"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EM</w:t>
            </w:r>
          </w:p>
        </w:tc>
        <w:tc>
          <w:tcPr>
            <w:tcW w:w="981" w:type="dxa"/>
          </w:tcPr>
          <w:p w14:paraId="1FF85A05"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4"/>
                <w:szCs w:val="24"/>
              </w:rPr>
              <w:sym w:font="Wingdings" w:char="F0FC"/>
            </w:r>
          </w:p>
        </w:tc>
        <w:tc>
          <w:tcPr>
            <w:tcW w:w="1418" w:type="dxa"/>
          </w:tcPr>
          <w:p w14:paraId="15A226DE"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4"/>
                <w:szCs w:val="24"/>
              </w:rPr>
              <w:sym w:font="Wingdings" w:char="F0FC"/>
            </w:r>
          </w:p>
        </w:tc>
        <w:tc>
          <w:tcPr>
            <w:tcW w:w="1417" w:type="dxa"/>
          </w:tcPr>
          <w:p w14:paraId="08B9DD35" w14:textId="77777777" w:rsidR="00F7413D" w:rsidRPr="008E28E6" w:rsidRDefault="00F7413D" w:rsidP="00F7413D">
            <w:pPr>
              <w:rPr>
                <w:rFonts w:ascii="Times New Roman" w:hAnsi="Times New Roman" w:cs="Times New Roman"/>
                <w:sz w:val="20"/>
                <w:szCs w:val="20"/>
              </w:rPr>
            </w:pPr>
          </w:p>
        </w:tc>
      </w:tr>
      <w:tr w:rsidR="00F7413D" w:rsidRPr="008E28E6" w14:paraId="2C79ABB2" w14:textId="77777777" w:rsidTr="00F7413D">
        <w:tc>
          <w:tcPr>
            <w:tcW w:w="2518" w:type="dxa"/>
          </w:tcPr>
          <w:p w14:paraId="758E2252"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Proteinuria at 15±1 weeks</w:t>
            </w:r>
          </w:p>
        </w:tc>
        <w:tc>
          <w:tcPr>
            <w:tcW w:w="1418" w:type="dxa"/>
          </w:tcPr>
          <w:p w14:paraId="68C798AD"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No</w:t>
            </w:r>
            <w:r w:rsidRPr="008E28E6">
              <w:rPr>
                <w:rFonts w:ascii="Times New Roman" w:hAnsi="Times New Roman" w:cs="Times New Roman"/>
                <w:sz w:val="20"/>
                <w:szCs w:val="20"/>
              </w:rPr>
              <w:br/>
              <w:t>Yes</w:t>
            </w:r>
          </w:p>
        </w:tc>
        <w:tc>
          <w:tcPr>
            <w:tcW w:w="4375" w:type="dxa"/>
          </w:tcPr>
          <w:p w14:paraId="4C390C79"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 xml:space="preserve">Defined as 1+ on dipstick  or spot urine protein creatinine ratio (PCR) measurement ≥30 mg/mmol. </w:t>
            </w:r>
          </w:p>
        </w:tc>
        <w:tc>
          <w:tcPr>
            <w:tcW w:w="938" w:type="dxa"/>
          </w:tcPr>
          <w:p w14:paraId="43A05FD0"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0.6%</w:t>
            </w:r>
          </w:p>
        </w:tc>
        <w:tc>
          <w:tcPr>
            <w:tcW w:w="1218" w:type="dxa"/>
          </w:tcPr>
          <w:p w14:paraId="7A8890F1"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Mode dipstick</w:t>
            </w:r>
          </w:p>
          <w:p w14:paraId="642D5A58"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Median PCR</w:t>
            </w:r>
          </w:p>
        </w:tc>
        <w:tc>
          <w:tcPr>
            <w:tcW w:w="981" w:type="dxa"/>
          </w:tcPr>
          <w:p w14:paraId="3AEFD848"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4"/>
                <w:szCs w:val="24"/>
              </w:rPr>
              <w:sym w:font="Wingdings" w:char="F0FC"/>
            </w:r>
          </w:p>
        </w:tc>
        <w:tc>
          <w:tcPr>
            <w:tcW w:w="1418" w:type="dxa"/>
          </w:tcPr>
          <w:p w14:paraId="1E4914BB"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4"/>
                <w:szCs w:val="24"/>
              </w:rPr>
              <w:sym w:font="Wingdings" w:char="F0FC"/>
            </w:r>
          </w:p>
        </w:tc>
        <w:tc>
          <w:tcPr>
            <w:tcW w:w="1417" w:type="dxa"/>
          </w:tcPr>
          <w:p w14:paraId="74AD03DA"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sym w:font="Wingdings" w:char="F0FC"/>
            </w:r>
          </w:p>
        </w:tc>
      </w:tr>
      <w:tr w:rsidR="00F7413D" w:rsidRPr="008E28E6" w14:paraId="1EE47FD0" w14:textId="77777777" w:rsidTr="00F7413D">
        <w:tc>
          <w:tcPr>
            <w:tcW w:w="2518" w:type="dxa"/>
          </w:tcPr>
          <w:p w14:paraId="52BC9BE9"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Recreational walking at 15±1 weeks</w:t>
            </w:r>
          </w:p>
        </w:tc>
        <w:tc>
          <w:tcPr>
            <w:tcW w:w="1418" w:type="dxa"/>
          </w:tcPr>
          <w:p w14:paraId="28B62817"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&lt;4 x /wk</w:t>
            </w:r>
          </w:p>
          <w:p w14:paraId="6F2CCA27"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u w:val="single"/>
              </w:rPr>
              <w:t>&gt;</w:t>
            </w:r>
            <w:r w:rsidRPr="008E28E6">
              <w:rPr>
                <w:rFonts w:ascii="Times New Roman" w:hAnsi="Times New Roman" w:cs="Times New Roman"/>
                <w:sz w:val="20"/>
                <w:szCs w:val="20"/>
              </w:rPr>
              <w:t>4 x /wk</w:t>
            </w:r>
          </w:p>
        </w:tc>
        <w:tc>
          <w:tcPr>
            <w:tcW w:w="4375" w:type="dxa"/>
          </w:tcPr>
          <w:p w14:paraId="2454252B"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Engaged in any walking for recreation or exercise in the last month.</w:t>
            </w:r>
          </w:p>
        </w:tc>
        <w:tc>
          <w:tcPr>
            <w:tcW w:w="938" w:type="dxa"/>
          </w:tcPr>
          <w:p w14:paraId="4B22A4C8"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0.4%</w:t>
            </w:r>
          </w:p>
        </w:tc>
        <w:tc>
          <w:tcPr>
            <w:tcW w:w="1218" w:type="dxa"/>
          </w:tcPr>
          <w:p w14:paraId="0B187569"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Mode</w:t>
            </w:r>
          </w:p>
        </w:tc>
        <w:tc>
          <w:tcPr>
            <w:tcW w:w="981" w:type="dxa"/>
          </w:tcPr>
          <w:p w14:paraId="445CEE13"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4"/>
                <w:szCs w:val="24"/>
              </w:rPr>
              <w:sym w:font="Wingdings" w:char="F0FC"/>
            </w:r>
          </w:p>
        </w:tc>
        <w:tc>
          <w:tcPr>
            <w:tcW w:w="1418" w:type="dxa"/>
          </w:tcPr>
          <w:p w14:paraId="3C2619D5"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4"/>
                <w:szCs w:val="24"/>
              </w:rPr>
              <w:sym w:font="Wingdings" w:char="F0FC"/>
            </w:r>
          </w:p>
        </w:tc>
        <w:tc>
          <w:tcPr>
            <w:tcW w:w="1417" w:type="dxa"/>
          </w:tcPr>
          <w:p w14:paraId="1CB9CC6F" w14:textId="77777777" w:rsidR="00F7413D" w:rsidRPr="008E28E6" w:rsidRDefault="00F7413D" w:rsidP="00F7413D">
            <w:pPr>
              <w:rPr>
                <w:rFonts w:ascii="Times New Roman" w:hAnsi="Times New Roman" w:cs="Times New Roman"/>
                <w:sz w:val="20"/>
                <w:szCs w:val="20"/>
              </w:rPr>
            </w:pPr>
          </w:p>
        </w:tc>
      </w:tr>
      <w:tr w:rsidR="00F7413D" w:rsidRPr="008E28E6" w14:paraId="7EA54AF3" w14:textId="77777777" w:rsidTr="00F7413D">
        <w:tc>
          <w:tcPr>
            <w:tcW w:w="2518" w:type="dxa"/>
          </w:tcPr>
          <w:p w14:paraId="3F081EF6"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Vigorous exercise at 15±1 weeks</w:t>
            </w:r>
          </w:p>
        </w:tc>
        <w:tc>
          <w:tcPr>
            <w:tcW w:w="1418" w:type="dxa"/>
          </w:tcPr>
          <w:p w14:paraId="35989963"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No</w:t>
            </w:r>
            <w:r w:rsidRPr="008E28E6">
              <w:rPr>
                <w:rFonts w:ascii="Times New Roman" w:hAnsi="Times New Roman" w:cs="Times New Roman"/>
                <w:sz w:val="20"/>
                <w:szCs w:val="20"/>
              </w:rPr>
              <w:br/>
              <w:t>Yes</w:t>
            </w:r>
          </w:p>
        </w:tc>
        <w:tc>
          <w:tcPr>
            <w:tcW w:w="4375" w:type="dxa"/>
          </w:tcPr>
          <w:p w14:paraId="3A413286"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iCs/>
                <w:sz w:val="20"/>
                <w:szCs w:val="20"/>
              </w:rPr>
              <w:t>Engaged in any daily exercise leading to heavy breathing or being puffed.</w:t>
            </w:r>
          </w:p>
        </w:tc>
        <w:tc>
          <w:tcPr>
            <w:tcW w:w="938" w:type="dxa"/>
          </w:tcPr>
          <w:p w14:paraId="723C0410"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0.4%</w:t>
            </w:r>
          </w:p>
        </w:tc>
        <w:tc>
          <w:tcPr>
            <w:tcW w:w="1218" w:type="dxa"/>
          </w:tcPr>
          <w:p w14:paraId="0374BB4C"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Mode</w:t>
            </w:r>
          </w:p>
        </w:tc>
        <w:tc>
          <w:tcPr>
            <w:tcW w:w="981" w:type="dxa"/>
          </w:tcPr>
          <w:p w14:paraId="3042123A"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4"/>
                <w:szCs w:val="24"/>
              </w:rPr>
              <w:sym w:font="Wingdings" w:char="F0FC"/>
            </w:r>
          </w:p>
        </w:tc>
        <w:tc>
          <w:tcPr>
            <w:tcW w:w="1418" w:type="dxa"/>
          </w:tcPr>
          <w:p w14:paraId="71C1F6B6"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4"/>
                <w:szCs w:val="24"/>
              </w:rPr>
              <w:sym w:font="Wingdings" w:char="F0FC"/>
            </w:r>
          </w:p>
        </w:tc>
        <w:tc>
          <w:tcPr>
            <w:tcW w:w="1417" w:type="dxa"/>
          </w:tcPr>
          <w:p w14:paraId="3922946F" w14:textId="77777777" w:rsidR="00F7413D" w:rsidRPr="008E28E6" w:rsidRDefault="00F7413D" w:rsidP="00F7413D">
            <w:pPr>
              <w:rPr>
                <w:rFonts w:ascii="Times New Roman" w:hAnsi="Times New Roman" w:cs="Times New Roman"/>
                <w:sz w:val="20"/>
                <w:szCs w:val="20"/>
              </w:rPr>
            </w:pPr>
          </w:p>
        </w:tc>
      </w:tr>
      <w:tr w:rsidR="00F7413D" w:rsidRPr="008E28E6" w14:paraId="1F0AE732" w14:textId="77777777" w:rsidTr="00F7413D">
        <w:tc>
          <w:tcPr>
            <w:tcW w:w="2518" w:type="dxa"/>
          </w:tcPr>
          <w:p w14:paraId="26394A4F"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Rhesus factor negative</w:t>
            </w:r>
          </w:p>
        </w:tc>
        <w:tc>
          <w:tcPr>
            <w:tcW w:w="1418" w:type="dxa"/>
          </w:tcPr>
          <w:p w14:paraId="7EE48041"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No</w:t>
            </w:r>
            <w:r w:rsidRPr="008E28E6">
              <w:rPr>
                <w:rFonts w:ascii="Times New Roman" w:hAnsi="Times New Roman" w:cs="Times New Roman"/>
                <w:sz w:val="20"/>
                <w:szCs w:val="20"/>
              </w:rPr>
              <w:br/>
              <w:t>Yes</w:t>
            </w:r>
          </w:p>
        </w:tc>
        <w:tc>
          <w:tcPr>
            <w:tcW w:w="4375" w:type="dxa"/>
          </w:tcPr>
          <w:p w14:paraId="1F19295D" w14:textId="77777777" w:rsidR="00F7413D" w:rsidRPr="008E28E6" w:rsidRDefault="00F7413D" w:rsidP="00F7413D">
            <w:pPr>
              <w:rPr>
                <w:rFonts w:ascii="Times New Roman" w:hAnsi="Times New Roman" w:cs="Times New Roman"/>
                <w:sz w:val="20"/>
                <w:szCs w:val="20"/>
              </w:rPr>
            </w:pPr>
          </w:p>
        </w:tc>
        <w:tc>
          <w:tcPr>
            <w:tcW w:w="938" w:type="dxa"/>
          </w:tcPr>
          <w:p w14:paraId="2354900E"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Nil</w:t>
            </w:r>
          </w:p>
        </w:tc>
        <w:tc>
          <w:tcPr>
            <w:tcW w:w="1218" w:type="dxa"/>
          </w:tcPr>
          <w:p w14:paraId="7E27368F" w14:textId="77777777" w:rsidR="00F7413D" w:rsidRPr="008E28E6" w:rsidRDefault="00F7413D" w:rsidP="00F7413D">
            <w:pPr>
              <w:rPr>
                <w:rFonts w:ascii="Times New Roman" w:hAnsi="Times New Roman" w:cs="Times New Roman"/>
                <w:sz w:val="20"/>
                <w:szCs w:val="20"/>
              </w:rPr>
            </w:pPr>
          </w:p>
        </w:tc>
        <w:tc>
          <w:tcPr>
            <w:tcW w:w="981" w:type="dxa"/>
          </w:tcPr>
          <w:p w14:paraId="4165051C"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4"/>
                <w:szCs w:val="24"/>
              </w:rPr>
              <w:sym w:font="Wingdings" w:char="F0FC"/>
            </w:r>
          </w:p>
        </w:tc>
        <w:tc>
          <w:tcPr>
            <w:tcW w:w="1418" w:type="dxa"/>
          </w:tcPr>
          <w:p w14:paraId="5B81D212"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4"/>
                <w:szCs w:val="24"/>
              </w:rPr>
              <w:sym w:font="Wingdings" w:char="F0FC"/>
            </w:r>
          </w:p>
        </w:tc>
        <w:tc>
          <w:tcPr>
            <w:tcW w:w="1417" w:type="dxa"/>
          </w:tcPr>
          <w:p w14:paraId="1E64E0A5" w14:textId="77777777" w:rsidR="00F7413D" w:rsidRPr="008E28E6" w:rsidRDefault="00F7413D" w:rsidP="00F7413D">
            <w:pPr>
              <w:rPr>
                <w:rFonts w:ascii="Times New Roman" w:hAnsi="Times New Roman" w:cs="Times New Roman"/>
                <w:sz w:val="20"/>
                <w:szCs w:val="20"/>
              </w:rPr>
            </w:pPr>
          </w:p>
        </w:tc>
      </w:tr>
      <w:tr w:rsidR="00F7413D" w:rsidRPr="008E28E6" w14:paraId="73421B7F" w14:textId="77777777" w:rsidTr="00F7413D">
        <w:tc>
          <w:tcPr>
            <w:tcW w:w="2518" w:type="dxa"/>
          </w:tcPr>
          <w:p w14:paraId="0054270F"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Head circumference z score &lt;10</w:t>
            </w:r>
            <w:r w:rsidRPr="008E28E6">
              <w:rPr>
                <w:rFonts w:ascii="Times New Roman" w:hAnsi="Times New Roman" w:cs="Times New Roman"/>
                <w:sz w:val="20"/>
                <w:szCs w:val="20"/>
                <w:vertAlign w:val="superscript"/>
              </w:rPr>
              <w:t>th</w:t>
            </w:r>
            <w:r w:rsidRPr="008E28E6">
              <w:rPr>
                <w:rFonts w:ascii="Times New Roman" w:hAnsi="Times New Roman" w:cs="Times New Roman"/>
                <w:sz w:val="20"/>
                <w:szCs w:val="20"/>
              </w:rPr>
              <w:t xml:space="preserve"> centile at 20 week scan</w:t>
            </w:r>
          </w:p>
        </w:tc>
        <w:tc>
          <w:tcPr>
            <w:tcW w:w="1418" w:type="dxa"/>
          </w:tcPr>
          <w:p w14:paraId="376B1F46"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No</w:t>
            </w:r>
            <w:r w:rsidRPr="008E28E6">
              <w:rPr>
                <w:rFonts w:ascii="Times New Roman" w:hAnsi="Times New Roman" w:cs="Times New Roman"/>
                <w:sz w:val="20"/>
                <w:szCs w:val="20"/>
              </w:rPr>
              <w:br/>
              <w:t>Yes</w:t>
            </w:r>
          </w:p>
        </w:tc>
        <w:tc>
          <w:tcPr>
            <w:tcW w:w="4375" w:type="dxa"/>
          </w:tcPr>
          <w:p w14:paraId="239B9C72"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Fetal head circumference (adjusted for gestational age using multiples of the median) &lt;10</w:t>
            </w:r>
            <w:r w:rsidRPr="008E28E6">
              <w:rPr>
                <w:rFonts w:ascii="Times New Roman" w:hAnsi="Times New Roman" w:cs="Times New Roman"/>
                <w:sz w:val="20"/>
                <w:szCs w:val="20"/>
                <w:vertAlign w:val="superscript"/>
              </w:rPr>
              <w:t>th</w:t>
            </w:r>
            <w:r w:rsidRPr="008E28E6">
              <w:rPr>
                <w:rFonts w:ascii="Times New Roman" w:hAnsi="Times New Roman" w:cs="Times New Roman"/>
                <w:sz w:val="20"/>
                <w:szCs w:val="20"/>
              </w:rPr>
              <w:t>centile</w:t>
            </w:r>
          </w:p>
        </w:tc>
        <w:tc>
          <w:tcPr>
            <w:tcW w:w="938" w:type="dxa"/>
          </w:tcPr>
          <w:p w14:paraId="23CD8560" w14:textId="77777777" w:rsidR="00F7413D" w:rsidRPr="008E28E6" w:rsidRDefault="00F7413D" w:rsidP="00F7413D">
            <w:pPr>
              <w:rPr>
                <w:rFonts w:ascii="Times New Roman" w:hAnsi="Times New Roman" w:cs="Times New Roman"/>
                <w:sz w:val="20"/>
                <w:szCs w:val="20"/>
                <w:highlight w:val="yellow"/>
              </w:rPr>
            </w:pPr>
          </w:p>
        </w:tc>
        <w:tc>
          <w:tcPr>
            <w:tcW w:w="1218" w:type="dxa"/>
          </w:tcPr>
          <w:p w14:paraId="1E82840D" w14:textId="77777777" w:rsidR="00F7413D" w:rsidRPr="008E28E6" w:rsidRDefault="00F7413D" w:rsidP="00F7413D">
            <w:pPr>
              <w:rPr>
                <w:rFonts w:ascii="Times New Roman" w:hAnsi="Times New Roman" w:cs="Times New Roman"/>
                <w:sz w:val="20"/>
                <w:szCs w:val="20"/>
                <w:highlight w:val="yellow"/>
              </w:rPr>
            </w:pPr>
          </w:p>
        </w:tc>
        <w:tc>
          <w:tcPr>
            <w:tcW w:w="981" w:type="dxa"/>
          </w:tcPr>
          <w:p w14:paraId="1010A7D7" w14:textId="77777777" w:rsidR="00F7413D" w:rsidRPr="008E28E6" w:rsidRDefault="00F7413D" w:rsidP="00F7413D">
            <w:pPr>
              <w:rPr>
                <w:rFonts w:ascii="Times New Roman" w:hAnsi="Times New Roman" w:cs="Times New Roman"/>
                <w:sz w:val="20"/>
                <w:szCs w:val="20"/>
                <w:highlight w:val="yellow"/>
              </w:rPr>
            </w:pPr>
            <w:r w:rsidRPr="008E28E6">
              <w:rPr>
                <w:rFonts w:ascii="Times New Roman" w:hAnsi="Times New Roman" w:cs="Times New Roman"/>
                <w:sz w:val="24"/>
                <w:szCs w:val="24"/>
              </w:rPr>
              <w:sym w:font="Wingdings" w:char="F0FC"/>
            </w:r>
          </w:p>
        </w:tc>
        <w:tc>
          <w:tcPr>
            <w:tcW w:w="1418" w:type="dxa"/>
          </w:tcPr>
          <w:p w14:paraId="6A0390A9" w14:textId="77777777" w:rsidR="00F7413D" w:rsidRPr="008E28E6" w:rsidRDefault="00F7413D" w:rsidP="00F7413D">
            <w:pPr>
              <w:rPr>
                <w:rFonts w:ascii="Times New Roman" w:hAnsi="Times New Roman" w:cs="Times New Roman"/>
                <w:sz w:val="20"/>
                <w:szCs w:val="20"/>
                <w:highlight w:val="yellow"/>
              </w:rPr>
            </w:pPr>
            <w:r w:rsidRPr="008E28E6">
              <w:rPr>
                <w:rFonts w:ascii="Times New Roman" w:hAnsi="Times New Roman" w:cs="Times New Roman"/>
                <w:sz w:val="24"/>
                <w:szCs w:val="24"/>
              </w:rPr>
              <w:sym w:font="Wingdings" w:char="F0FC"/>
            </w:r>
          </w:p>
        </w:tc>
        <w:tc>
          <w:tcPr>
            <w:tcW w:w="1417" w:type="dxa"/>
          </w:tcPr>
          <w:p w14:paraId="25D18E05" w14:textId="77777777" w:rsidR="00F7413D" w:rsidRPr="008E28E6" w:rsidRDefault="00F7413D" w:rsidP="00F7413D">
            <w:pPr>
              <w:rPr>
                <w:rFonts w:ascii="Times New Roman" w:hAnsi="Times New Roman" w:cs="Times New Roman"/>
                <w:sz w:val="20"/>
                <w:szCs w:val="20"/>
                <w:highlight w:val="yellow"/>
              </w:rPr>
            </w:pPr>
            <w:r w:rsidRPr="008E28E6">
              <w:rPr>
                <w:rFonts w:ascii="Times New Roman" w:hAnsi="Times New Roman" w:cs="Times New Roman"/>
                <w:sz w:val="20"/>
                <w:szCs w:val="20"/>
              </w:rPr>
              <w:sym w:font="Wingdings" w:char="F0FC"/>
            </w:r>
          </w:p>
        </w:tc>
      </w:tr>
      <w:tr w:rsidR="00F7413D" w:rsidRPr="008E28E6" w14:paraId="17AE021E" w14:textId="77777777" w:rsidTr="00F7413D">
        <w:tc>
          <w:tcPr>
            <w:tcW w:w="2518" w:type="dxa"/>
          </w:tcPr>
          <w:p w14:paraId="4A25D47E"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Abdominal circumference z score &lt;10</w:t>
            </w:r>
            <w:r w:rsidRPr="008E28E6">
              <w:rPr>
                <w:rFonts w:ascii="Times New Roman" w:hAnsi="Times New Roman" w:cs="Times New Roman"/>
                <w:sz w:val="20"/>
                <w:szCs w:val="20"/>
                <w:vertAlign w:val="superscript"/>
              </w:rPr>
              <w:t>th</w:t>
            </w:r>
            <w:r w:rsidRPr="008E28E6">
              <w:rPr>
                <w:rFonts w:ascii="Times New Roman" w:hAnsi="Times New Roman" w:cs="Times New Roman"/>
                <w:sz w:val="20"/>
                <w:szCs w:val="20"/>
              </w:rPr>
              <w:t xml:space="preserve"> centile at 20 week scan</w:t>
            </w:r>
          </w:p>
        </w:tc>
        <w:tc>
          <w:tcPr>
            <w:tcW w:w="1418" w:type="dxa"/>
          </w:tcPr>
          <w:p w14:paraId="2855BB45"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No</w:t>
            </w:r>
            <w:r w:rsidRPr="008E28E6">
              <w:rPr>
                <w:rFonts w:ascii="Times New Roman" w:hAnsi="Times New Roman" w:cs="Times New Roman"/>
                <w:sz w:val="20"/>
                <w:szCs w:val="20"/>
              </w:rPr>
              <w:br/>
              <w:t>Yes</w:t>
            </w:r>
            <w:r w:rsidRPr="008E28E6">
              <w:rPr>
                <w:rFonts w:ascii="Times New Roman" w:hAnsi="Times New Roman" w:cs="Times New Roman"/>
                <w:sz w:val="20"/>
                <w:szCs w:val="20"/>
              </w:rPr>
              <w:br/>
            </w:r>
          </w:p>
        </w:tc>
        <w:tc>
          <w:tcPr>
            <w:tcW w:w="4375" w:type="dxa"/>
          </w:tcPr>
          <w:p w14:paraId="7BFE0334"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Fetal abdominal circumference (adjusted for gestational age using multiples of the median) &lt;10</w:t>
            </w:r>
            <w:r w:rsidRPr="008E28E6">
              <w:rPr>
                <w:rFonts w:ascii="Times New Roman" w:hAnsi="Times New Roman" w:cs="Times New Roman"/>
                <w:sz w:val="20"/>
                <w:szCs w:val="20"/>
                <w:vertAlign w:val="superscript"/>
              </w:rPr>
              <w:t>th</w:t>
            </w:r>
            <w:r w:rsidRPr="008E28E6">
              <w:rPr>
                <w:rFonts w:ascii="Times New Roman" w:hAnsi="Times New Roman" w:cs="Times New Roman"/>
                <w:sz w:val="20"/>
                <w:szCs w:val="20"/>
              </w:rPr>
              <w:t>centile</w:t>
            </w:r>
          </w:p>
        </w:tc>
        <w:tc>
          <w:tcPr>
            <w:tcW w:w="938" w:type="dxa"/>
          </w:tcPr>
          <w:p w14:paraId="5ACDEA7C" w14:textId="77777777" w:rsidR="00F7413D" w:rsidRPr="008E28E6" w:rsidRDefault="00F7413D" w:rsidP="00F7413D">
            <w:pPr>
              <w:rPr>
                <w:rFonts w:ascii="Times New Roman" w:hAnsi="Times New Roman" w:cs="Times New Roman"/>
                <w:sz w:val="20"/>
                <w:szCs w:val="20"/>
                <w:highlight w:val="yellow"/>
              </w:rPr>
            </w:pPr>
          </w:p>
        </w:tc>
        <w:tc>
          <w:tcPr>
            <w:tcW w:w="1218" w:type="dxa"/>
          </w:tcPr>
          <w:p w14:paraId="28A975FC" w14:textId="77777777" w:rsidR="00F7413D" w:rsidRPr="008E28E6" w:rsidRDefault="00F7413D" w:rsidP="00F7413D">
            <w:pPr>
              <w:rPr>
                <w:rFonts w:ascii="Times New Roman" w:hAnsi="Times New Roman" w:cs="Times New Roman"/>
                <w:sz w:val="20"/>
                <w:szCs w:val="20"/>
                <w:highlight w:val="yellow"/>
              </w:rPr>
            </w:pPr>
          </w:p>
        </w:tc>
        <w:tc>
          <w:tcPr>
            <w:tcW w:w="981" w:type="dxa"/>
          </w:tcPr>
          <w:p w14:paraId="081FFD59" w14:textId="77777777" w:rsidR="00F7413D" w:rsidRPr="008E28E6" w:rsidRDefault="00F7413D" w:rsidP="00F7413D">
            <w:pPr>
              <w:rPr>
                <w:rFonts w:ascii="Times New Roman" w:hAnsi="Times New Roman" w:cs="Times New Roman"/>
                <w:sz w:val="20"/>
                <w:szCs w:val="20"/>
                <w:highlight w:val="yellow"/>
              </w:rPr>
            </w:pPr>
            <w:r w:rsidRPr="008E28E6">
              <w:rPr>
                <w:rFonts w:ascii="Times New Roman" w:hAnsi="Times New Roman" w:cs="Times New Roman"/>
                <w:sz w:val="24"/>
                <w:szCs w:val="24"/>
              </w:rPr>
              <w:sym w:font="Wingdings" w:char="F0FC"/>
            </w:r>
          </w:p>
        </w:tc>
        <w:tc>
          <w:tcPr>
            <w:tcW w:w="1418" w:type="dxa"/>
          </w:tcPr>
          <w:p w14:paraId="4E46E6AB" w14:textId="77777777" w:rsidR="00F7413D" w:rsidRPr="008E28E6" w:rsidRDefault="00F7413D" w:rsidP="00F7413D">
            <w:pPr>
              <w:rPr>
                <w:rFonts w:ascii="Times New Roman" w:hAnsi="Times New Roman" w:cs="Times New Roman"/>
                <w:sz w:val="20"/>
                <w:szCs w:val="20"/>
                <w:highlight w:val="yellow"/>
              </w:rPr>
            </w:pPr>
            <w:r w:rsidRPr="008E28E6">
              <w:rPr>
                <w:rFonts w:ascii="Times New Roman" w:hAnsi="Times New Roman" w:cs="Times New Roman"/>
                <w:sz w:val="24"/>
                <w:szCs w:val="24"/>
              </w:rPr>
              <w:sym w:font="Wingdings" w:char="F0FC"/>
            </w:r>
          </w:p>
        </w:tc>
        <w:tc>
          <w:tcPr>
            <w:tcW w:w="1417" w:type="dxa"/>
          </w:tcPr>
          <w:p w14:paraId="110C15D3" w14:textId="77777777" w:rsidR="00F7413D" w:rsidRPr="008E28E6" w:rsidRDefault="00F7413D" w:rsidP="00F7413D">
            <w:pPr>
              <w:rPr>
                <w:rFonts w:ascii="Times New Roman" w:hAnsi="Times New Roman" w:cs="Times New Roman"/>
                <w:sz w:val="20"/>
                <w:szCs w:val="20"/>
                <w:highlight w:val="yellow"/>
              </w:rPr>
            </w:pPr>
          </w:p>
        </w:tc>
      </w:tr>
      <w:tr w:rsidR="00F7413D" w:rsidRPr="008E28E6" w14:paraId="2E4C62F3" w14:textId="77777777" w:rsidTr="00F7413D">
        <w:tc>
          <w:tcPr>
            <w:tcW w:w="2518" w:type="dxa"/>
          </w:tcPr>
          <w:p w14:paraId="0993F0CC"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Femur length z score &lt;10</w:t>
            </w:r>
            <w:r w:rsidRPr="008E28E6">
              <w:rPr>
                <w:rFonts w:ascii="Times New Roman" w:hAnsi="Times New Roman" w:cs="Times New Roman"/>
                <w:sz w:val="20"/>
                <w:szCs w:val="20"/>
                <w:vertAlign w:val="superscript"/>
              </w:rPr>
              <w:t>th</w:t>
            </w:r>
            <w:r w:rsidRPr="008E28E6">
              <w:rPr>
                <w:rFonts w:ascii="Times New Roman" w:hAnsi="Times New Roman" w:cs="Times New Roman"/>
                <w:sz w:val="20"/>
                <w:szCs w:val="20"/>
              </w:rPr>
              <w:t xml:space="preserve"> centile at 20 week scan</w:t>
            </w:r>
          </w:p>
        </w:tc>
        <w:tc>
          <w:tcPr>
            <w:tcW w:w="1418" w:type="dxa"/>
          </w:tcPr>
          <w:p w14:paraId="0B8988EC"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No</w:t>
            </w:r>
            <w:r w:rsidRPr="008E28E6">
              <w:rPr>
                <w:rFonts w:ascii="Times New Roman" w:hAnsi="Times New Roman" w:cs="Times New Roman"/>
                <w:sz w:val="20"/>
                <w:szCs w:val="20"/>
              </w:rPr>
              <w:br/>
              <w:t>Yes</w:t>
            </w:r>
            <w:r w:rsidRPr="008E28E6">
              <w:rPr>
                <w:rFonts w:ascii="Times New Roman" w:hAnsi="Times New Roman" w:cs="Times New Roman"/>
                <w:sz w:val="20"/>
                <w:szCs w:val="20"/>
              </w:rPr>
              <w:br/>
            </w:r>
          </w:p>
        </w:tc>
        <w:tc>
          <w:tcPr>
            <w:tcW w:w="4375" w:type="dxa"/>
          </w:tcPr>
          <w:p w14:paraId="36566BCD"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Fetal femur length (adjusted for gestational age using multiples of the median) &lt;10</w:t>
            </w:r>
            <w:r w:rsidRPr="008E28E6">
              <w:rPr>
                <w:rFonts w:ascii="Times New Roman" w:hAnsi="Times New Roman" w:cs="Times New Roman"/>
                <w:sz w:val="20"/>
                <w:szCs w:val="20"/>
                <w:vertAlign w:val="superscript"/>
              </w:rPr>
              <w:t>th</w:t>
            </w:r>
            <w:r w:rsidRPr="008E28E6">
              <w:rPr>
                <w:rFonts w:ascii="Times New Roman" w:hAnsi="Times New Roman" w:cs="Times New Roman"/>
                <w:sz w:val="20"/>
                <w:szCs w:val="20"/>
              </w:rPr>
              <w:t>centile</w:t>
            </w:r>
          </w:p>
        </w:tc>
        <w:tc>
          <w:tcPr>
            <w:tcW w:w="938" w:type="dxa"/>
          </w:tcPr>
          <w:p w14:paraId="2C725571" w14:textId="77777777" w:rsidR="00F7413D" w:rsidRPr="008E28E6" w:rsidRDefault="00F7413D" w:rsidP="00F7413D">
            <w:pPr>
              <w:rPr>
                <w:rFonts w:ascii="Times New Roman" w:hAnsi="Times New Roman" w:cs="Times New Roman"/>
                <w:sz w:val="20"/>
                <w:szCs w:val="20"/>
                <w:highlight w:val="yellow"/>
              </w:rPr>
            </w:pPr>
          </w:p>
        </w:tc>
        <w:tc>
          <w:tcPr>
            <w:tcW w:w="1218" w:type="dxa"/>
          </w:tcPr>
          <w:p w14:paraId="39448BD8" w14:textId="77777777" w:rsidR="00F7413D" w:rsidRPr="008E28E6" w:rsidRDefault="00F7413D" w:rsidP="00F7413D">
            <w:pPr>
              <w:rPr>
                <w:rFonts w:ascii="Times New Roman" w:hAnsi="Times New Roman" w:cs="Times New Roman"/>
                <w:sz w:val="20"/>
                <w:szCs w:val="20"/>
                <w:highlight w:val="yellow"/>
              </w:rPr>
            </w:pPr>
          </w:p>
        </w:tc>
        <w:tc>
          <w:tcPr>
            <w:tcW w:w="981" w:type="dxa"/>
          </w:tcPr>
          <w:p w14:paraId="15B5B55D" w14:textId="77777777" w:rsidR="00F7413D" w:rsidRPr="008E28E6" w:rsidRDefault="00F7413D" w:rsidP="00F7413D">
            <w:pPr>
              <w:rPr>
                <w:rFonts w:ascii="Times New Roman" w:hAnsi="Times New Roman" w:cs="Times New Roman"/>
                <w:sz w:val="20"/>
                <w:szCs w:val="20"/>
                <w:highlight w:val="yellow"/>
              </w:rPr>
            </w:pPr>
            <w:r w:rsidRPr="008E28E6">
              <w:rPr>
                <w:rFonts w:ascii="Times New Roman" w:hAnsi="Times New Roman" w:cs="Times New Roman"/>
                <w:sz w:val="24"/>
                <w:szCs w:val="24"/>
              </w:rPr>
              <w:sym w:font="Wingdings" w:char="F0FC"/>
            </w:r>
          </w:p>
        </w:tc>
        <w:tc>
          <w:tcPr>
            <w:tcW w:w="1418" w:type="dxa"/>
          </w:tcPr>
          <w:p w14:paraId="76FB66BB" w14:textId="77777777" w:rsidR="00F7413D" w:rsidRPr="008E28E6" w:rsidRDefault="00F7413D" w:rsidP="00F7413D">
            <w:pPr>
              <w:rPr>
                <w:rFonts w:ascii="Times New Roman" w:hAnsi="Times New Roman" w:cs="Times New Roman"/>
                <w:sz w:val="20"/>
                <w:szCs w:val="20"/>
                <w:highlight w:val="yellow"/>
              </w:rPr>
            </w:pPr>
            <w:r w:rsidRPr="008E28E6">
              <w:rPr>
                <w:rFonts w:ascii="Times New Roman" w:hAnsi="Times New Roman" w:cs="Times New Roman"/>
                <w:sz w:val="24"/>
                <w:szCs w:val="24"/>
              </w:rPr>
              <w:sym w:font="Wingdings" w:char="F0FC"/>
            </w:r>
          </w:p>
        </w:tc>
        <w:tc>
          <w:tcPr>
            <w:tcW w:w="1417" w:type="dxa"/>
          </w:tcPr>
          <w:p w14:paraId="25A10BBF" w14:textId="77777777" w:rsidR="00F7413D" w:rsidRPr="008E28E6" w:rsidRDefault="00F7413D" w:rsidP="00F7413D">
            <w:pPr>
              <w:rPr>
                <w:rFonts w:ascii="Times New Roman" w:hAnsi="Times New Roman" w:cs="Times New Roman"/>
                <w:sz w:val="20"/>
                <w:szCs w:val="20"/>
                <w:highlight w:val="yellow"/>
              </w:rPr>
            </w:pPr>
          </w:p>
        </w:tc>
      </w:tr>
      <w:tr w:rsidR="00F7413D" w:rsidRPr="008E28E6" w14:paraId="4D14AFE5" w14:textId="77777777" w:rsidTr="00F7413D">
        <w:tc>
          <w:tcPr>
            <w:tcW w:w="2518" w:type="dxa"/>
          </w:tcPr>
          <w:p w14:paraId="437CBF79"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Umbilical artery resistance index (RI) at 20 week scan</w:t>
            </w:r>
          </w:p>
        </w:tc>
        <w:tc>
          <w:tcPr>
            <w:tcW w:w="1418" w:type="dxa"/>
          </w:tcPr>
          <w:p w14:paraId="23CA4B77"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1: &lt;0.7</w:t>
            </w:r>
          </w:p>
          <w:p w14:paraId="22BDEB26"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2: 0.7-0.79</w:t>
            </w:r>
          </w:p>
          <w:p w14:paraId="6AF2DF41"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3: 0.8-1.0</w:t>
            </w:r>
          </w:p>
        </w:tc>
        <w:tc>
          <w:tcPr>
            <w:tcW w:w="4375" w:type="dxa"/>
          </w:tcPr>
          <w:p w14:paraId="026BA146" w14:textId="77777777" w:rsidR="00F7413D" w:rsidRPr="008E28E6" w:rsidRDefault="00F7413D" w:rsidP="00F7413D">
            <w:pPr>
              <w:rPr>
                <w:rFonts w:ascii="Times New Roman" w:hAnsi="Times New Roman" w:cs="Times New Roman"/>
                <w:sz w:val="20"/>
                <w:szCs w:val="20"/>
                <w:highlight w:val="yellow"/>
              </w:rPr>
            </w:pPr>
            <w:r w:rsidRPr="008E28E6">
              <w:rPr>
                <w:rFonts w:ascii="Times New Roman" w:hAnsi="Times New Roman" w:cs="Times New Roman"/>
                <w:sz w:val="20"/>
                <w:szCs w:val="20"/>
              </w:rPr>
              <w:t xml:space="preserve">Umbilical artery Resistance Index (RI) measured using Doppler ultrasound at 19-21w 3 categories created. </w:t>
            </w:r>
          </w:p>
        </w:tc>
        <w:tc>
          <w:tcPr>
            <w:tcW w:w="938" w:type="dxa"/>
          </w:tcPr>
          <w:p w14:paraId="7616BA31" w14:textId="77777777" w:rsidR="00F7413D" w:rsidRPr="008E28E6" w:rsidRDefault="00F7413D" w:rsidP="00F7413D">
            <w:pPr>
              <w:rPr>
                <w:rFonts w:ascii="Times New Roman" w:hAnsi="Times New Roman" w:cs="Times New Roman"/>
                <w:sz w:val="20"/>
                <w:szCs w:val="20"/>
                <w:highlight w:val="yellow"/>
              </w:rPr>
            </w:pPr>
            <w:r w:rsidRPr="008E28E6">
              <w:rPr>
                <w:rFonts w:ascii="Times New Roman" w:hAnsi="Times New Roman" w:cs="Times New Roman"/>
                <w:sz w:val="20"/>
                <w:szCs w:val="20"/>
              </w:rPr>
              <w:t>Nil</w:t>
            </w:r>
          </w:p>
        </w:tc>
        <w:tc>
          <w:tcPr>
            <w:tcW w:w="1218" w:type="dxa"/>
          </w:tcPr>
          <w:p w14:paraId="60F1D9BF" w14:textId="77777777" w:rsidR="00F7413D" w:rsidRPr="008E28E6" w:rsidRDefault="00F7413D" w:rsidP="00F7413D">
            <w:pPr>
              <w:rPr>
                <w:rFonts w:ascii="Times New Roman" w:hAnsi="Times New Roman" w:cs="Times New Roman"/>
                <w:sz w:val="20"/>
                <w:szCs w:val="20"/>
                <w:highlight w:val="yellow"/>
              </w:rPr>
            </w:pPr>
          </w:p>
        </w:tc>
        <w:tc>
          <w:tcPr>
            <w:tcW w:w="981" w:type="dxa"/>
          </w:tcPr>
          <w:p w14:paraId="393B4D2D" w14:textId="77777777" w:rsidR="00F7413D" w:rsidRPr="008E28E6" w:rsidRDefault="00F7413D" w:rsidP="00F7413D">
            <w:pPr>
              <w:rPr>
                <w:rFonts w:ascii="Times New Roman" w:hAnsi="Times New Roman" w:cs="Times New Roman"/>
                <w:sz w:val="20"/>
                <w:szCs w:val="20"/>
                <w:highlight w:val="yellow"/>
              </w:rPr>
            </w:pPr>
            <w:r w:rsidRPr="008E28E6">
              <w:rPr>
                <w:rFonts w:ascii="Times New Roman" w:hAnsi="Times New Roman" w:cs="Times New Roman"/>
                <w:sz w:val="24"/>
                <w:szCs w:val="24"/>
              </w:rPr>
              <w:sym w:font="Wingdings" w:char="F0FC"/>
            </w:r>
          </w:p>
        </w:tc>
        <w:tc>
          <w:tcPr>
            <w:tcW w:w="1418" w:type="dxa"/>
          </w:tcPr>
          <w:p w14:paraId="330C9A8E" w14:textId="77777777" w:rsidR="00F7413D" w:rsidRPr="008E28E6" w:rsidRDefault="00F7413D" w:rsidP="00F7413D">
            <w:pPr>
              <w:rPr>
                <w:rFonts w:ascii="Times New Roman" w:hAnsi="Times New Roman" w:cs="Times New Roman"/>
                <w:sz w:val="20"/>
                <w:szCs w:val="20"/>
                <w:highlight w:val="yellow"/>
              </w:rPr>
            </w:pPr>
            <w:r w:rsidRPr="008E28E6">
              <w:rPr>
                <w:rFonts w:ascii="Times New Roman" w:hAnsi="Times New Roman" w:cs="Times New Roman"/>
                <w:sz w:val="24"/>
                <w:szCs w:val="24"/>
              </w:rPr>
              <w:sym w:font="Wingdings" w:char="F0FC"/>
            </w:r>
          </w:p>
        </w:tc>
        <w:tc>
          <w:tcPr>
            <w:tcW w:w="1417" w:type="dxa"/>
          </w:tcPr>
          <w:p w14:paraId="0591FFF3" w14:textId="77777777" w:rsidR="00F7413D" w:rsidRPr="008E28E6" w:rsidRDefault="00F7413D" w:rsidP="00F7413D">
            <w:pPr>
              <w:rPr>
                <w:rFonts w:ascii="Times New Roman" w:hAnsi="Times New Roman" w:cs="Times New Roman"/>
                <w:sz w:val="20"/>
                <w:szCs w:val="20"/>
                <w:highlight w:val="yellow"/>
              </w:rPr>
            </w:pPr>
            <w:r w:rsidRPr="008E28E6">
              <w:rPr>
                <w:rFonts w:ascii="Times New Roman" w:hAnsi="Times New Roman" w:cs="Times New Roman"/>
                <w:sz w:val="20"/>
                <w:szCs w:val="20"/>
              </w:rPr>
              <w:sym w:font="Wingdings" w:char="F0FC"/>
            </w:r>
          </w:p>
        </w:tc>
      </w:tr>
      <w:tr w:rsidR="00F7413D" w:rsidRPr="008E28E6" w14:paraId="720250E1" w14:textId="77777777" w:rsidTr="00F7413D">
        <w:tc>
          <w:tcPr>
            <w:tcW w:w="2518" w:type="dxa"/>
          </w:tcPr>
          <w:p w14:paraId="2DACBAE3"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Mean uterine artery RI at 20 week scan</w:t>
            </w:r>
          </w:p>
        </w:tc>
        <w:tc>
          <w:tcPr>
            <w:tcW w:w="1418" w:type="dxa"/>
          </w:tcPr>
          <w:p w14:paraId="568A5002"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1: &lt;0.5</w:t>
            </w:r>
          </w:p>
          <w:p w14:paraId="132C49C0"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2: 0.5 to 0.59</w:t>
            </w:r>
          </w:p>
          <w:p w14:paraId="2516093E"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3: 0.6 to 0.69</w:t>
            </w:r>
          </w:p>
          <w:p w14:paraId="596D55BB"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4: 0.7 to 0.79</w:t>
            </w:r>
          </w:p>
          <w:p w14:paraId="527EC857"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5: 0.8 to 1.0</w:t>
            </w:r>
          </w:p>
        </w:tc>
        <w:tc>
          <w:tcPr>
            <w:tcW w:w="4375" w:type="dxa"/>
          </w:tcPr>
          <w:p w14:paraId="64D8908A"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Mean uterine RI was calculated from the right and left uterine artery RI. Five categories were created for All-SGA and Hypertensive-SGA and four categories (</w:t>
            </w:r>
            <w:r w:rsidRPr="008E28E6">
              <w:t xml:space="preserve">&lt;0.5/0.5 to 0.59/0.6 to 0.69/0.7 to 1.0) </w:t>
            </w:r>
            <w:r w:rsidRPr="008E28E6">
              <w:rPr>
                <w:rFonts w:ascii="Times New Roman" w:hAnsi="Times New Roman" w:cs="Times New Roman"/>
                <w:sz w:val="20"/>
                <w:szCs w:val="20"/>
              </w:rPr>
              <w:t>for Normotensive-SGA.</w:t>
            </w:r>
          </w:p>
        </w:tc>
        <w:tc>
          <w:tcPr>
            <w:tcW w:w="938" w:type="dxa"/>
          </w:tcPr>
          <w:p w14:paraId="632DDD4A" w14:textId="77777777" w:rsidR="00F7413D" w:rsidRPr="008E28E6" w:rsidRDefault="00F7413D" w:rsidP="00F7413D">
            <w:pPr>
              <w:rPr>
                <w:rFonts w:ascii="Times New Roman" w:hAnsi="Times New Roman" w:cs="Times New Roman"/>
                <w:sz w:val="20"/>
                <w:szCs w:val="20"/>
                <w:highlight w:val="yellow"/>
              </w:rPr>
            </w:pPr>
            <w:r w:rsidRPr="008E28E6">
              <w:rPr>
                <w:rFonts w:ascii="Times New Roman" w:hAnsi="Times New Roman" w:cs="Times New Roman"/>
                <w:sz w:val="20"/>
                <w:szCs w:val="20"/>
              </w:rPr>
              <w:t>Nil</w:t>
            </w:r>
          </w:p>
        </w:tc>
        <w:tc>
          <w:tcPr>
            <w:tcW w:w="1218" w:type="dxa"/>
          </w:tcPr>
          <w:p w14:paraId="718F53F2" w14:textId="77777777" w:rsidR="00F7413D" w:rsidRPr="008E28E6" w:rsidRDefault="00F7413D" w:rsidP="00F7413D">
            <w:pPr>
              <w:rPr>
                <w:rFonts w:ascii="Times New Roman" w:hAnsi="Times New Roman" w:cs="Times New Roman"/>
                <w:sz w:val="20"/>
                <w:szCs w:val="20"/>
                <w:highlight w:val="yellow"/>
              </w:rPr>
            </w:pPr>
          </w:p>
        </w:tc>
        <w:tc>
          <w:tcPr>
            <w:tcW w:w="981" w:type="dxa"/>
          </w:tcPr>
          <w:p w14:paraId="2294529E" w14:textId="77777777" w:rsidR="00F7413D" w:rsidRPr="008E28E6" w:rsidRDefault="00F7413D" w:rsidP="00F7413D">
            <w:pPr>
              <w:rPr>
                <w:rFonts w:ascii="Times New Roman" w:hAnsi="Times New Roman" w:cs="Times New Roman"/>
                <w:sz w:val="20"/>
                <w:szCs w:val="20"/>
                <w:highlight w:val="yellow"/>
              </w:rPr>
            </w:pPr>
            <w:r w:rsidRPr="008E28E6">
              <w:rPr>
                <w:rFonts w:ascii="Times New Roman" w:hAnsi="Times New Roman" w:cs="Times New Roman"/>
                <w:sz w:val="24"/>
                <w:szCs w:val="24"/>
              </w:rPr>
              <w:sym w:font="Wingdings" w:char="F0FC"/>
            </w:r>
          </w:p>
        </w:tc>
        <w:tc>
          <w:tcPr>
            <w:tcW w:w="1418" w:type="dxa"/>
          </w:tcPr>
          <w:p w14:paraId="2F3239DC" w14:textId="77777777" w:rsidR="00F7413D" w:rsidRPr="008E28E6" w:rsidRDefault="00F7413D" w:rsidP="00F7413D">
            <w:pPr>
              <w:rPr>
                <w:rFonts w:ascii="Times New Roman" w:hAnsi="Times New Roman" w:cs="Times New Roman"/>
                <w:sz w:val="20"/>
                <w:szCs w:val="20"/>
                <w:highlight w:val="yellow"/>
              </w:rPr>
            </w:pPr>
            <w:r w:rsidRPr="008E28E6">
              <w:rPr>
                <w:rFonts w:ascii="Times New Roman" w:hAnsi="Times New Roman" w:cs="Times New Roman"/>
                <w:sz w:val="24"/>
                <w:szCs w:val="24"/>
              </w:rPr>
              <w:sym w:font="Wingdings" w:char="F0FC"/>
            </w:r>
          </w:p>
        </w:tc>
        <w:tc>
          <w:tcPr>
            <w:tcW w:w="1417" w:type="dxa"/>
          </w:tcPr>
          <w:p w14:paraId="34E28B2F" w14:textId="77777777" w:rsidR="00F7413D" w:rsidRPr="008E28E6" w:rsidRDefault="00F7413D" w:rsidP="00F7413D">
            <w:pPr>
              <w:rPr>
                <w:rFonts w:ascii="Times New Roman" w:hAnsi="Times New Roman" w:cs="Times New Roman"/>
                <w:sz w:val="20"/>
                <w:szCs w:val="20"/>
                <w:highlight w:val="yellow"/>
              </w:rPr>
            </w:pPr>
            <w:r w:rsidRPr="008E28E6">
              <w:rPr>
                <w:rFonts w:ascii="Times New Roman" w:hAnsi="Times New Roman" w:cs="Times New Roman"/>
                <w:sz w:val="20"/>
                <w:szCs w:val="20"/>
              </w:rPr>
              <w:sym w:font="Wingdings" w:char="F0FC"/>
            </w:r>
          </w:p>
        </w:tc>
      </w:tr>
      <w:tr w:rsidR="00F7413D" w:rsidRPr="008E28E6" w14:paraId="0F026038" w14:textId="77777777" w:rsidTr="00F7413D">
        <w:tc>
          <w:tcPr>
            <w:tcW w:w="2518" w:type="dxa"/>
          </w:tcPr>
          <w:p w14:paraId="5DE5BA87"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Bilateral notches at 20 week scan</w:t>
            </w:r>
          </w:p>
        </w:tc>
        <w:tc>
          <w:tcPr>
            <w:tcW w:w="1418" w:type="dxa"/>
          </w:tcPr>
          <w:p w14:paraId="5131B15F"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No</w:t>
            </w:r>
            <w:r w:rsidRPr="008E28E6">
              <w:rPr>
                <w:rFonts w:ascii="Times New Roman" w:hAnsi="Times New Roman" w:cs="Times New Roman"/>
                <w:sz w:val="20"/>
                <w:szCs w:val="20"/>
              </w:rPr>
              <w:br/>
              <w:t>Yes</w:t>
            </w:r>
          </w:p>
        </w:tc>
        <w:tc>
          <w:tcPr>
            <w:tcW w:w="4375" w:type="dxa"/>
          </w:tcPr>
          <w:p w14:paraId="7A6E6BAA" w14:textId="77777777" w:rsidR="00F7413D" w:rsidRPr="008E28E6" w:rsidRDefault="00F7413D" w:rsidP="00F7413D">
            <w:pPr>
              <w:rPr>
                <w:rFonts w:ascii="Times New Roman" w:hAnsi="Times New Roman" w:cs="Times New Roman"/>
                <w:sz w:val="20"/>
                <w:szCs w:val="20"/>
              </w:rPr>
            </w:pPr>
            <w:r w:rsidRPr="008E28E6">
              <w:rPr>
                <w:rFonts w:ascii="Times New Roman" w:hAnsi="Times New Roman" w:cs="Times New Roman"/>
                <w:sz w:val="20"/>
                <w:szCs w:val="20"/>
              </w:rPr>
              <w:t xml:space="preserve">Diastolic notches in the Doppler waveforms of both the right and left uterine arteries. Reference notch photos provided to ultrasonographers. </w:t>
            </w:r>
          </w:p>
        </w:tc>
        <w:tc>
          <w:tcPr>
            <w:tcW w:w="938" w:type="dxa"/>
          </w:tcPr>
          <w:p w14:paraId="79255702" w14:textId="77777777" w:rsidR="00F7413D" w:rsidRPr="008E28E6" w:rsidRDefault="00F7413D" w:rsidP="00F7413D">
            <w:pPr>
              <w:rPr>
                <w:rFonts w:ascii="Times New Roman" w:hAnsi="Times New Roman" w:cs="Times New Roman"/>
                <w:sz w:val="20"/>
                <w:szCs w:val="20"/>
                <w:highlight w:val="yellow"/>
              </w:rPr>
            </w:pPr>
            <w:r w:rsidRPr="008E28E6">
              <w:rPr>
                <w:rFonts w:ascii="Times New Roman" w:hAnsi="Times New Roman" w:cs="Times New Roman"/>
                <w:sz w:val="20"/>
                <w:szCs w:val="20"/>
              </w:rPr>
              <w:t>Nil</w:t>
            </w:r>
          </w:p>
        </w:tc>
        <w:tc>
          <w:tcPr>
            <w:tcW w:w="1218" w:type="dxa"/>
          </w:tcPr>
          <w:p w14:paraId="2887EA7A" w14:textId="77777777" w:rsidR="00F7413D" w:rsidRPr="008E28E6" w:rsidRDefault="00F7413D" w:rsidP="00F7413D">
            <w:pPr>
              <w:rPr>
                <w:rFonts w:ascii="Times New Roman" w:hAnsi="Times New Roman" w:cs="Times New Roman"/>
                <w:sz w:val="20"/>
                <w:szCs w:val="20"/>
                <w:highlight w:val="yellow"/>
              </w:rPr>
            </w:pPr>
          </w:p>
        </w:tc>
        <w:tc>
          <w:tcPr>
            <w:tcW w:w="981" w:type="dxa"/>
          </w:tcPr>
          <w:p w14:paraId="013B22D1" w14:textId="77777777" w:rsidR="00F7413D" w:rsidRPr="008E28E6" w:rsidRDefault="00F7413D" w:rsidP="00F7413D">
            <w:pPr>
              <w:rPr>
                <w:rFonts w:ascii="Times New Roman" w:hAnsi="Times New Roman" w:cs="Times New Roman"/>
                <w:sz w:val="20"/>
                <w:szCs w:val="20"/>
                <w:highlight w:val="yellow"/>
              </w:rPr>
            </w:pPr>
            <w:r w:rsidRPr="008E28E6">
              <w:rPr>
                <w:rFonts w:ascii="Times New Roman" w:hAnsi="Times New Roman" w:cs="Times New Roman"/>
                <w:sz w:val="24"/>
                <w:szCs w:val="24"/>
              </w:rPr>
              <w:sym w:font="Wingdings" w:char="F0FC"/>
            </w:r>
          </w:p>
        </w:tc>
        <w:tc>
          <w:tcPr>
            <w:tcW w:w="1418" w:type="dxa"/>
          </w:tcPr>
          <w:p w14:paraId="54B34CE5" w14:textId="77777777" w:rsidR="00F7413D" w:rsidRPr="008E28E6" w:rsidRDefault="00F7413D" w:rsidP="00F7413D">
            <w:pPr>
              <w:rPr>
                <w:rFonts w:ascii="Times New Roman" w:hAnsi="Times New Roman" w:cs="Times New Roman"/>
                <w:sz w:val="20"/>
                <w:szCs w:val="20"/>
                <w:highlight w:val="yellow"/>
              </w:rPr>
            </w:pPr>
            <w:r w:rsidRPr="008E28E6">
              <w:rPr>
                <w:rFonts w:ascii="Times New Roman" w:hAnsi="Times New Roman" w:cs="Times New Roman"/>
                <w:sz w:val="24"/>
                <w:szCs w:val="24"/>
              </w:rPr>
              <w:sym w:font="Wingdings" w:char="F0FC"/>
            </w:r>
          </w:p>
        </w:tc>
        <w:tc>
          <w:tcPr>
            <w:tcW w:w="1417" w:type="dxa"/>
          </w:tcPr>
          <w:p w14:paraId="7D99C408" w14:textId="77777777" w:rsidR="00F7413D" w:rsidRPr="008E28E6" w:rsidRDefault="00F7413D" w:rsidP="00F7413D">
            <w:pPr>
              <w:rPr>
                <w:rFonts w:ascii="Times New Roman" w:hAnsi="Times New Roman" w:cs="Times New Roman"/>
                <w:sz w:val="20"/>
                <w:szCs w:val="20"/>
                <w:highlight w:val="yellow"/>
              </w:rPr>
            </w:pPr>
            <w:r w:rsidRPr="008E28E6">
              <w:rPr>
                <w:rFonts w:ascii="Times New Roman" w:hAnsi="Times New Roman" w:cs="Times New Roman"/>
                <w:sz w:val="20"/>
                <w:szCs w:val="20"/>
              </w:rPr>
              <w:sym w:font="Wingdings" w:char="F0FC"/>
            </w:r>
          </w:p>
        </w:tc>
      </w:tr>
    </w:tbl>
    <w:p w14:paraId="6931FAD0" w14:textId="77777777" w:rsidR="00F7413D" w:rsidRPr="008E28E6" w:rsidRDefault="00F7413D" w:rsidP="00F7413D">
      <w:pPr>
        <w:spacing w:after="0" w:line="240" w:lineRule="auto"/>
        <w:rPr>
          <w:sz w:val="20"/>
          <w:szCs w:val="20"/>
        </w:rPr>
      </w:pPr>
    </w:p>
    <w:p w14:paraId="563C2917" w14:textId="77777777" w:rsidR="00552CF5" w:rsidRPr="008E28E6" w:rsidRDefault="00552CF5">
      <w:pPr>
        <w:rPr>
          <w:rFonts w:ascii="Times New Roman" w:hAnsi="Times New Roman" w:cs="Times New Roman"/>
          <w:sz w:val="24"/>
          <w:szCs w:val="24"/>
        </w:rPr>
        <w:sectPr w:rsidR="00552CF5" w:rsidRPr="008E28E6" w:rsidSect="00F7413D">
          <w:pgSz w:w="16838" w:h="11906" w:orient="landscape"/>
          <w:pgMar w:top="1440" w:right="1440" w:bottom="1440" w:left="1440" w:header="708" w:footer="708" w:gutter="0"/>
          <w:cols w:space="708"/>
          <w:docGrid w:linePitch="360"/>
        </w:sectPr>
      </w:pPr>
    </w:p>
    <w:p w14:paraId="3574F53E" w14:textId="77777777" w:rsidR="00F7413D" w:rsidRPr="008E28E6" w:rsidRDefault="00F7413D" w:rsidP="00A16397">
      <w:pPr>
        <w:spacing w:after="0" w:line="480" w:lineRule="auto"/>
        <w:rPr>
          <w:rFonts w:ascii="Times New Roman" w:hAnsi="Times New Roman" w:cs="Times New Roman"/>
          <w:sz w:val="24"/>
          <w:szCs w:val="24"/>
        </w:rPr>
      </w:pPr>
    </w:p>
    <w:p w14:paraId="07EEA3FD" w14:textId="1E544E2A" w:rsidR="00C414E7" w:rsidRPr="008E28E6" w:rsidRDefault="00354092" w:rsidP="00A16397">
      <w:pPr>
        <w:spacing w:after="0" w:line="480" w:lineRule="auto"/>
        <w:rPr>
          <w:rFonts w:ascii="Times New Roman" w:hAnsi="Times New Roman" w:cs="Times New Roman"/>
          <w:b/>
          <w:sz w:val="24"/>
          <w:szCs w:val="24"/>
        </w:rPr>
      </w:pPr>
      <w:r w:rsidRPr="008E28E6">
        <w:rPr>
          <w:rFonts w:ascii="Times New Roman" w:hAnsi="Times New Roman" w:cs="Times New Roman"/>
          <w:b/>
          <w:sz w:val="24"/>
          <w:szCs w:val="24"/>
        </w:rPr>
        <w:t>Table B</w:t>
      </w:r>
      <w:r w:rsidR="00C414E7" w:rsidRPr="008E28E6">
        <w:rPr>
          <w:rFonts w:ascii="Times New Roman" w:hAnsi="Times New Roman" w:cs="Times New Roman"/>
          <w:b/>
          <w:sz w:val="24"/>
          <w:szCs w:val="24"/>
        </w:rPr>
        <w:t>.  List of biomarkers measured at 14-16 weeks’ gestation and the assay method.</w:t>
      </w:r>
    </w:p>
    <w:tbl>
      <w:tblPr>
        <w:tblW w:w="9055" w:type="dxa"/>
        <w:tblInd w:w="108" w:type="dxa"/>
        <w:tblLook w:val="04A0" w:firstRow="1" w:lastRow="0" w:firstColumn="1" w:lastColumn="0" w:noHBand="0" w:noVBand="1"/>
      </w:tblPr>
      <w:tblGrid>
        <w:gridCol w:w="3870"/>
        <w:gridCol w:w="2602"/>
        <w:gridCol w:w="1527"/>
        <w:gridCol w:w="1056"/>
      </w:tblGrid>
      <w:tr w:rsidR="00A16397" w:rsidRPr="008E28E6" w14:paraId="0C4D55F4" w14:textId="77777777" w:rsidTr="000E3240">
        <w:trPr>
          <w:trHeight w:val="765"/>
        </w:trPr>
        <w:tc>
          <w:tcPr>
            <w:tcW w:w="3870" w:type="dxa"/>
            <w:tcBorders>
              <w:top w:val="single" w:sz="4" w:space="0" w:color="auto"/>
              <w:left w:val="nil"/>
              <w:bottom w:val="single" w:sz="8" w:space="0" w:color="auto"/>
              <w:right w:val="single" w:sz="4" w:space="0" w:color="auto"/>
            </w:tcBorders>
            <w:shd w:val="clear" w:color="auto" w:fill="D9D9D9" w:themeFill="background1" w:themeFillShade="D9"/>
            <w:vAlign w:val="center"/>
            <w:hideMark/>
          </w:tcPr>
          <w:p w14:paraId="6A382B8A" w14:textId="77777777" w:rsidR="00A16397" w:rsidRPr="008E28E6" w:rsidRDefault="00A16397" w:rsidP="00180C94">
            <w:pPr>
              <w:spacing w:after="0" w:line="240" w:lineRule="auto"/>
              <w:rPr>
                <w:rFonts w:ascii="Times New Roman" w:eastAsia="Times New Roman" w:hAnsi="Times New Roman" w:cs="Times New Roman"/>
                <w:b/>
                <w:bCs/>
                <w:sz w:val="24"/>
                <w:szCs w:val="24"/>
                <w:lang w:eastAsia="en-GB"/>
              </w:rPr>
            </w:pPr>
            <w:r w:rsidRPr="008E28E6">
              <w:rPr>
                <w:rFonts w:ascii="Times New Roman" w:eastAsia="Times New Roman" w:hAnsi="Times New Roman" w:cs="Times New Roman"/>
                <w:b/>
                <w:bCs/>
                <w:sz w:val="24"/>
                <w:szCs w:val="24"/>
                <w:lang w:eastAsia="en-GB"/>
              </w:rPr>
              <w:t>Biomarker</w:t>
            </w:r>
          </w:p>
        </w:tc>
        <w:tc>
          <w:tcPr>
            <w:tcW w:w="2602" w:type="dxa"/>
            <w:tcBorders>
              <w:top w:val="single" w:sz="4" w:space="0" w:color="auto"/>
              <w:left w:val="single" w:sz="4" w:space="0" w:color="auto"/>
              <w:bottom w:val="single" w:sz="8" w:space="0" w:color="auto"/>
              <w:right w:val="single" w:sz="4" w:space="0" w:color="auto"/>
            </w:tcBorders>
            <w:shd w:val="clear" w:color="auto" w:fill="D9D9D9" w:themeFill="background1" w:themeFillShade="D9"/>
            <w:noWrap/>
            <w:vAlign w:val="center"/>
            <w:hideMark/>
          </w:tcPr>
          <w:p w14:paraId="07EB4459" w14:textId="77777777" w:rsidR="00A16397" w:rsidRPr="008E28E6" w:rsidRDefault="00A16397" w:rsidP="00180C94">
            <w:pPr>
              <w:spacing w:after="0" w:line="240" w:lineRule="auto"/>
              <w:rPr>
                <w:rFonts w:ascii="Times New Roman" w:eastAsia="Times New Roman" w:hAnsi="Times New Roman" w:cs="Times New Roman"/>
                <w:b/>
                <w:bCs/>
                <w:sz w:val="24"/>
                <w:szCs w:val="24"/>
                <w:lang w:eastAsia="en-GB"/>
              </w:rPr>
            </w:pPr>
            <w:r w:rsidRPr="008E28E6">
              <w:rPr>
                <w:rFonts w:ascii="Times New Roman" w:eastAsia="Times New Roman" w:hAnsi="Times New Roman" w:cs="Times New Roman"/>
                <w:b/>
                <w:bCs/>
                <w:sz w:val="24"/>
                <w:szCs w:val="24"/>
                <w:lang w:eastAsia="en-GB"/>
              </w:rPr>
              <w:t>Assay method</w:t>
            </w:r>
          </w:p>
        </w:tc>
        <w:tc>
          <w:tcPr>
            <w:tcW w:w="1527" w:type="dxa"/>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hideMark/>
          </w:tcPr>
          <w:p w14:paraId="67A9BD6E" w14:textId="77777777" w:rsidR="00A16397" w:rsidRPr="008E28E6" w:rsidRDefault="00A16397" w:rsidP="00180C94">
            <w:pPr>
              <w:spacing w:after="0" w:line="240" w:lineRule="auto"/>
              <w:rPr>
                <w:rFonts w:ascii="Times New Roman" w:eastAsia="Times New Roman" w:hAnsi="Times New Roman" w:cs="Times New Roman"/>
                <w:b/>
                <w:bCs/>
                <w:sz w:val="24"/>
                <w:szCs w:val="24"/>
                <w:lang w:eastAsia="en-GB"/>
              </w:rPr>
            </w:pPr>
            <w:r w:rsidRPr="008E28E6">
              <w:rPr>
                <w:rFonts w:ascii="Times New Roman" w:eastAsia="Times New Roman" w:hAnsi="Times New Roman" w:cs="Times New Roman"/>
                <w:b/>
                <w:bCs/>
                <w:sz w:val="24"/>
                <w:szCs w:val="24"/>
                <w:lang w:eastAsia="en-GB"/>
              </w:rPr>
              <w:t>Included in analysis</w:t>
            </w:r>
          </w:p>
        </w:tc>
        <w:tc>
          <w:tcPr>
            <w:tcW w:w="1056" w:type="dxa"/>
            <w:tcBorders>
              <w:top w:val="single" w:sz="4" w:space="0" w:color="auto"/>
              <w:left w:val="single" w:sz="4" w:space="0" w:color="auto"/>
              <w:bottom w:val="single" w:sz="8" w:space="0" w:color="auto"/>
              <w:right w:val="nil"/>
            </w:tcBorders>
            <w:shd w:val="clear" w:color="auto" w:fill="D9D9D9" w:themeFill="background1" w:themeFillShade="D9"/>
            <w:vAlign w:val="center"/>
            <w:hideMark/>
          </w:tcPr>
          <w:p w14:paraId="75D52084" w14:textId="77777777" w:rsidR="00A16397" w:rsidRPr="008E28E6" w:rsidRDefault="00A16397" w:rsidP="00180C94">
            <w:pPr>
              <w:spacing w:after="0" w:line="240" w:lineRule="auto"/>
              <w:rPr>
                <w:rFonts w:ascii="Times New Roman" w:eastAsia="Times New Roman" w:hAnsi="Times New Roman" w:cs="Times New Roman"/>
                <w:b/>
                <w:bCs/>
                <w:sz w:val="24"/>
                <w:szCs w:val="24"/>
                <w:lang w:eastAsia="en-GB"/>
              </w:rPr>
            </w:pPr>
            <w:r w:rsidRPr="008E28E6">
              <w:rPr>
                <w:rFonts w:ascii="Times New Roman" w:eastAsia="Times New Roman" w:hAnsi="Times New Roman" w:cs="Times New Roman"/>
                <w:b/>
                <w:bCs/>
                <w:sz w:val="24"/>
                <w:szCs w:val="24"/>
                <w:lang w:eastAsia="en-GB"/>
              </w:rPr>
              <w:t>Convert to MoM</w:t>
            </w:r>
          </w:p>
        </w:tc>
      </w:tr>
      <w:tr w:rsidR="00A16397" w:rsidRPr="008E28E6" w14:paraId="53A41FA4"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0DE717A2"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Adam-9 (Disintegrin and metalloproteinase domain-containing protein 9)</w:t>
            </w:r>
          </w:p>
        </w:tc>
        <w:tc>
          <w:tcPr>
            <w:tcW w:w="2602" w:type="dxa"/>
            <w:tcBorders>
              <w:top w:val="nil"/>
              <w:left w:val="single" w:sz="4" w:space="0" w:color="auto"/>
              <w:bottom w:val="nil"/>
              <w:right w:val="single" w:sz="4" w:space="0" w:color="auto"/>
            </w:tcBorders>
            <w:shd w:val="clear" w:color="auto" w:fill="auto"/>
            <w:noWrap/>
            <w:vAlign w:val="center"/>
            <w:hideMark/>
          </w:tcPr>
          <w:p w14:paraId="758258D9"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Luminex Sandwich</w:t>
            </w:r>
          </w:p>
        </w:tc>
        <w:tc>
          <w:tcPr>
            <w:tcW w:w="1527" w:type="dxa"/>
            <w:tcBorders>
              <w:top w:val="nil"/>
              <w:left w:val="single" w:sz="4" w:space="0" w:color="auto"/>
              <w:bottom w:val="nil"/>
              <w:right w:val="single" w:sz="4" w:space="0" w:color="auto"/>
            </w:tcBorders>
            <w:shd w:val="clear" w:color="auto" w:fill="auto"/>
            <w:noWrap/>
            <w:vAlign w:val="center"/>
            <w:hideMark/>
          </w:tcPr>
          <w:p w14:paraId="2497631C"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 xml:space="preserve">Exclude LOD </w:t>
            </w:r>
            <w:r w:rsidRPr="008E28E6">
              <w:rPr>
                <w:rFonts w:ascii="Times New Roman" w:eastAsia="Times New Roman" w:hAnsi="Times New Roman" w:cs="Times New Roman"/>
                <w:sz w:val="24"/>
                <w:szCs w:val="24"/>
                <w:vertAlign w:val="superscript"/>
                <w:lang w:eastAsia="en-GB"/>
              </w:rPr>
              <w:t>a</w:t>
            </w:r>
          </w:p>
        </w:tc>
        <w:tc>
          <w:tcPr>
            <w:tcW w:w="1056" w:type="dxa"/>
            <w:tcBorders>
              <w:top w:val="nil"/>
              <w:left w:val="single" w:sz="4" w:space="0" w:color="auto"/>
              <w:bottom w:val="nil"/>
              <w:right w:val="nil"/>
            </w:tcBorders>
            <w:shd w:val="clear" w:color="auto" w:fill="auto"/>
            <w:noWrap/>
            <w:vAlign w:val="bottom"/>
            <w:hideMark/>
          </w:tcPr>
          <w:p w14:paraId="5EC200C3"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p>
        </w:tc>
      </w:tr>
      <w:tr w:rsidR="00A16397" w:rsidRPr="008E28E6" w14:paraId="175B1EDA"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5A5EB882"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 xml:space="preserve">Adiponectin </w:t>
            </w:r>
            <w:r w:rsidRPr="008E28E6">
              <w:rPr>
                <w:rFonts w:ascii="Times New Roman" w:eastAsia="Times New Roman" w:hAnsi="Times New Roman" w:cs="Times New Roman"/>
                <w:sz w:val="24"/>
                <w:szCs w:val="24"/>
                <w:vertAlign w:val="superscript"/>
                <w:lang w:eastAsia="en-GB"/>
              </w:rPr>
              <w:t>b</w:t>
            </w:r>
          </w:p>
        </w:tc>
        <w:tc>
          <w:tcPr>
            <w:tcW w:w="2602" w:type="dxa"/>
            <w:tcBorders>
              <w:top w:val="nil"/>
              <w:left w:val="single" w:sz="4" w:space="0" w:color="auto"/>
              <w:bottom w:val="nil"/>
              <w:right w:val="single" w:sz="4" w:space="0" w:color="auto"/>
            </w:tcBorders>
            <w:shd w:val="clear" w:color="auto" w:fill="auto"/>
            <w:noWrap/>
            <w:vAlign w:val="center"/>
            <w:hideMark/>
          </w:tcPr>
          <w:p w14:paraId="7ED93C92"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Luminex Competitive</w:t>
            </w:r>
          </w:p>
        </w:tc>
        <w:tc>
          <w:tcPr>
            <w:tcW w:w="1527" w:type="dxa"/>
            <w:tcBorders>
              <w:top w:val="nil"/>
              <w:left w:val="single" w:sz="4" w:space="0" w:color="auto"/>
              <w:bottom w:val="nil"/>
              <w:right w:val="single" w:sz="4" w:space="0" w:color="auto"/>
            </w:tcBorders>
            <w:shd w:val="clear" w:color="auto" w:fill="auto"/>
            <w:noWrap/>
            <w:vAlign w:val="center"/>
            <w:hideMark/>
          </w:tcPr>
          <w:p w14:paraId="6EF5BC13"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c>
          <w:tcPr>
            <w:tcW w:w="1056" w:type="dxa"/>
            <w:tcBorders>
              <w:top w:val="nil"/>
              <w:left w:val="single" w:sz="4" w:space="0" w:color="auto"/>
              <w:bottom w:val="nil"/>
              <w:right w:val="nil"/>
            </w:tcBorders>
            <w:shd w:val="clear" w:color="auto" w:fill="auto"/>
            <w:noWrap/>
            <w:vAlign w:val="center"/>
            <w:hideMark/>
          </w:tcPr>
          <w:p w14:paraId="643D1BA9"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p>
        </w:tc>
      </w:tr>
      <w:tr w:rsidR="00A16397" w:rsidRPr="008E28E6" w14:paraId="23284754"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1DBB5FB9"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Angiogenin</w:t>
            </w:r>
          </w:p>
        </w:tc>
        <w:tc>
          <w:tcPr>
            <w:tcW w:w="2602" w:type="dxa"/>
            <w:tcBorders>
              <w:top w:val="nil"/>
              <w:left w:val="single" w:sz="4" w:space="0" w:color="auto"/>
              <w:bottom w:val="nil"/>
              <w:right w:val="single" w:sz="4" w:space="0" w:color="auto"/>
            </w:tcBorders>
            <w:shd w:val="clear" w:color="auto" w:fill="auto"/>
            <w:noWrap/>
            <w:vAlign w:val="center"/>
            <w:hideMark/>
          </w:tcPr>
          <w:p w14:paraId="3853FD78"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Luminex Competitive</w:t>
            </w:r>
          </w:p>
        </w:tc>
        <w:tc>
          <w:tcPr>
            <w:tcW w:w="1527" w:type="dxa"/>
            <w:tcBorders>
              <w:top w:val="nil"/>
              <w:left w:val="single" w:sz="4" w:space="0" w:color="auto"/>
              <w:bottom w:val="nil"/>
              <w:right w:val="single" w:sz="4" w:space="0" w:color="auto"/>
            </w:tcBorders>
            <w:shd w:val="clear" w:color="auto" w:fill="auto"/>
            <w:noWrap/>
            <w:vAlign w:val="center"/>
            <w:hideMark/>
          </w:tcPr>
          <w:p w14:paraId="092FC674"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c>
          <w:tcPr>
            <w:tcW w:w="1056" w:type="dxa"/>
            <w:tcBorders>
              <w:top w:val="nil"/>
              <w:left w:val="single" w:sz="4" w:space="0" w:color="auto"/>
              <w:bottom w:val="nil"/>
              <w:right w:val="nil"/>
            </w:tcBorders>
            <w:shd w:val="clear" w:color="auto" w:fill="auto"/>
            <w:noWrap/>
            <w:vAlign w:val="center"/>
            <w:hideMark/>
          </w:tcPr>
          <w:p w14:paraId="08DD0C29"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p>
        </w:tc>
      </w:tr>
      <w:tr w:rsidR="00A16397" w:rsidRPr="008E28E6" w14:paraId="34AC5449"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5B453176"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Arginase-1</w:t>
            </w:r>
          </w:p>
        </w:tc>
        <w:tc>
          <w:tcPr>
            <w:tcW w:w="2602" w:type="dxa"/>
            <w:tcBorders>
              <w:top w:val="nil"/>
              <w:left w:val="single" w:sz="4" w:space="0" w:color="auto"/>
              <w:bottom w:val="nil"/>
              <w:right w:val="single" w:sz="4" w:space="0" w:color="auto"/>
            </w:tcBorders>
            <w:shd w:val="clear" w:color="auto" w:fill="auto"/>
            <w:noWrap/>
            <w:vAlign w:val="center"/>
            <w:hideMark/>
          </w:tcPr>
          <w:p w14:paraId="088774CE"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Luminex Sandwich</w:t>
            </w:r>
          </w:p>
        </w:tc>
        <w:tc>
          <w:tcPr>
            <w:tcW w:w="1527" w:type="dxa"/>
            <w:tcBorders>
              <w:top w:val="nil"/>
              <w:left w:val="single" w:sz="4" w:space="0" w:color="auto"/>
              <w:bottom w:val="nil"/>
              <w:right w:val="single" w:sz="4" w:space="0" w:color="auto"/>
            </w:tcBorders>
            <w:shd w:val="clear" w:color="auto" w:fill="auto"/>
            <w:noWrap/>
            <w:vAlign w:val="center"/>
            <w:hideMark/>
          </w:tcPr>
          <w:p w14:paraId="4F98BCC1"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c>
          <w:tcPr>
            <w:tcW w:w="1056" w:type="dxa"/>
            <w:tcBorders>
              <w:top w:val="nil"/>
              <w:left w:val="single" w:sz="4" w:space="0" w:color="auto"/>
              <w:bottom w:val="nil"/>
              <w:right w:val="nil"/>
            </w:tcBorders>
            <w:shd w:val="clear" w:color="auto" w:fill="auto"/>
            <w:noWrap/>
            <w:vAlign w:val="center"/>
            <w:hideMark/>
          </w:tcPr>
          <w:p w14:paraId="318E219D"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p>
        </w:tc>
      </w:tr>
      <w:tr w:rsidR="00A16397" w:rsidRPr="008E28E6" w14:paraId="30FDE95B"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522A3C9A" w14:textId="05183E9A"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Arginase-2</w:t>
            </w:r>
            <w:r w:rsidR="00E53225" w:rsidRPr="008E28E6">
              <w:rPr>
                <w:rFonts w:ascii="Times New Roman" w:eastAsia="Times New Roman" w:hAnsi="Times New Roman" w:cs="Times New Roman"/>
                <w:sz w:val="24"/>
                <w:szCs w:val="24"/>
                <w:lang w:eastAsia="en-GB"/>
              </w:rPr>
              <w:t xml:space="preserve"> </w:t>
            </w:r>
          </w:p>
        </w:tc>
        <w:tc>
          <w:tcPr>
            <w:tcW w:w="2602" w:type="dxa"/>
            <w:tcBorders>
              <w:top w:val="nil"/>
              <w:left w:val="single" w:sz="4" w:space="0" w:color="auto"/>
              <w:bottom w:val="nil"/>
              <w:right w:val="single" w:sz="4" w:space="0" w:color="auto"/>
            </w:tcBorders>
            <w:shd w:val="clear" w:color="auto" w:fill="auto"/>
            <w:noWrap/>
            <w:vAlign w:val="center"/>
            <w:hideMark/>
          </w:tcPr>
          <w:p w14:paraId="3963AFBF"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Luminex Sandwich</w:t>
            </w:r>
          </w:p>
        </w:tc>
        <w:tc>
          <w:tcPr>
            <w:tcW w:w="1527" w:type="dxa"/>
            <w:tcBorders>
              <w:top w:val="nil"/>
              <w:left w:val="single" w:sz="4" w:space="0" w:color="auto"/>
              <w:bottom w:val="nil"/>
              <w:right w:val="single" w:sz="4" w:space="0" w:color="auto"/>
            </w:tcBorders>
            <w:shd w:val="clear" w:color="auto" w:fill="auto"/>
            <w:noWrap/>
            <w:vAlign w:val="center"/>
            <w:hideMark/>
          </w:tcPr>
          <w:p w14:paraId="4059F705"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c>
          <w:tcPr>
            <w:tcW w:w="1056" w:type="dxa"/>
            <w:tcBorders>
              <w:top w:val="nil"/>
              <w:left w:val="single" w:sz="4" w:space="0" w:color="auto"/>
              <w:bottom w:val="nil"/>
              <w:right w:val="nil"/>
            </w:tcBorders>
            <w:shd w:val="clear" w:color="auto" w:fill="auto"/>
            <w:noWrap/>
            <w:vAlign w:val="center"/>
            <w:hideMark/>
          </w:tcPr>
          <w:p w14:paraId="56666357"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p>
        </w:tc>
      </w:tr>
      <w:tr w:rsidR="00A16397" w:rsidRPr="008E28E6" w14:paraId="57C4EAED"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17EE1F5A"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Atrial natriuretic peptide (ANP)-propeptide</w:t>
            </w:r>
          </w:p>
        </w:tc>
        <w:tc>
          <w:tcPr>
            <w:tcW w:w="2602" w:type="dxa"/>
            <w:tcBorders>
              <w:top w:val="nil"/>
              <w:left w:val="single" w:sz="4" w:space="0" w:color="auto"/>
              <w:bottom w:val="nil"/>
              <w:right w:val="single" w:sz="4" w:space="0" w:color="auto"/>
            </w:tcBorders>
            <w:shd w:val="clear" w:color="auto" w:fill="auto"/>
            <w:noWrap/>
            <w:vAlign w:val="center"/>
            <w:hideMark/>
          </w:tcPr>
          <w:p w14:paraId="25358AA0"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Luminex Sandwich</w:t>
            </w:r>
          </w:p>
        </w:tc>
        <w:tc>
          <w:tcPr>
            <w:tcW w:w="1527" w:type="dxa"/>
            <w:tcBorders>
              <w:top w:val="nil"/>
              <w:left w:val="single" w:sz="4" w:space="0" w:color="auto"/>
              <w:bottom w:val="nil"/>
              <w:right w:val="single" w:sz="4" w:space="0" w:color="auto"/>
            </w:tcBorders>
            <w:shd w:val="clear" w:color="auto" w:fill="auto"/>
            <w:noWrap/>
            <w:vAlign w:val="center"/>
            <w:hideMark/>
          </w:tcPr>
          <w:p w14:paraId="1213E82E"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c>
          <w:tcPr>
            <w:tcW w:w="1056" w:type="dxa"/>
            <w:tcBorders>
              <w:top w:val="nil"/>
              <w:left w:val="single" w:sz="4" w:space="0" w:color="auto"/>
              <w:bottom w:val="nil"/>
              <w:right w:val="nil"/>
            </w:tcBorders>
            <w:shd w:val="clear" w:color="auto" w:fill="auto"/>
            <w:noWrap/>
            <w:vAlign w:val="center"/>
            <w:hideMark/>
          </w:tcPr>
          <w:p w14:paraId="20BEEE33"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p>
        </w:tc>
      </w:tr>
      <w:tr w:rsidR="00A16397" w:rsidRPr="008E28E6" w14:paraId="15B649D2"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38755C1E"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Big Endothelin-1</w:t>
            </w:r>
          </w:p>
        </w:tc>
        <w:tc>
          <w:tcPr>
            <w:tcW w:w="2602" w:type="dxa"/>
            <w:tcBorders>
              <w:top w:val="nil"/>
              <w:left w:val="single" w:sz="4" w:space="0" w:color="auto"/>
              <w:bottom w:val="nil"/>
              <w:right w:val="single" w:sz="4" w:space="0" w:color="auto"/>
            </w:tcBorders>
            <w:shd w:val="clear" w:color="auto" w:fill="auto"/>
            <w:noWrap/>
            <w:vAlign w:val="center"/>
            <w:hideMark/>
          </w:tcPr>
          <w:p w14:paraId="095BB275"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Luminex Sandwich</w:t>
            </w:r>
          </w:p>
        </w:tc>
        <w:tc>
          <w:tcPr>
            <w:tcW w:w="1527" w:type="dxa"/>
            <w:tcBorders>
              <w:top w:val="nil"/>
              <w:left w:val="single" w:sz="4" w:space="0" w:color="auto"/>
              <w:bottom w:val="nil"/>
              <w:right w:val="single" w:sz="4" w:space="0" w:color="auto"/>
            </w:tcBorders>
            <w:shd w:val="clear" w:color="auto" w:fill="auto"/>
            <w:noWrap/>
            <w:vAlign w:val="center"/>
            <w:hideMark/>
          </w:tcPr>
          <w:p w14:paraId="1DD9F7E4"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 xml:space="preserve">Exclude LOD </w:t>
            </w:r>
            <w:r w:rsidRPr="008E28E6">
              <w:rPr>
                <w:rFonts w:ascii="Times New Roman" w:eastAsia="Times New Roman" w:hAnsi="Times New Roman" w:cs="Times New Roman"/>
                <w:sz w:val="24"/>
                <w:szCs w:val="24"/>
                <w:vertAlign w:val="superscript"/>
                <w:lang w:eastAsia="en-GB"/>
              </w:rPr>
              <w:t>a</w:t>
            </w:r>
          </w:p>
        </w:tc>
        <w:tc>
          <w:tcPr>
            <w:tcW w:w="1056" w:type="dxa"/>
            <w:tcBorders>
              <w:top w:val="nil"/>
              <w:left w:val="single" w:sz="4" w:space="0" w:color="auto"/>
              <w:bottom w:val="nil"/>
              <w:right w:val="nil"/>
            </w:tcBorders>
            <w:shd w:val="clear" w:color="auto" w:fill="auto"/>
            <w:noWrap/>
            <w:vAlign w:val="center"/>
            <w:hideMark/>
          </w:tcPr>
          <w:p w14:paraId="4E07A0F2"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p>
        </w:tc>
      </w:tr>
      <w:tr w:rsidR="00A16397" w:rsidRPr="008E28E6" w14:paraId="4EEAF09E"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0D3AB1F8"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Brain natriuretic peptide (BNP)</w:t>
            </w:r>
          </w:p>
        </w:tc>
        <w:tc>
          <w:tcPr>
            <w:tcW w:w="2602" w:type="dxa"/>
            <w:tcBorders>
              <w:top w:val="nil"/>
              <w:left w:val="single" w:sz="4" w:space="0" w:color="auto"/>
              <w:bottom w:val="nil"/>
              <w:right w:val="single" w:sz="4" w:space="0" w:color="auto"/>
            </w:tcBorders>
            <w:shd w:val="clear" w:color="auto" w:fill="auto"/>
            <w:noWrap/>
            <w:vAlign w:val="center"/>
            <w:hideMark/>
          </w:tcPr>
          <w:p w14:paraId="1FCA1ECF"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Luminex Sandwich</w:t>
            </w:r>
          </w:p>
        </w:tc>
        <w:tc>
          <w:tcPr>
            <w:tcW w:w="1527" w:type="dxa"/>
            <w:tcBorders>
              <w:top w:val="nil"/>
              <w:left w:val="single" w:sz="4" w:space="0" w:color="auto"/>
              <w:bottom w:val="nil"/>
              <w:right w:val="single" w:sz="4" w:space="0" w:color="auto"/>
            </w:tcBorders>
            <w:shd w:val="clear" w:color="auto" w:fill="auto"/>
            <w:noWrap/>
            <w:vAlign w:val="center"/>
            <w:hideMark/>
          </w:tcPr>
          <w:p w14:paraId="280CA904"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c>
          <w:tcPr>
            <w:tcW w:w="1056" w:type="dxa"/>
            <w:tcBorders>
              <w:top w:val="nil"/>
              <w:left w:val="single" w:sz="4" w:space="0" w:color="auto"/>
              <w:bottom w:val="nil"/>
              <w:right w:val="nil"/>
            </w:tcBorders>
            <w:shd w:val="clear" w:color="auto" w:fill="auto"/>
            <w:noWrap/>
            <w:vAlign w:val="center"/>
            <w:hideMark/>
          </w:tcPr>
          <w:p w14:paraId="08BCD2AD"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r>
      <w:tr w:rsidR="00A16397" w:rsidRPr="008E28E6" w14:paraId="09E3CBFE"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261DB8F6"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C-Met</w:t>
            </w:r>
          </w:p>
        </w:tc>
        <w:tc>
          <w:tcPr>
            <w:tcW w:w="2602" w:type="dxa"/>
            <w:tcBorders>
              <w:top w:val="nil"/>
              <w:left w:val="single" w:sz="4" w:space="0" w:color="auto"/>
              <w:bottom w:val="nil"/>
              <w:right w:val="single" w:sz="4" w:space="0" w:color="auto"/>
            </w:tcBorders>
            <w:shd w:val="clear" w:color="auto" w:fill="auto"/>
            <w:noWrap/>
            <w:vAlign w:val="center"/>
            <w:hideMark/>
          </w:tcPr>
          <w:p w14:paraId="5D4D8DDB"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Luminex Sandwich</w:t>
            </w:r>
          </w:p>
        </w:tc>
        <w:tc>
          <w:tcPr>
            <w:tcW w:w="1527" w:type="dxa"/>
            <w:tcBorders>
              <w:top w:val="nil"/>
              <w:left w:val="single" w:sz="4" w:space="0" w:color="auto"/>
              <w:bottom w:val="nil"/>
              <w:right w:val="single" w:sz="4" w:space="0" w:color="auto"/>
            </w:tcBorders>
            <w:shd w:val="clear" w:color="auto" w:fill="auto"/>
            <w:noWrap/>
            <w:vAlign w:val="center"/>
            <w:hideMark/>
          </w:tcPr>
          <w:p w14:paraId="0347F842"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c>
          <w:tcPr>
            <w:tcW w:w="1056" w:type="dxa"/>
            <w:tcBorders>
              <w:top w:val="nil"/>
              <w:left w:val="single" w:sz="4" w:space="0" w:color="auto"/>
              <w:bottom w:val="nil"/>
              <w:right w:val="nil"/>
            </w:tcBorders>
            <w:shd w:val="clear" w:color="auto" w:fill="auto"/>
            <w:noWrap/>
            <w:vAlign w:val="center"/>
            <w:hideMark/>
          </w:tcPr>
          <w:p w14:paraId="7B0BAC74"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p>
        </w:tc>
      </w:tr>
      <w:tr w:rsidR="00A16397" w:rsidRPr="008E28E6" w14:paraId="0780FA6C"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03157E68"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C-reactive protein (CRP)</w:t>
            </w:r>
          </w:p>
        </w:tc>
        <w:tc>
          <w:tcPr>
            <w:tcW w:w="2602" w:type="dxa"/>
            <w:tcBorders>
              <w:top w:val="nil"/>
              <w:left w:val="single" w:sz="4" w:space="0" w:color="auto"/>
              <w:bottom w:val="nil"/>
              <w:right w:val="single" w:sz="4" w:space="0" w:color="auto"/>
            </w:tcBorders>
            <w:shd w:val="clear" w:color="auto" w:fill="auto"/>
            <w:noWrap/>
            <w:vAlign w:val="center"/>
            <w:hideMark/>
          </w:tcPr>
          <w:p w14:paraId="6A9F18EC"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Luminex Competitive</w:t>
            </w:r>
          </w:p>
        </w:tc>
        <w:tc>
          <w:tcPr>
            <w:tcW w:w="1527" w:type="dxa"/>
            <w:tcBorders>
              <w:top w:val="nil"/>
              <w:left w:val="single" w:sz="4" w:space="0" w:color="auto"/>
              <w:bottom w:val="nil"/>
              <w:right w:val="single" w:sz="4" w:space="0" w:color="auto"/>
            </w:tcBorders>
            <w:shd w:val="clear" w:color="auto" w:fill="auto"/>
            <w:noWrap/>
            <w:vAlign w:val="center"/>
            <w:hideMark/>
          </w:tcPr>
          <w:p w14:paraId="748BF7F7"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c>
          <w:tcPr>
            <w:tcW w:w="1056" w:type="dxa"/>
            <w:tcBorders>
              <w:top w:val="nil"/>
              <w:left w:val="single" w:sz="4" w:space="0" w:color="auto"/>
              <w:bottom w:val="nil"/>
              <w:right w:val="nil"/>
            </w:tcBorders>
            <w:shd w:val="clear" w:color="auto" w:fill="auto"/>
            <w:noWrap/>
            <w:vAlign w:val="center"/>
            <w:hideMark/>
          </w:tcPr>
          <w:p w14:paraId="38B4B498"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p>
        </w:tc>
      </w:tr>
      <w:tr w:rsidR="00A16397" w:rsidRPr="008E28E6" w14:paraId="1443F512"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7A13B47B"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C-X-C motif chemokine 10 (CXCL 10)</w:t>
            </w:r>
          </w:p>
        </w:tc>
        <w:tc>
          <w:tcPr>
            <w:tcW w:w="2602" w:type="dxa"/>
            <w:tcBorders>
              <w:top w:val="nil"/>
              <w:left w:val="single" w:sz="4" w:space="0" w:color="auto"/>
              <w:bottom w:val="nil"/>
              <w:right w:val="single" w:sz="4" w:space="0" w:color="auto"/>
            </w:tcBorders>
            <w:shd w:val="clear" w:color="auto" w:fill="auto"/>
            <w:noWrap/>
            <w:vAlign w:val="center"/>
            <w:hideMark/>
          </w:tcPr>
          <w:p w14:paraId="60FFDC2D"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Luminex Sandwich</w:t>
            </w:r>
          </w:p>
        </w:tc>
        <w:tc>
          <w:tcPr>
            <w:tcW w:w="1527" w:type="dxa"/>
            <w:tcBorders>
              <w:top w:val="nil"/>
              <w:left w:val="single" w:sz="4" w:space="0" w:color="auto"/>
              <w:bottom w:val="nil"/>
              <w:right w:val="single" w:sz="4" w:space="0" w:color="auto"/>
            </w:tcBorders>
            <w:shd w:val="clear" w:color="auto" w:fill="auto"/>
            <w:noWrap/>
            <w:vAlign w:val="center"/>
            <w:hideMark/>
          </w:tcPr>
          <w:p w14:paraId="52AE902D"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c>
          <w:tcPr>
            <w:tcW w:w="1056" w:type="dxa"/>
            <w:tcBorders>
              <w:top w:val="nil"/>
              <w:left w:val="single" w:sz="4" w:space="0" w:color="auto"/>
              <w:bottom w:val="nil"/>
              <w:right w:val="nil"/>
            </w:tcBorders>
            <w:shd w:val="clear" w:color="auto" w:fill="auto"/>
            <w:noWrap/>
            <w:vAlign w:val="center"/>
            <w:hideMark/>
          </w:tcPr>
          <w:p w14:paraId="0DDDE26C"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p>
        </w:tc>
      </w:tr>
      <w:tr w:rsidR="00A16397" w:rsidRPr="008E28E6" w14:paraId="2ED7E90B"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0E1D70FC"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Carboxypeptidase A4 (CPA-4) precursor</w:t>
            </w:r>
          </w:p>
        </w:tc>
        <w:tc>
          <w:tcPr>
            <w:tcW w:w="2602" w:type="dxa"/>
            <w:tcBorders>
              <w:top w:val="nil"/>
              <w:left w:val="single" w:sz="4" w:space="0" w:color="auto"/>
              <w:bottom w:val="nil"/>
              <w:right w:val="single" w:sz="4" w:space="0" w:color="auto"/>
            </w:tcBorders>
            <w:shd w:val="clear" w:color="auto" w:fill="auto"/>
            <w:noWrap/>
            <w:vAlign w:val="center"/>
            <w:hideMark/>
          </w:tcPr>
          <w:p w14:paraId="1A8424ED"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Luminex Sandwich</w:t>
            </w:r>
          </w:p>
        </w:tc>
        <w:tc>
          <w:tcPr>
            <w:tcW w:w="1527" w:type="dxa"/>
            <w:tcBorders>
              <w:top w:val="nil"/>
              <w:left w:val="single" w:sz="4" w:space="0" w:color="auto"/>
              <w:bottom w:val="nil"/>
              <w:right w:val="single" w:sz="4" w:space="0" w:color="auto"/>
            </w:tcBorders>
            <w:shd w:val="clear" w:color="auto" w:fill="auto"/>
            <w:noWrap/>
            <w:vAlign w:val="center"/>
            <w:hideMark/>
          </w:tcPr>
          <w:p w14:paraId="5A896679"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c>
          <w:tcPr>
            <w:tcW w:w="1056" w:type="dxa"/>
            <w:tcBorders>
              <w:top w:val="nil"/>
              <w:left w:val="single" w:sz="4" w:space="0" w:color="auto"/>
              <w:bottom w:val="nil"/>
              <w:right w:val="nil"/>
            </w:tcBorders>
            <w:shd w:val="clear" w:color="auto" w:fill="auto"/>
            <w:noWrap/>
            <w:vAlign w:val="center"/>
            <w:hideMark/>
          </w:tcPr>
          <w:p w14:paraId="642D09A5"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p>
        </w:tc>
      </w:tr>
      <w:tr w:rsidR="00A16397" w:rsidRPr="008E28E6" w14:paraId="3D013CDC"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2C140644"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Caspase-3</w:t>
            </w:r>
          </w:p>
        </w:tc>
        <w:tc>
          <w:tcPr>
            <w:tcW w:w="2602" w:type="dxa"/>
            <w:tcBorders>
              <w:top w:val="nil"/>
              <w:left w:val="single" w:sz="4" w:space="0" w:color="auto"/>
              <w:bottom w:val="nil"/>
              <w:right w:val="single" w:sz="4" w:space="0" w:color="auto"/>
            </w:tcBorders>
            <w:shd w:val="clear" w:color="auto" w:fill="auto"/>
            <w:noWrap/>
            <w:vAlign w:val="center"/>
            <w:hideMark/>
          </w:tcPr>
          <w:p w14:paraId="17412C2F"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Luminex Sandwich</w:t>
            </w:r>
          </w:p>
        </w:tc>
        <w:tc>
          <w:tcPr>
            <w:tcW w:w="1527" w:type="dxa"/>
            <w:tcBorders>
              <w:top w:val="nil"/>
              <w:left w:val="single" w:sz="4" w:space="0" w:color="auto"/>
              <w:bottom w:val="nil"/>
              <w:right w:val="single" w:sz="4" w:space="0" w:color="auto"/>
            </w:tcBorders>
            <w:shd w:val="clear" w:color="auto" w:fill="auto"/>
            <w:noWrap/>
            <w:vAlign w:val="center"/>
            <w:hideMark/>
          </w:tcPr>
          <w:p w14:paraId="3A48B382"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c>
          <w:tcPr>
            <w:tcW w:w="1056" w:type="dxa"/>
            <w:tcBorders>
              <w:top w:val="nil"/>
              <w:left w:val="single" w:sz="4" w:space="0" w:color="auto"/>
              <w:bottom w:val="nil"/>
              <w:right w:val="nil"/>
            </w:tcBorders>
            <w:shd w:val="clear" w:color="auto" w:fill="auto"/>
            <w:noWrap/>
            <w:vAlign w:val="center"/>
            <w:hideMark/>
          </w:tcPr>
          <w:p w14:paraId="121B510E"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p>
        </w:tc>
      </w:tr>
      <w:tr w:rsidR="00A16397" w:rsidRPr="008E28E6" w14:paraId="4D7DE917"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7388954B"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Chemokine (C-C motif) ligand 23 (CCL23)</w:t>
            </w:r>
          </w:p>
        </w:tc>
        <w:tc>
          <w:tcPr>
            <w:tcW w:w="2602" w:type="dxa"/>
            <w:tcBorders>
              <w:top w:val="nil"/>
              <w:left w:val="single" w:sz="4" w:space="0" w:color="auto"/>
              <w:bottom w:val="nil"/>
              <w:right w:val="single" w:sz="4" w:space="0" w:color="auto"/>
            </w:tcBorders>
            <w:shd w:val="clear" w:color="auto" w:fill="auto"/>
            <w:noWrap/>
            <w:vAlign w:val="center"/>
            <w:hideMark/>
          </w:tcPr>
          <w:p w14:paraId="59D44220"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Luminex Sandwich</w:t>
            </w:r>
          </w:p>
        </w:tc>
        <w:tc>
          <w:tcPr>
            <w:tcW w:w="1527" w:type="dxa"/>
            <w:tcBorders>
              <w:top w:val="nil"/>
              <w:left w:val="single" w:sz="4" w:space="0" w:color="auto"/>
              <w:bottom w:val="nil"/>
              <w:right w:val="single" w:sz="4" w:space="0" w:color="auto"/>
            </w:tcBorders>
            <w:shd w:val="clear" w:color="auto" w:fill="auto"/>
            <w:noWrap/>
            <w:vAlign w:val="center"/>
            <w:hideMark/>
          </w:tcPr>
          <w:p w14:paraId="3EF9A469"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c>
          <w:tcPr>
            <w:tcW w:w="1056" w:type="dxa"/>
            <w:tcBorders>
              <w:top w:val="nil"/>
              <w:left w:val="single" w:sz="4" w:space="0" w:color="auto"/>
              <w:bottom w:val="nil"/>
              <w:right w:val="nil"/>
            </w:tcBorders>
            <w:shd w:val="clear" w:color="auto" w:fill="auto"/>
            <w:noWrap/>
            <w:vAlign w:val="center"/>
            <w:hideMark/>
          </w:tcPr>
          <w:p w14:paraId="0A25215F"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p>
        </w:tc>
      </w:tr>
      <w:tr w:rsidR="00A16397" w:rsidRPr="008E28E6" w14:paraId="1F710573"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7263FE4E"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 xml:space="preserve">Cholesterol (total) </w:t>
            </w:r>
            <w:r w:rsidRPr="008E28E6">
              <w:rPr>
                <w:rFonts w:ascii="Times New Roman" w:eastAsia="Times New Roman" w:hAnsi="Times New Roman" w:cs="Times New Roman"/>
                <w:sz w:val="24"/>
                <w:szCs w:val="24"/>
                <w:vertAlign w:val="superscript"/>
                <w:lang w:eastAsia="en-GB"/>
              </w:rPr>
              <w:t>b</w:t>
            </w:r>
          </w:p>
        </w:tc>
        <w:tc>
          <w:tcPr>
            <w:tcW w:w="2602" w:type="dxa"/>
            <w:tcBorders>
              <w:top w:val="nil"/>
              <w:left w:val="single" w:sz="4" w:space="0" w:color="auto"/>
              <w:bottom w:val="nil"/>
              <w:right w:val="single" w:sz="4" w:space="0" w:color="auto"/>
            </w:tcBorders>
            <w:shd w:val="clear" w:color="auto" w:fill="auto"/>
            <w:vAlign w:val="center"/>
            <w:hideMark/>
          </w:tcPr>
          <w:p w14:paraId="011FE635"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Enzymatic Colorimetric</w:t>
            </w:r>
          </w:p>
        </w:tc>
        <w:tc>
          <w:tcPr>
            <w:tcW w:w="1527" w:type="dxa"/>
            <w:tcBorders>
              <w:top w:val="nil"/>
              <w:left w:val="single" w:sz="4" w:space="0" w:color="auto"/>
              <w:bottom w:val="nil"/>
              <w:right w:val="single" w:sz="4" w:space="0" w:color="auto"/>
            </w:tcBorders>
            <w:shd w:val="clear" w:color="auto" w:fill="auto"/>
            <w:noWrap/>
            <w:vAlign w:val="center"/>
            <w:hideMark/>
          </w:tcPr>
          <w:p w14:paraId="3FCF3A13"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c>
          <w:tcPr>
            <w:tcW w:w="1056" w:type="dxa"/>
            <w:tcBorders>
              <w:top w:val="nil"/>
              <w:left w:val="single" w:sz="4" w:space="0" w:color="auto"/>
              <w:bottom w:val="nil"/>
              <w:right w:val="nil"/>
            </w:tcBorders>
            <w:shd w:val="clear" w:color="auto" w:fill="auto"/>
            <w:noWrap/>
            <w:vAlign w:val="center"/>
            <w:hideMark/>
          </w:tcPr>
          <w:p w14:paraId="0BF3B4F0"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r>
      <w:tr w:rsidR="00A16397" w:rsidRPr="008E28E6" w14:paraId="58353AE5"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4DEAD156"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Cystatin C</w:t>
            </w:r>
          </w:p>
        </w:tc>
        <w:tc>
          <w:tcPr>
            <w:tcW w:w="2602" w:type="dxa"/>
            <w:tcBorders>
              <w:top w:val="nil"/>
              <w:left w:val="single" w:sz="4" w:space="0" w:color="auto"/>
              <w:bottom w:val="nil"/>
              <w:right w:val="single" w:sz="4" w:space="0" w:color="auto"/>
            </w:tcBorders>
            <w:shd w:val="clear" w:color="auto" w:fill="auto"/>
            <w:noWrap/>
            <w:vAlign w:val="center"/>
            <w:hideMark/>
          </w:tcPr>
          <w:p w14:paraId="446DB1CD"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ELISA Competitive</w:t>
            </w:r>
          </w:p>
        </w:tc>
        <w:tc>
          <w:tcPr>
            <w:tcW w:w="1527" w:type="dxa"/>
            <w:tcBorders>
              <w:top w:val="nil"/>
              <w:left w:val="single" w:sz="4" w:space="0" w:color="auto"/>
              <w:bottom w:val="nil"/>
              <w:right w:val="single" w:sz="4" w:space="0" w:color="auto"/>
            </w:tcBorders>
            <w:shd w:val="clear" w:color="auto" w:fill="auto"/>
            <w:noWrap/>
            <w:vAlign w:val="center"/>
            <w:hideMark/>
          </w:tcPr>
          <w:p w14:paraId="3F4ACBFB"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c>
          <w:tcPr>
            <w:tcW w:w="1056" w:type="dxa"/>
            <w:tcBorders>
              <w:top w:val="nil"/>
              <w:left w:val="single" w:sz="4" w:space="0" w:color="auto"/>
              <w:bottom w:val="nil"/>
              <w:right w:val="nil"/>
            </w:tcBorders>
            <w:shd w:val="clear" w:color="auto" w:fill="auto"/>
            <w:noWrap/>
            <w:vAlign w:val="center"/>
            <w:hideMark/>
          </w:tcPr>
          <w:p w14:paraId="3380331A"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p>
        </w:tc>
      </w:tr>
      <w:tr w:rsidR="00A16397" w:rsidRPr="008E28E6" w14:paraId="7831E8CE"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0D2143DA"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Elafin</w:t>
            </w:r>
          </w:p>
        </w:tc>
        <w:tc>
          <w:tcPr>
            <w:tcW w:w="2602" w:type="dxa"/>
            <w:tcBorders>
              <w:top w:val="nil"/>
              <w:left w:val="single" w:sz="4" w:space="0" w:color="auto"/>
              <w:bottom w:val="nil"/>
              <w:right w:val="single" w:sz="4" w:space="0" w:color="auto"/>
            </w:tcBorders>
            <w:shd w:val="clear" w:color="auto" w:fill="auto"/>
            <w:noWrap/>
            <w:vAlign w:val="center"/>
            <w:hideMark/>
          </w:tcPr>
          <w:p w14:paraId="5034C1CF"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Luminex Competitive</w:t>
            </w:r>
          </w:p>
        </w:tc>
        <w:tc>
          <w:tcPr>
            <w:tcW w:w="1527" w:type="dxa"/>
            <w:tcBorders>
              <w:top w:val="nil"/>
              <w:left w:val="single" w:sz="4" w:space="0" w:color="auto"/>
              <w:bottom w:val="nil"/>
              <w:right w:val="single" w:sz="4" w:space="0" w:color="auto"/>
            </w:tcBorders>
            <w:shd w:val="clear" w:color="auto" w:fill="auto"/>
            <w:noWrap/>
            <w:vAlign w:val="center"/>
            <w:hideMark/>
          </w:tcPr>
          <w:p w14:paraId="12FC0435"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c>
          <w:tcPr>
            <w:tcW w:w="1056" w:type="dxa"/>
            <w:tcBorders>
              <w:top w:val="nil"/>
              <w:left w:val="single" w:sz="4" w:space="0" w:color="auto"/>
              <w:bottom w:val="nil"/>
              <w:right w:val="nil"/>
            </w:tcBorders>
            <w:shd w:val="clear" w:color="auto" w:fill="auto"/>
            <w:noWrap/>
            <w:vAlign w:val="center"/>
            <w:hideMark/>
          </w:tcPr>
          <w:p w14:paraId="693A2F35"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p>
        </w:tc>
      </w:tr>
      <w:tr w:rsidR="00A16397" w:rsidRPr="008E28E6" w14:paraId="435BE10C"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2DBD1DE6"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Endoglin</w:t>
            </w:r>
          </w:p>
        </w:tc>
        <w:tc>
          <w:tcPr>
            <w:tcW w:w="2602" w:type="dxa"/>
            <w:tcBorders>
              <w:top w:val="nil"/>
              <w:left w:val="single" w:sz="4" w:space="0" w:color="auto"/>
              <w:bottom w:val="nil"/>
              <w:right w:val="single" w:sz="4" w:space="0" w:color="auto"/>
            </w:tcBorders>
            <w:shd w:val="clear" w:color="auto" w:fill="auto"/>
            <w:noWrap/>
            <w:vAlign w:val="center"/>
            <w:hideMark/>
          </w:tcPr>
          <w:p w14:paraId="4B30CC28"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ELISA Sandwich</w:t>
            </w:r>
          </w:p>
        </w:tc>
        <w:tc>
          <w:tcPr>
            <w:tcW w:w="1527" w:type="dxa"/>
            <w:tcBorders>
              <w:top w:val="nil"/>
              <w:left w:val="single" w:sz="4" w:space="0" w:color="auto"/>
              <w:bottom w:val="nil"/>
              <w:right w:val="single" w:sz="4" w:space="0" w:color="auto"/>
            </w:tcBorders>
            <w:shd w:val="clear" w:color="auto" w:fill="auto"/>
            <w:noWrap/>
            <w:vAlign w:val="center"/>
            <w:hideMark/>
          </w:tcPr>
          <w:p w14:paraId="2A14FEF0"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c>
          <w:tcPr>
            <w:tcW w:w="1056" w:type="dxa"/>
            <w:tcBorders>
              <w:top w:val="nil"/>
              <w:left w:val="single" w:sz="4" w:space="0" w:color="auto"/>
              <w:bottom w:val="nil"/>
              <w:right w:val="nil"/>
            </w:tcBorders>
            <w:shd w:val="clear" w:color="auto" w:fill="auto"/>
            <w:noWrap/>
            <w:vAlign w:val="center"/>
            <w:hideMark/>
          </w:tcPr>
          <w:p w14:paraId="0284FFF4"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p>
        </w:tc>
      </w:tr>
      <w:tr w:rsidR="00A16397" w:rsidRPr="008E28E6" w14:paraId="77B7F69A"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36D5660D"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Endothelial cell-selective adhesion molecule (ESAM-1)</w:t>
            </w:r>
          </w:p>
        </w:tc>
        <w:tc>
          <w:tcPr>
            <w:tcW w:w="2602" w:type="dxa"/>
            <w:tcBorders>
              <w:top w:val="nil"/>
              <w:left w:val="single" w:sz="4" w:space="0" w:color="auto"/>
              <w:bottom w:val="nil"/>
              <w:right w:val="single" w:sz="4" w:space="0" w:color="auto"/>
            </w:tcBorders>
            <w:shd w:val="clear" w:color="auto" w:fill="auto"/>
            <w:noWrap/>
            <w:vAlign w:val="center"/>
            <w:hideMark/>
          </w:tcPr>
          <w:p w14:paraId="33B8BF4A"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Luminex Sandwich</w:t>
            </w:r>
          </w:p>
        </w:tc>
        <w:tc>
          <w:tcPr>
            <w:tcW w:w="1527" w:type="dxa"/>
            <w:tcBorders>
              <w:top w:val="nil"/>
              <w:left w:val="single" w:sz="4" w:space="0" w:color="auto"/>
              <w:bottom w:val="nil"/>
              <w:right w:val="single" w:sz="4" w:space="0" w:color="auto"/>
            </w:tcBorders>
            <w:shd w:val="clear" w:color="auto" w:fill="auto"/>
            <w:noWrap/>
            <w:vAlign w:val="center"/>
            <w:hideMark/>
          </w:tcPr>
          <w:p w14:paraId="518F470F"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c>
          <w:tcPr>
            <w:tcW w:w="1056" w:type="dxa"/>
            <w:tcBorders>
              <w:top w:val="nil"/>
              <w:left w:val="single" w:sz="4" w:space="0" w:color="auto"/>
              <w:bottom w:val="nil"/>
              <w:right w:val="nil"/>
            </w:tcBorders>
            <w:shd w:val="clear" w:color="auto" w:fill="auto"/>
            <w:noWrap/>
            <w:vAlign w:val="center"/>
            <w:hideMark/>
          </w:tcPr>
          <w:p w14:paraId="00A5E7BD"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p>
        </w:tc>
      </w:tr>
      <w:tr w:rsidR="00A16397" w:rsidRPr="008E28E6" w14:paraId="34E38A02"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677C73F2"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Ephrin-receptor-2</w:t>
            </w:r>
          </w:p>
        </w:tc>
        <w:tc>
          <w:tcPr>
            <w:tcW w:w="2602" w:type="dxa"/>
            <w:tcBorders>
              <w:top w:val="nil"/>
              <w:left w:val="single" w:sz="4" w:space="0" w:color="auto"/>
              <w:bottom w:val="nil"/>
              <w:right w:val="single" w:sz="4" w:space="0" w:color="auto"/>
            </w:tcBorders>
            <w:shd w:val="clear" w:color="auto" w:fill="auto"/>
            <w:noWrap/>
            <w:vAlign w:val="center"/>
            <w:hideMark/>
          </w:tcPr>
          <w:p w14:paraId="2C78F5FD"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Luminex Sandwich</w:t>
            </w:r>
          </w:p>
        </w:tc>
        <w:tc>
          <w:tcPr>
            <w:tcW w:w="1527" w:type="dxa"/>
            <w:tcBorders>
              <w:top w:val="nil"/>
              <w:left w:val="single" w:sz="4" w:space="0" w:color="auto"/>
              <w:bottom w:val="nil"/>
              <w:right w:val="single" w:sz="4" w:space="0" w:color="auto"/>
            </w:tcBorders>
            <w:shd w:val="clear" w:color="auto" w:fill="auto"/>
            <w:noWrap/>
            <w:vAlign w:val="center"/>
            <w:hideMark/>
          </w:tcPr>
          <w:p w14:paraId="3781B40A"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 xml:space="preserve">Exclude LOD </w:t>
            </w:r>
            <w:r w:rsidRPr="008E28E6">
              <w:rPr>
                <w:rFonts w:ascii="Times New Roman" w:eastAsia="Times New Roman" w:hAnsi="Times New Roman" w:cs="Times New Roman"/>
                <w:sz w:val="24"/>
                <w:szCs w:val="24"/>
                <w:vertAlign w:val="superscript"/>
                <w:lang w:eastAsia="en-GB"/>
              </w:rPr>
              <w:t>a</w:t>
            </w:r>
          </w:p>
        </w:tc>
        <w:tc>
          <w:tcPr>
            <w:tcW w:w="1056" w:type="dxa"/>
            <w:tcBorders>
              <w:top w:val="nil"/>
              <w:left w:val="single" w:sz="4" w:space="0" w:color="auto"/>
              <w:bottom w:val="nil"/>
              <w:right w:val="nil"/>
            </w:tcBorders>
            <w:shd w:val="clear" w:color="auto" w:fill="auto"/>
            <w:noWrap/>
            <w:vAlign w:val="center"/>
            <w:hideMark/>
          </w:tcPr>
          <w:p w14:paraId="05E4C844"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p>
        </w:tc>
      </w:tr>
      <w:tr w:rsidR="00A16397" w:rsidRPr="008E28E6" w14:paraId="30A4EF74"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18323623"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Factor inhibiting hypoxia inducible factor 1α (FIH)</w:t>
            </w:r>
          </w:p>
        </w:tc>
        <w:tc>
          <w:tcPr>
            <w:tcW w:w="2602" w:type="dxa"/>
            <w:tcBorders>
              <w:top w:val="nil"/>
              <w:left w:val="single" w:sz="4" w:space="0" w:color="auto"/>
              <w:bottom w:val="nil"/>
              <w:right w:val="single" w:sz="4" w:space="0" w:color="auto"/>
            </w:tcBorders>
            <w:shd w:val="clear" w:color="auto" w:fill="auto"/>
            <w:noWrap/>
            <w:vAlign w:val="center"/>
            <w:hideMark/>
          </w:tcPr>
          <w:p w14:paraId="59539429"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Luminex Sandwich</w:t>
            </w:r>
          </w:p>
        </w:tc>
        <w:tc>
          <w:tcPr>
            <w:tcW w:w="1527" w:type="dxa"/>
            <w:tcBorders>
              <w:top w:val="nil"/>
              <w:left w:val="single" w:sz="4" w:space="0" w:color="auto"/>
              <w:bottom w:val="nil"/>
              <w:right w:val="single" w:sz="4" w:space="0" w:color="auto"/>
            </w:tcBorders>
            <w:shd w:val="clear" w:color="auto" w:fill="auto"/>
            <w:noWrap/>
            <w:vAlign w:val="center"/>
            <w:hideMark/>
          </w:tcPr>
          <w:p w14:paraId="7667D29E"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c>
          <w:tcPr>
            <w:tcW w:w="1056" w:type="dxa"/>
            <w:tcBorders>
              <w:top w:val="nil"/>
              <w:left w:val="single" w:sz="4" w:space="0" w:color="auto"/>
              <w:bottom w:val="nil"/>
              <w:right w:val="nil"/>
            </w:tcBorders>
            <w:shd w:val="clear" w:color="auto" w:fill="auto"/>
            <w:noWrap/>
            <w:vAlign w:val="center"/>
            <w:hideMark/>
          </w:tcPr>
          <w:p w14:paraId="0807DC8E"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p>
        </w:tc>
      </w:tr>
      <w:tr w:rsidR="00A16397" w:rsidRPr="008E28E6" w14:paraId="4952E457"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42831400"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Fas cell surface death receptor (FAS)</w:t>
            </w:r>
          </w:p>
        </w:tc>
        <w:tc>
          <w:tcPr>
            <w:tcW w:w="2602" w:type="dxa"/>
            <w:tcBorders>
              <w:top w:val="nil"/>
              <w:left w:val="single" w:sz="4" w:space="0" w:color="auto"/>
              <w:bottom w:val="nil"/>
              <w:right w:val="single" w:sz="4" w:space="0" w:color="auto"/>
            </w:tcBorders>
            <w:shd w:val="clear" w:color="auto" w:fill="auto"/>
            <w:noWrap/>
            <w:vAlign w:val="center"/>
            <w:hideMark/>
          </w:tcPr>
          <w:p w14:paraId="39A31C31"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Luminex Sandwich</w:t>
            </w:r>
          </w:p>
        </w:tc>
        <w:tc>
          <w:tcPr>
            <w:tcW w:w="1527" w:type="dxa"/>
            <w:tcBorders>
              <w:top w:val="nil"/>
              <w:left w:val="single" w:sz="4" w:space="0" w:color="auto"/>
              <w:bottom w:val="nil"/>
              <w:right w:val="single" w:sz="4" w:space="0" w:color="auto"/>
            </w:tcBorders>
            <w:shd w:val="clear" w:color="auto" w:fill="auto"/>
            <w:noWrap/>
            <w:vAlign w:val="center"/>
            <w:hideMark/>
          </w:tcPr>
          <w:p w14:paraId="417D559F"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c>
          <w:tcPr>
            <w:tcW w:w="1056" w:type="dxa"/>
            <w:tcBorders>
              <w:top w:val="nil"/>
              <w:left w:val="single" w:sz="4" w:space="0" w:color="auto"/>
              <w:bottom w:val="nil"/>
              <w:right w:val="nil"/>
            </w:tcBorders>
            <w:shd w:val="clear" w:color="auto" w:fill="auto"/>
            <w:noWrap/>
            <w:vAlign w:val="center"/>
            <w:hideMark/>
          </w:tcPr>
          <w:p w14:paraId="004A9C18"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r>
      <w:tr w:rsidR="00A16397" w:rsidRPr="008E28E6" w14:paraId="18CD5805"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0C0EAA1D"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Fas ligand (Fas L)-soluble</w:t>
            </w:r>
          </w:p>
        </w:tc>
        <w:tc>
          <w:tcPr>
            <w:tcW w:w="2602" w:type="dxa"/>
            <w:tcBorders>
              <w:top w:val="nil"/>
              <w:left w:val="single" w:sz="4" w:space="0" w:color="auto"/>
              <w:bottom w:val="nil"/>
              <w:right w:val="single" w:sz="4" w:space="0" w:color="auto"/>
            </w:tcBorders>
            <w:shd w:val="clear" w:color="auto" w:fill="auto"/>
            <w:noWrap/>
            <w:vAlign w:val="center"/>
            <w:hideMark/>
          </w:tcPr>
          <w:p w14:paraId="29A0C77E"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Luminex Sandwich</w:t>
            </w:r>
          </w:p>
        </w:tc>
        <w:tc>
          <w:tcPr>
            <w:tcW w:w="1527" w:type="dxa"/>
            <w:tcBorders>
              <w:top w:val="nil"/>
              <w:left w:val="single" w:sz="4" w:space="0" w:color="auto"/>
              <w:bottom w:val="nil"/>
              <w:right w:val="single" w:sz="4" w:space="0" w:color="auto"/>
            </w:tcBorders>
            <w:shd w:val="clear" w:color="auto" w:fill="auto"/>
            <w:noWrap/>
            <w:vAlign w:val="center"/>
            <w:hideMark/>
          </w:tcPr>
          <w:p w14:paraId="18120604"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 xml:space="preserve">Exclude LOD </w:t>
            </w:r>
            <w:r w:rsidRPr="008E28E6">
              <w:rPr>
                <w:rFonts w:ascii="Times New Roman" w:eastAsia="Times New Roman" w:hAnsi="Times New Roman" w:cs="Times New Roman"/>
                <w:sz w:val="24"/>
                <w:szCs w:val="24"/>
                <w:vertAlign w:val="superscript"/>
                <w:lang w:eastAsia="en-GB"/>
              </w:rPr>
              <w:t>a</w:t>
            </w:r>
          </w:p>
        </w:tc>
        <w:tc>
          <w:tcPr>
            <w:tcW w:w="1056" w:type="dxa"/>
            <w:tcBorders>
              <w:top w:val="nil"/>
              <w:left w:val="single" w:sz="4" w:space="0" w:color="auto"/>
              <w:bottom w:val="nil"/>
              <w:right w:val="nil"/>
            </w:tcBorders>
            <w:shd w:val="clear" w:color="auto" w:fill="auto"/>
            <w:noWrap/>
            <w:vAlign w:val="center"/>
            <w:hideMark/>
          </w:tcPr>
          <w:p w14:paraId="067D87BF"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p>
        </w:tc>
      </w:tr>
      <w:tr w:rsidR="00A16397" w:rsidRPr="008E28E6" w14:paraId="05F0B5EA"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53A616A6"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 xml:space="preserve">HDL-cholesterol </w:t>
            </w:r>
            <w:r w:rsidRPr="008E28E6">
              <w:rPr>
                <w:rFonts w:ascii="Times New Roman" w:eastAsia="Times New Roman" w:hAnsi="Times New Roman" w:cs="Times New Roman"/>
                <w:sz w:val="24"/>
                <w:szCs w:val="24"/>
                <w:vertAlign w:val="superscript"/>
                <w:lang w:eastAsia="en-GB"/>
              </w:rPr>
              <w:t>b</w:t>
            </w:r>
          </w:p>
        </w:tc>
        <w:tc>
          <w:tcPr>
            <w:tcW w:w="2602" w:type="dxa"/>
            <w:tcBorders>
              <w:top w:val="nil"/>
              <w:left w:val="single" w:sz="4" w:space="0" w:color="auto"/>
              <w:bottom w:val="nil"/>
              <w:right w:val="single" w:sz="4" w:space="0" w:color="auto"/>
            </w:tcBorders>
            <w:shd w:val="clear" w:color="auto" w:fill="auto"/>
            <w:vAlign w:val="center"/>
            <w:hideMark/>
          </w:tcPr>
          <w:p w14:paraId="25BFCD6D"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Enzymatic Colorimetric</w:t>
            </w:r>
          </w:p>
        </w:tc>
        <w:tc>
          <w:tcPr>
            <w:tcW w:w="1527" w:type="dxa"/>
            <w:tcBorders>
              <w:top w:val="nil"/>
              <w:left w:val="single" w:sz="4" w:space="0" w:color="auto"/>
              <w:bottom w:val="nil"/>
              <w:right w:val="single" w:sz="4" w:space="0" w:color="auto"/>
            </w:tcBorders>
            <w:shd w:val="clear" w:color="auto" w:fill="auto"/>
            <w:noWrap/>
            <w:vAlign w:val="center"/>
            <w:hideMark/>
          </w:tcPr>
          <w:p w14:paraId="4A389062"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c>
          <w:tcPr>
            <w:tcW w:w="1056" w:type="dxa"/>
            <w:tcBorders>
              <w:top w:val="nil"/>
              <w:left w:val="single" w:sz="4" w:space="0" w:color="auto"/>
              <w:bottom w:val="nil"/>
              <w:right w:val="nil"/>
            </w:tcBorders>
            <w:shd w:val="clear" w:color="auto" w:fill="auto"/>
            <w:noWrap/>
            <w:vAlign w:val="center"/>
            <w:hideMark/>
          </w:tcPr>
          <w:p w14:paraId="7707EBDF"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p>
        </w:tc>
      </w:tr>
      <w:tr w:rsidR="00A16397" w:rsidRPr="008E28E6" w14:paraId="52786DEE"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7E7F74B2"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 xml:space="preserve">Insulin </w:t>
            </w:r>
            <w:r w:rsidRPr="008E28E6">
              <w:rPr>
                <w:rFonts w:ascii="Times New Roman" w:eastAsia="Times New Roman" w:hAnsi="Times New Roman" w:cs="Times New Roman"/>
                <w:sz w:val="24"/>
                <w:szCs w:val="24"/>
                <w:vertAlign w:val="superscript"/>
                <w:lang w:eastAsia="en-GB"/>
              </w:rPr>
              <w:t>b</w:t>
            </w:r>
          </w:p>
        </w:tc>
        <w:tc>
          <w:tcPr>
            <w:tcW w:w="2602" w:type="dxa"/>
            <w:tcBorders>
              <w:top w:val="nil"/>
              <w:left w:val="single" w:sz="4" w:space="0" w:color="auto"/>
              <w:bottom w:val="nil"/>
              <w:right w:val="single" w:sz="4" w:space="0" w:color="auto"/>
            </w:tcBorders>
            <w:shd w:val="clear" w:color="auto" w:fill="auto"/>
            <w:vAlign w:val="center"/>
            <w:hideMark/>
          </w:tcPr>
          <w:p w14:paraId="7AACD4AF"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Luminex Sandwich</w:t>
            </w:r>
          </w:p>
        </w:tc>
        <w:tc>
          <w:tcPr>
            <w:tcW w:w="1527" w:type="dxa"/>
            <w:tcBorders>
              <w:top w:val="nil"/>
              <w:left w:val="single" w:sz="4" w:space="0" w:color="auto"/>
              <w:bottom w:val="nil"/>
              <w:right w:val="single" w:sz="4" w:space="0" w:color="auto"/>
            </w:tcBorders>
            <w:shd w:val="clear" w:color="auto" w:fill="auto"/>
            <w:noWrap/>
            <w:vAlign w:val="center"/>
            <w:hideMark/>
          </w:tcPr>
          <w:p w14:paraId="53683FE0" w14:textId="2DEB0305" w:rsidR="00A16397" w:rsidRPr="008E28E6" w:rsidRDefault="00C058C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c>
          <w:tcPr>
            <w:tcW w:w="1056" w:type="dxa"/>
            <w:tcBorders>
              <w:top w:val="nil"/>
              <w:left w:val="single" w:sz="4" w:space="0" w:color="auto"/>
              <w:bottom w:val="nil"/>
              <w:right w:val="nil"/>
            </w:tcBorders>
            <w:shd w:val="clear" w:color="auto" w:fill="auto"/>
            <w:noWrap/>
            <w:vAlign w:val="center"/>
            <w:hideMark/>
          </w:tcPr>
          <w:p w14:paraId="6167496B"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p>
        </w:tc>
      </w:tr>
      <w:tr w:rsidR="00A16397" w:rsidRPr="008E28E6" w14:paraId="4FD951BB"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711E180D"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Intercellular adhesion molecule-1 (ICAM-1)</w:t>
            </w:r>
          </w:p>
        </w:tc>
        <w:tc>
          <w:tcPr>
            <w:tcW w:w="2602" w:type="dxa"/>
            <w:tcBorders>
              <w:top w:val="nil"/>
              <w:left w:val="single" w:sz="4" w:space="0" w:color="auto"/>
              <w:bottom w:val="nil"/>
              <w:right w:val="single" w:sz="4" w:space="0" w:color="auto"/>
            </w:tcBorders>
            <w:shd w:val="clear" w:color="auto" w:fill="auto"/>
            <w:noWrap/>
            <w:vAlign w:val="center"/>
            <w:hideMark/>
          </w:tcPr>
          <w:p w14:paraId="2A8DADB3"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Luminex Competitive</w:t>
            </w:r>
          </w:p>
        </w:tc>
        <w:tc>
          <w:tcPr>
            <w:tcW w:w="1527" w:type="dxa"/>
            <w:tcBorders>
              <w:top w:val="nil"/>
              <w:left w:val="single" w:sz="4" w:space="0" w:color="auto"/>
              <w:bottom w:val="nil"/>
              <w:right w:val="single" w:sz="4" w:space="0" w:color="auto"/>
            </w:tcBorders>
            <w:shd w:val="clear" w:color="auto" w:fill="auto"/>
            <w:noWrap/>
            <w:vAlign w:val="center"/>
            <w:hideMark/>
          </w:tcPr>
          <w:p w14:paraId="184D72FD"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c>
          <w:tcPr>
            <w:tcW w:w="1056" w:type="dxa"/>
            <w:tcBorders>
              <w:top w:val="nil"/>
              <w:left w:val="single" w:sz="4" w:space="0" w:color="auto"/>
              <w:bottom w:val="nil"/>
              <w:right w:val="nil"/>
            </w:tcBorders>
            <w:shd w:val="clear" w:color="auto" w:fill="auto"/>
            <w:noWrap/>
            <w:vAlign w:val="center"/>
            <w:hideMark/>
          </w:tcPr>
          <w:p w14:paraId="6E4107E8"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p>
        </w:tc>
      </w:tr>
      <w:tr w:rsidR="00A16397" w:rsidRPr="008E28E6" w14:paraId="64CE495D"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5F2155EA"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Interleukin 1 receptor antagonist (IL-1ra)</w:t>
            </w:r>
          </w:p>
        </w:tc>
        <w:tc>
          <w:tcPr>
            <w:tcW w:w="2602" w:type="dxa"/>
            <w:tcBorders>
              <w:top w:val="nil"/>
              <w:left w:val="single" w:sz="4" w:space="0" w:color="auto"/>
              <w:bottom w:val="nil"/>
              <w:right w:val="single" w:sz="4" w:space="0" w:color="auto"/>
            </w:tcBorders>
            <w:shd w:val="clear" w:color="auto" w:fill="auto"/>
            <w:noWrap/>
            <w:vAlign w:val="center"/>
            <w:hideMark/>
          </w:tcPr>
          <w:p w14:paraId="1CE9C9D4"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Luminex Sandwich</w:t>
            </w:r>
          </w:p>
        </w:tc>
        <w:tc>
          <w:tcPr>
            <w:tcW w:w="1527" w:type="dxa"/>
            <w:tcBorders>
              <w:top w:val="nil"/>
              <w:left w:val="single" w:sz="4" w:space="0" w:color="auto"/>
              <w:bottom w:val="nil"/>
              <w:right w:val="single" w:sz="4" w:space="0" w:color="auto"/>
            </w:tcBorders>
            <w:shd w:val="clear" w:color="auto" w:fill="auto"/>
            <w:noWrap/>
            <w:vAlign w:val="center"/>
            <w:hideMark/>
          </w:tcPr>
          <w:p w14:paraId="4FF078FF"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c>
          <w:tcPr>
            <w:tcW w:w="1056" w:type="dxa"/>
            <w:tcBorders>
              <w:top w:val="nil"/>
              <w:left w:val="single" w:sz="4" w:space="0" w:color="auto"/>
              <w:bottom w:val="nil"/>
              <w:right w:val="nil"/>
            </w:tcBorders>
            <w:shd w:val="clear" w:color="auto" w:fill="auto"/>
            <w:noWrap/>
            <w:vAlign w:val="center"/>
            <w:hideMark/>
          </w:tcPr>
          <w:p w14:paraId="575EA434"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p>
        </w:tc>
      </w:tr>
      <w:tr w:rsidR="00A16397" w:rsidRPr="008E28E6" w14:paraId="74B7D35A"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58E152E5"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Kunitz type protease inhibitor 2 (HAI-2)</w:t>
            </w:r>
          </w:p>
        </w:tc>
        <w:tc>
          <w:tcPr>
            <w:tcW w:w="2602" w:type="dxa"/>
            <w:tcBorders>
              <w:top w:val="nil"/>
              <w:left w:val="single" w:sz="4" w:space="0" w:color="auto"/>
              <w:bottom w:val="nil"/>
              <w:right w:val="single" w:sz="4" w:space="0" w:color="auto"/>
            </w:tcBorders>
            <w:shd w:val="clear" w:color="auto" w:fill="auto"/>
            <w:noWrap/>
            <w:vAlign w:val="center"/>
            <w:hideMark/>
          </w:tcPr>
          <w:p w14:paraId="5735FA6D"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Luminex Sandwich</w:t>
            </w:r>
          </w:p>
        </w:tc>
        <w:tc>
          <w:tcPr>
            <w:tcW w:w="1527" w:type="dxa"/>
            <w:tcBorders>
              <w:top w:val="nil"/>
              <w:left w:val="single" w:sz="4" w:space="0" w:color="auto"/>
              <w:bottom w:val="nil"/>
              <w:right w:val="single" w:sz="4" w:space="0" w:color="auto"/>
            </w:tcBorders>
            <w:shd w:val="clear" w:color="auto" w:fill="auto"/>
            <w:noWrap/>
            <w:vAlign w:val="center"/>
            <w:hideMark/>
          </w:tcPr>
          <w:p w14:paraId="4CD4FC44" w14:textId="5F0557A5" w:rsidR="00A16397" w:rsidRPr="008E28E6" w:rsidRDefault="00C058C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c>
          <w:tcPr>
            <w:tcW w:w="1056" w:type="dxa"/>
            <w:tcBorders>
              <w:top w:val="nil"/>
              <w:left w:val="single" w:sz="4" w:space="0" w:color="auto"/>
              <w:bottom w:val="nil"/>
              <w:right w:val="nil"/>
            </w:tcBorders>
            <w:shd w:val="clear" w:color="auto" w:fill="auto"/>
            <w:noWrap/>
            <w:vAlign w:val="center"/>
            <w:hideMark/>
          </w:tcPr>
          <w:p w14:paraId="21DEA049"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p>
        </w:tc>
      </w:tr>
      <w:tr w:rsidR="00A16397" w:rsidRPr="008E28E6" w14:paraId="52ED901A"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4B3424CC"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 xml:space="preserve">LDL-cholesterol </w:t>
            </w:r>
            <w:r w:rsidRPr="008E28E6">
              <w:rPr>
                <w:rFonts w:ascii="Times New Roman" w:eastAsia="Times New Roman" w:hAnsi="Times New Roman" w:cs="Times New Roman"/>
                <w:sz w:val="24"/>
                <w:szCs w:val="24"/>
                <w:vertAlign w:val="superscript"/>
                <w:lang w:eastAsia="en-GB"/>
              </w:rPr>
              <w:t>b</w:t>
            </w:r>
          </w:p>
        </w:tc>
        <w:tc>
          <w:tcPr>
            <w:tcW w:w="2602" w:type="dxa"/>
            <w:tcBorders>
              <w:top w:val="nil"/>
              <w:left w:val="single" w:sz="4" w:space="0" w:color="auto"/>
              <w:bottom w:val="nil"/>
              <w:right w:val="single" w:sz="4" w:space="0" w:color="auto"/>
            </w:tcBorders>
            <w:shd w:val="clear" w:color="auto" w:fill="auto"/>
            <w:noWrap/>
            <w:vAlign w:val="center"/>
            <w:hideMark/>
          </w:tcPr>
          <w:p w14:paraId="2A747EC0"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 xml:space="preserve">Calculated (Friedewald Formula) </w:t>
            </w:r>
          </w:p>
        </w:tc>
        <w:tc>
          <w:tcPr>
            <w:tcW w:w="1527" w:type="dxa"/>
            <w:tcBorders>
              <w:top w:val="nil"/>
              <w:left w:val="single" w:sz="4" w:space="0" w:color="auto"/>
              <w:bottom w:val="nil"/>
              <w:right w:val="single" w:sz="4" w:space="0" w:color="auto"/>
            </w:tcBorders>
            <w:shd w:val="clear" w:color="auto" w:fill="auto"/>
            <w:noWrap/>
            <w:vAlign w:val="center"/>
            <w:hideMark/>
          </w:tcPr>
          <w:p w14:paraId="522F6105"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c>
          <w:tcPr>
            <w:tcW w:w="1056" w:type="dxa"/>
            <w:tcBorders>
              <w:top w:val="nil"/>
              <w:left w:val="single" w:sz="4" w:space="0" w:color="auto"/>
              <w:bottom w:val="nil"/>
              <w:right w:val="nil"/>
            </w:tcBorders>
            <w:shd w:val="clear" w:color="auto" w:fill="auto"/>
            <w:noWrap/>
            <w:vAlign w:val="center"/>
            <w:hideMark/>
          </w:tcPr>
          <w:p w14:paraId="7EA9CB6A" w14:textId="77777777" w:rsidR="00A16397" w:rsidRPr="008E28E6" w:rsidRDefault="00A1639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r>
      <w:tr w:rsidR="00316DAC" w:rsidRPr="008E28E6" w14:paraId="2C7DBB44"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7EBE132D"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Leptin</w:t>
            </w:r>
          </w:p>
        </w:tc>
        <w:tc>
          <w:tcPr>
            <w:tcW w:w="2602" w:type="dxa"/>
            <w:tcBorders>
              <w:top w:val="nil"/>
              <w:left w:val="single" w:sz="4" w:space="0" w:color="auto"/>
              <w:bottom w:val="nil"/>
              <w:right w:val="single" w:sz="4" w:space="0" w:color="auto"/>
            </w:tcBorders>
            <w:shd w:val="clear" w:color="auto" w:fill="auto"/>
            <w:noWrap/>
            <w:vAlign w:val="center"/>
            <w:hideMark/>
          </w:tcPr>
          <w:p w14:paraId="5CF2AE77"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Luminex Sandwich</w:t>
            </w:r>
          </w:p>
        </w:tc>
        <w:tc>
          <w:tcPr>
            <w:tcW w:w="1527" w:type="dxa"/>
            <w:tcBorders>
              <w:top w:val="nil"/>
              <w:left w:val="single" w:sz="4" w:space="0" w:color="auto"/>
              <w:bottom w:val="nil"/>
              <w:right w:val="single" w:sz="4" w:space="0" w:color="auto"/>
            </w:tcBorders>
            <w:shd w:val="clear" w:color="auto" w:fill="auto"/>
            <w:noWrap/>
            <w:vAlign w:val="center"/>
            <w:hideMark/>
          </w:tcPr>
          <w:p w14:paraId="56A1D70C"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Exclude</w:t>
            </w:r>
          </w:p>
          <w:p w14:paraId="651BF4A7" w14:textId="19C3D6EE" w:rsidR="00C058C7" w:rsidRPr="008E28E6" w:rsidRDefault="00C058C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 xml:space="preserve">LOD </w:t>
            </w:r>
            <w:r w:rsidRPr="008E28E6">
              <w:rPr>
                <w:rFonts w:ascii="Times New Roman" w:eastAsia="Times New Roman" w:hAnsi="Times New Roman" w:cs="Times New Roman"/>
                <w:sz w:val="24"/>
                <w:szCs w:val="24"/>
                <w:vertAlign w:val="superscript"/>
                <w:lang w:eastAsia="en-GB"/>
              </w:rPr>
              <w:t>a</w:t>
            </w:r>
          </w:p>
        </w:tc>
        <w:tc>
          <w:tcPr>
            <w:tcW w:w="1056" w:type="dxa"/>
            <w:tcBorders>
              <w:top w:val="nil"/>
              <w:left w:val="single" w:sz="4" w:space="0" w:color="auto"/>
              <w:bottom w:val="nil"/>
              <w:right w:val="nil"/>
            </w:tcBorders>
            <w:shd w:val="clear" w:color="auto" w:fill="auto"/>
            <w:noWrap/>
            <w:vAlign w:val="center"/>
            <w:hideMark/>
          </w:tcPr>
          <w:p w14:paraId="7C859A4F"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p>
        </w:tc>
      </w:tr>
      <w:tr w:rsidR="00316DAC" w:rsidRPr="008E28E6" w14:paraId="2F47DD68"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6E85EF33"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Leptin receptor</w:t>
            </w:r>
          </w:p>
        </w:tc>
        <w:tc>
          <w:tcPr>
            <w:tcW w:w="2602" w:type="dxa"/>
            <w:tcBorders>
              <w:top w:val="nil"/>
              <w:left w:val="single" w:sz="4" w:space="0" w:color="auto"/>
              <w:bottom w:val="nil"/>
              <w:right w:val="single" w:sz="4" w:space="0" w:color="auto"/>
            </w:tcBorders>
            <w:shd w:val="clear" w:color="auto" w:fill="auto"/>
            <w:noWrap/>
            <w:vAlign w:val="center"/>
            <w:hideMark/>
          </w:tcPr>
          <w:p w14:paraId="23366D04"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Luminex Sandwich</w:t>
            </w:r>
          </w:p>
        </w:tc>
        <w:tc>
          <w:tcPr>
            <w:tcW w:w="1527" w:type="dxa"/>
            <w:tcBorders>
              <w:top w:val="nil"/>
              <w:left w:val="single" w:sz="4" w:space="0" w:color="auto"/>
              <w:bottom w:val="nil"/>
              <w:right w:val="single" w:sz="4" w:space="0" w:color="auto"/>
            </w:tcBorders>
            <w:shd w:val="clear" w:color="auto" w:fill="auto"/>
            <w:noWrap/>
            <w:vAlign w:val="center"/>
            <w:hideMark/>
          </w:tcPr>
          <w:p w14:paraId="7A010519"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c>
          <w:tcPr>
            <w:tcW w:w="1056" w:type="dxa"/>
            <w:tcBorders>
              <w:top w:val="nil"/>
              <w:left w:val="single" w:sz="4" w:space="0" w:color="auto"/>
              <w:bottom w:val="nil"/>
              <w:right w:val="nil"/>
            </w:tcBorders>
            <w:shd w:val="clear" w:color="auto" w:fill="auto"/>
            <w:noWrap/>
            <w:vAlign w:val="center"/>
            <w:hideMark/>
          </w:tcPr>
          <w:p w14:paraId="142D7756"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p>
        </w:tc>
      </w:tr>
      <w:tr w:rsidR="00316DAC" w:rsidRPr="008E28E6" w14:paraId="30836BA5"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7305BD57"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Macrophage migration inhibitory factor (MIF)</w:t>
            </w:r>
          </w:p>
        </w:tc>
        <w:tc>
          <w:tcPr>
            <w:tcW w:w="2602" w:type="dxa"/>
            <w:tcBorders>
              <w:top w:val="nil"/>
              <w:left w:val="single" w:sz="4" w:space="0" w:color="auto"/>
              <w:bottom w:val="nil"/>
              <w:right w:val="single" w:sz="4" w:space="0" w:color="auto"/>
            </w:tcBorders>
            <w:shd w:val="clear" w:color="auto" w:fill="auto"/>
            <w:noWrap/>
            <w:vAlign w:val="center"/>
            <w:hideMark/>
          </w:tcPr>
          <w:p w14:paraId="3E3D9549"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Luminex Sandwich</w:t>
            </w:r>
          </w:p>
        </w:tc>
        <w:tc>
          <w:tcPr>
            <w:tcW w:w="1527" w:type="dxa"/>
            <w:tcBorders>
              <w:top w:val="nil"/>
              <w:left w:val="single" w:sz="4" w:space="0" w:color="auto"/>
              <w:bottom w:val="nil"/>
              <w:right w:val="single" w:sz="4" w:space="0" w:color="auto"/>
            </w:tcBorders>
            <w:shd w:val="clear" w:color="auto" w:fill="auto"/>
            <w:noWrap/>
            <w:vAlign w:val="center"/>
            <w:hideMark/>
          </w:tcPr>
          <w:p w14:paraId="5B94F3E6" w14:textId="03B57A71" w:rsidR="00316DAC" w:rsidRPr="008E28E6" w:rsidRDefault="00C058C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c>
          <w:tcPr>
            <w:tcW w:w="1056" w:type="dxa"/>
            <w:tcBorders>
              <w:top w:val="nil"/>
              <w:left w:val="single" w:sz="4" w:space="0" w:color="auto"/>
              <w:bottom w:val="nil"/>
              <w:right w:val="nil"/>
            </w:tcBorders>
            <w:shd w:val="clear" w:color="auto" w:fill="auto"/>
            <w:noWrap/>
            <w:vAlign w:val="center"/>
            <w:hideMark/>
          </w:tcPr>
          <w:p w14:paraId="7C5DAB59"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p>
        </w:tc>
      </w:tr>
      <w:tr w:rsidR="00316DAC" w:rsidRPr="008E28E6" w14:paraId="2F67986D"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3CC56B96"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Matrix metalloproteinase-9 (MMP-9)</w:t>
            </w:r>
          </w:p>
        </w:tc>
        <w:tc>
          <w:tcPr>
            <w:tcW w:w="2602" w:type="dxa"/>
            <w:tcBorders>
              <w:top w:val="nil"/>
              <w:left w:val="single" w:sz="4" w:space="0" w:color="auto"/>
              <w:bottom w:val="nil"/>
              <w:right w:val="single" w:sz="4" w:space="0" w:color="auto"/>
            </w:tcBorders>
            <w:shd w:val="clear" w:color="auto" w:fill="auto"/>
            <w:noWrap/>
            <w:vAlign w:val="center"/>
            <w:hideMark/>
          </w:tcPr>
          <w:p w14:paraId="7CBD40BD"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Luminex Sandwich</w:t>
            </w:r>
          </w:p>
        </w:tc>
        <w:tc>
          <w:tcPr>
            <w:tcW w:w="1527" w:type="dxa"/>
            <w:tcBorders>
              <w:top w:val="nil"/>
              <w:left w:val="single" w:sz="4" w:space="0" w:color="auto"/>
              <w:bottom w:val="nil"/>
              <w:right w:val="single" w:sz="4" w:space="0" w:color="auto"/>
            </w:tcBorders>
            <w:shd w:val="clear" w:color="auto" w:fill="auto"/>
            <w:noWrap/>
            <w:vAlign w:val="center"/>
            <w:hideMark/>
          </w:tcPr>
          <w:p w14:paraId="03699E68"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c>
          <w:tcPr>
            <w:tcW w:w="1056" w:type="dxa"/>
            <w:tcBorders>
              <w:top w:val="nil"/>
              <w:left w:val="single" w:sz="4" w:space="0" w:color="auto"/>
              <w:bottom w:val="nil"/>
              <w:right w:val="nil"/>
            </w:tcBorders>
            <w:shd w:val="clear" w:color="auto" w:fill="auto"/>
            <w:noWrap/>
            <w:vAlign w:val="center"/>
            <w:hideMark/>
          </w:tcPr>
          <w:p w14:paraId="05EEA61F"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p>
        </w:tc>
      </w:tr>
      <w:tr w:rsidR="00316DAC" w:rsidRPr="008E28E6" w14:paraId="2BEE32D9"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344F6B09"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Nephrin</w:t>
            </w:r>
          </w:p>
        </w:tc>
        <w:tc>
          <w:tcPr>
            <w:tcW w:w="2602" w:type="dxa"/>
            <w:tcBorders>
              <w:top w:val="nil"/>
              <w:left w:val="single" w:sz="4" w:space="0" w:color="auto"/>
              <w:bottom w:val="nil"/>
              <w:right w:val="single" w:sz="4" w:space="0" w:color="auto"/>
            </w:tcBorders>
            <w:shd w:val="clear" w:color="auto" w:fill="auto"/>
            <w:noWrap/>
            <w:vAlign w:val="center"/>
            <w:hideMark/>
          </w:tcPr>
          <w:p w14:paraId="65C9FF26"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Luminex Sandwich</w:t>
            </w:r>
          </w:p>
        </w:tc>
        <w:tc>
          <w:tcPr>
            <w:tcW w:w="1527" w:type="dxa"/>
            <w:tcBorders>
              <w:top w:val="nil"/>
              <w:left w:val="single" w:sz="4" w:space="0" w:color="auto"/>
              <w:bottom w:val="nil"/>
              <w:right w:val="single" w:sz="4" w:space="0" w:color="auto"/>
            </w:tcBorders>
            <w:shd w:val="clear" w:color="auto" w:fill="auto"/>
            <w:noWrap/>
            <w:vAlign w:val="center"/>
            <w:hideMark/>
          </w:tcPr>
          <w:p w14:paraId="114E4E91" w14:textId="236BB467" w:rsidR="00316DAC" w:rsidRPr="008E28E6" w:rsidRDefault="00C058C7"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 xml:space="preserve">Exclude LOD </w:t>
            </w:r>
            <w:r w:rsidRPr="008E28E6">
              <w:rPr>
                <w:rFonts w:ascii="Times New Roman" w:eastAsia="Times New Roman" w:hAnsi="Times New Roman" w:cs="Times New Roman"/>
                <w:sz w:val="24"/>
                <w:szCs w:val="24"/>
                <w:vertAlign w:val="superscript"/>
                <w:lang w:eastAsia="en-GB"/>
              </w:rPr>
              <w:t>a</w:t>
            </w:r>
          </w:p>
        </w:tc>
        <w:tc>
          <w:tcPr>
            <w:tcW w:w="1056" w:type="dxa"/>
            <w:tcBorders>
              <w:top w:val="nil"/>
              <w:left w:val="single" w:sz="4" w:space="0" w:color="auto"/>
              <w:bottom w:val="nil"/>
              <w:right w:val="nil"/>
            </w:tcBorders>
            <w:shd w:val="clear" w:color="auto" w:fill="auto"/>
            <w:noWrap/>
            <w:vAlign w:val="center"/>
            <w:hideMark/>
          </w:tcPr>
          <w:p w14:paraId="0428CA86"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r>
      <w:tr w:rsidR="00316DAC" w:rsidRPr="008E28E6" w14:paraId="7B9B1712"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6C218333"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Neutrophil gelatinase-associated lipocalin (NGAL)</w:t>
            </w:r>
          </w:p>
        </w:tc>
        <w:tc>
          <w:tcPr>
            <w:tcW w:w="2602" w:type="dxa"/>
            <w:tcBorders>
              <w:top w:val="nil"/>
              <w:left w:val="single" w:sz="4" w:space="0" w:color="auto"/>
              <w:bottom w:val="nil"/>
              <w:right w:val="single" w:sz="4" w:space="0" w:color="auto"/>
            </w:tcBorders>
            <w:shd w:val="clear" w:color="auto" w:fill="auto"/>
            <w:noWrap/>
            <w:vAlign w:val="center"/>
            <w:hideMark/>
          </w:tcPr>
          <w:p w14:paraId="5CB32998"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ELISA Sandwich</w:t>
            </w:r>
          </w:p>
        </w:tc>
        <w:tc>
          <w:tcPr>
            <w:tcW w:w="1527" w:type="dxa"/>
            <w:tcBorders>
              <w:top w:val="nil"/>
              <w:left w:val="single" w:sz="4" w:space="0" w:color="auto"/>
              <w:bottom w:val="nil"/>
              <w:right w:val="single" w:sz="4" w:space="0" w:color="auto"/>
            </w:tcBorders>
            <w:shd w:val="clear" w:color="auto" w:fill="auto"/>
            <w:noWrap/>
            <w:vAlign w:val="center"/>
            <w:hideMark/>
          </w:tcPr>
          <w:p w14:paraId="604FA5FA"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c>
          <w:tcPr>
            <w:tcW w:w="1056" w:type="dxa"/>
            <w:tcBorders>
              <w:top w:val="nil"/>
              <w:left w:val="single" w:sz="4" w:space="0" w:color="auto"/>
              <w:bottom w:val="nil"/>
              <w:right w:val="nil"/>
            </w:tcBorders>
            <w:shd w:val="clear" w:color="auto" w:fill="auto"/>
            <w:noWrap/>
            <w:vAlign w:val="center"/>
            <w:hideMark/>
          </w:tcPr>
          <w:p w14:paraId="6A9F4807"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p>
        </w:tc>
      </w:tr>
      <w:tr w:rsidR="00316DAC" w:rsidRPr="008E28E6" w14:paraId="2808EF07"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07D10846"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Pentraxin-3</w:t>
            </w:r>
          </w:p>
        </w:tc>
        <w:tc>
          <w:tcPr>
            <w:tcW w:w="2602" w:type="dxa"/>
            <w:tcBorders>
              <w:top w:val="nil"/>
              <w:left w:val="single" w:sz="4" w:space="0" w:color="auto"/>
              <w:bottom w:val="nil"/>
              <w:right w:val="single" w:sz="4" w:space="0" w:color="auto"/>
            </w:tcBorders>
            <w:shd w:val="clear" w:color="auto" w:fill="auto"/>
            <w:noWrap/>
            <w:vAlign w:val="center"/>
            <w:hideMark/>
          </w:tcPr>
          <w:p w14:paraId="79372D48"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Luminex Sandwich</w:t>
            </w:r>
          </w:p>
        </w:tc>
        <w:tc>
          <w:tcPr>
            <w:tcW w:w="1527" w:type="dxa"/>
            <w:tcBorders>
              <w:top w:val="nil"/>
              <w:left w:val="single" w:sz="4" w:space="0" w:color="auto"/>
              <w:bottom w:val="nil"/>
              <w:right w:val="single" w:sz="4" w:space="0" w:color="auto"/>
            </w:tcBorders>
            <w:shd w:val="clear" w:color="auto" w:fill="auto"/>
            <w:noWrap/>
            <w:vAlign w:val="center"/>
            <w:hideMark/>
          </w:tcPr>
          <w:p w14:paraId="54D12AC7"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 xml:space="preserve">Exclude LOD </w:t>
            </w:r>
            <w:r w:rsidRPr="008E28E6">
              <w:rPr>
                <w:rFonts w:ascii="Times New Roman" w:eastAsia="Times New Roman" w:hAnsi="Times New Roman" w:cs="Times New Roman"/>
                <w:sz w:val="24"/>
                <w:szCs w:val="24"/>
                <w:vertAlign w:val="superscript"/>
                <w:lang w:eastAsia="en-GB"/>
              </w:rPr>
              <w:t>a</w:t>
            </w:r>
          </w:p>
        </w:tc>
        <w:tc>
          <w:tcPr>
            <w:tcW w:w="1056" w:type="dxa"/>
            <w:tcBorders>
              <w:top w:val="nil"/>
              <w:left w:val="single" w:sz="4" w:space="0" w:color="auto"/>
              <w:bottom w:val="nil"/>
              <w:right w:val="nil"/>
            </w:tcBorders>
            <w:shd w:val="clear" w:color="auto" w:fill="auto"/>
            <w:noWrap/>
            <w:vAlign w:val="center"/>
            <w:hideMark/>
          </w:tcPr>
          <w:p w14:paraId="7762E570"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p>
        </w:tc>
      </w:tr>
      <w:tr w:rsidR="00316DAC" w:rsidRPr="008E28E6" w14:paraId="2A095A2B"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79C6A466"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Periostin</w:t>
            </w:r>
          </w:p>
        </w:tc>
        <w:tc>
          <w:tcPr>
            <w:tcW w:w="2602" w:type="dxa"/>
            <w:tcBorders>
              <w:top w:val="nil"/>
              <w:left w:val="single" w:sz="4" w:space="0" w:color="auto"/>
              <w:bottom w:val="nil"/>
              <w:right w:val="single" w:sz="4" w:space="0" w:color="auto"/>
            </w:tcBorders>
            <w:shd w:val="clear" w:color="auto" w:fill="auto"/>
            <w:noWrap/>
            <w:vAlign w:val="center"/>
            <w:hideMark/>
          </w:tcPr>
          <w:p w14:paraId="549DDA7C"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Luminex Sandwich</w:t>
            </w:r>
          </w:p>
        </w:tc>
        <w:tc>
          <w:tcPr>
            <w:tcW w:w="1527" w:type="dxa"/>
            <w:tcBorders>
              <w:top w:val="nil"/>
              <w:left w:val="single" w:sz="4" w:space="0" w:color="auto"/>
              <w:bottom w:val="nil"/>
              <w:right w:val="single" w:sz="4" w:space="0" w:color="auto"/>
            </w:tcBorders>
            <w:shd w:val="clear" w:color="auto" w:fill="auto"/>
            <w:noWrap/>
            <w:vAlign w:val="center"/>
            <w:hideMark/>
          </w:tcPr>
          <w:p w14:paraId="46D3A395"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c>
          <w:tcPr>
            <w:tcW w:w="1056" w:type="dxa"/>
            <w:tcBorders>
              <w:top w:val="nil"/>
              <w:left w:val="single" w:sz="4" w:space="0" w:color="auto"/>
              <w:bottom w:val="nil"/>
              <w:right w:val="nil"/>
            </w:tcBorders>
            <w:shd w:val="clear" w:color="auto" w:fill="auto"/>
            <w:noWrap/>
            <w:vAlign w:val="center"/>
            <w:hideMark/>
          </w:tcPr>
          <w:p w14:paraId="4037717B"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p>
        </w:tc>
      </w:tr>
      <w:tr w:rsidR="00316DAC" w:rsidRPr="008E28E6" w14:paraId="52A6BE42"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43D4FF55"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Placental growth factor (PlGF)</w:t>
            </w:r>
          </w:p>
        </w:tc>
        <w:tc>
          <w:tcPr>
            <w:tcW w:w="2602" w:type="dxa"/>
            <w:tcBorders>
              <w:top w:val="nil"/>
              <w:left w:val="single" w:sz="4" w:space="0" w:color="auto"/>
              <w:bottom w:val="nil"/>
              <w:right w:val="single" w:sz="4" w:space="0" w:color="auto"/>
            </w:tcBorders>
            <w:shd w:val="clear" w:color="auto" w:fill="auto"/>
            <w:noWrap/>
            <w:vAlign w:val="center"/>
            <w:hideMark/>
          </w:tcPr>
          <w:p w14:paraId="5D54464E"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Luminex Sandwich</w:t>
            </w:r>
          </w:p>
        </w:tc>
        <w:tc>
          <w:tcPr>
            <w:tcW w:w="1527" w:type="dxa"/>
            <w:tcBorders>
              <w:top w:val="nil"/>
              <w:left w:val="single" w:sz="4" w:space="0" w:color="auto"/>
              <w:bottom w:val="nil"/>
              <w:right w:val="single" w:sz="4" w:space="0" w:color="auto"/>
            </w:tcBorders>
            <w:shd w:val="clear" w:color="auto" w:fill="auto"/>
            <w:noWrap/>
            <w:vAlign w:val="center"/>
            <w:hideMark/>
          </w:tcPr>
          <w:p w14:paraId="051A03CB"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c>
          <w:tcPr>
            <w:tcW w:w="1056" w:type="dxa"/>
            <w:tcBorders>
              <w:top w:val="nil"/>
              <w:left w:val="single" w:sz="4" w:space="0" w:color="auto"/>
              <w:bottom w:val="nil"/>
              <w:right w:val="nil"/>
            </w:tcBorders>
            <w:shd w:val="clear" w:color="auto" w:fill="auto"/>
            <w:noWrap/>
            <w:vAlign w:val="center"/>
            <w:hideMark/>
          </w:tcPr>
          <w:p w14:paraId="521033F9"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r>
      <w:tr w:rsidR="00316DAC" w:rsidRPr="008E28E6" w14:paraId="06A51F2F"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61DDCBE8"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 xml:space="preserve">Placental growth hormone (PlGH) </w:t>
            </w:r>
            <w:r w:rsidRPr="008E28E6">
              <w:rPr>
                <w:rFonts w:ascii="Times New Roman" w:eastAsia="Times New Roman" w:hAnsi="Times New Roman" w:cs="Times New Roman"/>
                <w:sz w:val="24"/>
                <w:szCs w:val="24"/>
                <w:vertAlign w:val="superscript"/>
                <w:lang w:eastAsia="en-GB"/>
              </w:rPr>
              <w:t>b</w:t>
            </w:r>
          </w:p>
        </w:tc>
        <w:tc>
          <w:tcPr>
            <w:tcW w:w="2602" w:type="dxa"/>
            <w:tcBorders>
              <w:top w:val="nil"/>
              <w:left w:val="single" w:sz="4" w:space="0" w:color="auto"/>
              <w:bottom w:val="nil"/>
              <w:right w:val="single" w:sz="4" w:space="0" w:color="auto"/>
            </w:tcBorders>
            <w:shd w:val="clear" w:color="auto" w:fill="auto"/>
            <w:noWrap/>
            <w:vAlign w:val="center"/>
            <w:hideMark/>
          </w:tcPr>
          <w:p w14:paraId="14E46CA2"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 xml:space="preserve">Luminex Sandwich </w:t>
            </w:r>
          </w:p>
        </w:tc>
        <w:tc>
          <w:tcPr>
            <w:tcW w:w="1527" w:type="dxa"/>
            <w:tcBorders>
              <w:top w:val="nil"/>
              <w:left w:val="single" w:sz="4" w:space="0" w:color="auto"/>
              <w:bottom w:val="nil"/>
              <w:right w:val="single" w:sz="4" w:space="0" w:color="auto"/>
            </w:tcBorders>
            <w:shd w:val="clear" w:color="auto" w:fill="auto"/>
            <w:noWrap/>
            <w:vAlign w:val="center"/>
            <w:hideMark/>
          </w:tcPr>
          <w:p w14:paraId="1A28452A"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c>
          <w:tcPr>
            <w:tcW w:w="1056" w:type="dxa"/>
            <w:tcBorders>
              <w:top w:val="nil"/>
              <w:left w:val="single" w:sz="4" w:space="0" w:color="auto"/>
              <w:bottom w:val="nil"/>
              <w:right w:val="nil"/>
            </w:tcBorders>
            <w:shd w:val="clear" w:color="auto" w:fill="auto"/>
            <w:noWrap/>
            <w:vAlign w:val="center"/>
            <w:hideMark/>
          </w:tcPr>
          <w:p w14:paraId="15F22C95"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r>
      <w:tr w:rsidR="00316DAC" w:rsidRPr="008E28E6" w14:paraId="14204D13"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07A9F364"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Plasminogen activator inhibitor 1 (PAI-1)</w:t>
            </w:r>
          </w:p>
        </w:tc>
        <w:tc>
          <w:tcPr>
            <w:tcW w:w="2602" w:type="dxa"/>
            <w:tcBorders>
              <w:top w:val="nil"/>
              <w:left w:val="single" w:sz="4" w:space="0" w:color="auto"/>
              <w:bottom w:val="nil"/>
              <w:right w:val="single" w:sz="4" w:space="0" w:color="auto"/>
            </w:tcBorders>
            <w:shd w:val="clear" w:color="auto" w:fill="auto"/>
            <w:noWrap/>
            <w:vAlign w:val="center"/>
            <w:hideMark/>
          </w:tcPr>
          <w:p w14:paraId="1DEB0857"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Luminex Sandwich</w:t>
            </w:r>
          </w:p>
        </w:tc>
        <w:tc>
          <w:tcPr>
            <w:tcW w:w="1527" w:type="dxa"/>
            <w:tcBorders>
              <w:top w:val="nil"/>
              <w:left w:val="single" w:sz="4" w:space="0" w:color="auto"/>
              <w:bottom w:val="nil"/>
              <w:right w:val="single" w:sz="4" w:space="0" w:color="auto"/>
            </w:tcBorders>
            <w:shd w:val="clear" w:color="auto" w:fill="auto"/>
            <w:noWrap/>
            <w:vAlign w:val="center"/>
            <w:hideMark/>
          </w:tcPr>
          <w:p w14:paraId="5CABB03E"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 xml:space="preserve">Exclude LOD </w:t>
            </w:r>
            <w:r w:rsidRPr="008E28E6">
              <w:rPr>
                <w:rFonts w:ascii="Times New Roman" w:eastAsia="Times New Roman" w:hAnsi="Times New Roman" w:cs="Times New Roman"/>
                <w:sz w:val="24"/>
                <w:szCs w:val="24"/>
                <w:vertAlign w:val="superscript"/>
                <w:lang w:eastAsia="en-GB"/>
              </w:rPr>
              <w:t>a</w:t>
            </w:r>
          </w:p>
        </w:tc>
        <w:tc>
          <w:tcPr>
            <w:tcW w:w="1056" w:type="dxa"/>
            <w:tcBorders>
              <w:top w:val="nil"/>
              <w:left w:val="single" w:sz="4" w:space="0" w:color="auto"/>
              <w:bottom w:val="nil"/>
              <w:right w:val="nil"/>
            </w:tcBorders>
            <w:shd w:val="clear" w:color="auto" w:fill="auto"/>
            <w:noWrap/>
            <w:vAlign w:val="center"/>
            <w:hideMark/>
          </w:tcPr>
          <w:p w14:paraId="41953508"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p>
        </w:tc>
      </w:tr>
      <w:tr w:rsidR="00316DAC" w:rsidRPr="008E28E6" w14:paraId="0395D8AD"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36398B39"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Plasminogen activator inhibitor 2 (PAI-2)</w:t>
            </w:r>
          </w:p>
        </w:tc>
        <w:tc>
          <w:tcPr>
            <w:tcW w:w="2602" w:type="dxa"/>
            <w:tcBorders>
              <w:top w:val="nil"/>
              <w:left w:val="single" w:sz="4" w:space="0" w:color="auto"/>
              <w:bottom w:val="nil"/>
              <w:right w:val="single" w:sz="4" w:space="0" w:color="auto"/>
            </w:tcBorders>
            <w:shd w:val="clear" w:color="auto" w:fill="auto"/>
            <w:noWrap/>
            <w:vAlign w:val="center"/>
            <w:hideMark/>
          </w:tcPr>
          <w:p w14:paraId="589EE1D2"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Luminex Sandwich</w:t>
            </w:r>
          </w:p>
        </w:tc>
        <w:tc>
          <w:tcPr>
            <w:tcW w:w="1527" w:type="dxa"/>
            <w:tcBorders>
              <w:top w:val="nil"/>
              <w:left w:val="single" w:sz="4" w:space="0" w:color="auto"/>
              <w:bottom w:val="nil"/>
              <w:right w:val="single" w:sz="4" w:space="0" w:color="auto"/>
            </w:tcBorders>
            <w:shd w:val="clear" w:color="auto" w:fill="auto"/>
            <w:noWrap/>
            <w:vAlign w:val="center"/>
            <w:hideMark/>
          </w:tcPr>
          <w:p w14:paraId="624A2681"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c>
          <w:tcPr>
            <w:tcW w:w="1056" w:type="dxa"/>
            <w:tcBorders>
              <w:top w:val="nil"/>
              <w:left w:val="single" w:sz="4" w:space="0" w:color="auto"/>
              <w:bottom w:val="nil"/>
              <w:right w:val="nil"/>
            </w:tcBorders>
            <w:shd w:val="clear" w:color="auto" w:fill="auto"/>
            <w:noWrap/>
            <w:vAlign w:val="center"/>
            <w:hideMark/>
          </w:tcPr>
          <w:p w14:paraId="51B40E4F"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r>
      <w:tr w:rsidR="00316DAC" w:rsidRPr="008E28E6" w14:paraId="19495A20"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26A60E82"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Podocalyxin</w:t>
            </w:r>
          </w:p>
        </w:tc>
        <w:tc>
          <w:tcPr>
            <w:tcW w:w="2602" w:type="dxa"/>
            <w:tcBorders>
              <w:top w:val="nil"/>
              <w:left w:val="single" w:sz="4" w:space="0" w:color="auto"/>
              <w:bottom w:val="nil"/>
              <w:right w:val="single" w:sz="4" w:space="0" w:color="auto"/>
            </w:tcBorders>
            <w:shd w:val="clear" w:color="auto" w:fill="auto"/>
            <w:noWrap/>
            <w:vAlign w:val="center"/>
            <w:hideMark/>
          </w:tcPr>
          <w:p w14:paraId="4B876AC4"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Luminex Sandwich</w:t>
            </w:r>
          </w:p>
        </w:tc>
        <w:tc>
          <w:tcPr>
            <w:tcW w:w="1527" w:type="dxa"/>
            <w:tcBorders>
              <w:top w:val="nil"/>
              <w:left w:val="single" w:sz="4" w:space="0" w:color="auto"/>
              <w:bottom w:val="nil"/>
              <w:right w:val="single" w:sz="4" w:space="0" w:color="auto"/>
            </w:tcBorders>
            <w:shd w:val="clear" w:color="auto" w:fill="auto"/>
            <w:noWrap/>
            <w:vAlign w:val="center"/>
            <w:hideMark/>
          </w:tcPr>
          <w:p w14:paraId="2517BD5E"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 xml:space="preserve">Exclude LOD </w:t>
            </w:r>
            <w:r w:rsidRPr="008E28E6">
              <w:rPr>
                <w:rFonts w:ascii="Times New Roman" w:eastAsia="Times New Roman" w:hAnsi="Times New Roman" w:cs="Times New Roman"/>
                <w:sz w:val="24"/>
                <w:szCs w:val="24"/>
                <w:vertAlign w:val="superscript"/>
                <w:lang w:eastAsia="en-GB"/>
              </w:rPr>
              <w:t>a</w:t>
            </w:r>
          </w:p>
        </w:tc>
        <w:tc>
          <w:tcPr>
            <w:tcW w:w="1056" w:type="dxa"/>
            <w:tcBorders>
              <w:top w:val="nil"/>
              <w:left w:val="single" w:sz="4" w:space="0" w:color="auto"/>
              <w:bottom w:val="nil"/>
              <w:right w:val="nil"/>
            </w:tcBorders>
            <w:shd w:val="clear" w:color="auto" w:fill="auto"/>
            <w:noWrap/>
            <w:vAlign w:val="center"/>
            <w:hideMark/>
          </w:tcPr>
          <w:p w14:paraId="1AC882A9"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p>
        </w:tc>
      </w:tr>
      <w:tr w:rsidR="00316DAC" w:rsidRPr="008E28E6" w14:paraId="1700DAED"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2E13311A"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Pregnancy associated plasma protein A (PAPP-A)</w:t>
            </w:r>
          </w:p>
        </w:tc>
        <w:tc>
          <w:tcPr>
            <w:tcW w:w="2602" w:type="dxa"/>
            <w:tcBorders>
              <w:top w:val="nil"/>
              <w:left w:val="single" w:sz="4" w:space="0" w:color="auto"/>
              <w:bottom w:val="nil"/>
              <w:right w:val="single" w:sz="4" w:space="0" w:color="auto"/>
            </w:tcBorders>
            <w:shd w:val="clear" w:color="auto" w:fill="auto"/>
            <w:noWrap/>
            <w:vAlign w:val="center"/>
            <w:hideMark/>
          </w:tcPr>
          <w:p w14:paraId="314F841E"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Luminex Sandwich</w:t>
            </w:r>
          </w:p>
        </w:tc>
        <w:tc>
          <w:tcPr>
            <w:tcW w:w="1527" w:type="dxa"/>
            <w:tcBorders>
              <w:top w:val="nil"/>
              <w:left w:val="single" w:sz="4" w:space="0" w:color="auto"/>
              <w:bottom w:val="nil"/>
              <w:right w:val="single" w:sz="4" w:space="0" w:color="auto"/>
            </w:tcBorders>
            <w:shd w:val="clear" w:color="auto" w:fill="auto"/>
            <w:noWrap/>
            <w:vAlign w:val="center"/>
            <w:hideMark/>
          </w:tcPr>
          <w:p w14:paraId="528C4C49"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c>
          <w:tcPr>
            <w:tcW w:w="1056" w:type="dxa"/>
            <w:tcBorders>
              <w:top w:val="nil"/>
              <w:left w:val="single" w:sz="4" w:space="0" w:color="auto"/>
              <w:bottom w:val="nil"/>
              <w:right w:val="nil"/>
            </w:tcBorders>
            <w:shd w:val="clear" w:color="auto" w:fill="auto"/>
            <w:noWrap/>
            <w:vAlign w:val="center"/>
            <w:hideMark/>
          </w:tcPr>
          <w:p w14:paraId="6B57811B"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r>
      <w:tr w:rsidR="00316DAC" w:rsidRPr="008E28E6" w14:paraId="52E6759C"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16DB8227"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Procalcitonin (PCT)</w:t>
            </w:r>
          </w:p>
        </w:tc>
        <w:tc>
          <w:tcPr>
            <w:tcW w:w="2602" w:type="dxa"/>
            <w:tcBorders>
              <w:top w:val="nil"/>
              <w:left w:val="single" w:sz="4" w:space="0" w:color="auto"/>
              <w:bottom w:val="nil"/>
              <w:right w:val="single" w:sz="4" w:space="0" w:color="auto"/>
            </w:tcBorders>
            <w:shd w:val="clear" w:color="auto" w:fill="auto"/>
            <w:noWrap/>
            <w:vAlign w:val="center"/>
            <w:hideMark/>
          </w:tcPr>
          <w:p w14:paraId="7E1CD3A7"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Luminex Sandwich</w:t>
            </w:r>
          </w:p>
        </w:tc>
        <w:tc>
          <w:tcPr>
            <w:tcW w:w="1527" w:type="dxa"/>
            <w:tcBorders>
              <w:top w:val="nil"/>
              <w:left w:val="single" w:sz="4" w:space="0" w:color="auto"/>
              <w:bottom w:val="nil"/>
              <w:right w:val="single" w:sz="4" w:space="0" w:color="auto"/>
            </w:tcBorders>
            <w:shd w:val="clear" w:color="auto" w:fill="auto"/>
            <w:noWrap/>
            <w:vAlign w:val="center"/>
            <w:hideMark/>
          </w:tcPr>
          <w:p w14:paraId="32F0A46E"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 xml:space="preserve">Exclude LOD </w:t>
            </w:r>
            <w:r w:rsidRPr="008E28E6">
              <w:rPr>
                <w:rFonts w:ascii="Times New Roman" w:eastAsia="Times New Roman" w:hAnsi="Times New Roman" w:cs="Times New Roman"/>
                <w:sz w:val="24"/>
                <w:szCs w:val="24"/>
                <w:vertAlign w:val="superscript"/>
                <w:lang w:eastAsia="en-GB"/>
              </w:rPr>
              <w:t>a</w:t>
            </w:r>
          </w:p>
        </w:tc>
        <w:tc>
          <w:tcPr>
            <w:tcW w:w="1056" w:type="dxa"/>
            <w:tcBorders>
              <w:top w:val="nil"/>
              <w:left w:val="single" w:sz="4" w:space="0" w:color="auto"/>
              <w:bottom w:val="nil"/>
              <w:right w:val="nil"/>
            </w:tcBorders>
            <w:shd w:val="clear" w:color="auto" w:fill="auto"/>
            <w:noWrap/>
            <w:vAlign w:val="center"/>
            <w:hideMark/>
          </w:tcPr>
          <w:p w14:paraId="54E0E60D"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p>
        </w:tc>
      </w:tr>
      <w:tr w:rsidR="00316DAC" w:rsidRPr="008E28E6" w14:paraId="59C0B979"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6E3AC94C"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ST2</w:t>
            </w:r>
          </w:p>
        </w:tc>
        <w:tc>
          <w:tcPr>
            <w:tcW w:w="2602" w:type="dxa"/>
            <w:tcBorders>
              <w:top w:val="nil"/>
              <w:left w:val="single" w:sz="4" w:space="0" w:color="auto"/>
              <w:bottom w:val="nil"/>
              <w:right w:val="single" w:sz="4" w:space="0" w:color="auto"/>
            </w:tcBorders>
            <w:shd w:val="clear" w:color="auto" w:fill="auto"/>
            <w:noWrap/>
            <w:vAlign w:val="center"/>
            <w:hideMark/>
          </w:tcPr>
          <w:p w14:paraId="60494A77"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Luminex Sandwich</w:t>
            </w:r>
          </w:p>
        </w:tc>
        <w:tc>
          <w:tcPr>
            <w:tcW w:w="1527" w:type="dxa"/>
            <w:tcBorders>
              <w:top w:val="nil"/>
              <w:left w:val="single" w:sz="4" w:space="0" w:color="auto"/>
              <w:bottom w:val="nil"/>
              <w:right w:val="single" w:sz="4" w:space="0" w:color="auto"/>
            </w:tcBorders>
            <w:shd w:val="clear" w:color="auto" w:fill="auto"/>
            <w:noWrap/>
            <w:vAlign w:val="center"/>
            <w:hideMark/>
          </w:tcPr>
          <w:p w14:paraId="76BA99C2"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c>
          <w:tcPr>
            <w:tcW w:w="1056" w:type="dxa"/>
            <w:tcBorders>
              <w:top w:val="nil"/>
              <w:left w:val="single" w:sz="4" w:space="0" w:color="auto"/>
              <w:bottom w:val="nil"/>
              <w:right w:val="nil"/>
            </w:tcBorders>
            <w:shd w:val="clear" w:color="auto" w:fill="auto"/>
            <w:noWrap/>
            <w:vAlign w:val="center"/>
            <w:hideMark/>
          </w:tcPr>
          <w:p w14:paraId="6FA9A235"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p>
        </w:tc>
      </w:tr>
      <w:tr w:rsidR="00316DAC" w:rsidRPr="008E28E6" w14:paraId="2F8A5A25"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5198384A"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TIMP metallopeptidase inhibitor 1 (TIMP-1)</w:t>
            </w:r>
          </w:p>
        </w:tc>
        <w:tc>
          <w:tcPr>
            <w:tcW w:w="2602" w:type="dxa"/>
            <w:tcBorders>
              <w:top w:val="nil"/>
              <w:left w:val="single" w:sz="4" w:space="0" w:color="auto"/>
              <w:bottom w:val="nil"/>
              <w:right w:val="single" w:sz="4" w:space="0" w:color="auto"/>
            </w:tcBorders>
            <w:shd w:val="clear" w:color="auto" w:fill="auto"/>
            <w:noWrap/>
            <w:vAlign w:val="center"/>
            <w:hideMark/>
          </w:tcPr>
          <w:p w14:paraId="57B446D9"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Luminex Competitive</w:t>
            </w:r>
          </w:p>
        </w:tc>
        <w:tc>
          <w:tcPr>
            <w:tcW w:w="1527" w:type="dxa"/>
            <w:tcBorders>
              <w:top w:val="nil"/>
              <w:left w:val="single" w:sz="4" w:space="0" w:color="auto"/>
              <w:bottom w:val="nil"/>
              <w:right w:val="single" w:sz="4" w:space="0" w:color="auto"/>
            </w:tcBorders>
            <w:shd w:val="clear" w:color="auto" w:fill="auto"/>
            <w:noWrap/>
            <w:vAlign w:val="center"/>
            <w:hideMark/>
          </w:tcPr>
          <w:p w14:paraId="3A0ED61D"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c>
          <w:tcPr>
            <w:tcW w:w="1056" w:type="dxa"/>
            <w:tcBorders>
              <w:top w:val="nil"/>
              <w:left w:val="single" w:sz="4" w:space="0" w:color="auto"/>
              <w:bottom w:val="nil"/>
              <w:right w:val="nil"/>
            </w:tcBorders>
            <w:shd w:val="clear" w:color="auto" w:fill="auto"/>
            <w:noWrap/>
            <w:vAlign w:val="center"/>
            <w:hideMark/>
          </w:tcPr>
          <w:p w14:paraId="6638E3DC"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p>
        </w:tc>
      </w:tr>
      <w:tr w:rsidR="00316DAC" w:rsidRPr="008E28E6" w14:paraId="020727D5"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69B11482"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Transforming growth factor (TGF) β receptor 2</w:t>
            </w:r>
          </w:p>
        </w:tc>
        <w:tc>
          <w:tcPr>
            <w:tcW w:w="2602" w:type="dxa"/>
            <w:tcBorders>
              <w:top w:val="nil"/>
              <w:left w:val="single" w:sz="4" w:space="0" w:color="auto"/>
              <w:bottom w:val="nil"/>
              <w:right w:val="single" w:sz="4" w:space="0" w:color="auto"/>
            </w:tcBorders>
            <w:shd w:val="clear" w:color="auto" w:fill="auto"/>
            <w:noWrap/>
            <w:vAlign w:val="center"/>
            <w:hideMark/>
          </w:tcPr>
          <w:p w14:paraId="496C9B9D"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Luminex Sandwich</w:t>
            </w:r>
          </w:p>
        </w:tc>
        <w:tc>
          <w:tcPr>
            <w:tcW w:w="1527" w:type="dxa"/>
            <w:tcBorders>
              <w:top w:val="nil"/>
              <w:left w:val="single" w:sz="4" w:space="0" w:color="auto"/>
              <w:bottom w:val="nil"/>
              <w:right w:val="single" w:sz="4" w:space="0" w:color="auto"/>
            </w:tcBorders>
            <w:shd w:val="clear" w:color="auto" w:fill="auto"/>
            <w:noWrap/>
            <w:vAlign w:val="center"/>
            <w:hideMark/>
          </w:tcPr>
          <w:p w14:paraId="669AAE73"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c>
          <w:tcPr>
            <w:tcW w:w="1056" w:type="dxa"/>
            <w:tcBorders>
              <w:top w:val="nil"/>
              <w:left w:val="single" w:sz="4" w:space="0" w:color="auto"/>
              <w:bottom w:val="nil"/>
              <w:right w:val="nil"/>
            </w:tcBorders>
            <w:shd w:val="clear" w:color="auto" w:fill="auto"/>
            <w:noWrap/>
            <w:vAlign w:val="center"/>
            <w:hideMark/>
          </w:tcPr>
          <w:p w14:paraId="57235881"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p>
        </w:tc>
      </w:tr>
      <w:tr w:rsidR="00316DAC" w:rsidRPr="008E28E6" w14:paraId="7D2DE1BF"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678FB71F"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 xml:space="preserve">Triglycerides </w:t>
            </w:r>
            <w:r w:rsidRPr="008E28E6">
              <w:rPr>
                <w:rFonts w:ascii="Times New Roman" w:eastAsia="Times New Roman" w:hAnsi="Times New Roman" w:cs="Times New Roman"/>
                <w:sz w:val="24"/>
                <w:szCs w:val="24"/>
                <w:vertAlign w:val="superscript"/>
                <w:lang w:eastAsia="en-GB"/>
              </w:rPr>
              <w:t>b</w:t>
            </w:r>
          </w:p>
        </w:tc>
        <w:tc>
          <w:tcPr>
            <w:tcW w:w="2602" w:type="dxa"/>
            <w:tcBorders>
              <w:top w:val="nil"/>
              <w:left w:val="single" w:sz="4" w:space="0" w:color="auto"/>
              <w:bottom w:val="nil"/>
              <w:right w:val="single" w:sz="4" w:space="0" w:color="auto"/>
            </w:tcBorders>
            <w:shd w:val="clear" w:color="auto" w:fill="auto"/>
            <w:noWrap/>
            <w:vAlign w:val="center"/>
            <w:hideMark/>
          </w:tcPr>
          <w:p w14:paraId="0F710891"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Enzymatic Colorimetric</w:t>
            </w:r>
          </w:p>
        </w:tc>
        <w:tc>
          <w:tcPr>
            <w:tcW w:w="1527" w:type="dxa"/>
            <w:tcBorders>
              <w:top w:val="nil"/>
              <w:left w:val="single" w:sz="4" w:space="0" w:color="auto"/>
              <w:bottom w:val="nil"/>
              <w:right w:val="single" w:sz="4" w:space="0" w:color="auto"/>
            </w:tcBorders>
            <w:shd w:val="clear" w:color="auto" w:fill="auto"/>
            <w:noWrap/>
            <w:vAlign w:val="center"/>
            <w:hideMark/>
          </w:tcPr>
          <w:p w14:paraId="7E626728"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c>
          <w:tcPr>
            <w:tcW w:w="1056" w:type="dxa"/>
            <w:tcBorders>
              <w:top w:val="nil"/>
              <w:left w:val="single" w:sz="4" w:space="0" w:color="auto"/>
              <w:bottom w:val="nil"/>
              <w:right w:val="nil"/>
            </w:tcBorders>
            <w:shd w:val="clear" w:color="auto" w:fill="auto"/>
            <w:noWrap/>
            <w:vAlign w:val="center"/>
            <w:hideMark/>
          </w:tcPr>
          <w:p w14:paraId="201C6A7C"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r>
      <w:tr w:rsidR="00316DAC" w:rsidRPr="008E28E6" w14:paraId="3A63E00E"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643A6042"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Tumour necrosis factor receptor 1a (TNFR1a)</w:t>
            </w:r>
          </w:p>
        </w:tc>
        <w:tc>
          <w:tcPr>
            <w:tcW w:w="2602" w:type="dxa"/>
            <w:tcBorders>
              <w:top w:val="nil"/>
              <w:left w:val="single" w:sz="4" w:space="0" w:color="auto"/>
              <w:bottom w:val="nil"/>
              <w:right w:val="single" w:sz="4" w:space="0" w:color="auto"/>
            </w:tcBorders>
            <w:shd w:val="clear" w:color="auto" w:fill="auto"/>
            <w:noWrap/>
            <w:vAlign w:val="center"/>
            <w:hideMark/>
          </w:tcPr>
          <w:p w14:paraId="2E8BB831"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Luminex Sandwich</w:t>
            </w:r>
          </w:p>
        </w:tc>
        <w:tc>
          <w:tcPr>
            <w:tcW w:w="1527" w:type="dxa"/>
            <w:tcBorders>
              <w:top w:val="nil"/>
              <w:left w:val="single" w:sz="4" w:space="0" w:color="auto"/>
              <w:bottom w:val="nil"/>
              <w:right w:val="single" w:sz="4" w:space="0" w:color="auto"/>
            </w:tcBorders>
            <w:shd w:val="clear" w:color="auto" w:fill="auto"/>
            <w:noWrap/>
            <w:vAlign w:val="center"/>
            <w:hideMark/>
          </w:tcPr>
          <w:p w14:paraId="4125FF13"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c>
          <w:tcPr>
            <w:tcW w:w="1056" w:type="dxa"/>
            <w:tcBorders>
              <w:top w:val="nil"/>
              <w:left w:val="single" w:sz="4" w:space="0" w:color="auto"/>
              <w:bottom w:val="nil"/>
              <w:right w:val="nil"/>
            </w:tcBorders>
            <w:shd w:val="clear" w:color="auto" w:fill="auto"/>
            <w:noWrap/>
            <w:vAlign w:val="center"/>
            <w:hideMark/>
          </w:tcPr>
          <w:p w14:paraId="69B75C7C"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p>
        </w:tc>
      </w:tr>
      <w:tr w:rsidR="00316DAC" w:rsidRPr="008E28E6" w14:paraId="2D6655B4"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24975F37"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Vascular endothelial growth factor C (VEGF-C)</w:t>
            </w:r>
          </w:p>
        </w:tc>
        <w:tc>
          <w:tcPr>
            <w:tcW w:w="2602" w:type="dxa"/>
            <w:tcBorders>
              <w:top w:val="nil"/>
              <w:left w:val="single" w:sz="4" w:space="0" w:color="auto"/>
              <w:bottom w:val="nil"/>
              <w:right w:val="single" w:sz="4" w:space="0" w:color="auto"/>
            </w:tcBorders>
            <w:shd w:val="clear" w:color="auto" w:fill="auto"/>
            <w:noWrap/>
            <w:vAlign w:val="center"/>
            <w:hideMark/>
          </w:tcPr>
          <w:p w14:paraId="5E2C8A8F"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Luminex Sandwich</w:t>
            </w:r>
          </w:p>
        </w:tc>
        <w:tc>
          <w:tcPr>
            <w:tcW w:w="1527" w:type="dxa"/>
            <w:tcBorders>
              <w:top w:val="nil"/>
              <w:left w:val="single" w:sz="4" w:space="0" w:color="auto"/>
              <w:bottom w:val="nil"/>
              <w:right w:val="single" w:sz="4" w:space="0" w:color="auto"/>
            </w:tcBorders>
            <w:shd w:val="clear" w:color="auto" w:fill="auto"/>
            <w:noWrap/>
            <w:vAlign w:val="center"/>
            <w:hideMark/>
          </w:tcPr>
          <w:p w14:paraId="6DCC7806"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c>
          <w:tcPr>
            <w:tcW w:w="1056" w:type="dxa"/>
            <w:tcBorders>
              <w:top w:val="nil"/>
              <w:left w:val="single" w:sz="4" w:space="0" w:color="auto"/>
              <w:bottom w:val="nil"/>
              <w:right w:val="nil"/>
            </w:tcBorders>
            <w:shd w:val="clear" w:color="auto" w:fill="auto"/>
            <w:noWrap/>
            <w:vAlign w:val="center"/>
            <w:hideMark/>
          </w:tcPr>
          <w:p w14:paraId="5825637B"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p>
        </w:tc>
      </w:tr>
      <w:tr w:rsidR="00316DAC" w:rsidRPr="008E28E6" w14:paraId="64FC885D" w14:textId="77777777" w:rsidTr="000E3240">
        <w:trPr>
          <w:trHeight w:val="346"/>
        </w:trPr>
        <w:tc>
          <w:tcPr>
            <w:tcW w:w="3870" w:type="dxa"/>
            <w:tcBorders>
              <w:top w:val="nil"/>
              <w:left w:val="nil"/>
              <w:bottom w:val="nil"/>
              <w:right w:val="single" w:sz="4" w:space="0" w:color="auto"/>
            </w:tcBorders>
            <w:shd w:val="clear" w:color="auto" w:fill="auto"/>
            <w:vAlign w:val="center"/>
            <w:hideMark/>
          </w:tcPr>
          <w:p w14:paraId="49F2A312"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Vascular endothelial growth factor receptor 1 (VEGFR1)</w:t>
            </w:r>
          </w:p>
        </w:tc>
        <w:tc>
          <w:tcPr>
            <w:tcW w:w="2602" w:type="dxa"/>
            <w:tcBorders>
              <w:top w:val="nil"/>
              <w:left w:val="single" w:sz="4" w:space="0" w:color="auto"/>
              <w:bottom w:val="nil"/>
              <w:right w:val="single" w:sz="4" w:space="0" w:color="auto"/>
            </w:tcBorders>
            <w:shd w:val="clear" w:color="auto" w:fill="auto"/>
            <w:noWrap/>
            <w:vAlign w:val="center"/>
            <w:hideMark/>
          </w:tcPr>
          <w:p w14:paraId="7C66CAB8"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Luminex Sandwich</w:t>
            </w:r>
          </w:p>
        </w:tc>
        <w:tc>
          <w:tcPr>
            <w:tcW w:w="1527" w:type="dxa"/>
            <w:tcBorders>
              <w:top w:val="nil"/>
              <w:left w:val="single" w:sz="4" w:space="0" w:color="auto"/>
              <w:bottom w:val="nil"/>
              <w:right w:val="single" w:sz="4" w:space="0" w:color="auto"/>
            </w:tcBorders>
            <w:shd w:val="clear" w:color="auto" w:fill="auto"/>
            <w:noWrap/>
            <w:vAlign w:val="center"/>
            <w:hideMark/>
          </w:tcPr>
          <w:p w14:paraId="0E7BE53D"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c>
          <w:tcPr>
            <w:tcW w:w="1056" w:type="dxa"/>
            <w:tcBorders>
              <w:top w:val="nil"/>
              <w:left w:val="single" w:sz="4" w:space="0" w:color="auto"/>
              <w:bottom w:val="nil"/>
              <w:right w:val="nil"/>
            </w:tcBorders>
            <w:shd w:val="clear" w:color="auto" w:fill="auto"/>
            <w:noWrap/>
            <w:vAlign w:val="center"/>
            <w:hideMark/>
          </w:tcPr>
          <w:p w14:paraId="42161A52"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p>
        </w:tc>
      </w:tr>
      <w:tr w:rsidR="00316DAC" w:rsidRPr="008E28E6" w14:paraId="5ECE749D" w14:textId="77777777" w:rsidTr="000E3240">
        <w:trPr>
          <w:trHeight w:val="346"/>
        </w:trPr>
        <w:tc>
          <w:tcPr>
            <w:tcW w:w="3870" w:type="dxa"/>
            <w:tcBorders>
              <w:top w:val="nil"/>
              <w:left w:val="nil"/>
              <w:right w:val="single" w:sz="4" w:space="0" w:color="auto"/>
            </w:tcBorders>
            <w:shd w:val="clear" w:color="auto" w:fill="auto"/>
            <w:vAlign w:val="center"/>
            <w:hideMark/>
          </w:tcPr>
          <w:p w14:paraId="47084A0D"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Visfatin</w:t>
            </w:r>
          </w:p>
        </w:tc>
        <w:tc>
          <w:tcPr>
            <w:tcW w:w="2602" w:type="dxa"/>
            <w:tcBorders>
              <w:top w:val="nil"/>
              <w:left w:val="single" w:sz="4" w:space="0" w:color="auto"/>
              <w:right w:val="single" w:sz="4" w:space="0" w:color="auto"/>
            </w:tcBorders>
            <w:shd w:val="clear" w:color="auto" w:fill="auto"/>
            <w:noWrap/>
            <w:vAlign w:val="center"/>
            <w:hideMark/>
          </w:tcPr>
          <w:p w14:paraId="240DAEA3"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Luminex Sandwich</w:t>
            </w:r>
          </w:p>
        </w:tc>
        <w:tc>
          <w:tcPr>
            <w:tcW w:w="1527" w:type="dxa"/>
            <w:tcBorders>
              <w:top w:val="nil"/>
              <w:left w:val="single" w:sz="4" w:space="0" w:color="auto"/>
              <w:right w:val="single" w:sz="4" w:space="0" w:color="auto"/>
            </w:tcBorders>
            <w:shd w:val="clear" w:color="auto" w:fill="auto"/>
            <w:noWrap/>
            <w:vAlign w:val="center"/>
            <w:hideMark/>
          </w:tcPr>
          <w:p w14:paraId="3BF17BDB"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 xml:space="preserve">Exclude LOD </w:t>
            </w:r>
            <w:r w:rsidRPr="008E28E6">
              <w:rPr>
                <w:rFonts w:ascii="Times New Roman" w:eastAsia="Times New Roman" w:hAnsi="Times New Roman" w:cs="Times New Roman"/>
                <w:sz w:val="24"/>
                <w:szCs w:val="24"/>
                <w:vertAlign w:val="superscript"/>
                <w:lang w:eastAsia="en-GB"/>
              </w:rPr>
              <w:t>a</w:t>
            </w:r>
          </w:p>
        </w:tc>
        <w:tc>
          <w:tcPr>
            <w:tcW w:w="1056" w:type="dxa"/>
            <w:tcBorders>
              <w:top w:val="nil"/>
              <w:left w:val="single" w:sz="4" w:space="0" w:color="auto"/>
              <w:right w:val="nil"/>
            </w:tcBorders>
            <w:shd w:val="clear" w:color="auto" w:fill="auto"/>
            <w:noWrap/>
            <w:vAlign w:val="center"/>
            <w:hideMark/>
          </w:tcPr>
          <w:p w14:paraId="3A2955D4"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p>
        </w:tc>
      </w:tr>
      <w:tr w:rsidR="00316DAC" w:rsidRPr="008E28E6" w14:paraId="5E5BF2C8" w14:textId="77777777" w:rsidTr="000E3240">
        <w:trPr>
          <w:trHeight w:val="346"/>
        </w:trPr>
        <w:tc>
          <w:tcPr>
            <w:tcW w:w="3870" w:type="dxa"/>
            <w:tcBorders>
              <w:top w:val="nil"/>
              <w:left w:val="nil"/>
              <w:bottom w:val="single" w:sz="4" w:space="0" w:color="auto"/>
              <w:right w:val="single" w:sz="4" w:space="0" w:color="auto"/>
            </w:tcBorders>
            <w:shd w:val="clear" w:color="auto" w:fill="auto"/>
            <w:vAlign w:val="center"/>
            <w:hideMark/>
          </w:tcPr>
          <w:p w14:paraId="315C99A1"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WAP four disulfide core domain protein 2 (HE4)</w:t>
            </w:r>
          </w:p>
        </w:tc>
        <w:tc>
          <w:tcPr>
            <w:tcW w:w="2602" w:type="dxa"/>
            <w:tcBorders>
              <w:top w:val="nil"/>
              <w:left w:val="single" w:sz="4" w:space="0" w:color="auto"/>
              <w:bottom w:val="single" w:sz="4" w:space="0" w:color="auto"/>
              <w:right w:val="single" w:sz="4" w:space="0" w:color="auto"/>
            </w:tcBorders>
            <w:shd w:val="clear" w:color="auto" w:fill="auto"/>
            <w:noWrap/>
            <w:vAlign w:val="center"/>
            <w:hideMark/>
          </w:tcPr>
          <w:p w14:paraId="487E9339"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Luminex Sandwich</w:t>
            </w:r>
          </w:p>
        </w:tc>
        <w:tc>
          <w:tcPr>
            <w:tcW w:w="1527" w:type="dxa"/>
            <w:tcBorders>
              <w:top w:val="nil"/>
              <w:left w:val="single" w:sz="4" w:space="0" w:color="auto"/>
              <w:bottom w:val="single" w:sz="4" w:space="0" w:color="auto"/>
              <w:right w:val="single" w:sz="4" w:space="0" w:color="auto"/>
            </w:tcBorders>
            <w:shd w:val="clear" w:color="auto" w:fill="auto"/>
            <w:noWrap/>
            <w:vAlign w:val="center"/>
            <w:hideMark/>
          </w:tcPr>
          <w:p w14:paraId="3AE2D477"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lang w:eastAsia="en-GB"/>
              </w:rPr>
              <w:t>Yes</w:t>
            </w:r>
          </w:p>
        </w:tc>
        <w:tc>
          <w:tcPr>
            <w:tcW w:w="1056" w:type="dxa"/>
            <w:tcBorders>
              <w:top w:val="nil"/>
              <w:left w:val="single" w:sz="4" w:space="0" w:color="auto"/>
              <w:bottom w:val="single" w:sz="4" w:space="0" w:color="auto"/>
              <w:right w:val="nil"/>
            </w:tcBorders>
            <w:shd w:val="clear" w:color="auto" w:fill="auto"/>
            <w:noWrap/>
            <w:vAlign w:val="center"/>
            <w:hideMark/>
          </w:tcPr>
          <w:p w14:paraId="2AFD9C25" w14:textId="77777777" w:rsidR="00316DAC" w:rsidRPr="008E28E6" w:rsidRDefault="00316DAC" w:rsidP="00180C94">
            <w:pPr>
              <w:spacing w:after="0" w:line="240" w:lineRule="auto"/>
              <w:rPr>
                <w:rFonts w:ascii="Times New Roman" w:eastAsia="Times New Roman" w:hAnsi="Times New Roman" w:cs="Times New Roman"/>
                <w:sz w:val="24"/>
                <w:szCs w:val="24"/>
                <w:lang w:eastAsia="en-GB"/>
              </w:rPr>
            </w:pPr>
          </w:p>
        </w:tc>
      </w:tr>
    </w:tbl>
    <w:p w14:paraId="3DD1FB9F" w14:textId="77777777" w:rsidR="00552CF5" w:rsidRPr="008E28E6" w:rsidRDefault="00552CF5" w:rsidP="00552CF5">
      <w:pPr>
        <w:autoSpaceDE w:val="0"/>
        <w:autoSpaceDN w:val="0"/>
        <w:adjustRightInd w:val="0"/>
        <w:spacing w:after="0" w:line="480" w:lineRule="auto"/>
        <w:jc w:val="both"/>
        <w:rPr>
          <w:rFonts w:ascii="Times New Roman" w:eastAsia="Times New Roman" w:hAnsi="Times New Roman" w:cs="Times New Roman"/>
          <w:sz w:val="24"/>
          <w:szCs w:val="24"/>
          <w:lang w:eastAsia="en-GB"/>
        </w:rPr>
      </w:pPr>
      <w:r w:rsidRPr="008E28E6">
        <w:rPr>
          <w:rFonts w:ascii="Times New Roman" w:eastAsia="Times New Roman" w:hAnsi="Times New Roman" w:cs="Times New Roman"/>
          <w:sz w:val="24"/>
          <w:szCs w:val="24"/>
          <w:vertAlign w:val="superscript"/>
          <w:lang w:eastAsia="en-GB"/>
        </w:rPr>
        <w:t>a</w:t>
      </w:r>
      <w:r w:rsidRPr="008E28E6">
        <w:rPr>
          <w:rFonts w:ascii="Times New Roman" w:eastAsia="Times New Roman" w:hAnsi="Times New Roman" w:cs="Times New Roman"/>
          <w:sz w:val="24"/>
          <w:szCs w:val="24"/>
          <w:lang w:eastAsia="en-GB"/>
        </w:rPr>
        <w:t xml:space="preserve"> Excluded as the majority of measurements for the biomarker were below the limit of detection (LOD) of the assay.</w:t>
      </w:r>
    </w:p>
    <w:p w14:paraId="3C5DA81F" w14:textId="28DD12E7" w:rsidR="00552CF5" w:rsidRPr="008E28E6" w:rsidRDefault="00786DE6" w:rsidP="00552CF5">
      <w:pPr>
        <w:autoSpaceDE w:val="0"/>
        <w:autoSpaceDN w:val="0"/>
        <w:adjustRightInd w:val="0"/>
        <w:spacing w:after="0" w:line="480" w:lineRule="auto"/>
        <w:jc w:val="both"/>
        <w:rPr>
          <w:rFonts w:ascii="Times New Roman" w:eastAsia="TimesNewRomanPSMT" w:hAnsi="Times New Roman" w:cs="Times New Roman"/>
          <w:sz w:val="24"/>
          <w:szCs w:val="24"/>
        </w:rPr>
      </w:pPr>
      <w:r w:rsidRPr="008E28E6">
        <w:rPr>
          <w:rFonts w:ascii="Times New Roman" w:eastAsia="Times New Roman" w:hAnsi="Times New Roman" w:cs="Times New Roman"/>
          <w:sz w:val="24"/>
          <w:szCs w:val="24"/>
          <w:vertAlign w:val="superscript"/>
          <w:lang w:eastAsia="en-GB"/>
        </w:rPr>
        <w:t>b</w:t>
      </w:r>
      <w:r w:rsidRPr="008E28E6">
        <w:rPr>
          <w:rFonts w:ascii="Times New Roman" w:eastAsia="Times New Roman" w:hAnsi="Times New Roman" w:cs="Times New Roman"/>
          <w:sz w:val="24"/>
          <w:szCs w:val="24"/>
          <w:lang w:eastAsia="en-GB"/>
        </w:rPr>
        <w:t xml:space="preserve"> </w:t>
      </w:r>
      <w:r w:rsidR="00552CF5" w:rsidRPr="008E28E6">
        <w:rPr>
          <w:rFonts w:ascii="Times New Roman" w:eastAsia="Times New Roman" w:hAnsi="Times New Roman" w:cs="Times New Roman"/>
          <w:sz w:val="24"/>
          <w:szCs w:val="24"/>
          <w:lang w:eastAsia="en-GB"/>
        </w:rPr>
        <w:t>Biomarkers previously reported in Kenny et al</w:t>
      </w:r>
      <w:r w:rsidR="00552CF5" w:rsidRPr="008E28E6">
        <w:rPr>
          <w:rFonts w:ascii="Times New Roman" w:eastAsia="Times New Roman" w:hAnsi="Times New Roman" w:cs="Times New Roman"/>
          <w:sz w:val="24"/>
          <w:szCs w:val="24"/>
          <w:vertAlign w:val="superscript"/>
          <w:lang w:eastAsia="en-GB"/>
        </w:rPr>
        <w:t>2</w:t>
      </w:r>
      <w:r w:rsidR="00552CF5" w:rsidRPr="008E28E6">
        <w:rPr>
          <w:rFonts w:ascii="Times New Roman" w:eastAsia="Times New Roman" w:hAnsi="Times New Roman" w:cs="Times New Roman"/>
          <w:sz w:val="24"/>
          <w:szCs w:val="24"/>
          <w:lang w:eastAsia="en-GB"/>
        </w:rPr>
        <w:t xml:space="preserve"> except adiponectin, cholesterol (total), HDL-cholesterol insulin, LDL-cholesterol, PlGH, trigly</w:t>
      </w:r>
      <w:r w:rsidRPr="008E28E6">
        <w:rPr>
          <w:rFonts w:ascii="Times New Roman" w:eastAsia="Times New Roman" w:hAnsi="Times New Roman" w:cs="Times New Roman"/>
          <w:sz w:val="24"/>
          <w:szCs w:val="24"/>
          <w:lang w:eastAsia="en-GB"/>
        </w:rPr>
        <w:t>cerides</w:t>
      </w:r>
      <w:r w:rsidR="00552CF5" w:rsidRPr="008E28E6">
        <w:rPr>
          <w:rFonts w:ascii="Times New Roman" w:eastAsia="Times New Roman" w:hAnsi="Times New Roman" w:cs="Times New Roman"/>
          <w:sz w:val="24"/>
          <w:szCs w:val="24"/>
          <w:lang w:eastAsia="en-GB"/>
        </w:rPr>
        <w:t>.</w:t>
      </w:r>
    </w:p>
    <w:p w14:paraId="737EFF0F" w14:textId="651CD12D" w:rsidR="00957865" w:rsidRPr="008E28E6" w:rsidRDefault="00957865" w:rsidP="00552CF5">
      <w:pPr>
        <w:autoSpaceDE w:val="0"/>
        <w:autoSpaceDN w:val="0"/>
        <w:adjustRightInd w:val="0"/>
        <w:spacing w:after="0" w:line="480" w:lineRule="auto"/>
        <w:jc w:val="both"/>
        <w:rPr>
          <w:rFonts w:ascii="Times New Roman" w:eastAsia="TimesNewRomanPSMT" w:hAnsi="Times New Roman" w:cs="Times New Roman"/>
          <w:sz w:val="24"/>
          <w:szCs w:val="24"/>
        </w:rPr>
      </w:pPr>
    </w:p>
    <w:sectPr w:rsidR="00957865" w:rsidRPr="008E28E6" w:rsidSect="0063114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25D53D" w14:textId="77777777" w:rsidR="00AF24D8" w:rsidRDefault="00AF24D8" w:rsidP="00C86E74">
      <w:pPr>
        <w:spacing w:after="0" w:line="240" w:lineRule="auto"/>
      </w:pPr>
      <w:r>
        <w:separator/>
      </w:r>
    </w:p>
  </w:endnote>
  <w:endnote w:type="continuationSeparator" w:id="0">
    <w:p w14:paraId="33D2455C" w14:textId="77777777" w:rsidR="00AF24D8" w:rsidRDefault="00AF24D8" w:rsidP="00C86E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panose1 w:val="00000000000000000000"/>
    <w:charset w:val="4D"/>
    <w:family w:val="roman"/>
    <w:notTrueType/>
    <w:pitch w:val="default"/>
    <w:sig w:usb0="03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711017"/>
      <w:docPartObj>
        <w:docPartGallery w:val="Page Numbers (Bottom of Page)"/>
        <w:docPartUnique/>
      </w:docPartObj>
    </w:sdtPr>
    <w:sdtEndPr>
      <w:rPr>
        <w:noProof/>
      </w:rPr>
    </w:sdtEndPr>
    <w:sdtContent>
      <w:p w14:paraId="3F82ED90" w14:textId="6D3A8E80" w:rsidR="00DE5587" w:rsidRDefault="00DE5587">
        <w:pPr>
          <w:pStyle w:val="Footer"/>
          <w:jc w:val="right"/>
        </w:pPr>
        <w:r>
          <w:fldChar w:fldCharType="begin"/>
        </w:r>
        <w:r>
          <w:instrText xml:space="preserve"> PAGE   \* MERGEFORMAT </w:instrText>
        </w:r>
        <w:r>
          <w:fldChar w:fldCharType="separate"/>
        </w:r>
        <w:r w:rsidR="006C0F60">
          <w:rPr>
            <w:noProof/>
          </w:rPr>
          <w:t>1</w:t>
        </w:r>
        <w:r>
          <w:rPr>
            <w:noProof/>
          </w:rPr>
          <w:fldChar w:fldCharType="end"/>
        </w:r>
      </w:p>
    </w:sdtContent>
  </w:sdt>
  <w:p w14:paraId="748060F1" w14:textId="77777777" w:rsidR="00DE5587" w:rsidRDefault="00DE55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61FDF3" w14:textId="77777777" w:rsidR="00AF24D8" w:rsidRDefault="00AF24D8" w:rsidP="00C86E74">
      <w:pPr>
        <w:spacing w:after="0" w:line="240" w:lineRule="auto"/>
      </w:pPr>
      <w:r>
        <w:separator/>
      </w:r>
    </w:p>
  </w:footnote>
  <w:footnote w:type="continuationSeparator" w:id="0">
    <w:p w14:paraId="6191630C" w14:textId="77777777" w:rsidR="00AF24D8" w:rsidRDefault="00AF24D8" w:rsidP="00C86E7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704"/>
    <w:rsid w:val="00030C12"/>
    <w:rsid w:val="000E3240"/>
    <w:rsid w:val="000F66E9"/>
    <w:rsid w:val="00180C94"/>
    <w:rsid w:val="00193F3B"/>
    <w:rsid w:val="001A735A"/>
    <w:rsid w:val="001B7BD5"/>
    <w:rsid w:val="001D33EA"/>
    <w:rsid w:val="001F0C18"/>
    <w:rsid w:val="0021275B"/>
    <w:rsid w:val="00214281"/>
    <w:rsid w:val="00214669"/>
    <w:rsid w:val="00217225"/>
    <w:rsid w:val="00220839"/>
    <w:rsid w:val="00231F53"/>
    <w:rsid w:val="0026343E"/>
    <w:rsid w:val="00274D91"/>
    <w:rsid w:val="002A041D"/>
    <w:rsid w:val="002D77FB"/>
    <w:rsid w:val="002E3A58"/>
    <w:rsid w:val="002E67F4"/>
    <w:rsid w:val="00316DAC"/>
    <w:rsid w:val="00321D68"/>
    <w:rsid w:val="00351CFD"/>
    <w:rsid w:val="00354092"/>
    <w:rsid w:val="003C7A7F"/>
    <w:rsid w:val="003D1517"/>
    <w:rsid w:val="003D50B8"/>
    <w:rsid w:val="003D5E24"/>
    <w:rsid w:val="00406A9A"/>
    <w:rsid w:val="00413E20"/>
    <w:rsid w:val="00433307"/>
    <w:rsid w:val="00435230"/>
    <w:rsid w:val="00455963"/>
    <w:rsid w:val="00460A8A"/>
    <w:rsid w:val="00470772"/>
    <w:rsid w:val="004A0983"/>
    <w:rsid w:val="004A3FEF"/>
    <w:rsid w:val="004A4DDE"/>
    <w:rsid w:val="004B2C67"/>
    <w:rsid w:val="00506BC2"/>
    <w:rsid w:val="00543E31"/>
    <w:rsid w:val="0055020D"/>
    <w:rsid w:val="00552CF5"/>
    <w:rsid w:val="005E4732"/>
    <w:rsid w:val="00610876"/>
    <w:rsid w:val="00610DD6"/>
    <w:rsid w:val="00614E11"/>
    <w:rsid w:val="00631146"/>
    <w:rsid w:val="00686691"/>
    <w:rsid w:val="006C0F60"/>
    <w:rsid w:val="006F7948"/>
    <w:rsid w:val="0072655E"/>
    <w:rsid w:val="00727794"/>
    <w:rsid w:val="00751E2B"/>
    <w:rsid w:val="007611BC"/>
    <w:rsid w:val="00762BAE"/>
    <w:rsid w:val="00786DE6"/>
    <w:rsid w:val="007A5354"/>
    <w:rsid w:val="007B2FAA"/>
    <w:rsid w:val="007B7817"/>
    <w:rsid w:val="007D216E"/>
    <w:rsid w:val="007E4C89"/>
    <w:rsid w:val="007E65DE"/>
    <w:rsid w:val="008171E2"/>
    <w:rsid w:val="008740AD"/>
    <w:rsid w:val="00881D24"/>
    <w:rsid w:val="008E179A"/>
    <w:rsid w:val="008E28E6"/>
    <w:rsid w:val="008F2EEE"/>
    <w:rsid w:val="00957865"/>
    <w:rsid w:val="009832D9"/>
    <w:rsid w:val="009A7AA0"/>
    <w:rsid w:val="009E6F7B"/>
    <w:rsid w:val="00A10D66"/>
    <w:rsid w:val="00A16397"/>
    <w:rsid w:val="00A23E44"/>
    <w:rsid w:val="00A73925"/>
    <w:rsid w:val="00A87505"/>
    <w:rsid w:val="00AD00A5"/>
    <w:rsid w:val="00AE2E06"/>
    <w:rsid w:val="00AF24D8"/>
    <w:rsid w:val="00B259BD"/>
    <w:rsid w:val="00B67AD4"/>
    <w:rsid w:val="00B73AC6"/>
    <w:rsid w:val="00B81C00"/>
    <w:rsid w:val="00BD209E"/>
    <w:rsid w:val="00C058C7"/>
    <w:rsid w:val="00C414E7"/>
    <w:rsid w:val="00C42750"/>
    <w:rsid w:val="00C46F2D"/>
    <w:rsid w:val="00C57F8F"/>
    <w:rsid w:val="00C86E74"/>
    <w:rsid w:val="00CA11EC"/>
    <w:rsid w:val="00D44E84"/>
    <w:rsid w:val="00D75BEE"/>
    <w:rsid w:val="00D85641"/>
    <w:rsid w:val="00DD2553"/>
    <w:rsid w:val="00DE0895"/>
    <w:rsid w:val="00DE1120"/>
    <w:rsid w:val="00DE5587"/>
    <w:rsid w:val="00E01DDB"/>
    <w:rsid w:val="00E53225"/>
    <w:rsid w:val="00E80304"/>
    <w:rsid w:val="00EB0BFF"/>
    <w:rsid w:val="00EC4C5F"/>
    <w:rsid w:val="00F7413D"/>
    <w:rsid w:val="00FB3704"/>
    <w:rsid w:val="00FC75AC"/>
    <w:rsid w:val="00FD4883"/>
    <w:rsid w:val="00FD532C"/>
    <w:rsid w:val="00FF319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70B151"/>
  <w15:docId w15:val="{7F11221A-3218-470B-A982-F2545DBA8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1F53"/>
    <w:pPr>
      <w:ind w:left="720"/>
      <w:contextualSpacing/>
    </w:pPr>
  </w:style>
  <w:style w:type="character" w:styleId="LineNumber">
    <w:name w:val="line number"/>
    <w:basedOn w:val="DefaultParagraphFont"/>
    <w:uiPriority w:val="99"/>
    <w:semiHidden/>
    <w:unhideWhenUsed/>
    <w:rsid w:val="00C86E74"/>
  </w:style>
  <w:style w:type="paragraph" w:styleId="Header">
    <w:name w:val="header"/>
    <w:basedOn w:val="Normal"/>
    <w:link w:val="HeaderChar"/>
    <w:uiPriority w:val="99"/>
    <w:unhideWhenUsed/>
    <w:rsid w:val="00C86E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6E74"/>
  </w:style>
  <w:style w:type="paragraph" w:styleId="Footer">
    <w:name w:val="footer"/>
    <w:basedOn w:val="Normal"/>
    <w:link w:val="FooterChar"/>
    <w:uiPriority w:val="99"/>
    <w:unhideWhenUsed/>
    <w:rsid w:val="00C86E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6E74"/>
  </w:style>
  <w:style w:type="character" w:styleId="CommentReference">
    <w:name w:val="annotation reference"/>
    <w:basedOn w:val="DefaultParagraphFont"/>
    <w:uiPriority w:val="99"/>
    <w:semiHidden/>
    <w:unhideWhenUsed/>
    <w:rsid w:val="00316DAC"/>
    <w:rPr>
      <w:sz w:val="16"/>
      <w:szCs w:val="16"/>
    </w:rPr>
  </w:style>
  <w:style w:type="paragraph" w:styleId="CommentText">
    <w:name w:val="annotation text"/>
    <w:basedOn w:val="Normal"/>
    <w:link w:val="CommentTextChar"/>
    <w:uiPriority w:val="99"/>
    <w:semiHidden/>
    <w:unhideWhenUsed/>
    <w:rsid w:val="00316DAC"/>
    <w:pPr>
      <w:spacing w:line="240" w:lineRule="auto"/>
    </w:pPr>
    <w:rPr>
      <w:sz w:val="20"/>
      <w:szCs w:val="20"/>
    </w:rPr>
  </w:style>
  <w:style w:type="character" w:customStyle="1" w:styleId="CommentTextChar">
    <w:name w:val="Comment Text Char"/>
    <w:basedOn w:val="DefaultParagraphFont"/>
    <w:link w:val="CommentText"/>
    <w:uiPriority w:val="99"/>
    <w:semiHidden/>
    <w:rsid w:val="00316DAC"/>
    <w:rPr>
      <w:sz w:val="20"/>
      <w:szCs w:val="20"/>
    </w:rPr>
  </w:style>
  <w:style w:type="paragraph" w:styleId="CommentSubject">
    <w:name w:val="annotation subject"/>
    <w:basedOn w:val="CommentText"/>
    <w:next w:val="CommentText"/>
    <w:link w:val="CommentSubjectChar"/>
    <w:uiPriority w:val="99"/>
    <w:semiHidden/>
    <w:unhideWhenUsed/>
    <w:rsid w:val="00316DAC"/>
    <w:rPr>
      <w:b/>
      <w:bCs/>
    </w:rPr>
  </w:style>
  <w:style w:type="character" w:customStyle="1" w:styleId="CommentSubjectChar">
    <w:name w:val="Comment Subject Char"/>
    <w:basedOn w:val="CommentTextChar"/>
    <w:link w:val="CommentSubject"/>
    <w:uiPriority w:val="99"/>
    <w:semiHidden/>
    <w:rsid w:val="00316DAC"/>
    <w:rPr>
      <w:b/>
      <w:bCs/>
      <w:sz w:val="20"/>
      <w:szCs w:val="20"/>
    </w:rPr>
  </w:style>
  <w:style w:type="paragraph" w:styleId="BalloonText">
    <w:name w:val="Balloon Text"/>
    <w:basedOn w:val="Normal"/>
    <w:link w:val="BalloonTextChar"/>
    <w:uiPriority w:val="99"/>
    <w:semiHidden/>
    <w:unhideWhenUsed/>
    <w:rsid w:val="00316D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6DAC"/>
    <w:rPr>
      <w:rFonts w:ascii="Tahoma" w:hAnsi="Tahoma" w:cs="Tahoma"/>
      <w:sz w:val="16"/>
      <w:szCs w:val="16"/>
    </w:rPr>
  </w:style>
  <w:style w:type="table" w:styleId="TableGrid">
    <w:name w:val="Table Grid"/>
    <w:basedOn w:val="TableNormal"/>
    <w:uiPriority w:val="59"/>
    <w:rsid w:val="00F7413D"/>
    <w:pPr>
      <w:spacing w:after="0" w:line="240" w:lineRule="auto"/>
    </w:pPr>
    <w:rPr>
      <w:rFonts w:eastAsiaTheme="minorEastAsia"/>
      <w:lang w:val="en-NZ" w:eastAsia="en-NZ"/>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aliases w:val=" Char"/>
    <w:basedOn w:val="Normal"/>
    <w:link w:val="BodyTextChar"/>
    <w:rsid w:val="00F7413D"/>
    <w:pPr>
      <w:spacing w:before="100" w:after="100" w:line="240" w:lineRule="auto"/>
    </w:pPr>
    <w:rPr>
      <w:rFonts w:ascii="Verdana" w:eastAsia="Times New Roman" w:hAnsi="Verdana" w:cs="Arial"/>
      <w:sz w:val="20"/>
      <w:szCs w:val="20"/>
      <w:lang w:eastAsia="en-GB"/>
    </w:rPr>
  </w:style>
  <w:style w:type="character" w:customStyle="1" w:styleId="BodyTextChar">
    <w:name w:val="Body Text Char"/>
    <w:aliases w:val=" Char Char"/>
    <w:basedOn w:val="DefaultParagraphFont"/>
    <w:link w:val="BodyText"/>
    <w:rsid w:val="00F7413D"/>
    <w:rPr>
      <w:rFonts w:ascii="Verdana" w:eastAsia="Times New Roman" w:hAnsi="Verdana" w:cs="Arial"/>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452175">
      <w:bodyDiv w:val="1"/>
      <w:marLeft w:val="0"/>
      <w:marRight w:val="0"/>
      <w:marTop w:val="0"/>
      <w:marBottom w:val="0"/>
      <w:divBdr>
        <w:top w:val="none" w:sz="0" w:space="0" w:color="auto"/>
        <w:left w:val="none" w:sz="0" w:space="0" w:color="auto"/>
        <w:bottom w:val="none" w:sz="0" w:space="0" w:color="auto"/>
        <w:right w:val="none" w:sz="0" w:space="0" w:color="auto"/>
      </w:divBdr>
      <w:divsChild>
        <w:div w:id="1271474498">
          <w:marLeft w:val="0"/>
          <w:marRight w:val="0"/>
          <w:marTop w:val="0"/>
          <w:marBottom w:val="0"/>
          <w:divBdr>
            <w:top w:val="none" w:sz="0" w:space="0" w:color="auto"/>
            <w:left w:val="none" w:sz="0" w:space="0" w:color="auto"/>
            <w:bottom w:val="none" w:sz="0" w:space="0" w:color="auto"/>
            <w:right w:val="none" w:sz="0" w:space="0" w:color="auto"/>
          </w:divBdr>
        </w:div>
        <w:div w:id="1743796487">
          <w:marLeft w:val="0"/>
          <w:marRight w:val="0"/>
          <w:marTop w:val="0"/>
          <w:marBottom w:val="0"/>
          <w:divBdr>
            <w:top w:val="none" w:sz="0" w:space="0" w:color="auto"/>
            <w:left w:val="none" w:sz="0" w:space="0" w:color="auto"/>
            <w:bottom w:val="none" w:sz="0" w:space="0" w:color="auto"/>
            <w:right w:val="none" w:sz="0" w:space="0" w:color="auto"/>
          </w:divBdr>
        </w:div>
        <w:div w:id="1441804228">
          <w:marLeft w:val="0"/>
          <w:marRight w:val="0"/>
          <w:marTop w:val="0"/>
          <w:marBottom w:val="0"/>
          <w:divBdr>
            <w:top w:val="none" w:sz="0" w:space="0" w:color="auto"/>
            <w:left w:val="none" w:sz="0" w:space="0" w:color="auto"/>
            <w:bottom w:val="none" w:sz="0" w:space="0" w:color="auto"/>
            <w:right w:val="none" w:sz="0" w:space="0" w:color="auto"/>
          </w:divBdr>
        </w:div>
      </w:divsChild>
    </w:div>
    <w:div w:id="681709809">
      <w:bodyDiv w:val="1"/>
      <w:marLeft w:val="0"/>
      <w:marRight w:val="0"/>
      <w:marTop w:val="0"/>
      <w:marBottom w:val="0"/>
      <w:divBdr>
        <w:top w:val="none" w:sz="0" w:space="0" w:color="auto"/>
        <w:left w:val="none" w:sz="0" w:space="0" w:color="auto"/>
        <w:bottom w:val="none" w:sz="0" w:space="0" w:color="auto"/>
        <w:right w:val="none" w:sz="0" w:space="0" w:color="auto"/>
      </w:divBdr>
    </w:div>
    <w:div w:id="1521771885">
      <w:bodyDiv w:val="1"/>
      <w:marLeft w:val="0"/>
      <w:marRight w:val="0"/>
      <w:marTop w:val="0"/>
      <w:marBottom w:val="0"/>
      <w:divBdr>
        <w:top w:val="none" w:sz="0" w:space="0" w:color="auto"/>
        <w:left w:val="none" w:sz="0" w:space="0" w:color="auto"/>
        <w:bottom w:val="none" w:sz="0" w:space="0" w:color="auto"/>
        <w:right w:val="none" w:sz="0" w:space="0" w:color="auto"/>
      </w:divBdr>
      <w:divsChild>
        <w:div w:id="859078524">
          <w:marLeft w:val="0"/>
          <w:marRight w:val="0"/>
          <w:marTop w:val="0"/>
          <w:marBottom w:val="0"/>
          <w:divBdr>
            <w:top w:val="none" w:sz="0" w:space="0" w:color="auto"/>
            <w:left w:val="none" w:sz="0" w:space="0" w:color="auto"/>
            <w:bottom w:val="none" w:sz="0" w:space="0" w:color="auto"/>
            <w:right w:val="none" w:sz="0" w:space="0" w:color="auto"/>
          </w:divBdr>
        </w:div>
        <w:div w:id="1619945310">
          <w:marLeft w:val="0"/>
          <w:marRight w:val="0"/>
          <w:marTop w:val="0"/>
          <w:marBottom w:val="0"/>
          <w:divBdr>
            <w:top w:val="none" w:sz="0" w:space="0" w:color="auto"/>
            <w:left w:val="none" w:sz="0" w:space="0" w:color="auto"/>
            <w:bottom w:val="none" w:sz="0" w:space="0" w:color="auto"/>
            <w:right w:val="none" w:sz="0" w:space="0" w:color="auto"/>
          </w:divBdr>
        </w:div>
        <w:div w:id="975986957">
          <w:marLeft w:val="0"/>
          <w:marRight w:val="0"/>
          <w:marTop w:val="0"/>
          <w:marBottom w:val="0"/>
          <w:divBdr>
            <w:top w:val="none" w:sz="0" w:space="0" w:color="auto"/>
            <w:left w:val="none" w:sz="0" w:space="0" w:color="auto"/>
            <w:bottom w:val="none" w:sz="0" w:space="0" w:color="auto"/>
            <w:right w:val="none" w:sz="0" w:space="0" w:color="auto"/>
          </w:divBdr>
        </w:div>
      </w:divsChild>
    </w:div>
    <w:div w:id="1829245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FD2480-E80F-4291-BB9C-160F183FF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2526</Words>
  <Characters>13468</Characters>
  <Application>Microsoft Office Word</Application>
  <DocSecurity>0</DocSecurity>
  <Lines>897</Lines>
  <Paragraphs>551</Paragraphs>
  <ScaleCrop>false</ScaleCrop>
  <HeadingPairs>
    <vt:vector size="2" baseType="variant">
      <vt:variant>
        <vt:lpstr>Title</vt:lpstr>
      </vt:variant>
      <vt:variant>
        <vt:i4>1</vt:i4>
      </vt:variant>
    </vt:vector>
  </HeadingPairs>
  <TitlesOfParts>
    <vt:vector size="1" baseType="lpstr">
      <vt:lpstr/>
    </vt:vector>
  </TitlesOfParts>
  <Company>The University of Auckland</Company>
  <LinksUpToDate>false</LinksUpToDate>
  <CharactersWithSpaces>15443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Costa Vieira, Matias</dc:creator>
  <cp:lastModifiedBy>Bowman, Siobhan</cp:lastModifiedBy>
  <cp:revision>2</cp:revision>
  <dcterms:created xsi:type="dcterms:W3CDTF">2017-01-25T11:29:00Z</dcterms:created>
  <dcterms:modified xsi:type="dcterms:W3CDTF">2017-01-25T11:29:00Z</dcterms:modified>
</cp:coreProperties>
</file>