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8F91B" w14:textId="1BCA58F2" w:rsidR="003D25CA" w:rsidRDefault="00145FE8" w:rsidP="003D25CA">
      <w:pPr>
        <w:pStyle w:val="Heading1"/>
        <w:numPr>
          <w:ilvl w:val="0"/>
          <w:numId w:val="0"/>
        </w:numPr>
      </w:pPr>
      <w:r>
        <w:t>Appendix</w:t>
      </w:r>
    </w:p>
    <w:p w14:paraId="3CC2FE73" w14:textId="77777777" w:rsidR="00145FE8" w:rsidRPr="00145FE8" w:rsidRDefault="00145FE8" w:rsidP="00145FE8"/>
    <w:p w14:paraId="5C098B0D" w14:textId="77777777" w:rsidR="003D25CA" w:rsidRDefault="003D25CA" w:rsidP="003D25CA">
      <w:pPr>
        <w:rPr>
          <w:rFonts w:ascii="Calibri" w:eastAsia="Calibri" w:hAnsi="Calibri" w:cs="Calibri"/>
          <w:bCs/>
        </w:rPr>
      </w:pPr>
      <w:r>
        <w:rPr>
          <w:rFonts w:ascii="Calibri" w:eastAsia="Calibri" w:hAnsi="Calibri" w:cs="Calibri"/>
          <w:bCs/>
        </w:rPr>
        <w:t>T</w:t>
      </w:r>
      <w:r w:rsidRPr="00F137F6">
        <w:rPr>
          <w:rFonts w:ascii="Calibri" w:eastAsia="Calibri" w:hAnsi="Calibri" w:cs="Calibri"/>
          <w:bCs/>
        </w:rPr>
        <w:t xml:space="preserve">he details for the calculations of the metrics and more detail from the sensitivity tests and results </w:t>
      </w:r>
      <w:r>
        <w:rPr>
          <w:rFonts w:ascii="Calibri" w:eastAsia="Calibri" w:hAnsi="Calibri" w:cs="Calibri"/>
          <w:bCs/>
        </w:rPr>
        <w:t xml:space="preserve">etc. </w:t>
      </w:r>
      <w:r w:rsidRPr="00F137F6">
        <w:rPr>
          <w:rFonts w:ascii="Calibri" w:eastAsia="Calibri" w:hAnsi="Calibri" w:cs="Calibri"/>
          <w:bCs/>
        </w:rPr>
        <w:t xml:space="preserve">are presented. </w:t>
      </w:r>
    </w:p>
    <w:p w14:paraId="75285081" w14:textId="77777777" w:rsidR="003D25CA" w:rsidRDefault="003D25CA" w:rsidP="003D25CA">
      <w:pPr>
        <w:pStyle w:val="Heading2"/>
        <w:numPr>
          <w:ilvl w:val="0"/>
          <w:numId w:val="0"/>
        </w:numPr>
      </w:pPr>
      <w:r>
        <w:t>UN SDGs</w:t>
      </w:r>
    </w:p>
    <w:p w14:paraId="26A55C73" w14:textId="77777777" w:rsidR="003D25CA" w:rsidRDefault="003D25CA" w:rsidP="003D25CA">
      <w:r>
        <w:t xml:space="preserve">It is not straightforward to apply the SDGs to individual situations because they were originally aimed at global / national sustainability goals rather than the goals of an individual project </w:t>
      </w:r>
      <w:r>
        <w:rPr>
          <w:color w:val="2B579A"/>
          <w:shd w:val="clear" w:color="auto" w:fill="E6E6E6"/>
        </w:rPr>
        <w:fldChar w:fldCharType="begin" w:fldLock="1"/>
      </w:r>
      <w:r>
        <w:instrText>ADDIN CSL_CITATION {"citationItems":[{"id":"ITEM-1","itemData":{"DOI":"10.13140/RG.2.2.16912.02564","ISBN":"4934123547","author":[{"dropping-particle":"","family":"Zeug","given":"Walther ;","non-dropping-particle":"","parse-names":false,"suffix":""},{"dropping-particle":"","family":"Bezama","given":"Alberto ;","non-dropping-particle":"","parse-names":false,"suffix":""},{"dropping-particle":"","family":"Thrän","given":"Daniela","non-dropping-particle":"","parse-names":false,"suffix":""}],"container-title":"UFZ Discussion Papers","id":"ITEM-1","issue":"August","issued":{"date-parts":[["2020"]]},"title":"Towards a Holistic and Integrated Life Cycle Sustainability Assessment of the Bioeconomy-Background on Concepts, Visions and Measurements","type":"book"},"uris":["http://www.mendeley.com/documents/?uuid=c6826ef7-657d-493a-a389-77044cf20c14"]}],"mendeley":{"formattedCitation":"(Zeug, Bezama and Thrän, 2020)","plainTextFormattedCitation":"(Zeug, Bezama and Thrän, 2020)","previouslyFormattedCitation":"(Zeug, Bezama and Thrän, 2020)"},"properties":{"noteIndex":0},"schema":"https://github.com/citation-style-language/schema/raw/master/csl-citation.json"}</w:instrText>
      </w:r>
      <w:r>
        <w:rPr>
          <w:color w:val="2B579A"/>
          <w:shd w:val="clear" w:color="auto" w:fill="E6E6E6"/>
        </w:rPr>
        <w:fldChar w:fldCharType="separate"/>
      </w:r>
      <w:r w:rsidRPr="009E5849">
        <w:rPr>
          <w:noProof/>
        </w:rPr>
        <w:t>(Zeug, Bezama and Thrän, 2020)</w:t>
      </w:r>
      <w:r>
        <w:rPr>
          <w:color w:val="2B579A"/>
          <w:shd w:val="clear" w:color="auto" w:fill="E6E6E6"/>
        </w:rPr>
        <w:fldChar w:fldCharType="end"/>
      </w:r>
      <w:r>
        <w:t xml:space="preserve">. It is however possible to extract indicators from them which are useful for the purposes of this investigation. The following metrics in </w:t>
      </w:r>
      <w:r>
        <w:rPr>
          <w:color w:val="2B579A"/>
          <w:shd w:val="clear" w:color="auto" w:fill="E6E6E6"/>
        </w:rPr>
        <w:fldChar w:fldCharType="begin"/>
      </w:r>
      <w:r>
        <w:instrText xml:space="preserve"> REF _Ref53226671 \h </w:instrText>
      </w:r>
      <w:r>
        <w:rPr>
          <w:color w:val="2B579A"/>
          <w:shd w:val="clear" w:color="auto" w:fill="E6E6E6"/>
        </w:rPr>
      </w:r>
      <w:r>
        <w:rPr>
          <w:color w:val="2B579A"/>
          <w:shd w:val="clear" w:color="auto" w:fill="E6E6E6"/>
        </w:rPr>
        <w:fldChar w:fldCharType="separate"/>
      </w:r>
      <w:r>
        <w:t xml:space="preserve">Table </w:t>
      </w:r>
      <w:r>
        <w:rPr>
          <w:noProof/>
        </w:rPr>
        <w:t>5</w:t>
      </w:r>
      <w:r>
        <w:rPr>
          <w:color w:val="2B579A"/>
          <w:shd w:val="clear" w:color="auto" w:fill="E6E6E6"/>
        </w:rPr>
        <w:fldChar w:fldCharType="end"/>
      </w:r>
      <w:r>
        <w:t xml:space="preserve"> are derived from the UN SDGs and their indicators </w:t>
      </w:r>
      <w:r w:rsidRPr="004A1782">
        <w:rPr>
          <w:rFonts w:cstheme="minorHAnsi"/>
        </w:rPr>
        <w:t xml:space="preserve"> </w:t>
      </w:r>
      <w:r w:rsidRPr="00B01AB6">
        <w:rPr>
          <w:color w:val="2B579A"/>
          <w:shd w:val="clear" w:color="auto" w:fill="E6E6E6"/>
        </w:rPr>
        <w:fldChar w:fldCharType="begin" w:fldLock="1"/>
      </w:r>
      <w:r>
        <w:instrText>ADDIN CSL_CITATION {"citationItems":[{"id":"ITEM-1","itemData":{"DOI":"ISBN 978 92 4 150848 3","ISBN":"9789241507226","ISSN":"1472-698X","PMID":"19828060","abstract":"Annex IV of the Report of the Inter-Agency and Expert Group on Sustainable Development Goal Indicators","author":[{"dropping-particle":"","family":"IAEG-SDGs","given":"","non-dropping-particle":"","parse-names":false,"suffix":""}],"container-title":"Report of the Inter-Agency and Expert Group on Sustainable Development Goal Indicators","id":"ITEM-1","issued":{"date-parts":[["2016"]]},"page":"Annex IV","title":"Final list of proposed Sustainable Development Goal indicators","type":"article-journal"},"uris":["http://www.mendeley.com/documents/?uuid=08fc8b89-2628-43bd-a63f-fa4b4be2ae4b"]}],"mendeley":{"formattedCitation":"(IAEG-SDGs, 2016)","plainTextFormattedCitation":"(IAEG-SDGs, 2016)","previouslyFormattedCitation":"(IAEG-SDGs, 2016)"},"properties":{"noteIndex":0},"schema":"https://github.com/citation-style-language/schema/raw/master/csl-citation.json"}</w:instrText>
      </w:r>
      <w:r w:rsidRPr="00B01AB6">
        <w:rPr>
          <w:color w:val="2B579A"/>
          <w:shd w:val="clear" w:color="auto" w:fill="E6E6E6"/>
        </w:rPr>
        <w:fldChar w:fldCharType="separate"/>
      </w:r>
      <w:r w:rsidRPr="00B01AB6">
        <w:rPr>
          <w:noProof/>
        </w:rPr>
        <w:t>(IAEG-SDGs, 2016)</w:t>
      </w:r>
      <w:r w:rsidRPr="00B01AB6">
        <w:rPr>
          <w:color w:val="2B579A"/>
          <w:shd w:val="clear" w:color="auto" w:fill="E6E6E6"/>
        </w:rPr>
        <w:fldChar w:fldCharType="end"/>
      </w:r>
      <w:r w:rsidRPr="00B01AB6">
        <w:t>, they find</w:t>
      </w:r>
      <w:r>
        <w:t xml:space="preserve"> </w:t>
      </w:r>
      <w:r w:rsidRPr="00B01AB6">
        <w:t xml:space="preserve">support from the literature </w:t>
      </w:r>
      <w:r>
        <w:rPr>
          <w:color w:val="2B579A"/>
          <w:shd w:val="clear" w:color="auto" w:fill="E6E6E6"/>
        </w:rPr>
        <w:fldChar w:fldCharType="begin" w:fldLock="1"/>
      </w:r>
      <w:r>
        <w:instrText>ADDIN CSL_CITATION {"citationItems":[{"id":"ITEM-1","itemData":{"DOI":"10.1016/j.resconrec.2018.12.024","ISSN":"18790658","abstract":"Biobased chemistry has gained interest and has the potential to tackle some of the sustainability challenges the chemical industry must endure. Sustainability impacts need to be evaluated and monitored to highlight the advantages and pitfalls of different biobased routes over the entire product life cycle. This study aims for expert consensus concerning indicators needed and preferred for sustainability analysis of biobased chemicals in Europe. Experts are consulted by means of a Delphi method with stakeholders selected from three core groups: the private, public and academic sector. Best-Worst Scaling (BWS) is performed to gather data on the prioritization of the sustainability indicators per respondent. Afterwards, Multi-Criteria Decision Analysis (MCDA) is used to develop a consensus ranking among the experts. The results show that GHG emissions, market potential and acceptance of biobased materials are deemed the most crucial indicators for respectively environmental, economic and social sustainability. Expert consensus is positive in all three sustainability domains, with the strongest consensus measured for environmental sustainability showing a median Kendall's τ of 0.63 (τ ranging from -1 to 1) and the weakest consensus found within social sustainability showing a median Kendall's τ of 0.50. Further research can apply the ranked indicators on specific case studies to evaluate the practicability of the defined indicator set.","author":[{"dropping-particle":"","family":"Schoubroeck","given":"Sophie","non-dropping-particle":"Van","parse-names":false,"suffix":""},{"dropping-particle":"","family":"Springael","given":"Johan","non-dropping-particle":"","parse-names":false,"suffix":""},{"dropping-particle":"","family":"Dael","given":"Miet","non-dropping-particle":"Van","parse-names":false,"suffix":""},{"dropping-particle":"","family":"Malina","given":"Robert","non-dropping-particle":"","parse-names":false,"suffix":""},{"dropping-particle":"","family":"Passel","given":"Steven","non-dropping-particle":"Van","parse-names":false,"suffix":""}],"container-title":"Resources, Conservation and Recycling","id":"ITEM-1","issue":"December 2018","issued":{"date-parts":[["2019"]]},"page":"198-208","publisher":"Elsevier","title":"Sustainability indicators for biobased chemicals: A Delphi study using Multi-Criteria Decision Analysis","type":"article-journal","volume":"144"},"uris":["http://www.mendeley.com/documents/?uuid=6206137d-cb63-4d48-a412-81c04926d0f5","http://www.mendeley.com/documents/?uuid=39b0c4eb-f2e6-438b-b83d-3c07d3ca0f06"]}],"mendeley":{"formattedCitation":"(Van Schoubroeck &lt;i&gt;et al.&lt;/i&gt;, 2019)","plainTextFormattedCitation":"(Van Schoubroeck et al., 2019)","previouslyFormattedCitation":"(Van Schoubroeck &lt;i&gt;et al.&lt;/i&gt;, 2019)"},"properties":{"noteIndex":0},"schema":"https://github.com/citation-style-language/schema/raw/master/csl-citation.json"}</w:instrText>
      </w:r>
      <w:r>
        <w:rPr>
          <w:color w:val="2B579A"/>
          <w:shd w:val="clear" w:color="auto" w:fill="E6E6E6"/>
        </w:rPr>
        <w:fldChar w:fldCharType="separate"/>
      </w:r>
      <w:r w:rsidRPr="0033497F">
        <w:rPr>
          <w:noProof/>
        </w:rPr>
        <w:t xml:space="preserve">(Van Schoubroeck </w:t>
      </w:r>
      <w:r w:rsidRPr="0033497F">
        <w:rPr>
          <w:i/>
          <w:noProof/>
        </w:rPr>
        <w:t>et al.</w:t>
      </w:r>
      <w:r w:rsidRPr="0033497F">
        <w:rPr>
          <w:noProof/>
        </w:rPr>
        <w:t>, 2019)</w:t>
      </w:r>
      <w:r>
        <w:rPr>
          <w:color w:val="2B579A"/>
          <w:shd w:val="clear" w:color="auto" w:fill="E6E6E6"/>
        </w:rPr>
        <w:fldChar w:fldCharType="end"/>
      </w:r>
      <w:r>
        <w:t xml:space="preserve">. </w:t>
      </w:r>
    </w:p>
    <w:p w14:paraId="30D87DB9" w14:textId="77777777" w:rsidR="003D25CA" w:rsidRDefault="003D25CA" w:rsidP="003D25CA">
      <w:pPr>
        <w:rPr>
          <w:sz w:val="20"/>
          <w:szCs w:val="20"/>
        </w:rPr>
      </w:pPr>
      <w:bookmarkStart w:id="0" w:name="_Ref53226671"/>
      <w:bookmarkStart w:id="1" w:name="_Toc53230435"/>
      <w:bookmarkStart w:id="2" w:name="_Toc53260121"/>
      <w:bookmarkStart w:id="3" w:name="_Toc61869163"/>
      <w:bookmarkStart w:id="4" w:name="_Toc62589124"/>
      <w:r w:rsidRPr="006E0C72">
        <w:rPr>
          <w:sz w:val="20"/>
          <w:szCs w:val="20"/>
        </w:rPr>
        <w:t xml:space="preserve">Table </w:t>
      </w:r>
      <w:bookmarkEnd w:id="0"/>
      <w:r w:rsidR="001A1B21" w:rsidRPr="001A1B21">
        <w:rPr>
          <w:sz w:val="20"/>
          <w:szCs w:val="20"/>
        </w:rPr>
        <w:t xml:space="preserve">5 </w:t>
      </w:r>
      <w:r w:rsidRPr="006E0C72">
        <w:rPr>
          <w:sz w:val="20"/>
          <w:szCs w:val="20"/>
        </w:rPr>
        <w:t>Rationale of selecting the SDGs and Metrics</w:t>
      </w:r>
      <w:bookmarkEnd w:id="1"/>
      <w:bookmarkEnd w:id="2"/>
      <w:r w:rsidRPr="006E0C72">
        <w:rPr>
          <w:sz w:val="20"/>
          <w:szCs w:val="20"/>
        </w:rPr>
        <w:t xml:space="preserve"> used in this research study.</w:t>
      </w:r>
      <w:bookmarkEnd w:id="3"/>
      <w:bookmarkEnd w:id="4"/>
    </w:p>
    <w:tbl>
      <w:tblPr>
        <w:tblStyle w:val="TableGrid"/>
        <w:tblW w:w="0" w:type="auto"/>
        <w:tblInd w:w="-5" w:type="dxa"/>
        <w:tblLook w:val="04A0" w:firstRow="1" w:lastRow="0" w:firstColumn="1" w:lastColumn="0" w:noHBand="0" w:noVBand="1"/>
      </w:tblPr>
      <w:tblGrid>
        <w:gridCol w:w="1465"/>
        <w:gridCol w:w="1519"/>
        <w:gridCol w:w="6061"/>
      </w:tblGrid>
      <w:tr w:rsidR="003D25CA" w14:paraId="1753D373" w14:textId="77777777" w:rsidTr="00F95399">
        <w:tc>
          <w:tcPr>
            <w:tcW w:w="1460" w:type="dxa"/>
          </w:tcPr>
          <w:p w14:paraId="7C5BE2CB" w14:textId="77777777" w:rsidR="003D25CA" w:rsidRDefault="003D25CA" w:rsidP="00F95399">
            <w:r w:rsidRPr="00581EBB">
              <w:rPr>
                <w:rFonts w:cstheme="minorHAnsi"/>
                <w:b/>
                <w:sz w:val="20"/>
                <w:szCs w:val="20"/>
              </w:rPr>
              <w:t>SDG</w:t>
            </w:r>
          </w:p>
        </w:tc>
        <w:tc>
          <w:tcPr>
            <w:tcW w:w="1519" w:type="dxa"/>
          </w:tcPr>
          <w:p w14:paraId="6C18759D" w14:textId="77777777" w:rsidR="003D25CA" w:rsidRDefault="003D25CA" w:rsidP="00F95399">
            <w:r w:rsidRPr="00581EBB">
              <w:rPr>
                <w:rFonts w:cstheme="minorHAnsi"/>
                <w:b/>
                <w:sz w:val="20"/>
                <w:szCs w:val="20"/>
              </w:rPr>
              <w:t>Metric (s)</w:t>
            </w:r>
          </w:p>
        </w:tc>
        <w:tc>
          <w:tcPr>
            <w:tcW w:w="6066" w:type="dxa"/>
          </w:tcPr>
          <w:p w14:paraId="0164E939" w14:textId="77777777" w:rsidR="003D25CA" w:rsidRDefault="003D25CA" w:rsidP="00F95399">
            <w:r w:rsidRPr="00581EBB">
              <w:rPr>
                <w:rFonts w:cstheme="minorHAnsi"/>
                <w:b/>
                <w:sz w:val="20"/>
                <w:szCs w:val="20"/>
              </w:rPr>
              <w:t>Rationale</w:t>
            </w:r>
          </w:p>
        </w:tc>
      </w:tr>
      <w:tr w:rsidR="003D25CA" w14:paraId="402D004A" w14:textId="77777777" w:rsidTr="00F95399">
        <w:tc>
          <w:tcPr>
            <w:tcW w:w="1460" w:type="dxa"/>
          </w:tcPr>
          <w:p w14:paraId="05E3AEE9" w14:textId="77777777" w:rsidR="003D25CA" w:rsidRDefault="003D25CA" w:rsidP="00F95399">
            <w:pPr>
              <w:rPr>
                <w:rFonts w:cstheme="minorHAnsi"/>
                <w:b/>
                <w:sz w:val="20"/>
                <w:szCs w:val="20"/>
              </w:rPr>
            </w:pPr>
            <w:r w:rsidRPr="00581EBB">
              <w:rPr>
                <w:rFonts w:cstheme="minorHAnsi"/>
                <w:color w:val="2B579A"/>
                <w:sz w:val="20"/>
                <w:szCs w:val="20"/>
                <w:shd w:val="clear" w:color="auto" w:fill="E6E6E6"/>
              </w:rPr>
              <w:object w:dxaOrig="1620" w:dyaOrig="1605" w14:anchorId="2F8B5C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45pt;height:53.2pt" o:ole="">
                  <v:imagedata r:id="rId8" o:title=""/>
                </v:shape>
                <o:OLEObject Type="Embed" ProgID="PBrush" ShapeID="_x0000_i1025" DrawAspect="Content" ObjectID="_1681645024" r:id="rId9"/>
              </w:object>
            </w:r>
          </w:p>
        </w:tc>
        <w:tc>
          <w:tcPr>
            <w:tcW w:w="1519" w:type="dxa"/>
          </w:tcPr>
          <w:p w14:paraId="0AB9CE3E" w14:textId="77777777" w:rsidR="003D25CA" w:rsidRPr="00D93343" w:rsidRDefault="003D25CA" w:rsidP="00F95399">
            <w:pPr>
              <w:rPr>
                <w:rFonts w:cstheme="minorHAnsi"/>
                <w:i/>
                <w:sz w:val="20"/>
                <w:szCs w:val="20"/>
              </w:rPr>
            </w:pPr>
            <w:r w:rsidRPr="00D93343">
              <w:rPr>
                <w:rFonts w:cstheme="minorHAnsi"/>
                <w:i/>
                <w:sz w:val="20"/>
                <w:szCs w:val="20"/>
              </w:rPr>
              <w:t>Salary</w:t>
            </w:r>
          </w:p>
          <w:p w14:paraId="1529D517" w14:textId="77777777" w:rsidR="003D25CA" w:rsidRPr="00581EBB" w:rsidRDefault="003D25CA" w:rsidP="00F95399">
            <w:pPr>
              <w:rPr>
                <w:rFonts w:cstheme="minorHAnsi"/>
                <w:b/>
                <w:sz w:val="20"/>
                <w:szCs w:val="20"/>
              </w:rPr>
            </w:pPr>
            <w:r w:rsidRPr="00D93343">
              <w:rPr>
                <w:rFonts w:cstheme="minorHAnsi"/>
                <w:i/>
                <w:sz w:val="20"/>
                <w:szCs w:val="20"/>
              </w:rPr>
              <w:t>Hours of Work</w:t>
            </w:r>
          </w:p>
        </w:tc>
        <w:tc>
          <w:tcPr>
            <w:tcW w:w="6066" w:type="dxa"/>
          </w:tcPr>
          <w:p w14:paraId="00E083CD" w14:textId="77777777" w:rsidR="003D25CA" w:rsidRPr="00581EBB" w:rsidRDefault="003D25CA" w:rsidP="00F95399">
            <w:pPr>
              <w:rPr>
                <w:rFonts w:cstheme="minorHAnsi"/>
                <w:b/>
                <w:sz w:val="20"/>
                <w:szCs w:val="20"/>
              </w:rPr>
            </w:pPr>
            <w:r w:rsidRPr="00581EBB">
              <w:rPr>
                <w:rFonts w:cstheme="minorHAnsi"/>
                <w:sz w:val="20"/>
                <w:szCs w:val="20"/>
              </w:rPr>
              <w:t>Can be addressed by generating an income from the end-of-life alternatives.</w:t>
            </w:r>
          </w:p>
        </w:tc>
      </w:tr>
      <w:tr w:rsidR="003D25CA" w14:paraId="16ED3FA3" w14:textId="77777777" w:rsidTr="00F95399">
        <w:tc>
          <w:tcPr>
            <w:tcW w:w="1460" w:type="dxa"/>
          </w:tcPr>
          <w:p w14:paraId="1970EA8B" w14:textId="77777777" w:rsidR="003D25CA" w:rsidRDefault="003D25CA" w:rsidP="00F95399">
            <w:pPr>
              <w:rPr>
                <w:rFonts w:cstheme="minorHAnsi"/>
                <w:b/>
                <w:sz w:val="20"/>
                <w:szCs w:val="20"/>
              </w:rPr>
            </w:pPr>
            <w:r w:rsidRPr="00581EBB">
              <w:rPr>
                <w:rFonts w:cstheme="minorHAnsi"/>
                <w:color w:val="2B579A"/>
                <w:sz w:val="20"/>
                <w:szCs w:val="20"/>
                <w:shd w:val="clear" w:color="auto" w:fill="E6E6E6"/>
              </w:rPr>
              <w:object w:dxaOrig="1620" w:dyaOrig="1635" w14:anchorId="1073051A">
                <v:shape id="_x0000_i1026" type="#_x0000_t75" style="width:54.45pt;height:54.45pt" o:ole="">
                  <v:imagedata r:id="rId10" o:title=""/>
                </v:shape>
                <o:OLEObject Type="Embed" ProgID="PBrush" ShapeID="_x0000_i1026" DrawAspect="Content" ObjectID="_1681645025" r:id="rId11"/>
              </w:object>
            </w:r>
          </w:p>
        </w:tc>
        <w:tc>
          <w:tcPr>
            <w:tcW w:w="1519" w:type="dxa"/>
          </w:tcPr>
          <w:p w14:paraId="1BE2A10D" w14:textId="77777777" w:rsidR="003D25CA" w:rsidRDefault="003D25CA" w:rsidP="00F95399">
            <w:pPr>
              <w:rPr>
                <w:rFonts w:cstheme="minorHAnsi"/>
                <w:i/>
                <w:sz w:val="20"/>
                <w:szCs w:val="20"/>
              </w:rPr>
            </w:pPr>
            <w:r>
              <w:rPr>
                <w:rFonts w:cstheme="minorHAnsi"/>
                <w:i/>
                <w:sz w:val="20"/>
                <w:szCs w:val="20"/>
              </w:rPr>
              <w:t>Salary</w:t>
            </w:r>
          </w:p>
          <w:p w14:paraId="60493F4B" w14:textId="77777777" w:rsidR="003D25CA" w:rsidRDefault="003D25CA" w:rsidP="00F95399">
            <w:pPr>
              <w:rPr>
                <w:rFonts w:cstheme="minorHAnsi"/>
                <w:i/>
                <w:sz w:val="20"/>
                <w:szCs w:val="20"/>
              </w:rPr>
            </w:pPr>
            <w:r>
              <w:rPr>
                <w:rFonts w:cstheme="minorHAnsi"/>
                <w:i/>
                <w:sz w:val="20"/>
                <w:szCs w:val="20"/>
              </w:rPr>
              <w:t>Hours of work</w:t>
            </w:r>
          </w:p>
          <w:p w14:paraId="750E1CB3" w14:textId="77777777" w:rsidR="003D25CA" w:rsidRPr="00D93343" w:rsidRDefault="003D25CA" w:rsidP="00F95399">
            <w:pPr>
              <w:rPr>
                <w:rFonts w:cstheme="minorHAnsi"/>
                <w:i/>
                <w:sz w:val="20"/>
                <w:szCs w:val="20"/>
              </w:rPr>
            </w:pPr>
          </w:p>
        </w:tc>
        <w:tc>
          <w:tcPr>
            <w:tcW w:w="6066" w:type="dxa"/>
          </w:tcPr>
          <w:p w14:paraId="396FF3EB" w14:textId="77777777" w:rsidR="003D25CA" w:rsidRPr="00581EBB" w:rsidRDefault="003D25CA" w:rsidP="00F95399">
            <w:pPr>
              <w:rPr>
                <w:rFonts w:cstheme="minorHAnsi"/>
                <w:sz w:val="20"/>
                <w:szCs w:val="20"/>
              </w:rPr>
            </w:pPr>
            <w:r w:rsidRPr="00581EBB">
              <w:rPr>
                <w:rFonts w:cstheme="minorHAnsi"/>
                <w:sz w:val="20"/>
                <w:szCs w:val="20"/>
              </w:rPr>
              <w:t>May be addressed via the economic benefits of the alternatives.</w:t>
            </w:r>
          </w:p>
        </w:tc>
      </w:tr>
      <w:tr w:rsidR="003D25CA" w14:paraId="0A431BC2" w14:textId="77777777" w:rsidTr="00F95399">
        <w:tc>
          <w:tcPr>
            <w:tcW w:w="1460" w:type="dxa"/>
          </w:tcPr>
          <w:p w14:paraId="26AF0BB6" w14:textId="77777777" w:rsidR="003D25CA" w:rsidRDefault="003D25CA" w:rsidP="00F95399">
            <w:pPr>
              <w:rPr>
                <w:rFonts w:cstheme="minorHAnsi"/>
                <w:b/>
                <w:sz w:val="20"/>
                <w:szCs w:val="20"/>
              </w:rPr>
            </w:pPr>
            <w:r w:rsidRPr="00581EBB">
              <w:rPr>
                <w:rFonts w:cstheme="minorHAnsi"/>
                <w:color w:val="2B579A"/>
                <w:sz w:val="20"/>
                <w:szCs w:val="20"/>
                <w:shd w:val="clear" w:color="auto" w:fill="E6E6E6"/>
              </w:rPr>
              <w:object w:dxaOrig="1605" w:dyaOrig="1605" w14:anchorId="279782E0">
                <v:shape id="_x0000_i1027" type="#_x0000_t75" style="width:54.45pt;height:54.45pt" o:ole="">
                  <v:imagedata r:id="rId12" o:title=""/>
                </v:shape>
                <o:OLEObject Type="Embed" ProgID="PBrush" ShapeID="_x0000_i1027" DrawAspect="Content" ObjectID="_1681645026" r:id="rId13"/>
              </w:object>
            </w:r>
          </w:p>
        </w:tc>
        <w:tc>
          <w:tcPr>
            <w:tcW w:w="1519" w:type="dxa"/>
          </w:tcPr>
          <w:p w14:paraId="24610123" w14:textId="77777777" w:rsidR="003D25CA" w:rsidRDefault="003D25CA" w:rsidP="00F95399">
            <w:pPr>
              <w:rPr>
                <w:rFonts w:cstheme="minorHAnsi"/>
                <w:i/>
                <w:sz w:val="20"/>
                <w:szCs w:val="20"/>
              </w:rPr>
            </w:pPr>
            <w:r w:rsidRPr="00581EBB">
              <w:rPr>
                <w:rFonts w:cstheme="minorHAnsi"/>
                <w:i/>
                <w:sz w:val="20"/>
                <w:szCs w:val="20"/>
              </w:rPr>
              <w:t>Salar</w:t>
            </w:r>
            <w:r w:rsidRPr="00581EBB">
              <w:rPr>
                <w:rFonts w:cstheme="minorHAnsi"/>
                <w:sz w:val="20"/>
                <w:szCs w:val="20"/>
              </w:rPr>
              <w:t>y</w:t>
            </w:r>
          </w:p>
        </w:tc>
        <w:tc>
          <w:tcPr>
            <w:tcW w:w="6066" w:type="dxa"/>
          </w:tcPr>
          <w:p w14:paraId="38756226" w14:textId="77777777" w:rsidR="003D25CA" w:rsidRDefault="003D25CA" w:rsidP="00F95399">
            <w:pPr>
              <w:rPr>
                <w:rFonts w:cstheme="minorHAnsi"/>
                <w:sz w:val="20"/>
                <w:szCs w:val="20"/>
              </w:rPr>
            </w:pPr>
            <w:r w:rsidRPr="00581EBB">
              <w:rPr>
                <w:rFonts w:cstheme="minorHAnsi"/>
                <w:sz w:val="20"/>
                <w:szCs w:val="20"/>
              </w:rPr>
              <w:t xml:space="preserve">Is also linked to having an adequate income, in line with this, </w:t>
            </w:r>
            <w:r w:rsidRPr="00581EBB">
              <w:rPr>
                <w:rFonts w:cstheme="minorHAnsi"/>
                <w:i/>
                <w:sz w:val="20"/>
                <w:szCs w:val="20"/>
              </w:rPr>
              <w:t>Salar</w:t>
            </w:r>
            <w:r w:rsidRPr="00581EBB">
              <w:rPr>
                <w:rFonts w:cstheme="minorHAnsi"/>
                <w:sz w:val="20"/>
                <w:szCs w:val="20"/>
              </w:rPr>
              <w:t>y has been suggested as a metric above in SDGs 1 and 2.</w:t>
            </w:r>
          </w:p>
        </w:tc>
      </w:tr>
      <w:tr w:rsidR="003D25CA" w14:paraId="53967B1C" w14:textId="77777777" w:rsidTr="00F95399">
        <w:tc>
          <w:tcPr>
            <w:tcW w:w="1460" w:type="dxa"/>
          </w:tcPr>
          <w:p w14:paraId="4B8C8DAF" w14:textId="77777777" w:rsidR="003D25CA" w:rsidRDefault="003D25CA" w:rsidP="00F95399">
            <w:pPr>
              <w:rPr>
                <w:rFonts w:cstheme="minorHAnsi"/>
                <w:b/>
                <w:sz w:val="20"/>
                <w:szCs w:val="20"/>
              </w:rPr>
            </w:pPr>
            <w:r w:rsidRPr="00581EBB">
              <w:rPr>
                <w:rFonts w:cstheme="minorHAnsi"/>
                <w:color w:val="2B579A"/>
                <w:sz w:val="20"/>
                <w:szCs w:val="20"/>
                <w:shd w:val="clear" w:color="auto" w:fill="E6E6E6"/>
              </w:rPr>
              <w:object w:dxaOrig="1620" w:dyaOrig="1620" w14:anchorId="7A848956">
                <v:shape id="_x0000_i1028" type="#_x0000_t75" style="width:54.45pt;height:54.45pt" o:ole="">
                  <v:imagedata r:id="rId14" o:title=""/>
                </v:shape>
                <o:OLEObject Type="Embed" ProgID="PBrush" ShapeID="_x0000_i1028" DrawAspect="Content" ObjectID="_1681645027" r:id="rId15"/>
              </w:object>
            </w:r>
          </w:p>
        </w:tc>
        <w:tc>
          <w:tcPr>
            <w:tcW w:w="1519" w:type="dxa"/>
          </w:tcPr>
          <w:p w14:paraId="6A2452DB" w14:textId="77777777" w:rsidR="003D25CA" w:rsidRPr="00581EBB" w:rsidRDefault="003D25CA" w:rsidP="00F95399">
            <w:pPr>
              <w:rPr>
                <w:rFonts w:cstheme="minorHAnsi"/>
                <w:i/>
                <w:sz w:val="20"/>
                <w:szCs w:val="20"/>
              </w:rPr>
            </w:pPr>
            <w:r w:rsidRPr="00581EBB">
              <w:rPr>
                <w:rFonts w:cstheme="minorHAnsi"/>
                <w:i/>
                <w:sz w:val="20"/>
                <w:szCs w:val="20"/>
              </w:rPr>
              <w:t>Education Level</w:t>
            </w:r>
          </w:p>
        </w:tc>
        <w:tc>
          <w:tcPr>
            <w:tcW w:w="6066" w:type="dxa"/>
          </w:tcPr>
          <w:p w14:paraId="0E8B8510" w14:textId="77777777" w:rsidR="003D25CA" w:rsidRDefault="003D25CA" w:rsidP="00F95399">
            <w:pPr>
              <w:rPr>
                <w:rFonts w:cstheme="minorHAnsi"/>
                <w:sz w:val="20"/>
                <w:szCs w:val="20"/>
              </w:rPr>
            </w:pPr>
            <w:r w:rsidRPr="00581EBB">
              <w:rPr>
                <w:rFonts w:cstheme="minorHAnsi"/>
                <w:sz w:val="20"/>
                <w:szCs w:val="20"/>
              </w:rPr>
              <w:t>Seeks to “promote lifelong learning opportunities for all”. This is not merely learning the techniques for working with GFRP but may include training for new entrepreneurs and business</w:t>
            </w:r>
            <w:r>
              <w:rPr>
                <w:rFonts w:cstheme="minorHAnsi"/>
                <w:sz w:val="20"/>
                <w:szCs w:val="20"/>
              </w:rPr>
              <w:t xml:space="preserve"> managers.</w:t>
            </w:r>
          </w:p>
          <w:p w14:paraId="197C60B3" w14:textId="77777777" w:rsidR="003D25CA" w:rsidRPr="00581EBB" w:rsidRDefault="003D25CA" w:rsidP="00F95399">
            <w:pPr>
              <w:rPr>
                <w:rFonts w:cstheme="minorHAnsi"/>
                <w:sz w:val="20"/>
                <w:szCs w:val="20"/>
              </w:rPr>
            </w:pPr>
            <w:r w:rsidRPr="00581EBB">
              <w:rPr>
                <w:rFonts w:cstheme="minorHAnsi"/>
                <w:sz w:val="20"/>
                <w:szCs w:val="20"/>
              </w:rPr>
              <w:t xml:space="preserve">4.6.1 and 4.3.1 </w:t>
            </w:r>
            <w:r w:rsidRPr="00581EBB">
              <w:rPr>
                <w:rFonts w:cstheme="minorHAnsi"/>
                <w:color w:val="2B579A"/>
                <w:sz w:val="20"/>
                <w:szCs w:val="20"/>
                <w:shd w:val="clear" w:color="auto" w:fill="E6E6E6"/>
              </w:rPr>
              <w:fldChar w:fldCharType="begin" w:fldLock="1"/>
            </w:r>
            <w:r>
              <w:rPr>
                <w:rFonts w:cstheme="minorHAnsi"/>
                <w:sz w:val="20"/>
                <w:szCs w:val="20"/>
              </w:rPr>
              <w:instrText>ADDIN CSL_CITATION {"citationItems":[{"id":"ITEM-1","itemData":{"DOI":"ISBN 978 92 4 150848 3","ISBN":"9789241507226","ISSN":"1472-698X","PMID":"19828060","abstract":"Annex IV of the Report of the Inter-Agency and Expert Group on Sustainable Development Goal Indicators","author":[{"dropping-particle":"","family":"IAEG-SDGs","given":"","non-dropping-particle":"","parse-names":false,"suffix":""}],"container-title":"Report of the Inter-Agency and Expert Group on Sustainable Development Goal Indicators","id":"ITEM-1","issued":{"date-parts":[["2016"]]},"page":"Annex IV","title":"Final list of proposed Sustainable Development Goal indicators","type":"article-journal"},"uris":["http://www.mendeley.com/documents/?uuid=08fc8b89-2628-43bd-a63f-fa4b4be2ae4b"]}],"mendeley":{"formattedCitation":"(IAEG-SDGs, 2016)","plainTextFormattedCitation":"(IAEG-SDGs, 2016)","previouslyFormattedCitation":"(IAEG-SDGs, 2016)"},"properties":{"noteIndex":0},"schema":"https://github.com/citation-style-language/schema/raw/master/csl-citation.json"}</w:instrText>
            </w:r>
            <w:r w:rsidRPr="00581EBB">
              <w:rPr>
                <w:rFonts w:cstheme="minorHAnsi"/>
                <w:color w:val="2B579A"/>
                <w:sz w:val="20"/>
                <w:szCs w:val="20"/>
                <w:shd w:val="clear" w:color="auto" w:fill="E6E6E6"/>
              </w:rPr>
              <w:fldChar w:fldCharType="separate"/>
            </w:r>
            <w:r w:rsidRPr="00581EBB">
              <w:rPr>
                <w:rFonts w:cstheme="minorHAnsi"/>
                <w:noProof/>
                <w:sz w:val="20"/>
                <w:szCs w:val="20"/>
              </w:rPr>
              <w:t>(IAEG-SDGs, 2016)</w:t>
            </w:r>
            <w:r w:rsidRPr="00581EBB">
              <w:rPr>
                <w:rFonts w:cstheme="minorHAnsi"/>
                <w:color w:val="2B579A"/>
                <w:sz w:val="20"/>
                <w:szCs w:val="20"/>
                <w:shd w:val="clear" w:color="auto" w:fill="E6E6E6"/>
              </w:rPr>
              <w:fldChar w:fldCharType="end"/>
            </w:r>
          </w:p>
        </w:tc>
      </w:tr>
      <w:tr w:rsidR="003D25CA" w14:paraId="3B61AF36" w14:textId="77777777" w:rsidTr="00F95399">
        <w:tc>
          <w:tcPr>
            <w:tcW w:w="1460" w:type="dxa"/>
          </w:tcPr>
          <w:p w14:paraId="4EFDB0F8" w14:textId="77777777" w:rsidR="003D25CA" w:rsidRDefault="003D25CA" w:rsidP="00F95399">
            <w:pPr>
              <w:rPr>
                <w:rFonts w:cstheme="minorHAnsi"/>
                <w:sz w:val="20"/>
                <w:szCs w:val="20"/>
              </w:rPr>
            </w:pPr>
          </w:p>
          <w:p w14:paraId="757B0517" w14:textId="77777777" w:rsidR="003D25CA" w:rsidRDefault="003D25CA" w:rsidP="00F95399">
            <w:pPr>
              <w:rPr>
                <w:rFonts w:cstheme="minorHAnsi"/>
                <w:b/>
                <w:sz w:val="20"/>
                <w:szCs w:val="20"/>
              </w:rPr>
            </w:pPr>
            <w:r w:rsidRPr="00581EBB">
              <w:rPr>
                <w:rFonts w:cstheme="minorHAnsi"/>
                <w:color w:val="2B579A"/>
                <w:sz w:val="20"/>
                <w:szCs w:val="20"/>
                <w:shd w:val="clear" w:color="auto" w:fill="E6E6E6"/>
              </w:rPr>
              <w:object w:dxaOrig="1635" w:dyaOrig="1635" w14:anchorId="4995B0C3">
                <v:shape id="_x0000_i1029" type="#_x0000_t75" style="width:54.45pt;height:54.45pt" o:ole="">
                  <v:imagedata r:id="rId16" o:title=""/>
                </v:shape>
                <o:OLEObject Type="Embed" ProgID="PBrush" ShapeID="_x0000_i1029" DrawAspect="Content" ObjectID="_1681645028" r:id="rId17"/>
              </w:object>
            </w:r>
          </w:p>
        </w:tc>
        <w:tc>
          <w:tcPr>
            <w:tcW w:w="1519" w:type="dxa"/>
          </w:tcPr>
          <w:p w14:paraId="0B7F2BE2" w14:textId="77777777" w:rsidR="003D25CA" w:rsidRPr="00581EBB" w:rsidRDefault="003D25CA" w:rsidP="00F95399">
            <w:pPr>
              <w:rPr>
                <w:rFonts w:cstheme="minorHAnsi"/>
                <w:i/>
                <w:sz w:val="20"/>
                <w:szCs w:val="20"/>
              </w:rPr>
            </w:pPr>
            <w:r>
              <w:rPr>
                <w:rFonts w:cstheme="minorHAnsi"/>
                <w:i/>
                <w:sz w:val="20"/>
                <w:szCs w:val="20"/>
              </w:rPr>
              <w:t>-</w:t>
            </w:r>
          </w:p>
        </w:tc>
        <w:tc>
          <w:tcPr>
            <w:tcW w:w="6066" w:type="dxa"/>
          </w:tcPr>
          <w:p w14:paraId="28C33F91" w14:textId="77777777" w:rsidR="003D25CA" w:rsidRDefault="003D25CA" w:rsidP="00F95399">
            <w:pPr>
              <w:rPr>
                <w:rFonts w:cstheme="minorHAnsi"/>
                <w:sz w:val="20"/>
                <w:szCs w:val="20"/>
              </w:rPr>
            </w:pPr>
            <w:r w:rsidRPr="00581EBB">
              <w:rPr>
                <w:rFonts w:cstheme="minorHAnsi"/>
                <w:sz w:val="20"/>
                <w:szCs w:val="20"/>
              </w:rPr>
              <w:t>Would not seem to be a direct consequence of the alternatives; any prediction of a measure of gender equality between the five alternatives would be subject to a wide margin of error. It is therefore unlikely that a metric for gender equality would be useful discriminating among the</w:t>
            </w:r>
            <w:r>
              <w:rPr>
                <w:rFonts w:cstheme="minorHAnsi"/>
                <w:sz w:val="20"/>
                <w:szCs w:val="20"/>
              </w:rPr>
              <w:t xml:space="preserve"> alternatives.</w:t>
            </w:r>
          </w:p>
          <w:p w14:paraId="656A5592" w14:textId="77777777" w:rsidR="003D25CA" w:rsidRPr="00581EBB" w:rsidRDefault="003D25CA" w:rsidP="00F95399">
            <w:pPr>
              <w:rPr>
                <w:rFonts w:cstheme="minorHAnsi"/>
                <w:sz w:val="20"/>
                <w:szCs w:val="20"/>
              </w:rPr>
            </w:pPr>
            <w:r w:rsidRPr="00581EBB">
              <w:rPr>
                <w:rFonts w:cstheme="minorHAnsi"/>
                <w:sz w:val="20"/>
                <w:szCs w:val="20"/>
              </w:rPr>
              <w:t xml:space="preserve">5.5.2 </w:t>
            </w:r>
            <w:r w:rsidRPr="00581EBB">
              <w:rPr>
                <w:rFonts w:cstheme="minorHAnsi"/>
                <w:color w:val="2B579A"/>
                <w:sz w:val="20"/>
                <w:szCs w:val="20"/>
                <w:shd w:val="clear" w:color="auto" w:fill="E6E6E6"/>
              </w:rPr>
              <w:fldChar w:fldCharType="begin" w:fldLock="1"/>
            </w:r>
            <w:r>
              <w:rPr>
                <w:rFonts w:cstheme="minorHAnsi"/>
                <w:sz w:val="20"/>
                <w:szCs w:val="20"/>
              </w:rPr>
              <w:instrText>ADDIN CSL_CITATION {"citationItems":[{"id":"ITEM-1","itemData":{"DOI":"ISBN 978 92 4 150848 3","ISBN":"9789241507226","ISSN":"1472-698X","PMID":"19828060","abstract":"Annex IV of the Report of the Inter-Agency and Expert Group on Sustainable Development Goal Indicators","author":[{"dropping-particle":"","family":"IAEG-SDGs","given":"","non-dropping-particle":"","parse-names":false,"suffix":""}],"container-title":"Report of the Inter-Agency and Expert Group on Sustainable Development Goal Indicators","id":"ITEM-1","issued":{"date-parts":[["2016"]]},"page":"Annex IV","title":"Final list of proposed Sustainable Development Goal indicators","type":"article-journal"},"uris":["http://www.mendeley.com/documents/?uuid=08fc8b89-2628-43bd-a63f-fa4b4be2ae4b"]}],"mendeley":{"formattedCitation":"(IAEG-SDGs, 2016)","plainTextFormattedCitation":"(IAEG-SDGs, 2016)","previouslyFormattedCitation":"(IAEG-SDGs, 2016)"},"properties":{"noteIndex":0},"schema":"https://github.com/citation-style-language/schema/raw/master/csl-citation.json"}</w:instrText>
            </w:r>
            <w:r w:rsidRPr="00581EBB">
              <w:rPr>
                <w:rFonts w:cstheme="minorHAnsi"/>
                <w:color w:val="2B579A"/>
                <w:sz w:val="20"/>
                <w:szCs w:val="20"/>
                <w:shd w:val="clear" w:color="auto" w:fill="E6E6E6"/>
              </w:rPr>
              <w:fldChar w:fldCharType="separate"/>
            </w:r>
            <w:r w:rsidRPr="00581EBB">
              <w:rPr>
                <w:rFonts w:cstheme="minorHAnsi"/>
                <w:noProof/>
                <w:sz w:val="20"/>
                <w:szCs w:val="20"/>
              </w:rPr>
              <w:t>(IAEG-SDGs, 2016)</w:t>
            </w:r>
            <w:r w:rsidRPr="00581EBB">
              <w:rPr>
                <w:rFonts w:cstheme="minorHAnsi"/>
                <w:color w:val="2B579A"/>
                <w:sz w:val="20"/>
                <w:szCs w:val="20"/>
                <w:shd w:val="clear" w:color="auto" w:fill="E6E6E6"/>
              </w:rPr>
              <w:fldChar w:fldCharType="end"/>
            </w:r>
          </w:p>
        </w:tc>
      </w:tr>
      <w:tr w:rsidR="003D25CA" w14:paraId="102FEE2C" w14:textId="77777777" w:rsidTr="00F95399">
        <w:tc>
          <w:tcPr>
            <w:tcW w:w="1460" w:type="dxa"/>
          </w:tcPr>
          <w:p w14:paraId="2D8B770C" w14:textId="77777777" w:rsidR="003D25CA" w:rsidRDefault="003D25CA" w:rsidP="00F95399">
            <w:pPr>
              <w:rPr>
                <w:rFonts w:cstheme="minorHAnsi"/>
                <w:sz w:val="20"/>
                <w:szCs w:val="20"/>
              </w:rPr>
            </w:pPr>
            <w:r w:rsidRPr="00581EBB">
              <w:rPr>
                <w:rFonts w:cstheme="minorHAnsi"/>
                <w:color w:val="2B579A"/>
                <w:sz w:val="20"/>
                <w:szCs w:val="20"/>
                <w:shd w:val="clear" w:color="auto" w:fill="E6E6E6"/>
              </w:rPr>
              <w:object w:dxaOrig="1605" w:dyaOrig="1620" w14:anchorId="0EAB00E2">
                <v:shape id="_x0000_i1030" type="#_x0000_t75" style="width:51.35pt;height:54.45pt" o:ole="">
                  <v:imagedata r:id="rId18" o:title=""/>
                </v:shape>
                <o:OLEObject Type="Embed" ProgID="PBrush" ShapeID="_x0000_i1030" DrawAspect="Content" ObjectID="_1681645029" r:id="rId19"/>
              </w:object>
            </w:r>
          </w:p>
        </w:tc>
        <w:tc>
          <w:tcPr>
            <w:tcW w:w="1519" w:type="dxa"/>
          </w:tcPr>
          <w:p w14:paraId="5A62C553" w14:textId="77777777" w:rsidR="003D25CA" w:rsidRDefault="003D25CA" w:rsidP="00F95399">
            <w:pPr>
              <w:rPr>
                <w:rFonts w:cstheme="minorHAnsi"/>
                <w:i/>
                <w:sz w:val="20"/>
                <w:szCs w:val="20"/>
              </w:rPr>
            </w:pPr>
            <w:r w:rsidRPr="00581EBB">
              <w:rPr>
                <w:rFonts w:cstheme="minorHAnsi"/>
                <w:i/>
                <w:sz w:val="20"/>
                <w:szCs w:val="20"/>
              </w:rPr>
              <w:t xml:space="preserve">Human Health, </w:t>
            </w:r>
            <w:r w:rsidRPr="00581EBB">
              <w:rPr>
                <w:rFonts w:cstheme="minorHAnsi"/>
                <w:sz w:val="20"/>
                <w:szCs w:val="20"/>
              </w:rPr>
              <w:t xml:space="preserve"> </w:t>
            </w:r>
            <w:r w:rsidRPr="00581EBB">
              <w:rPr>
                <w:rFonts w:cstheme="minorHAnsi"/>
                <w:i/>
                <w:sz w:val="20"/>
                <w:szCs w:val="20"/>
              </w:rPr>
              <w:t>Ecosystem Quality</w:t>
            </w:r>
          </w:p>
        </w:tc>
        <w:tc>
          <w:tcPr>
            <w:tcW w:w="6066" w:type="dxa"/>
          </w:tcPr>
          <w:p w14:paraId="1A38E350" w14:textId="77777777" w:rsidR="003D25CA" w:rsidRDefault="003D25CA" w:rsidP="00F95399">
            <w:pPr>
              <w:rPr>
                <w:rFonts w:cstheme="minorHAnsi"/>
                <w:sz w:val="20"/>
                <w:szCs w:val="20"/>
              </w:rPr>
            </w:pPr>
            <w:r w:rsidRPr="00581EBB">
              <w:rPr>
                <w:rFonts w:cstheme="minorHAnsi"/>
                <w:sz w:val="20"/>
                <w:szCs w:val="20"/>
              </w:rPr>
              <w:t>May be affected by a risk that fibres and dust would be released when the blades are cut as would be required for all of the alternatives. In addition, there may well be problems with the resin which forms the composite, being leached</w:t>
            </w:r>
            <w:r>
              <w:rPr>
                <w:rFonts w:cstheme="minorHAnsi"/>
                <w:sz w:val="20"/>
                <w:szCs w:val="20"/>
              </w:rPr>
              <w:t>.</w:t>
            </w:r>
          </w:p>
          <w:p w14:paraId="13752598" w14:textId="77777777" w:rsidR="003D25CA" w:rsidRDefault="003D25CA" w:rsidP="00F95399">
            <w:pPr>
              <w:rPr>
                <w:rFonts w:cstheme="minorHAnsi"/>
                <w:sz w:val="20"/>
                <w:szCs w:val="20"/>
              </w:rPr>
            </w:pPr>
            <w:r w:rsidRPr="00581EBB">
              <w:rPr>
                <w:rFonts w:cstheme="minorHAnsi"/>
                <w:sz w:val="20"/>
                <w:szCs w:val="20"/>
              </w:rPr>
              <w:t xml:space="preserve">6.3.1  </w:t>
            </w:r>
            <w:r w:rsidRPr="00581EBB">
              <w:rPr>
                <w:rFonts w:cstheme="minorHAnsi"/>
                <w:color w:val="2B579A"/>
                <w:sz w:val="20"/>
                <w:szCs w:val="20"/>
                <w:shd w:val="clear" w:color="auto" w:fill="E6E6E6"/>
              </w:rPr>
              <w:fldChar w:fldCharType="begin" w:fldLock="1"/>
            </w:r>
            <w:r>
              <w:rPr>
                <w:rFonts w:cstheme="minorHAnsi"/>
                <w:sz w:val="20"/>
                <w:szCs w:val="20"/>
              </w:rPr>
              <w:instrText>ADDIN CSL_CITATION {"citationItems":[{"id":"ITEM-1","itemData":{"DOI":"ISBN 978 92 4 150848 3","ISBN":"9789241507226","ISSN":"1472-698X","PMID":"19828060","abstract":"Annex IV of the Report of the Inter-Agency and Expert Group on Sustainable Development Goal Indicators","author":[{"dropping-particle":"","family":"IAEG-SDGs","given":"","non-dropping-particle":"","parse-names":false,"suffix":""}],"container-title":"Report of the Inter-Agency and Expert Group on Sustainable Development Goal Indicators","id":"ITEM-1","issued":{"date-parts":[["2016"]]},"page":"Annex IV","title":"Final list of proposed Sustainable Development Goal indicators","type":"article-journal"},"uris":["http://www.mendeley.com/documents/?uuid=08fc8b89-2628-43bd-a63f-fa4b4be2ae4b"]}],"mendeley":{"formattedCitation":"(IAEG-SDGs, 2016)","plainTextFormattedCitation":"(IAEG-SDGs, 2016)","previouslyFormattedCitation":"(IAEG-SDGs, 2016)"},"properties":{"noteIndex":0},"schema":"https://github.com/citation-style-language/schema/raw/master/csl-citation.json"}</w:instrText>
            </w:r>
            <w:r w:rsidRPr="00581EBB">
              <w:rPr>
                <w:rFonts w:cstheme="minorHAnsi"/>
                <w:color w:val="2B579A"/>
                <w:sz w:val="20"/>
                <w:szCs w:val="20"/>
                <w:shd w:val="clear" w:color="auto" w:fill="E6E6E6"/>
              </w:rPr>
              <w:fldChar w:fldCharType="separate"/>
            </w:r>
            <w:r w:rsidRPr="00581EBB">
              <w:rPr>
                <w:rFonts w:cstheme="minorHAnsi"/>
                <w:noProof/>
                <w:sz w:val="20"/>
                <w:szCs w:val="20"/>
              </w:rPr>
              <w:t>(IAEG-SDGs, 2016)</w:t>
            </w:r>
            <w:r w:rsidRPr="00581EBB">
              <w:rPr>
                <w:rFonts w:cstheme="minorHAnsi"/>
                <w:color w:val="2B579A"/>
                <w:sz w:val="20"/>
                <w:szCs w:val="20"/>
                <w:shd w:val="clear" w:color="auto" w:fill="E6E6E6"/>
              </w:rPr>
              <w:fldChar w:fldCharType="end"/>
            </w:r>
          </w:p>
        </w:tc>
      </w:tr>
      <w:tr w:rsidR="003D25CA" w14:paraId="44FD6094" w14:textId="77777777" w:rsidTr="00F95399">
        <w:tc>
          <w:tcPr>
            <w:tcW w:w="1460" w:type="dxa"/>
          </w:tcPr>
          <w:p w14:paraId="19D0B912" w14:textId="77777777" w:rsidR="003D25CA" w:rsidRDefault="003D25CA" w:rsidP="00F95399">
            <w:pPr>
              <w:rPr>
                <w:rFonts w:cstheme="minorHAnsi"/>
                <w:sz w:val="20"/>
                <w:szCs w:val="20"/>
              </w:rPr>
            </w:pPr>
            <w:r w:rsidRPr="00581EBB">
              <w:rPr>
                <w:rFonts w:cstheme="minorHAnsi"/>
                <w:color w:val="2B579A"/>
                <w:sz w:val="20"/>
                <w:szCs w:val="20"/>
                <w:shd w:val="clear" w:color="auto" w:fill="E6E6E6"/>
              </w:rPr>
              <w:object w:dxaOrig="1620" w:dyaOrig="1620" w14:anchorId="514DA1FC">
                <v:shape id="_x0000_i1031" type="#_x0000_t75" style="width:51.35pt;height:51.35pt" o:ole="">
                  <v:imagedata r:id="rId20" o:title=""/>
                </v:shape>
                <o:OLEObject Type="Embed" ProgID="PBrush" ShapeID="_x0000_i1031" DrawAspect="Content" ObjectID="_1681645030" r:id="rId21"/>
              </w:object>
            </w:r>
          </w:p>
        </w:tc>
        <w:tc>
          <w:tcPr>
            <w:tcW w:w="1519" w:type="dxa"/>
          </w:tcPr>
          <w:p w14:paraId="7758AC05" w14:textId="77777777" w:rsidR="003D25CA" w:rsidRDefault="003D25CA" w:rsidP="00F95399">
            <w:pPr>
              <w:rPr>
                <w:rFonts w:cstheme="minorHAnsi"/>
                <w:i/>
                <w:sz w:val="20"/>
                <w:szCs w:val="20"/>
              </w:rPr>
            </w:pPr>
            <w:r>
              <w:rPr>
                <w:rFonts w:cstheme="minorHAnsi"/>
                <w:i/>
                <w:sz w:val="20"/>
                <w:szCs w:val="20"/>
              </w:rPr>
              <w:t>GHG</w:t>
            </w:r>
          </w:p>
          <w:p w14:paraId="1FCC3CC5" w14:textId="77777777" w:rsidR="003D25CA" w:rsidRDefault="003D25CA" w:rsidP="00F95399">
            <w:pPr>
              <w:rPr>
                <w:rFonts w:cstheme="minorHAnsi"/>
                <w:i/>
                <w:sz w:val="20"/>
                <w:szCs w:val="20"/>
              </w:rPr>
            </w:pPr>
            <w:r>
              <w:rPr>
                <w:rFonts w:cstheme="minorHAnsi"/>
                <w:i/>
                <w:sz w:val="20"/>
                <w:szCs w:val="20"/>
              </w:rPr>
              <w:t>Resources</w:t>
            </w:r>
          </w:p>
        </w:tc>
        <w:tc>
          <w:tcPr>
            <w:tcW w:w="6066" w:type="dxa"/>
          </w:tcPr>
          <w:p w14:paraId="79441C44" w14:textId="77777777" w:rsidR="003D25CA" w:rsidRDefault="003D25CA" w:rsidP="00F95399">
            <w:pPr>
              <w:rPr>
                <w:rFonts w:cstheme="minorHAnsi"/>
                <w:sz w:val="20"/>
                <w:szCs w:val="20"/>
              </w:rPr>
            </w:pPr>
            <w:r w:rsidRPr="00581EBB">
              <w:rPr>
                <w:rFonts w:cstheme="minorHAnsi"/>
                <w:sz w:val="20"/>
                <w:szCs w:val="20"/>
              </w:rPr>
              <w:t>This was one of the motivations for building windfarms. The responsible decommissioning of blades can produce some energy by incineration with heat recovery and avoidance of the extraction of new materia</w:t>
            </w:r>
            <w:r>
              <w:rPr>
                <w:rFonts w:cstheme="minorHAnsi"/>
                <w:sz w:val="20"/>
                <w:szCs w:val="20"/>
              </w:rPr>
              <w:t>ls.</w:t>
            </w:r>
          </w:p>
        </w:tc>
      </w:tr>
      <w:tr w:rsidR="003D25CA" w14:paraId="59517365" w14:textId="77777777" w:rsidTr="00F95399">
        <w:tc>
          <w:tcPr>
            <w:tcW w:w="1460" w:type="dxa"/>
          </w:tcPr>
          <w:p w14:paraId="476EDB9E" w14:textId="77777777" w:rsidR="003D25CA" w:rsidRDefault="003D25CA" w:rsidP="00F95399">
            <w:pPr>
              <w:rPr>
                <w:rFonts w:cstheme="minorHAnsi"/>
                <w:sz w:val="20"/>
                <w:szCs w:val="20"/>
              </w:rPr>
            </w:pPr>
          </w:p>
          <w:p w14:paraId="02EC0BAD" w14:textId="77777777" w:rsidR="003D25CA" w:rsidRDefault="003D25CA" w:rsidP="00F95399">
            <w:pPr>
              <w:rPr>
                <w:rFonts w:cstheme="minorHAnsi"/>
                <w:sz w:val="20"/>
                <w:szCs w:val="20"/>
              </w:rPr>
            </w:pPr>
            <w:r w:rsidRPr="00581EBB">
              <w:rPr>
                <w:rFonts w:cstheme="minorHAnsi"/>
                <w:color w:val="2B579A"/>
                <w:sz w:val="20"/>
                <w:szCs w:val="20"/>
                <w:shd w:val="clear" w:color="auto" w:fill="E6E6E6"/>
              </w:rPr>
              <w:object w:dxaOrig="1620" w:dyaOrig="1620" w14:anchorId="2A4C301E">
                <v:shape id="_x0000_i1032" type="#_x0000_t75" style="width:51.35pt;height:51.35pt" o:ole="">
                  <v:imagedata r:id="rId22" o:title=""/>
                </v:shape>
                <o:OLEObject Type="Embed" ProgID="PBrush" ShapeID="_x0000_i1032" DrawAspect="Content" ObjectID="_1681645031" r:id="rId23"/>
              </w:object>
            </w:r>
          </w:p>
          <w:p w14:paraId="3488A611" w14:textId="77777777" w:rsidR="003D25CA" w:rsidRDefault="003D25CA" w:rsidP="00F95399">
            <w:pPr>
              <w:rPr>
                <w:rFonts w:cstheme="minorHAnsi"/>
                <w:sz w:val="20"/>
                <w:szCs w:val="20"/>
              </w:rPr>
            </w:pPr>
          </w:p>
          <w:p w14:paraId="7957B92F" w14:textId="77777777" w:rsidR="003D25CA" w:rsidRDefault="003D25CA" w:rsidP="00F95399">
            <w:pPr>
              <w:rPr>
                <w:rFonts w:cstheme="minorHAnsi"/>
                <w:sz w:val="20"/>
                <w:szCs w:val="20"/>
              </w:rPr>
            </w:pPr>
          </w:p>
        </w:tc>
        <w:tc>
          <w:tcPr>
            <w:tcW w:w="1519" w:type="dxa"/>
          </w:tcPr>
          <w:p w14:paraId="35683D35" w14:textId="77777777" w:rsidR="003D25CA" w:rsidRDefault="003D25CA" w:rsidP="00F95399">
            <w:pPr>
              <w:rPr>
                <w:rFonts w:cstheme="minorHAnsi"/>
                <w:i/>
                <w:sz w:val="20"/>
                <w:szCs w:val="20"/>
              </w:rPr>
            </w:pPr>
            <w:r>
              <w:rPr>
                <w:rFonts w:cstheme="minorHAnsi"/>
                <w:i/>
                <w:sz w:val="20"/>
                <w:szCs w:val="20"/>
              </w:rPr>
              <w:lastRenderedPageBreak/>
              <w:t>Salary</w:t>
            </w:r>
          </w:p>
          <w:p w14:paraId="7B00DAEA" w14:textId="77777777" w:rsidR="003D25CA" w:rsidRDefault="003D25CA" w:rsidP="00F95399">
            <w:pPr>
              <w:rPr>
                <w:rFonts w:cstheme="minorHAnsi"/>
                <w:i/>
                <w:sz w:val="20"/>
                <w:szCs w:val="20"/>
              </w:rPr>
            </w:pPr>
            <w:r>
              <w:rPr>
                <w:rFonts w:cstheme="minorHAnsi"/>
                <w:i/>
                <w:sz w:val="20"/>
                <w:szCs w:val="20"/>
              </w:rPr>
              <w:t>Hours of Work</w:t>
            </w:r>
          </w:p>
          <w:p w14:paraId="6ADB39D8" w14:textId="77777777" w:rsidR="003D25CA" w:rsidRDefault="003D25CA" w:rsidP="00F95399">
            <w:pPr>
              <w:rPr>
                <w:rFonts w:cstheme="minorHAnsi"/>
                <w:i/>
                <w:sz w:val="20"/>
                <w:szCs w:val="20"/>
              </w:rPr>
            </w:pPr>
            <w:r>
              <w:rPr>
                <w:rFonts w:cstheme="minorHAnsi"/>
                <w:i/>
                <w:sz w:val="20"/>
                <w:szCs w:val="20"/>
              </w:rPr>
              <w:t>Accident Rate</w:t>
            </w:r>
          </w:p>
          <w:p w14:paraId="7746F09A" w14:textId="77777777" w:rsidR="003D25CA" w:rsidRDefault="003D25CA" w:rsidP="00F95399">
            <w:pPr>
              <w:rPr>
                <w:rFonts w:cstheme="minorHAnsi"/>
                <w:i/>
                <w:sz w:val="20"/>
                <w:szCs w:val="20"/>
              </w:rPr>
            </w:pPr>
            <w:r>
              <w:rPr>
                <w:rFonts w:cstheme="minorHAnsi"/>
                <w:i/>
                <w:sz w:val="20"/>
                <w:szCs w:val="20"/>
              </w:rPr>
              <w:lastRenderedPageBreak/>
              <w:t>Commercial Potential</w:t>
            </w:r>
          </w:p>
        </w:tc>
        <w:tc>
          <w:tcPr>
            <w:tcW w:w="6066" w:type="dxa"/>
          </w:tcPr>
          <w:p w14:paraId="77893BC1" w14:textId="77777777" w:rsidR="003D25CA" w:rsidRDefault="003D25CA" w:rsidP="00F95399">
            <w:pPr>
              <w:rPr>
                <w:rFonts w:cstheme="minorHAnsi"/>
                <w:sz w:val="20"/>
                <w:szCs w:val="20"/>
              </w:rPr>
            </w:pPr>
            <w:r w:rsidRPr="00581EBB">
              <w:rPr>
                <w:rFonts w:cstheme="minorHAnsi"/>
                <w:sz w:val="20"/>
                <w:szCs w:val="20"/>
              </w:rPr>
              <w:lastRenderedPageBreak/>
              <w:t xml:space="preserve">These are essential economic drivers of many of the SDGs. The International Labour Organization (ILO), an agency of the UN, characterises decent work as providing a fair income and prospects for personal development </w:t>
            </w:r>
            <w:r w:rsidRPr="00581EBB">
              <w:rPr>
                <w:rFonts w:cstheme="minorHAnsi"/>
                <w:color w:val="2B579A"/>
                <w:sz w:val="20"/>
                <w:szCs w:val="20"/>
                <w:shd w:val="clear" w:color="auto" w:fill="E6E6E6"/>
              </w:rPr>
              <w:fldChar w:fldCharType="begin" w:fldLock="1"/>
            </w:r>
            <w:r>
              <w:rPr>
                <w:rFonts w:cstheme="minorHAnsi"/>
                <w:sz w:val="20"/>
                <w:szCs w:val="20"/>
              </w:rPr>
              <w:instrText>ADDIN CSL_CITATION {"citationItems":[{"id":"ITEM-1","itemData":{"DOI":"10.1093/cje/bet067","ISSN":"14643545","abstract":"This article explores the development of concepts related to the 'quality of employment' in the academic literature in terms of their definition, methodological progress and ongoing policy debates. Over time, these concepts have evolved from simple studies of job satisfaction towards more comprehensive measures of job and employment quality, including the International Labour Organization's concept of 'Decent Work' launched in 1999. This article compares the parallel development of quality of employment measures in the European Union with the ILO's Decent Work agenda and concludes that the former has advanced much further due to more consistent efforts to generate internationally comparable data on labour markets, which permit detailed measurements and international comparisons. In contrast, Decent Work remains a very broadly defined concept, which is impossible to measure across countries. We conclude by proposing three important differences between these two scenarios that have lead to such diverging paths: the lack of availability of internationally comparable data, the control over the research agenda by partisan social actors, and a prematurely mandated definition of Decent Work that is extremely vague and all-encompassing. © The Author 2013. Published by Oxford University Press on behalf of the Cambridge Political Economy Society. All rights reserved.","author":[{"dropping-particle":"","family":"Burchell","given":"Brendan","non-dropping-particle":"","parse-names":false,"suffix":""},{"dropping-particle":"","family":"Sehnbruch","given":"Kirsten","non-dropping-particle":"","parse-names":false,"suffix":""},{"dropping-particle":"","family":"Piasna","given":"Agnieszka","non-dropping-particle":"","parse-names":false,"suffix":""},{"dropping-particle":"","family":"Agloni","given":"Nurjk","non-dropping-particle":"","parse-names":false,"suffix":""}],"container-title":"Cambridge Journal of Economics","id":"ITEM-1","issue":"2","issued":{"date-parts":[["2014"]]},"page":"459-477","title":"The quality of employment and decent work: Definitions, Methodologies, and ongoing debates","type":"article-journal","volume":"38"},"uris":["http://www.mendeley.com/documents/?uuid=c37c16c4-58aa-45b9-b5ec-da9d7b1813a3"]}],"mendeley":{"formattedCitation":"(Burchell &lt;i&gt;et al.&lt;/i&gt;, 2014)","plainTextFormattedCitation":"(Burchell et al., 2014)","previouslyFormattedCitation":"(Burchell &lt;i&gt;et al.&lt;/i&gt;, 2014)"},"properties":{"noteIndex":0},"schema":"https://github.com/citation-style-language/schema/raw/master/csl-citation.json"}</w:instrText>
            </w:r>
            <w:r w:rsidRPr="00581EBB">
              <w:rPr>
                <w:rFonts w:cstheme="minorHAnsi"/>
                <w:color w:val="2B579A"/>
                <w:sz w:val="20"/>
                <w:szCs w:val="20"/>
                <w:shd w:val="clear" w:color="auto" w:fill="E6E6E6"/>
              </w:rPr>
              <w:fldChar w:fldCharType="separate"/>
            </w:r>
            <w:r w:rsidRPr="00581EBB">
              <w:rPr>
                <w:rFonts w:cstheme="minorHAnsi"/>
                <w:noProof/>
                <w:sz w:val="20"/>
                <w:szCs w:val="20"/>
              </w:rPr>
              <w:t xml:space="preserve">(Burchell </w:t>
            </w:r>
            <w:r w:rsidRPr="00581EBB">
              <w:rPr>
                <w:rFonts w:cstheme="minorHAnsi"/>
                <w:i/>
                <w:noProof/>
                <w:sz w:val="20"/>
                <w:szCs w:val="20"/>
              </w:rPr>
              <w:t>et al.</w:t>
            </w:r>
            <w:r w:rsidRPr="00581EBB">
              <w:rPr>
                <w:rFonts w:cstheme="minorHAnsi"/>
                <w:noProof/>
                <w:sz w:val="20"/>
                <w:szCs w:val="20"/>
              </w:rPr>
              <w:t>, 2014)</w:t>
            </w:r>
            <w:r w:rsidRPr="00581EBB">
              <w:rPr>
                <w:rFonts w:cstheme="minorHAnsi"/>
                <w:color w:val="2B579A"/>
                <w:sz w:val="20"/>
                <w:szCs w:val="20"/>
                <w:shd w:val="clear" w:color="auto" w:fill="E6E6E6"/>
              </w:rPr>
              <w:fldChar w:fldCharType="end"/>
            </w:r>
            <w:r w:rsidRPr="00581EBB">
              <w:rPr>
                <w:rFonts w:cstheme="minorHAnsi"/>
                <w:sz w:val="20"/>
                <w:szCs w:val="20"/>
              </w:rPr>
              <w:t xml:space="preserve">, </w:t>
            </w:r>
            <w:r w:rsidRPr="00581EBB">
              <w:rPr>
                <w:rFonts w:cstheme="minorHAnsi"/>
                <w:color w:val="2B579A"/>
                <w:sz w:val="20"/>
                <w:szCs w:val="20"/>
                <w:shd w:val="clear" w:color="auto" w:fill="E6E6E6"/>
              </w:rPr>
              <w:fldChar w:fldCharType="begin" w:fldLock="1"/>
            </w:r>
            <w:r>
              <w:rPr>
                <w:rFonts w:cstheme="minorHAnsi"/>
                <w:sz w:val="20"/>
                <w:szCs w:val="20"/>
              </w:rPr>
              <w:instrText>ADDIN CSL_CITATION {"citationItems":[{"id":"ITEM-1","itemData":{"URL":"https://www.ilo.org/global/topics/decent-work/lang--en/index.htm","accessed":{"date-parts":[["2020","6","8"]]},"author":[{"dropping-particle":"","family":"ILO","given":"","non-dropping-particle":"","parse-names":false,"suffix":""}],"container-title":"International Labour Organization","id":"ITEM-1","issued":{"date-parts":[["2020"]]},"title":"Decent Work","type":"webpage"},"uris":["http://www.mendeley.com/documents/?uuid=2a5e563b-d912-4fa9-aeac-323770d26443"]}],"mendeley":{"formattedCitation":"(ILO, 2020)","plainTextFormattedCitation":"(ILO, 2020)","previouslyFormattedCitation":"(ILO, 2020)"},"properties":{"noteIndex":0},"schema":"https://github.com/citation-style-language/schema/raw/master/csl-citation.json"}</w:instrText>
            </w:r>
            <w:r w:rsidRPr="00581EBB">
              <w:rPr>
                <w:rFonts w:cstheme="minorHAnsi"/>
                <w:color w:val="2B579A"/>
                <w:sz w:val="20"/>
                <w:szCs w:val="20"/>
                <w:shd w:val="clear" w:color="auto" w:fill="E6E6E6"/>
              </w:rPr>
              <w:fldChar w:fldCharType="separate"/>
            </w:r>
            <w:r w:rsidRPr="00581EBB">
              <w:rPr>
                <w:rFonts w:cstheme="minorHAnsi"/>
                <w:noProof/>
                <w:sz w:val="20"/>
                <w:szCs w:val="20"/>
              </w:rPr>
              <w:t>(ILO, 2020)</w:t>
            </w:r>
            <w:r w:rsidRPr="00581EBB">
              <w:rPr>
                <w:rFonts w:cstheme="minorHAnsi"/>
                <w:color w:val="2B579A"/>
                <w:sz w:val="20"/>
                <w:szCs w:val="20"/>
                <w:shd w:val="clear" w:color="auto" w:fill="E6E6E6"/>
              </w:rPr>
              <w:fldChar w:fldCharType="end"/>
            </w:r>
            <w:r w:rsidRPr="00581EBB">
              <w:rPr>
                <w:rFonts w:cstheme="minorHAnsi"/>
                <w:sz w:val="20"/>
                <w:szCs w:val="20"/>
              </w:rPr>
              <w:t xml:space="preserve">. This extends </w:t>
            </w:r>
            <w:r w:rsidRPr="00581EBB">
              <w:rPr>
                <w:rFonts w:cstheme="minorHAnsi"/>
                <w:sz w:val="20"/>
                <w:szCs w:val="20"/>
              </w:rPr>
              <w:lastRenderedPageBreak/>
              <w:t xml:space="preserve">to opportunities offered to workers for their education, promotion and self-employment </w:t>
            </w:r>
            <w:r w:rsidRPr="00581EBB">
              <w:rPr>
                <w:rFonts w:cstheme="minorHAnsi"/>
                <w:color w:val="2B579A"/>
                <w:sz w:val="20"/>
                <w:szCs w:val="20"/>
                <w:shd w:val="clear" w:color="auto" w:fill="E6E6E6"/>
              </w:rPr>
              <w:fldChar w:fldCharType="begin" w:fldLock="1"/>
            </w:r>
            <w:r w:rsidRPr="00581EBB">
              <w:rPr>
                <w:rFonts w:cstheme="minorHAnsi"/>
                <w:sz w:val="20"/>
                <w:szCs w:val="20"/>
              </w:rPr>
              <w:instrText>ADDIN CSL_CITATION {"citationItems":[{"id":"ITEM-1","itemData":{"DOI":"10.1093/cje/bet067","ISSN":"14643545","abstract":"This article explores the development of concepts related to the 'quality of employment' in the academic literature in terms of their definition, methodological progress and ongoing policy debates. Over time, these concepts have evolved from simple studies of job satisfaction towards more comprehensive measures of job and employment quality, including the International Labour Organization's concept of 'Decent Work' launched in 1999. This article compares the parallel development of quality of employment measures in the European Union with the ILO's Decent Work agenda and concludes that the former has advanced much further due to more consistent efforts to generate internationally comparable data on labour markets, which permit detailed measurements and international comparisons. In contrast, Decent Work remains a very broadly defined concept, which is impossible to measure across countries. We conclude by proposing three important differences between these two scenarios that have lead to such diverging paths: the lack of availability of internationally comparable data, the control over the research agenda by partisan social actors, and a prematurely mandated definition of Decent Work that is extremely vague and all-encompassing. © The Author 2013. Published by Oxford University Press on behalf of the Cambridge Political Economy Society. All rights reserved.","author":[{"dropping-particle":"","family":"Burchell","given":"Brendan","non-dropping-particle":"","parse-names":false,"suffix":""},{"dropping-particle":"","family":"Sehnbruch","given":"Kirsten","non-dropping-particle":"","parse-names":false,"suffix":""},{"dropping-particle":"","family":"Piasna","given":"Agnieszka","non-dropping-particle":"","parse-names":false,"suffix":""},{"dropping-particle":"","family":"Agloni","given":"Nurjk","non-dropping-particle":"","parse-names":false,"suffix":""}],"container-title":"Cambridge Journal of Economics","id":"ITEM-1","issue":"2","issued":{"date-parts":[["2014"]]},"page":"459-477","title":"The quality of employment and decent work: Definitions, Methodologies, and ongoing debates","type":"article-journal","volume":"38"},"uris":["http://www.mendeley.com/documents/?uuid=ea38c7c4-d891-46cc-b97b-d7bbb01e1925","http://www.mendeley.com/documents/?uuid=c37c16c4-58aa-45b9-b5ec-da9d7b1813a3"]}],"mendeley":{"formattedCitation":"(Burchell &lt;i&gt;et al.&lt;/i&gt;, 2014)","plainTextFormattedCitation":"(Burchell et al., 2014)","previouslyFormattedCitation":"(Burchell &lt;i&gt;et al.&lt;/i&gt;, 2014)"},"properties":{"noteIndex":0},"schema":"https://github.com/citation-style-language/schema/raw/master/csl-citation.json"}</w:instrText>
            </w:r>
            <w:r w:rsidRPr="00581EBB">
              <w:rPr>
                <w:rFonts w:cstheme="minorHAnsi"/>
                <w:color w:val="2B579A"/>
                <w:sz w:val="20"/>
                <w:szCs w:val="20"/>
                <w:shd w:val="clear" w:color="auto" w:fill="E6E6E6"/>
              </w:rPr>
              <w:fldChar w:fldCharType="separate"/>
            </w:r>
            <w:r w:rsidRPr="00581EBB">
              <w:rPr>
                <w:rFonts w:cstheme="minorHAnsi"/>
                <w:noProof/>
                <w:sz w:val="20"/>
                <w:szCs w:val="20"/>
              </w:rPr>
              <w:t xml:space="preserve">(Burchell </w:t>
            </w:r>
            <w:r w:rsidRPr="00581EBB">
              <w:rPr>
                <w:rFonts w:cstheme="minorHAnsi"/>
                <w:i/>
                <w:noProof/>
                <w:sz w:val="20"/>
                <w:szCs w:val="20"/>
              </w:rPr>
              <w:t>et al.</w:t>
            </w:r>
            <w:r w:rsidRPr="00581EBB">
              <w:rPr>
                <w:rFonts w:cstheme="minorHAnsi"/>
                <w:noProof/>
                <w:sz w:val="20"/>
                <w:szCs w:val="20"/>
              </w:rPr>
              <w:t>, 2014)</w:t>
            </w:r>
            <w:r w:rsidRPr="00581EBB">
              <w:rPr>
                <w:rFonts w:cstheme="minorHAnsi"/>
                <w:color w:val="2B579A"/>
                <w:sz w:val="20"/>
                <w:szCs w:val="20"/>
                <w:shd w:val="clear" w:color="auto" w:fill="E6E6E6"/>
              </w:rPr>
              <w:fldChar w:fldCharType="end"/>
            </w:r>
            <w:r w:rsidRPr="00581EBB">
              <w:rPr>
                <w:rFonts w:cstheme="minorHAnsi"/>
                <w:sz w:val="20"/>
                <w:szCs w:val="20"/>
              </w:rPr>
              <w:t xml:space="preserve">. On the negative side, the </w:t>
            </w:r>
            <w:r w:rsidRPr="00581EBB">
              <w:rPr>
                <w:rFonts w:cstheme="minorHAnsi"/>
                <w:i/>
                <w:sz w:val="20"/>
                <w:szCs w:val="20"/>
              </w:rPr>
              <w:t>Accident Rate</w:t>
            </w:r>
            <w:r w:rsidRPr="00581EBB">
              <w:rPr>
                <w:rFonts w:cstheme="minorHAnsi"/>
                <w:sz w:val="20"/>
                <w:szCs w:val="20"/>
              </w:rPr>
              <w:t xml:space="preserve"> of a workplace would suggest using occupational deaths and accidents, as a way to measure decency of work. Examining the economic growth aspect of SDG 8, we may consider the benefits for the local economy (</w:t>
            </w:r>
            <w:r w:rsidRPr="00581EBB">
              <w:rPr>
                <w:rFonts w:cstheme="minorHAnsi"/>
                <w:i/>
                <w:sz w:val="20"/>
                <w:szCs w:val="20"/>
              </w:rPr>
              <w:t>Salary</w:t>
            </w:r>
            <w:r w:rsidRPr="00581EBB">
              <w:rPr>
                <w:rFonts w:cstheme="minorHAnsi"/>
                <w:sz w:val="20"/>
                <w:szCs w:val="20"/>
              </w:rPr>
              <w:t xml:space="preserve"> and </w:t>
            </w:r>
            <w:r w:rsidRPr="00581EBB">
              <w:rPr>
                <w:rFonts w:cstheme="minorHAnsi"/>
                <w:i/>
                <w:sz w:val="20"/>
                <w:szCs w:val="20"/>
              </w:rPr>
              <w:t>Hours of Work</w:t>
            </w:r>
            <w:r w:rsidRPr="00581EBB">
              <w:rPr>
                <w:rFonts w:cstheme="minorHAnsi"/>
                <w:sz w:val="20"/>
                <w:szCs w:val="20"/>
              </w:rPr>
              <w:t xml:space="preserve">) and the future </w:t>
            </w:r>
            <w:r w:rsidRPr="00581EBB">
              <w:rPr>
                <w:rFonts w:cstheme="minorHAnsi"/>
                <w:i/>
                <w:sz w:val="20"/>
                <w:szCs w:val="20"/>
              </w:rPr>
              <w:t>Commercial Potential</w:t>
            </w:r>
            <w:r w:rsidRPr="00581EBB">
              <w:rPr>
                <w:rFonts w:cstheme="minorHAnsi"/>
                <w:sz w:val="20"/>
                <w:szCs w:val="20"/>
              </w:rPr>
              <w:t xml:space="preserve"> of a business as m</w:t>
            </w:r>
            <w:r>
              <w:rPr>
                <w:rFonts w:cstheme="minorHAnsi"/>
                <w:sz w:val="20"/>
                <w:szCs w:val="20"/>
              </w:rPr>
              <w:t>etrics.</w:t>
            </w:r>
          </w:p>
          <w:p w14:paraId="66C64609" w14:textId="77777777" w:rsidR="003D25CA" w:rsidRDefault="003D25CA" w:rsidP="00F95399">
            <w:pPr>
              <w:rPr>
                <w:rFonts w:cstheme="minorHAnsi"/>
                <w:sz w:val="20"/>
                <w:szCs w:val="20"/>
              </w:rPr>
            </w:pPr>
            <w:r w:rsidRPr="00581EBB">
              <w:rPr>
                <w:rFonts w:cstheme="minorHAnsi"/>
                <w:sz w:val="20"/>
                <w:szCs w:val="20"/>
              </w:rPr>
              <w:t>8.5.1, 8.5.2, 8.6.1 and  8.8.1</w:t>
            </w:r>
            <w:r w:rsidRPr="00581EBB">
              <w:rPr>
                <w:rFonts w:cstheme="minorHAnsi"/>
                <w:color w:val="2B579A"/>
                <w:sz w:val="20"/>
                <w:szCs w:val="20"/>
                <w:shd w:val="clear" w:color="auto" w:fill="E6E6E6"/>
              </w:rPr>
              <w:fldChar w:fldCharType="begin" w:fldLock="1"/>
            </w:r>
            <w:r>
              <w:rPr>
                <w:rFonts w:cstheme="minorHAnsi"/>
                <w:sz w:val="20"/>
                <w:szCs w:val="20"/>
              </w:rPr>
              <w:instrText>ADDIN CSL_CITATION {"citationItems":[{"id":"ITEM-1","itemData":{"DOI":"ISBN 978 92 4 150848 3","ISBN":"9789241507226","ISSN":"1472-698X","PMID":"19828060","abstract":"Annex IV of the Report of the Inter-Agency and Expert Group on Sustainable Development Goal Indicators","author":[{"dropping-particle":"","family":"IAEG-SDGs","given":"","non-dropping-particle":"","parse-names":false,"suffix":""}],"container-title":"Report of the Inter-Agency and Expert Group on Sustainable Development Goal Indicators","id":"ITEM-1","issued":{"date-parts":[["2016"]]},"page":"Annex IV","title":"Final list of proposed Sustainable Development Goal indicators","type":"article-journal"},"uris":["http://www.mendeley.com/documents/?uuid=08fc8b89-2628-43bd-a63f-fa4b4be2ae4b"]}],"mendeley":{"formattedCitation":"(IAEG-SDGs, 2016)","plainTextFormattedCitation":"(IAEG-SDGs, 2016)","previouslyFormattedCitation":"(IAEG-SDGs, 2016)"},"properties":{"noteIndex":0},"schema":"https://github.com/citation-style-language/schema/raw/master/csl-citation.json"}</w:instrText>
            </w:r>
            <w:r w:rsidRPr="00581EBB">
              <w:rPr>
                <w:rFonts w:cstheme="minorHAnsi"/>
                <w:color w:val="2B579A"/>
                <w:sz w:val="20"/>
                <w:szCs w:val="20"/>
                <w:shd w:val="clear" w:color="auto" w:fill="E6E6E6"/>
              </w:rPr>
              <w:fldChar w:fldCharType="separate"/>
            </w:r>
            <w:r w:rsidRPr="00581EBB">
              <w:rPr>
                <w:rFonts w:cstheme="minorHAnsi"/>
                <w:noProof/>
                <w:sz w:val="20"/>
                <w:szCs w:val="20"/>
              </w:rPr>
              <w:t>(IAEG-SDGs, 2016)</w:t>
            </w:r>
            <w:r w:rsidRPr="00581EBB">
              <w:rPr>
                <w:rFonts w:cstheme="minorHAnsi"/>
                <w:color w:val="2B579A"/>
                <w:sz w:val="20"/>
                <w:szCs w:val="20"/>
                <w:shd w:val="clear" w:color="auto" w:fill="E6E6E6"/>
              </w:rPr>
              <w:fldChar w:fldCharType="end"/>
            </w:r>
          </w:p>
          <w:p w14:paraId="5F79A8E6" w14:textId="77777777" w:rsidR="003D25CA" w:rsidRPr="00581EBB" w:rsidRDefault="003D25CA" w:rsidP="00F95399">
            <w:pPr>
              <w:rPr>
                <w:rFonts w:cstheme="minorHAnsi"/>
                <w:sz w:val="20"/>
                <w:szCs w:val="20"/>
              </w:rPr>
            </w:pPr>
          </w:p>
        </w:tc>
      </w:tr>
      <w:tr w:rsidR="003D25CA" w14:paraId="65F21201" w14:textId="77777777" w:rsidTr="00F95399">
        <w:tc>
          <w:tcPr>
            <w:tcW w:w="1460" w:type="dxa"/>
          </w:tcPr>
          <w:p w14:paraId="24C4BC7D" w14:textId="77777777" w:rsidR="003D25CA" w:rsidRDefault="003D25CA" w:rsidP="00F95399">
            <w:pPr>
              <w:rPr>
                <w:rFonts w:cstheme="minorHAnsi"/>
                <w:sz w:val="20"/>
                <w:szCs w:val="20"/>
              </w:rPr>
            </w:pPr>
            <w:r w:rsidRPr="00581EBB">
              <w:rPr>
                <w:rFonts w:cstheme="minorHAnsi"/>
                <w:color w:val="2B579A"/>
                <w:sz w:val="20"/>
                <w:szCs w:val="20"/>
                <w:shd w:val="clear" w:color="auto" w:fill="E6E6E6"/>
              </w:rPr>
              <w:object w:dxaOrig="1650" w:dyaOrig="1635" w14:anchorId="47DEB422">
                <v:shape id="_x0000_i1033" type="#_x0000_t75" style="width:57.6pt;height:57.6pt" o:ole="">
                  <v:imagedata r:id="rId24" o:title=""/>
                </v:shape>
                <o:OLEObject Type="Embed" ProgID="PBrush" ShapeID="_x0000_i1033" DrawAspect="Content" ObjectID="_1681645032" r:id="rId25"/>
              </w:object>
            </w:r>
          </w:p>
          <w:p w14:paraId="2A7FD63D" w14:textId="77777777" w:rsidR="003D25CA" w:rsidRDefault="003D25CA" w:rsidP="00F95399">
            <w:pPr>
              <w:rPr>
                <w:rFonts w:cstheme="minorHAnsi"/>
                <w:sz w:val="20"/>
                <w:szCs w:val="20"/>
              </w:rPr>
            </w:pPr>
          </w:p>
        </w:tc>
        <w:tc>
          <w:tcPr>
            <w:tcW w:w="1519" w:type="dxa"/>
          </w:tcPr>
          <w:p w14:paraId="054A98F0" w14:textId="77777777" w:rsidR="003D25CA" w:rsidRDefault="003D25CA" w:rsidP="00F95399">
            <w:pPr>
              <w:rPr>
                <w:rFonts w:cstheme="minorHAnsi"/>
                <w:i/>
                <w:sz w:val="20"/>
                <w:szCs w:val="20"/>
              </w:rPr>
            </w:pPr>
            <w:r w:rsidRPr="00581EBB">
              <w:rPr>
                <w:rFonts w:cstheme="minorHAnsi"/>
                <w:i/>
                <w:sz w:val="20"/>
                <w:szCs w:val="20"/>
              </w:rPr>
              <w:t>Commercial Potential</w:t>
            </w:r>
          </w:p>
          <w:p w14:paraId="19D9DA33" w14:textId="77777777" w:rsidR="003D25CA" w:rsidRDefault="003D25CA" w:rsidP="00F95399">
            <w:pPr>
              <w:rPr>
                <w:rFonts w:cstheme="minorHAnsi"/>
                <w:i/>
                <w:sz w:val="20"/>
                <w:szCs w:val="20"/>
              </w:rPr>
            </w:pPr>
            <w:r>
              <w:rPr>
                <w:rFonts w:cstheme="minorHAnsi"/>
                <w:i/>
                <w:sz w:val="20"/>
                <w:szCs w:val="20"/>
              </w:rPr>
              <w:t>R&amp;D Value</w:t>
            </w:r>
          </w:p>
        </w:tc>
        <w:tc>
          <w:tcPr>
            <w:tcW w:w="6066" w:type="dxa"/>
          </w:tcPr>
          <w:p w14:paraId="5594940B" w14:textId="77777777" w:rsidR="003D25CA" w:rsidRDefault="003D25CA" w:rsidP="00F95399">
            <w:pPr>
              <w:rPr>
                <w:rFonts w:cstheme="minorHAnsi"/>
                <w:sz w:val="20"/>
                <w:szCs w:val="20"/>
              </w:rPr>
            </w:pPr>
            <w:r w:rsidRPr="00581EBB">
              <w:rPr>
                <w:rFonts w:cstheme="minorHAnsi"/>
                <w:sz w:val="20"/>
                <w:szCs w:val="20"/>
              </w:rPr>
              <w:t xml:space="preserve">These are essential to economic development. The first issue to consider is what size and depth of market there might be for such goods. This will be measured in terms of the future </w:t>
            </w:r>
            <w:r w:rsidRPr="00581EBB">
              <w:rPr>
                <w:rFonts w:cstheme="minorHAnsi"/>
                <w:i/>
                <w:sz w:val="20"/>
                <w:szCs w:val="20"/>
              </w:rPr>
              <w:t>Commercial Potential</w:t>
            </w:r>
            <w:r w:rsidRPr="00581EBB">
              <w:rPr>
                <w:rFonts w:cstheme="minorHAnsi"/>
                <w:sz w:val="20"/>
                <w:szCs w:val="20"/>
              </w:rPr>
              <w:t xml:space="preserve"> from the alternatives. The amount spent on R&amp;D is an indicator of innovation in industr</w:t>
            </w:r>
            <w:r>
              <w:rPr>
                <w:rFonts w:cstheme="minorHAnsi"/>
                <w:sz w:val="20"/>
                <w:szCs w:val="20"/>
              </w:rPr>
              <w:t>y.</w:t>
            </w:r>
          </w:p>
          <w:p w14:paraId="400048B5" w14:textId="77777777" w:rsidR="003D25CA" w:rsidRPr="00581EBB" w:rsidRDefault="003D25CA" w:rsidP="00F95399">
            <w:pPr>
              <w:rPr>
                <w:rFonts w:cstheme="minorHAnsi"/>
                <w:sz w:val="20"/>
                <w:szCs w:val="20"/>
              </w:rPr>
            </w:pPr>
            <w:r w:rsidRPr="00581EBB">
              <w:rPr>
                <w:rFonts w:cstheme="minorHAnsi"/>
                <w:sz w:val="20"/>
                <w:szCs w:val="20"/>
              </w:rPr>
              <w:t>9.5.1</w:t>
            </w:r>
            <w:r w:rsidRPr="00581EBB">
              <w:rPr>
                <w:rFonts w:cstheme="minorHAnsi"/>
                <w:color w:val="2B579A"/>
                <w:sz w:val="20"/>
                <w:szCs w:val="20"/>
                <w:shd w:val="clear" w:color="auto" w:fill="E6E6E6"/>
              </w:rPr>
              <w:fldChar w:fldCharType="begin" w:fldLock="1"/>
            </w:r>
            <w:r>
              <w:rPr>
                <w:rFonts w:cstheme="minorHAnsi"/>
                <w:sz w:val="20"/>
                <w:szCs w:val="20"/>
              </w:rPr>
              <w:instrText>ADDIN CSL_CITATION {"citationItems":[{"id":"ITEM-1","itemData":{"DOI":"ISBN 978 92 4 150848 3","ISBN":"9789241507226","ISSN":"1472-698X","PMID":"19828060","abstract":"Annex IV of the Report of the Inter-Agency and Expert Group on Sustainable Development Goal Indicators","author":[{"dropping-particle":"","family":"IAEG-SDGs","given":"","non-dropping-particle":"","parse-names":false,"suffix":""}],"container-title":"Report of the Inter-Agency and Expert Group on Sustainable Development Goal Indicators","id":"ITEM-1","issued":{"date-parts":[["2016"]]},"page":"Annex IV","title":"Final list of proposed Sustainable Development Goal indicators","type":"article-journal"},"uris":["http://www.mendeley.com/documents/?uuid=08fc8b89-2628-43bd-a63f-fa4b4be2ae4b"]}],"mendeley":{"formattedCitation":"(IAEG-SDGs, 2016)","plainTextFormattedCitation":"(IAEG-SDGs, 2016)","previouslyFormattedCitation":"(IAEG-SDGs, 2016)"},"properties":{"noteIndex":0},"schema":"https://github.com/citation-style-language/schema/raw/master/csl-citation.json"}</w:instrText>
            </w:r>
            <w:r w:rsidRPr="00581EBB">
              <w:rPr>
                <w:rFonts w:cstheme="minorHAnsi"/>
                <w:color w:val="2B579A"/>
                <w:sz w:val="20"/>
                <w:szCs w:val="20"/>
                <w:shd w:val="clear" w:color="auto" w:fill="E6E6E6"/>
              </w:rPr>
              <w:fldChar w:fldCharType="separate"/>
            </w:r>
            <w:r w:rsidRPr="00581EBB">
              <w:rPr>
                <w:rFonts w:cstheme="minorHAnsi"/>
                <w:noProof/>
                <w:sz w:val="20"/>
                <w:szCs w:val="20"/>
              </w:rPr>
              <w:t>(IAEG-SDGs, 2016)</w:t>
            </w:r>
            <w:r w:rsidRPr="00581EBB">
              <w:rPr>
                <w:rFonts w:cstheme="minorHAnsi"/>
                <w:color w:val="2B579A"/>
                <w:sz w:val="20"/>
                <w:szCs w:val="20"/>
                <w:shd w:val="clear" w:color="auto" w:fill="E6E6E6"/>
              </w:rPr>
              <w:fldChar w:fldCharType="end"/>
            </w:r>
          </w:p>
        </w:tc>
      </w:tr>
      <w:tr w:rsidR="003D25CA" w14:paraId="6EDFAFF6" w14:textId="77777777" w:rsidTr="00F95399">
        <w:tc>
          <w:tcPr>
            <w:tcW w:w="1460" w:type="dxa"/>
          </w:tcPr>
          <w:p w14:paraId="12A9B0CB" w14:textId="77777777" w:rsidR="003D25CA" w:rsidRDefault="003D25CA" w:rsidP="00F95399">
            <w:pPr>
              <w:rPr>
                <w:rFonts w:cstheme="minorHAnsi"/>
                <w:sz w:val="20"/>
                <w:szCs w:val="20"/>
              </w:rPr>
            </w:pPr>
            <w:r w:rsidRPr="00581EBB">
              <w:rPr>
                <w:rFonts w:cstheme="minorHAnsi"/>
                <w:color w:val="2B579A"/>
                <w:sz w:val="20"/>
                <w:szCs w:val="20"/>
                <w:shd w:val="clear" w:color="auto" w:fill="E6E6E6"/>
              </w:rPr>
              <w:object w:dxaOrig="1605" w:dyaOrig="1605" w14:anchorId="45B14FE6">
                <v:shape id="_x0000_i1034" type="#_x0000_t75" style="width:62.6pt;height:62.6pt" o:ole="">
                  <v:imagedata r:id="rId26" o:title=""/>
                </v:shape>
                <o:OLEObject Type="Embed" ProgID="PBrush" ShapeID="_x0000_i1034" DrawAspect="Content" ObjectID="_1681645033" r:id="rId27"/>
              </w:object>
            </w:r>
          </w:p>
          <w:p w14:paraId="12F01BF6" w14:textId="77777777" w:rsidR="003D25CA" w:rsidRDefault="003D25CA" w:rsidP="00F95399">
            <w:pPr>
              <w:rPr>
                <w:rFonts w:cstheme="minorHAnsi"/>
                <w:sz w:val="20"/>
                <w:szCs w:val="20"/>
              </w:rPr>
            </w:pPr>
          </w:p>
        </w:tc>
        <w:tc>
          <w:tcPr>
            <w:tcW w:w="1519" w:type="dxa"/>
          </w:tcPr>
          <w:p w14:paraId="206D7965" w14:textId="77777777" w:rsidR="003D25CA" w:rsidRPr="00581EBB" w:rsidRDefault="003D25CA" w:rsidP="00F95399">
            <w:pPr>
              <w:rPr>
                <w:rFonts w:cstheme="minorHAnsi"/>
                <w:i/>
                <w:sz w:val="20"/>
                <w:szCs w:val="20"/>
              </w:rPr>
            </w:pPr>
            <w:r>
              <w:rPr>
                <w:rFonts w:cstheme="minorHAnsi"/>
                <w:i/>
                <w:sz w:val="20"/>
                <w:szCs w:val="20"/>
              </w:rPr>
              <w:t>Salary</w:t>
            </w:r>
          </w:p>
        </w:tc>
        <w:tc>
          <w:tcPr>
            <w:tcW w:w="6066" w:type="dxa"/>
          </w:tcPr>
          <w:p w14:paraId="22D6E70B" w14:textId="77777777" w:rsidR="003D25CA" w:rsidRDefault="003D25CA" w:rsidP="00F95399">
            <w:pPr>
              <w:rPr>
                <w:rFonts w:cstheme="minorHAnsi"/>
                <w:sz w:val="20"/>
                <w:szCs w:val="20"/>
              </w:rPr>
            </w:pPr>
            <w:r w:rsidRPr="00581EBB">
              <w:rPr>
                <w:rFonts w:cstheme="minorHAnsi"/>
                <w:sz w:val="20"/>
                <w:szCs w:val="20"/>
              </w:rPr>
              <w:t>Wind blades are located almost exclusively in rural areas, and it is typical that rural areas have less opportunity for employment, more difficult access to education and lower prosperity than urban areas. The provision of new jobs in rural areas would help to reduce the gap between urban and rural employment opportuni</w:t>
            </w:r>
            <w:r>
              <w:rPr>
                <w:rFonts w:cstheme="minorHAnsi"/>
                <w:sz w:val="20"/>
                <w:szCs w:val="20"/>
              </w:rPr>
              <w:t>ties.</w:t>
            </w:r>
          </w:p>
          <w:p w14:paraId="296A522F" w14:textId="77777777" w:rsidR="003D25CA" w:rsidRPr="00581EBB" w:rsidRDefault="003D25CA" w:rsidP="00F95399">
            <w:pPr>
              <w:rPr>
                <w:rFonts w:cstheme="minorHAnsi"/>
                <w:sz w:val="20"/>
                <w:szCs w:val="20"/>
              </w:rPr>
            </w:pPr>
            <w:r w:rsidRPr="00581EBB">
              <w:rPr>
                <w:rFonts w:cstheme="minorHAnsi"/>
                <w:sz w:val="20"/>
                <w:szCs w:val="20"/>
              </w:rPr>
              <w:t xml:space="preserve">10.1.1 and 10.2.1 </w:t>
            </w:r>
            <w:r w:rsidRPr="00581EBB">
              <w:rPr>
                <w:rFonts w:cstheme="minorHAnsi"/>
                <w:color w:val="2B579A"/>
                <w:sz w:val="20"/>
                <w:szCs w:val="20"/>
                <w:shd w:val="clear" w:color="auto" w:fill="E6E6E6"/>
              </w:rPr>
              <w:fldChar w:fldCharType="begin" w:fldLock="1"/>
            </w:r>
            <w:r>
              <w:rPr>
                <w:rFonts w:cstheme="minorHAnsi"/>
                <w:sz w:val="20"/>
                <w:szCs w:val="20"/>
              </w:rPr>
              <w:instrText>ADDIN CSL_CITATION {"citationItems":[{"id":"ITEM-1","itemData":{"DOI":"ISBN 978 92 4 150848 3","ISBN":"9789241507226","ISSN":"1472-698X","PMID":"19828060","abstract":"Annex IV of the Report of the Inter-Agency and Expert Group on Sustainable Development Goal Indicators","author":[{"dropping-particle":"","family":"IAEG-SDGs","given":"","non-dropping-particle":"","parse-names":false,"suffix":""}],"container-title":"Report of the Inter-Agency and Expert Group on Sustainable Development Goal Indicators","id":"ITEM-1","issued":{"date-parts":[["2016"]]},"page":"Annex IV","title":"Final list of proposed Sustainable Development Goal indicators","type":"article-journal"},"uris":["http://www.mendeley.com/documents/?uuid=08fc8b89-2628-43bd-a63f-fa4b4be2ae4b"]}],"mendeley":{"formattedCitation":"(IAEG-SDGs, 2016)","plainTextFormattedCitation":"(IAEG-SDGs, 2016)","previouslyFormattedCitation":"(IAEG-SDGs, 2016)"},"properties":{"noteIndex":0},"schema":"https://github.com/citation-style-language/schema/raw/master/csl-citation.json"}</w:instrText>
            </w:r>
            <w:r w:rsidRPr="00581EBB">
              <w:rPr>
                <w:rFonts w:cstheme="minorHAnsi"/>
                <w:color w:val="2B579A"/>
                <w:sz w:val="20"/>
                <w:szCs w:val="20"/>
                <w:shd w:val="clear" w:color="auto" w:fill="E6E6E6"/>
              </w:rPr>
              <w:fldChar w:fldCharType="separate"/>
            </w:r>
            <w:r w:rsidRPr="00581EBB">
              <w:rPr>
                <w:rFonts w:cstheme="minorHAnsi"/>
                <w:noProof/>
                <w:sz w:val="20"/>
                <w:szCs w:val="20"/>
              </w:rPr>
              <w:t>(IAEG-SDGs, 2016)</w:t>
            </w:r>
            <w:r w:rsidRPr="00581EBB">
              <w:rPr>
                <w:rFonts w:cstheme="minorHAnsi"/>
                <w:color w:val="2B579A"/>
                <w:sz w:val="20"/>
                <w:szCs w:val="20"/>
                <w:shd w:val="clear" w:color="auto" w:fill="E6E6E6"/>
              </w:rPr>
              <w:fldChar w:fldCharType="end"/>
            </w:r>
          </w:p>
        </w:tc>
      </w:tr>
      <w:tr w:rsidR="003D25CA" w14:paraId="09886455" w14:textId="77777777" w:rsidTr="00F95399">
        <w:tc>
          <w:tcPr>
            <w:tcW w:w="1460" w:type="dxa"/>
          </w:tcPr>
          <w:p w14:paraId="166E56DF" w14:textId="77777777" w:rsidR="003D25CA" w:rsidRDefault="003D25CA" w:rsidP="00F95399">
            <w:pPr>
              <w:rPr>
                <w:rFonts w:cstheme="minorHAnsi"/>
                <w:sz w:val="20"/>
                <w:szCs w:val="20"/>
              </w:rPr>
            </w:pPr>
            <w:r w:rsidRPr="00581EBB">
              <w:rPr>
                <w:rFonts w:cstheme="minorHAnsi"/>
                <w:color w:val="2B579A"/>
                <w:sz w:val="20"/>
                <w:szCs w:val="20"/>
                <w:shd w:val="clear" w:color="auto" w:fill="E6E6E6"/>
              </w:rPr>
              <w:object w:dxaOrig="1635" w:dyaOrig="1635" w14:anchorId="3E52F256">
                <v:shape id="_x0000_i1035" type="#_x0000_t75" style="width:60.1pt;height:60.1pt" o:ole="">
                  <v:imagedata r:id="rId28" o:title=""/>
                </v:shape>
                <o:OLEObject Type="Embed" ProgID="PBrush" ShapeID="_x0000_i1035" DrawAspect="Content" ObjectID="_1681645034" r:id="rId29"/>
              </w:object>
            </w:r>
          </w:p>
        </w:tc>
        <w:tc>
          <w:tcPr>
            <w:tcW w:w="1519" w:type="dxa"/>
          </w:tcPr>
          <w:p w14:paraId="22076F12" w14:textId="77777777" w:rsidR="003D25CA" w:rsidRDefault="003D25CA" w:rsidP="00F95399">
            <w:pPr>
              <w:rPr>
                <w:rFonts w:cstheme="minorHAnsi"/>
                <w:i/>
                <w:sz w:val="20"/>
                <w:szCs w:val="20"/>
              </w:rPr>
            </w:pPr>
            <w:r>
              <w:rPr>
                <w:rFonts w:cstheme="minorHAnsi"/>
                <w:i/>
                <w:sz w:val="20"/>
                <w:szCs w:val="20"/>
              </w:rPr>
              <w:t>Community Support</w:t>
            </w:r>
          </w:p>
        </w:tc>
        <w:tc>
          <w:tcPr>
            <w:tcW w:w="6066" w:type="dxa"/>
          </w:tcPr>
          <w:p w14:paraId="123CD903" w14:textId="77777777" w:rsidR="003D25CA" w:rsidRDefault="003D25CA" w:rsidP="00F95399">
            <w:pPr>
              <w:rPr>
                <w:rFonts w:cstheme="minorHAnsi"/>
                <w:sz w:val="20"/>
                <w:szCs w:val="20"/>
              </w:rPr>
            </w:pPr>
            <w:r w:rsidRPr="00581EBB">
              <w:rPr>
                <w:rFonts w:cstheme="minorHAnsi"/>
                <w:sz w:val="20"/>
                <w:szCs w:val="20"/>
              </w:rPr>
              <w:t>Community involvement in and support for the choice of alternatives is suggested by this</w:t>
            </w:r>
            <w:r>
              <w:rPr>
                <w:rFonts w:cstheme="minorHAnsi"/>
                <w:sz w:val="20"/>
                <w:szCs w:val="20"/>
              </w:rPr>
              <w:t xml:space="preserve"> SDG.</w:t>
            </w:r>
          </w:p>
          <w:p w14:paraId="435E08E7" w14:textId="77777777" w:rsidR="003D25CA" w:rsidRPr="00581EBB" w:rsidRDefault="003D25CA" w:rsidP="00F95399">
            <w:pPr>
              <w:rPr>
                <w:rFonts w:cstheme="minorHAnsi"/>
                <w:sz w:val="20"/>
                <w:szCs w:val="20"/>
              </w:rPr>
            </w:pPr>
            <w:r>
              <w:rPr>
                <w:rFonts w:cstheme="minorHAnsi"/>
                <w:sz w:val="20"/>
                <w:szCs w:val="20"/>
              </w:rPr>
              <w:t xml:space="preserve">11.3.2 </w:t>
            </w:r>
            <w:r w:rsidRPr="00581EBB">
              <w:rPr>
                <w:rFonts w:cstheme="minorHAnsi"/>
                <w:color w:val="2B579A"/>
                <w:sz w:val="20"/>
                <w:szCs w:val="20"/>
                <w:shd w:val="clear" w:color="auto" w:fill="E6E6E6"/>
              </w:rPr>
              <w:fldChar w:fldCharType="begin" w:fldLock="1"/>
            </w:r>
            <w:r>
              <w:rPr>
                <w:rFonts w:cstheme="minorHAnsi"/>
                <w:sz w:val="20"/>
                <w:szCs w:val="20"/>
              </w:rPr>
              <w:instrText>ADDIN CSL_CITATION {"citationItems":[{"id":"ITEM-1","itemData":{"DOI":"ISBN 978 92 4 150848 3","ISBN":"9789241507226","ISSN":"1472-698X","PMID":"19828060","abstract":"Annex IV of the Report of the Inter-Agency and Expert Group on Sustainable Development Goal Indicators","author":[{"dropping-particle":"","family":"IAEG-SDGs","given":"","non-dropping-particle":"","parse-names":false,"suffix":""}],"container-title":"Report of the Inter-Agency and Expert Group on Sustainable Development Goal Indicators","id":"ITEM-1","issued":{"date-parts":[["2016"]]},"page":"Annex IV","title":"Final list of proposed Sustainable Development Goal indicators","type":"article-journal"},"uris":["http://www.mendeley.com/documents/?uuid=08fc8b89-2628-43bd-a63f-fa4b4be2ae4b"]}],"mendeley":{"formattedCitation":"(IAEG-SDGs, 2016)","plainTextFormattedCitation":"(IAEG-SDGs, 2016)","previouslyFormattedCitation":"(IAEG-SDGs, 2016)"},"properties":{"noteIndex":0},"schema":"https://github.com/citation-style-language/schema/raw/master/csl-citation.json"}</w:instrText>
            </w:r>
            <w:r w:rsidRPr="00581EBB">
              <w:rPr>
                <w:rFonts w:cstheme="minorHAnsi"/>
                <w:color w:val="2B579A"/>
                <w:sz w:val="20"/>
                <w:szCs w:val="20"/>
                <w:shd w:val="clear" w:color="auto" w:fill="E6E6E6"/>
              </w:rPr>
              <w:fldChar w:fldCharType="separate"/>
            </w:r>
            <w:r w:rsidRPr="00581EBB">
              <w:rPr>
                <w:rFonts w:cstheme="minorHAnsi"/>
                <w:noProof/>
                <w:sz w:val="20"/>
                <w:szCs w:val="20"/>
              </w:rPr>
              <w:t>(IAEG-SDGs, 2016)</w:t>
            </w:r>
            <w:r w:rsidRPr="00581EBB">
              <w:rPr>
                <w:rFonts w:cstheme="minorHAnsi"/>
                <w:color w:val="2B579A"/>
                <w:sz w:val="20"/>
                <w:szCs w:val="20"/>
                <w:shd w:val="clear" w:color="auto" w:fill="E6E6E6"/>
              </w:rPr>
              <w:fldChar w:fldCharType="end"/>
            </w:r>
          </w:p>
        </w:tc>
      </w:tr>
      <w:tr w:rsidR="003D25CA" w14:paraId="5BEEAF93" w14:textId="77777777" w:rsidTr="00F95399">
        <w:tc>
          <w:tcPr>
            <w:tcW w:w="1460" w:type="dxa"/>
          </w:tcPr>
          <w:p w14:paraId="507DBF42" w14:textId="77777777" w:rsidR="003D25CA" w:rsidRDefault="003D25CA" w:rsidP="00F95399">
            <w:pPr>
              <w:rPr>
                <w:rFonts w:cstheme="minorHAnsi"/>
                <w:sz w:val="20"/>
                <w:szCs w:val="20"/>
              </w:rPr>
            </w:pPr>
          </w:p>
          <w:p w14:paraId="031F3187" w14:textId="77777777" w:rsidR="003D25CA" w:rsidRDefault="003D25CA" w:rsidP="00F95399">
            <w:pPr>
              <w:rPr>
                <w:rFonts w:cstheme="minorHAnsi"/>
                <w:sz w:val="20"/>
                <w:szCs w:val="20"/>
              </w:rPr>
            </w:pPr>
            <w:r w:rsidRPr="00581EBB">
              <w:rPr>
                <w:rFonts w:cstheme="minorHAnsi"/>
                <w:color w:val="2B579A"/>
                <w:sz w:val="20"/>
                <w:szCs w:val="20"/>
                <w:shd w:val="clear" w:color="auto" w:fill="E6E6E6"/>
              </w:rPr>
              <w:object w:dxaOrig="1635" w:dyaOrig="1635" w14:anchorId="0F27A789">
                <v:shape id="_x0000_i1036" type="#_x0000_t75" style="width:60.1pt;height:60.1pt" o:ole="">
                  <v:imagedata r:id="rId30" o:title=""/>
                </v:shape>
                <o:OLEObject Type="Embed" ProgID="PBrush" ShapeID="_x0000_i1036" DrawAspect="Content" ObjectID="_1681645035" r:id="rId31"/>
              </w:object>
            </w:r>
          </w:p>
          <w:p w14:paraId="5EBBC6C2" w14:textId="77777777" w:rsidR="003D25CA" w:rsidRDefault="003D25CA" w:rsidP="00F95399">
            <w:pPr>
              <w:rPr>
                <w:rFonts w:cstheme="minorHAnsi"/>
                <w:sz w:val="20"/>
                <w:szCs w:val="20"/>
              </w:rPr>
            </w:pPr>
          </w:p>
        </w:tc>
        <w:tc>
          <w:tcPr>
            <w:tcW w:w="1519" w:type="dxa"/>
          </w:tcPr>
          <w:p w14:paraId="64C4DB97" w14:textId="77777777" w:rsidR="003D25CA" w:rsidRDefault="003D25CA" w:rsidP="00F95399">
            <w:pPr>
              <w:rPr>
                <w:rFonts w:cstheme="minorHAnsi"/>
                <w:sz w:val="20"/>
                <w:szCs w:val="20"/>
              </w:rPr>
            </w:pPr>
            <w:r w:rsidRPr="00581EBB">
              <w:rPr>
                <w:rFonts w:cstheme="minorHAnsi"/>
                <w:i/>
                <w:sz w:val="20"/>
                <w:szCs w:val="20"/>
              </w:rPr>
              <w:t>Ecosystem Quality</w:t>
            </w:r>
            <w:r>
              <w:rPr>
                <w:rFonts w:cstheme="minorHAnsi"/>
                <w:sz w:val="20"/>
                <w:szCs w:val="20"/>
              </w:rPr>
              <w:t xml:space="preserve"> </w:t>
            </w:r>
          </w:p>
          <w:p w14:paraId="6F291BE6" w14:textId="77777777" w:rsidR="003D25CA" w:rsidRDefault="003D25CA" w:rsidP="00F95399">
            <w:pPr>
              <w:rPr>
                <w:rFonts w:cstheme="minorHAnsi"/>
                <w:i/>
                <w:sz w:val="20"/>
                <w:szCs w:val="20"/>
              </w:rPr>
            </w:pPr>
            <w:r w:rsidRPr="00581EBB">
              <w:rPr>
                <w:rFonts w:cstheme="minorHAnsi"/>
                <w:i/>
                <w:sz w:val="20"/>
                <w:szCs w:val="20"/>
              </w:rPr>
              <w:t>Human</w:t>
            </w:r>
            <w:r>
              <w:rPr>
                <w:rFonts w:cstheme="minorHAnsi"/>
                <w:i/>
                <w:sz w:val="20"/>
                <w:szCs w:val="20"/>
              </w:rPr>
              <w:t xml:space="preserve"> Health</w:t>
            </w:r>
          </w:p>
          <w:p w14:paraId="172043EA" w14:textId="77777777" w:rsidR="003D25CA" w:rsidRDefault="003D25CA" w:rsidP="00F95399">
            <w:pPr>
              <w:rPr>
                <w:rFonts w:cstheme="minorHAnsi"/>
                <w:i/>
                <w:sz w:val="20"/>
                <w:szCs w:val="20"/>
              </w:rPr>
            </w:pPr>
            <w:r>
              <w:rPr>
                <w:rFonts w:cstheme="minorHAnsi"/>
                <w:i/>
                <w:sz w:val="20"/>
                <w:szCs w:val="20"/>
              </w:rPr>
              <w:t>Resources</w:t>
            </w:r>
          </w:p>
        </w:tc>
        <w:tc>
          <w:tcPr>
            <w:tcW w:w="6066" w:type="dxa"/>
          </w:tcPr>
          <w:p w14:paraId="4BDA1723" w14:textId="77777777" w:rsidR="003D25CA" w:rsidRDefault="003D25CA" w:rsidP="00F95399">
            <w:pPr>
              <w:rPr>
                <w:rFonts w:cstheme="minorHAnsi"/>
                <w:sz w:val="20"/>
                <w:szCs w:val="20"/>
              </w:rPr>
            </w:pPr>
            <w:r w:rsidRPr="00581EBB">
              <w:rPr>
                <w:rFonts w:cstheme="minorHAnsi"/>
                <w:sz w:val="20"/>
                <w:szCs w:val="20"/>
              </w:rPr>
              <w:t xml:space="preserve">This has the aim of developing sustainable practices in businesses, and encouraging sustainable consumption.   The LCA damage indicator </w:t>
            </w:r>
            <w:r w:rsidRPr="00581EBB">
              <w:rPr>
                <w:rFonts w:cstheme="minorHAnsi"/>
                <w:i/>
                <w:sz w:val="20"/>
                <w:szCs w:val="20"/>
              </w:rPr>
              <w:t>Ecosystem Quality</w:t>
            </w:r>
            <w:r w:rsidRPr="00581EBB">
              <w:rPr>
                <w:rFonts w:cstheme="minorHAnsi"/>
                <w:sz w:val="20"/>
                <w:szCs w:val="20"/>
              </w:rPr>
              <w:t xml:space="preserve"> includes aquatic eco-toxicity, acidification, and eutrophication, as well as terrestrial eco-toxicity and acidification, which is caused by mismanagement of chemical waste.  A second LCA damage category </w:t>
            </w:r>
            <w:r w:rsidRPr="00581EBB">
              <w:rPr>
                <w:rFonts w:cstheme="minorHAnsi"/>
                <w:i/>
                <w:sz w:val="20"/>
                <w:szCs w:val="20"/>
              </w:rPr>
              <w:t>Human Health</w:t>
            </w:r>
            <w:r w:rsidRPr="00581EBB">
              <w:rPr>
                <w:rFonts w:cstheme="minorHAnsi"/>
                <w:sz w:val="20"/>
                <w:szCs w:val="20"/>
              </w:rPr>
              <w:t xml:space="preserve"> includes human toxicity and respiratory effects.  A reduction in newly mined or extracted material as one way to measure how a production system has become more sustainable. LCA damage indicator </w:t>
            </w:r>
            <w:r w:rsidRPr="00581EBB">
              <w:rPr>
                <w:rFonts w:cstheme="minorHAnsi"/>
                <w:i/>
                <w:sz w:val="20"/>
                <w:szCs w:val="20"/>
              </w:rPr>
              <w:t>Resources</w:t>
            </w:r>
            <w:r w:rsidRPr="00581EBB">
              <w:rPr>
                <w:rFonts w:cstheme="minorHAnsi"/>
                <w:sz w:val="20"/>
                <w:szCs w:val="20"/>
              </w:rPr>
              <w:t xml:space="preserve"> doe</w:t>
            </w:r>
            <w:r>
              <w:rPr>
                <w:rFonts w:cstheme="minorHAnsi"/>
                <w:sz w:val="20"/>
                <w:szCs w:val="20"/>
              </w:rPr>
              <w:t>s this.</w:t>
            </w:r>
          </w:p>
          <w:p w14:paraId="08B67D39" w14:textId="77777777" w:rsidR="003D25CA" w:rsidRPr="00581EBB" w:rsidRDefault="003D25CA" w:rsidP="00F95399">
            <w:pPr>
              <w:rPr>
                <w:rFonts w:cstheme="minorHAnsi"/>
                <w:sz w:val="20"/>
                <w:szCs w:val="20"/>
              </w:rPr>
            </w:pPr>
            <w:r w:rsidRPr="00581EBB">
              <w:rPr>
                <w:rFonts w:cstheme="minorHAnsi"/>
                <w:sz w:val="20"/>
                <w:szCs w:val="20"/>
              </w:rPr>
              <w:t>SDG Targets 12.4 and 12.5</w:t>
            </w:r>
            <w:r w:rsidRPr="00581EBB">
              <w:rPr>
                <w:rFonts w:cstheme="minorHAnsi"/>
                <w:color w:val="2B579A"/>
                <w:sz w:val="20"/>
                <w:szCs w:val="20"/>
                <w:shd w:val="clear" w:color="auto" w:fill="E6E6E6"/>
              </w:rPr>
              <w:fldChar w:fldCharType="begin" w:fldLock="1"/>
            </w:r>
            <w:r>
              <w:rPr>
                <w:rFonts w:cstheme="minorHAnsi"/>
                <w:sz w:val="20"/>
                <w:szCs w:val="20"/>
              </w:rPr>
              <w:instrText>ADDIN CSL_CITATION {"citationItems":[{"id":"ITEM-1","itemData":{"DOI":"ISBN 978 92 4 150848 3","ISBN":"9789241507226","ISSN":"1472-698X","PMID":"19828060","abstract":"Annex IV of the Report of the Inter-Agency and Expert Group on Sustainable Development Goal Indicators","author":[{"dropping-particle":"","family":"IAEG-SDGs","given":"","non-dropping-particle":"","parse-names":false,"suffix":""}],"container-title":"Report of the Inter-Agency and Expert Group on Sustainable Development Goal Indicators","id":"ITEM-1","issued":{"date-parts":[["2016"]]},"page":"Annex IV","title":"Final list of proposed Sustainable Development Goal indicators","type":"article-journal"},"uris":["http://www.mendeley.com/documents/?uuid=08fc8b89-2628-43bd-a63f-fa4b4be2ae4b"]}],"mendeley":{"formattedCitation":"(IAEG-SDGs, 2016)","plainTextFormattedCitation":"(IAEG-SDGs, 2016)","previouslyFormattedCitation":"(IAEG-SDGs, 2016)"},"properties":{"noteIndex":0},"schema":"https://github.com/citation-style-language/schema/raw/master/csl-citation.json"}</w:instrText>
            </w:r>
            <w:r w:rsidRPr="00581EBB">
              <w:rPr>
                <w:rFonts w:cstheme="minorHAnsi"/>
                <w:color w:val="2B579A"/>
                <w:sz w:val="20"/>
                <w:szCs w:val="20"/>
                <w:shd w:val="clear" w:color="auto" w:fill="E6E6E6"/>
              </w:rPr>
              <w:fldChar w:fldCharType="separate"/>
            </w:r>
            <w:r w:rsidRPr="00581EBB">
              <w:rPr>
                <w:rFonts w:cstheme="minorHAnsi"/>
                <w:noProof/>
                <w:sz w:val="20"/>
                <w:szCs w:val="20"/>
              </w:rPr>
              <w:t>(IAEG-SDGs, 2016)</w:t>
            </w:r>
            <w:r w:rsidRPr="00581EBB">
              <w:rPr>
                <w:rFonts w:cstheme="minorHAnsi"/>
                <w:color w:val="2B579A"/>
                <w:sz w:val="20"/>
                <w:szCs w:val="20"/>
                <w:shd w:val="clear" w:color="auto" w:fill="E6E6E6"/>
              </w:rPr>
              <w:fldChar w:fldCharType="end"/>
            </w:r>
          </w:p>
        </w:tc>
      </w:tr>
      <w:tr w:rsidR="003D25CA" w14:paraId="6808EEED" w14:textId="77777777" w:rsidTr="00F95399">
        <w:tc>
          <w:tcPr>
            <w:tcW w:w="1460" w:type="dxa"/>
          </w:tcPr>
          <w:p w14:paraId="6ED27942" w14:textId="77777777" w:rsidR="003D25CA" w:rsidRDefault="003D25CA" w:rsidP="00F95399">
            <w:pPr>
              <w:rPr>
                <w:rFonts w:cstheme="minorHAnsi"/>
                <w:sz w:val="20"/>
                <w:szCs w:val="20"/>
              </w:rPr>
            </w:pPr>
            <w:r w:rsidRPr="00581EBB">
              <w:rPr>
                <w:rFonts w:cstheme="minorHAnsi"/>
                <w:color w:val="2B579A"/>
                <w:sz w:val="20"/>
                <w:szCs w:val="20"/>
                <w:shd w:val="clear" w:color="auto" w:fill="E6E6E6"/>
              </w:rPr>
              <w:object w:dxaOrig="1635" w:dyaOrig="1635" w14:anchorId="7F52E185">
                <v:shape id="_x0000_i1037" type="#_x0000_t75" style="width:54.45pt;height:54.45pt" o:ole="">
                  <v:imagedata r:id="rId32" o:title=""/>
                </v:shape>
                <o:OLEObject Type="Embed" ProgID="PBrush" ShapeID="_x0000_i1037" DrawAspect="Content" ObjectID="_1681645036" r:id="rId33"/>
              </w:object>
            </w:r>
          </w:p>
        </w:tc>
        <w:tc>
          <w:tcPr>
            <w:tcW w:w="1519" w:type="dxa"/>
          </w:tcPr>
          <w:p w14:paraId="1B82D788" w14:textId="77777777" w:rsidR="003D25CA" w:rsidRDefault="003D25CA" w:rsidP="00F95399">
            <w:pPr>
              <w:rPr>
                <w:rFonts w:cstheme="minorHAnsi"/>
                <w:i/>
                <w:sz w:val="20"/>
                <w:szCs w:val="20"/>
              </w:rPr>
            </w:pPr>
            <w:r>
              <w:rPr>
                <w:rFonts w:cstheme="minorHAnsi"/>
                <w:i/>
                <w:sz w:val="20"/>
                <w:szCs w:val="20"/>
              </w:rPr>
              <w:t>GHG</w:t>
            </w:r>
          </w:p>
        </w:tc>
        <w:tc>
          <w:tcPr>
            <w:tcW w:w="6066" w:type="dxa"/>
          </w:tcPr>
          <w:p w14:paraId="05934E4F" w14:textId="77777777" w:rsidR="003D25CA" w:rsidRDefault="003D25CA" w:rsidP="00F95399">
            <w:pPr>
              <w:rPr>
                <w:rFonts w:cstheme="minorHAnsi"/>
                <w:sz w:val="20"/>
                <w:szCs w:val="20"/>
              </w:rPr>
            </w:pPr>
            <w:r w:rsidRPr="00581EBB">
              <w:rPr>
                <w:rFonts w:cstheme="minorHAnsi"/>
                <w:sz w:val="20"/>
                <w:szCs w:val="20"/>
              </w:rPr>
              <w:t>This is most clearly measured by the emission of greenhouse</w:t>
            </w:r>
            <w:r>
              <w:rPr>
                <w:rFonts w:cstheme="minorHAnsi"/>
                <w:sz w:val="20"/>
                <w:szCs w:val="20"/>
              </w:rPr>
              <w:t xml:space="preserve"> gasses.</w:t>
            </w:r>
          </w:p>
          <w:p w14:paraId="7F2FCE43" w14:textId="77777777" w:rsidR="003D25CA" w:rsidRDefault="003D25CA" w:rsidP="00F95399">
            <w:pPr>
              <w:rPr>
                <w:rFonts w:cstheme="minorHAnsi"/>
                <w:sz w:val="20"/>
                <w:szCs w:val="20"/>
              </w:rPr>
            </w:pPr>
            <w:r w:rsidRPr="00FB4F71">
              <w:rPr>
                <w:rFonts w:cstheme="minorHAnsi"/>
                <w:color w:val="2B579A"/>
                <w:sz w:val="20"/>
                <w:szCs w:val="20"/>
              </w:rPr>
              <w:t xml:space="preserve"> </w:t>
            </w:r>
            <w:r w:rsidRPr="00FB4F71">
              <w:rPr>
                <w:rFonts w:cstheme="minorHAnsi"/>
                <w:sz w:val="20"/>
                <w:szCs w:val="20"/>
              </w:rPr>
              <w:t>13.2.1</w:t>
            </w:r>
            <w:r w:rsidRPr="00FB4F71">
              <w:rPr>
                <w:rFonts w:cstheme="minorHAnsi"/>
                <w:sz w:val="20"/>
                <w:szCs w:val="20"/>
                <w:shd w:val="clear" w:color="auto" w:fill="E6E6E6"/>
              </w:rPr>
              <w:t xml:space="preserve"> </w:t>
            </w:r>
            <w:r w:rsidRPr="00FB4F71">
              <w:rPr>
                <w:rFonts w:cstheme="minorHAnsi"/>
                <w:color w:val="2B579A"/>
                <w:sz w:val="20"/>
                <w:szCs w:val="20"/>
                <w:shd w:val="clear" w:color="auto" w:fill="E6E6E6"/>
              </w:rPr>
              <w:fldChar w:fldCharType="begin" w:fldLock="1"/>
            </w:r>
            <w:r>
              <w:rPr>
                <w:rFonts w:cstheme="minorHAnsi"/>
                <w:sz w:val="20"/>
                <w:szCs w:val="20"/>
              </w:rPr>
              <w:instrText>ADDIN CSL_CITATION {"citationItems":[{"id":"ITEM-1","itemData":{"DOI":"ISBN 978 92 4 150848 3","ISBN":"9789241507226","ISSN":"1472-698X","PMID":"19828060","abstract":"Annex IV of the Report of the Inter-Agency and Expert Group on Sustainable Development Goal Indicators","author":[{"dropping-particle":"","family":"IAEG-SDGs","given":"","non-dropping-particle":"","parse-names":false,"suffix":""}],"container-title":"Report of the Inter-Agency and Expert Group on Sustainable Development Goal Indicators","id":"ITEM-1","issued":{"date-parts":[["2016"]]},"page":"Annex IV","title":"Final list of proposed Sustainable Development Goal indicators","type":"article-journal"},"uris":["http://www.mendeley.com/documents/?uuid=08fc8b89-2628-43bd-a63f-fa4b4be2ae4b"]}],"mendeley":{"formattedCitation":"(IAEG-SDGs, 2016)","plainTextFormattedCitation":"(IAEG-SDGs, 2016)","previouslyFormattedCitation":"(IAEG-SDGs, 2016)"},"properties":{"noteIndex":0},"schema":"https://github.com/citation-style-language/schema/raw/master/csl-citation.json"}</w:instrText>
            </w:r>
            <w:r w:rsidRPr="00FB4F71">
              <w:rPr>
                <w:rFonts w:cstheme="minorHAnsi"/>
                <w:color w:val="2B579A"/>
                <w:sz w:val="20"/>
                <w:szCs w:val="20"/>
                <w:shd w:val="clear" w:color="auto" w:fill="E6E6E6"/>
              </w:rPr>
              <w:fldChar w:fldCharType="separate"/>
            </w:r>
            <w:r w:rsidRPr="00FB4F71">
              <w:rPr>
                <w:rFonts w:cstheme="minorHAnsi"/>
                <w:noProof/>
                <w:sz w:val="20"/>
                <w:szCs w:val="20"/>
              </w:rPr>
              <w:t>(IAEG-SDGs, 2016)</w:t>
            </w:r>
            <w:r w:rsidRPr="00FB4F71">
              <w:rPr>
                <w:rFonts w:cstheme="minorHAnsi"/>
                <w:color w:val="2B579A"/>
                <w:sz w:val="20"/>
                <w:szCs w:val="20"/>
                <w:shd w:val="clear" w:color="auto" w:fill="E6E6E6"/>
              </w:rPr>
              <w:fldChar w:fldCharType="end"/>
            </w:r>
          </w:p>
        </w:tc>
      </w:tr>
      <w:tr w:rsidR="003D25CA" w14:paraId="6F46EF17" w14:textId="77777777" w:rsidTr="00F95399">
        <w:tc>
          <w:tcPr>
            <w:tcW w:w="1460" w:type="dxa"/>
          </w:tcPr>
          <w:p w14:paraId="39C2ED6A" w14:textId="77777777" w:rsidR="003D25CA" w:rsidRDefault="003D25CA" w:rsidP="00F95399">
            <w:pPr>
              <w:rPr>
                <w:rFonts w:cstheme="minorHAnsi"/>
                <w:sz w:val="20"/>
                <w:szCs w:val="20"/>
              </w:rPr>
            </w:pPr>
          </w:p>
          <w:p w14:paraId="061AC3E4" w14:textId="77777777" w:rsidR="003D25CA" w:rsidRDefault="003D25CA" w:rsidP="00F95399">
            <w:pPr>
              <w:rPr>
                <w:rFonts w:cstheme="minorHAnsi"/>
                <w:sz w:val="20"/>
                <w:szCs w:val="20"/>
              </w:rPr>
            </w:pPr>
            <w:r w:rsidRPr="00581EBB">
              <w:rPr>
                <w:rFonts w:cstheme="minorHAnsi"/>
                <w:color w:val="2B579A"/>
                <w:sz w:val="20"/>
                <w:szCs w:val="20"/>
                <w:shd w:val="clear" w:color="auto" w:fill="E6E6E6"/>
              </w:rPr>
              <w:object w:dxaOrig="1620" w:dyaOrig="1635" w14:anchorId="29A2B8B5">
                <v:shape id="_x0000_i1038" type="#_x0000_t75" style="width:54.45pt;height:55.1pt" o:ole="">
                  <v:imagedata r:id="rId34" o:title=""/>
                </v:shape>
                <o:OLEObject Type="Embed" ProgID="PBrush" ShapeID="_x0000_i1038" DrawAspect="Content" ObjectID="_1681645037" r:id="rId35"/>
              </w:object>
            </w:r>
          </w:p>
        </w:tc>
        <w:tc>
          <w:tcPr>
            <w:tcW w:w="1519" w:type="dxa"/>
          </w:tcPr>
          <w:p w14:paraId="4BD9C723" w14:textId="77777777" w:rsidR="003D25CA" w:rsidRDefault="003D25CA" w:rsidP="00F95399">
            <w:pPr>
              <w:rPr>
                <w:rFonts w:cstheme="minorHAnsi"/>
                <w:i/>
                <w:sz w:val="20"/>
                <w:szCs w:val="20"/>
              </w:rPr>
            </w:pPr>
            <w:r>
              <w:rPr>
                <w:rFonts w:cstheme="minorHAnsi"/>
                <w:i/>
                <w:sz w:val="20"/>
                <w:szCs w:val="20"/>
              </w:rPr>
              <w:t>Ecosystem Quality</w:t>
            </w:r>
          </w:p>
        </w:tc>
        <w:tc>
          <w:tcPr>
            <w:tcW w:w="6066" w:type="dxa"/>
          </w:tcPr>
          <w:p w14:paraId="7CB9643A" w14:textId="77777777" w:rsidR="003D25CA" w:rsidRDefault="003D25CA" w:rsidP="00F95399">
            <w:pPr>
              <w:rPr>
                <w:rFonts w:cstheme="minorHAnsi"/>
                <w:sz w:val="20"/>
                <w:szCs w:val="20"/>
              </w:rPr>
            </w:pPr>
            <w:r w:rsidRPr="00581EBB">
              <w:rPr>
                <w:rFonts w:cstheme="minorHAnsi"/>
                <w:sz w:val="20"/>
                <w:szCs w:val="20"/>
              </w:rPr>
              <w:t xml:space="preserve">This aims to reduce, among other things, marine pollution and ocean acidification. This would be particularly relevant for alternatives which involve cutting the blades on site rather than in a controlled environment since surface run off would carry any pollution into a water course. LCA damage indicator </w:t>
            </w:r>
            <w:r w:rsidRPr="00581EBB">
              <w:rPr>
                <w:rFonts w:cstheme="minorHAnsi"/>
                <w:i/>
                <w:sz w:val="20"/>
                <w:szCs w:val="20"/>
              </w:rPr>
              <w:t>Ecosystem Quality</w:t>
            </w:r>
            <w:r w:rsidRPr="00581EBB">
              <w:rPr>
                <w:rFonts w:cstheme="minorHAnsi"/>
                <w:sz w:val="20"/>
                <w:szCs w:val="20"/>
              </w:rPr>
              <w:t xml:space="preserve"> includes aquatic eco-toxicity, acidification, and eutrophication, as well as water withdrawal and water</w:t>
            </w:r>
            <w:r>
              <w:rPr>
                <w:rFonts w:cstheme="minorHAnsi"/>
                <w:sz w:val="20"/>
                <w:szCs w:val="20"/>
              </w:rPr>
              <w:t xml:space="preserve"> consumption.</w:t>
            </w:r>
          </w:p>
        </w:tc>
      </w:tr>
      <w:tr w:rsidR="003D25CA" w14:paraId="3944C9D1" w14:textId="77777777" w:rsidTr="00F95399">
        <w:tc>
          <w:tcPr>
            <w:tcW w:w="1460" w:type="dxa"/>
          </w:tcPr>
          <w:p w14:paraId="0F4F4676" w14:textId="77777777" w:rsidR="003D25CA" w:rsidRDefault="003D25CA" w:rsidP="00F95399">
            <w:pPr>
              <w:rPr>
                <w:rFonts w:cstheme="minorHAnsi"/>
                <w:sz w:val="20"/>
                <w:szCs w:val="20"/>
              </w:rPr>
            </w:pPr>
            <w:r w:rsidRPr="00581EBB">
              <w:rPr>
                <w:rFonts w:cstheme="minorHAnsi"/>
                <w:color w:val="2B579A"/>
                <w:sz w:val="20"/>
                <w:szCs w:val="20"/>
                <w:shd w:val="clear" w:color="auto" w:fill="E6E6E6"/>
              </w:rPr>
              <w:object w:dxaOrig="1635" w:dyaOrig="1665" w14:anchorId="6294C84D">
                <v:shape id="_x0000_i1039" type="#_x0000_t75" style="width:54.45pt;height:56.35pt" o:ole="">
                  <v:imagedata r:id="rId36" o:title=""/>
                </v:shape>
                <o:OLEObject Type="Embed" ProgID="PBrush" ShapeID="_x0000_i1039" DrawAspect="Content" ObjectID="_1681645038" r:id="rId37"/>
              </w:object>
            </w:r>
          </w:p>
        </w:tc>
        <w:tc>
          <w:tcPr>
            <w:tcW w:w="1519" w:type="dxa"/>
          </w:tcPr>
          <w:p w14:paraId="6F4ECF24" w14:textId="77777777" w:rsidR="003D25CA" w:rsidRDefault="003D25CA" w:rsidP="00F95399">
            <w:pPr>
              <w:rPr>
                <w:rFonts w:cstheme="minorHAnsi"/>
                <w:i/>
                <w:sz w:val="20"/>
                <w:szCs w:val="20"/>
              </w:rPr>
            </w:pPr>
            <w:r>
              <w:rPr>
                <w:rFonts w:cstheme="minorHAnsi"/>
                <w:i/>
                <w:sz w:val="20"/>
                <w:szCs w:val="20"/>
              </w:rPr>
              <w:t>Human Health</w:t>
            </w:r>
          </w:p>
          <w:p w14:paraId="3D6D93B6" w14:textId="77777777" w:rsidR="003D25CA" w:rsidRDefault="003D25CA" w:rsidP="00F95399">
            <w:pPr>
              <w:rPr>
                <w:rFonts w:cstheme="minorHAnsi"/>
                <w:i/>
                <w:sz w:val="20"/>
                <w:szCs w:val="20"/>
              </w:rPr>
            </w:pPr>
            <w:r>
              <w:rPr>
                <w:rFonts w:cstheme="minorHAnsi"/>
                <w:i/>
                <w:sz w:val="20"/>
                <w:szCs w:val="20"/>
              </w:rPr>
              <w:t>Ecosystem Quality</w:t>
            </w:r>
          </w:p>
        </w:tc>
        <w:tc>
          <w:tcPr>
            <w:tcW w:w="6066" w:type="dxa"/>
          </w:tcPr>
          <w:p w14:paraId="2FC87BDE" w14:textId="77777777" w:rsidR="003D25CA" w:rsidRPr="00581EBB" w:rsidRDefault="003D25CA" w:rsidP="00F95399">
            <w:pPr>
              <w:rPr>
                <w:rFonts w:cstheme="minorHAnsi"/>
                <w:sz w:val="20"/>
                <w:szCs w:val="20"/>
              </w:rPr>
            </w:pPr>
            <w:r w:rsidRPr="00581EBB">
              <w:rPr>
                <w:rFonts w:cstheme="minorHAnsi"/>
                <w:sz w:val="20"/>
                <w:szCs w:val="20"/>
              </w:rPr>
              <w:t>As with the previous SDG, avoidance of pollution is relevant for all the end-of-life alternatives. Life on Land will be affected by pollution measured in the same</w:t>
            </w:r>
            <w:r>
              <w:rPr>
                <w:rFonts w:cstheme="minorHAnsi"/>
                <w:sz w:val="20"/>
                <w:szCs w:val="20"/>
              </w:rPr>
              <w:t xml:space="preserve"> ways.</w:t>
            </w:r>
          </w:p>
        </w:tc>
      </w:tr>
      <w:tr w:rsidR="003D25CA" w14:paraId="718423AA" w14:textId="77777777" w:rsidTr="00F95399">
        <w:tc>
          <w:tcPr>
            <w:tcW w:w="1460" w:type="dxa"/>
          </w:tcPr>
          <w:p w14:paraId="1EFF2C6C" w14:textId="77777777" w:rsidR="003D25CA" w:rsidRDefault="003D25CA" w:rsidP="00F95399">
            <w:pPr>
              <w:rPr>
                <w:rFonts w:cstheme="minorHAnsi"/>
                <w:sz w:val="20"/>
                <w:szCs w:val="20"/>
              </w:rPr>
            </w:pPr>
            <w:r w:rsidRPr="00581EBB">
              <w:rPr>
                <w:rFonts w:cstheme="minorHAnsi"/>
                <w:color w:val="2B579A"/>
                <w:sz w:val="20"/>
                <w:szCs w:val="20"/>
                <w:shd w:val="clear" w:color="auto" w:fill="E6E6E6"/>
              </w:rPr>
              <w:object w:dxaOrig="1650" w:dyaOrig="1665" w14:anchorId="00D515EE">
                <v:shape id="_x0000_i1040" type="#_x0000_t75" style="width:54.45pt;height:55.1pt" o:ole="">
                  <v:imagedata r:id="rId38" o:title=""/>
                </v:shape>
                <o:OLEObject Type="Embed" ProgID="PBrush" ShapeID="_x0000_i1040" DrawAspect="Content" ObjectID="_1681645039" r:id="rId39"/>
              </w:object>
            </w:r>
          </w:p>
        </w:tc>
        <w:tc>
          <w:tcPr>
            <w:tcW w:w="1519" w:type="dxa"/>
          </w:tcPr>
          <w:p w14:paraId="3E57E860" w14:textId="77777777" w:rsidR="003D25CA" w:rsidRDefault="003D25CA" w:rsidP="00F95399">
            <w:pPr>
              <w:rPr>
                <w:rFonts w:cstheme="minorHAnsi"/>
                <w:i/>
                <w:sz w:val="20"/>
                <w:szCs w:val="20"/>
              </w:rPr>
            </w:pPr>
            <w:r>
              <w:rPr>
                <w:rFonts w:cstheme="minorHAnsi"/>
                <w:i/>
                <w:sz w:val="20"/>
                <w:szCs w:val="20"/>
              </w:rPr>
              <w:t>-</w:t>
            </w:r>
          </w:p>
        </w:tc>
        <w:tc>
          <w:tcPr>
            <w:tcW w:w="6066" w:type="dxa"/>
          </w:tcPr>
          <w:p w14:paraId="4D7A8D1B" w14:textId="77777777" w:rsidR="003D25CA" w:rsidRPr="00581EBB" w:rsidRDefault="003D25CA" w:rsidP="00F95399">
            <w:pPr>
              <w:rPr>
                <w:rFonts w:cstheme="minorHAnsi"/>
                <w:sz w:val="20"/>
                <w:szCs w:val="20"/>
              </w:rPr>
            </w:pPr>
            <w:r w:rsidRPr="00581EBB">
              <w:rPr>
                <w:rFonts w:cstheme="minorHAnsi"/>
                <w:sz w:val="20"/>
                <w:szCs w:val="20"/>
              </w:rPr>
              <w:t>Peace and Justice are essential to support success of the various alternatives for the end-of-life for wind blades.  It is however unclear how considerations of peace, justice or strong institutions would be useful to discriminate between the alternati</w:t>
            </w:r>
            <w:r>
              <w:rPr>
                <w:rFonts w:cstheme="minorHAnsi"/>
                <w:sz w:val="20"/>
                <w:szCs w:val="20"/>
              </w:rPr>
              <w:t>ves.</w:t>
            </w:r>
          </w:p>
        </w:tc>
      </w:tr>
      <w:tr w:rsidR="003D25CA" w14:paraId="57A7C5C7" w14:textId="77777777" w:rsidTr="00F95399">
        <w:tc>
          <w:tcPr>
            <w:tcW w:w="1460" w:type="dxa"/>
          </w:tcPr>
          <w:p w14:paraId="75592F4F" w14:textId="77777777" w:rsidR="003D25CA" w:rsidRDefault="003D25CA" w:rsidP="00F95399">
            <w:pPr>
              <w:rPr>
                <w:rFonts w:cstheme="minorHAnsi"/>
                <w:sz w:val="20"/>
                <w:szCs w:val="20"/>
              </w:rPr>
            </w:pPr>
            <w:r w:rsidRPr="00581EBB">
              <w:rPr>
                <w:rFonts w:cstheme="minorHAnsi"/>
                <w:color w:val="2B579A"/>
                <w:sz w:val="20"/>
                <w:szCs w:val="20"/>
                <w:shd w:val="clear" w:color="auto" w:fill="E6E6E6"/>
              </w:rPr>
              <w:object w:dxaOrig="1605" w:dyaOrig="1605" w14:anchorId="09B70AC7">
                <v:shape id="_x0000_i1041" type="#_x0000_t75" style="width:54.45pt;height:54.45pt" o:ole="">
                  <v:imagedata r:id="rId40" o:title=""/>
                </v:shape>
                <o:OLEObject Type="Embed" ProgID="PBrush" ShapeID="_x0000_i1041" DrawAspect="Content" ObjectID="_1681645040" r:id="rId41"/>
              </w:object>
            </w:r>
          </w:p>
        </w:tc>
        <w:tc>
          <w:tcPr>
            <w:tcW w:w="1519" w:type="dxa"/>
          </w:tcPr>
          <w:p w14:paraId="7978E1F5" w14:textId="77777777" w:rsidR="003D25CA" w:rsidRDefault="003D25CA" w:rsidP="00F95399">
            <w:pPr>
              <w:rPr>
                <w:rFonts w:cstheme="minorHAnsi"/>
                <w:i/>
                <w:sz w:val="20"/>
                <w:szCs w:val="20"/>
              </w:rPr>
            </w:pPr>
            <w:r>
              <w:rPr>
                <w:rFonts w:cstheme="minorHAnsi"/>
                <w:i/>
                <w:sz w:val="20"/>
                <w:szCs w:val="20"/>
              </w:rPr>
              <w:t>Community Support</w:t>
            </w:r>
          </w:p>
        </w:tc>
        <w:tc>
          <w:tcPr>
            <w:tcW w:w="6066" w:type="dxa"/>
          </w:tcPr>
          <w:p w14:paraId="2D816260" w14:textId="77777777" w:rsidR="003D25CA" w:rsidRPr="00581EBB" w:rsidRDefault="003D25CA" w:rsidP="00F95399">
            <w:pPr>
              <w:rPr>
                <w:rFonts w:cstheme="minorHAnsi"/>
                <w:sz w:val="20"/>
                <w:szCs w:val="20"/>
              </w:rPr>
            </w:pPr>
            <w:r w:rsidRPr="00581EBB">
              <w:rPr>
                <w:rFonts w:cstheme="minorHAnsi"/>
                <w:sz w:val="20"/>
                <w:szCs w:val="20"/>
              </w:rPr>
              <w:t xml:space="preserve">Partnerships for the SDGs might include the possible cooperation between a local community and a wind blade recycling processor. This </w:t>
            </w:r>
            <w:r w:rsidRPr="00581EBB">
              <w:rPr>
                <w:rFonts w:cstheme="minorHAnsi"/>
                <w:i/>
                <w:sz w:val="20"/>
                <w:szCs w:val="20"/>
              </w:rPr>
              <w:t>Community Support</w:t>
            </w:r>
            <w:r w:rsidRPr="00581EBB">
              <w:rPr>
                <w:rFonts w:cstheme="minorHAnsi"/>
                <w:sz w:val="20"/>
                <w:szCs w:val="20"/>
              </w:rPr>
              <w:t xml:space="preserve"> for a sustainable path for end-of-life wind blades may be chosen as a m</w:t>
            </w:r>
            <w:r>
              <w:rPr>
                <w:rFonts w:cstheme="minorHAnsi"/>
                <w:sz w:val="20"/>
                <w:szCs w:val="20"/>
              </w:rPr>
              <w:t>etrics.</w:t>
            </w:r>
          </w:p>
        </w:tc>
      </w:tr>
    </w:tbl>
    <w:p w14:paraId="5A5B5961" w14:textId="77777777" w:rsidR="003D25CA" w:rsidRPr="006E0C72" w:rsidRDefault="003D25CA" w:rsidP="003D25CA"/>
    <w:p w14:paraId="7D80C244" w14:textId="77777777" w:rsidR="003D25CA" w:rsidRDefault="003D25CA" w:rsidP="003D25CA">
      <w:pPr>
        <w:pStyle w:val="Heading2"/>
        <w:numPr>
          <w:ilvl w:val="0"/>
          <w:numId w:val="0"/>
        </w:numPr>
      </w:pPr>
      <w:bookmarkStart w:id="5" w:name="_Ref62079016"/>
      <w:r>
        <w:t>Questionnaires for Main Delphi Study</w:t>
      </w:r>
      <w:bookmarkEnd w:id="5"/>
    </w:p>
    <w:p w14:paraId="4FA99759" w14:textId="77777777" w:rsidR="003D25CA" w:rsidRDefault="003D25CA" w:rsidP="003D25CA">
      <w:r>
        <w:t xml:space="preserve">Participants were asked to compare the criteria in questions 1 to 4 by allocating </w:t>
      </w:r>
      <w:r w:rsidRPr="002E06DF">
        <w:t>scores</w:t>
      </w:r>
      <w:r>
        <w:t xml:space="preserve"> of</w:t>
      </w:r>
      <w:r w:rsidRPr="002E06DF">
        <w:t xml:space="preserve"> 1 to 9 </w:t>
      </w:r>
      <w:r>
        <w:t>for pairwise comparisons (</w:t>
      </w:r>
      <w:r>
        <w:rPr>
          <w:color w:val="2B579A"/>
          <w:shd w:val="clear" w:color="auto" w:fill="E6E6E6"/>
        </w:rPr>
        <w:fldChar w:fldCharType="begin"/>
      </w:r>
      <w:r>
        <w:instrText xml:space="preserve"> REF _Ref62736581 \h </w:instrText>
      </w:r>
      <w:r>
        <w:rPr>
          <w:color w:val="2B579A"/>
          <w:shd w:val="clear" w:color="auto" w:fill="E6E6E6"/>
        </w:rPr>
      </w:r>
      <w:r>
        <w:rPr>
          <w:color w:val="2B579A"/>
          <w:shd w:val="clear" w:color="auto" w:fill="E6E6E6"/>
        </w:rPr>
        <w:fldChar w:fldCharType="separate"/>
      </w:r>
      <w:r>
        <w:t xml:space="preserve">Table </w:t>
      </w:r>
      <w:r>
        <w:rPr>
          <w:noProof/>
        </w:rPr>
        <w:t>10</w:t>
      </w:r>
      <w:r>
        <w:rPr>
          <w:color w:val="2B579A"/>
          <w:shd w:val="clear" w:color="auto" w:fill="E6E6E6"/>
        </w:rPr>
        <w:fldChar w:fldCharType="end"/>
      </w:r>
      <w:r>
        <w:t xml:space="preserve">). </w:t>
      </w:r>
      <w:r w:rsidRPr="00676266">
        <w:rPr>
          <w:b/>
        </w:rPr>
        <w:t>Q1</w:t>
      </w:r>
      <w:r>
        <w:t xml:space="preserve"> compared the economy, society and environment in three pairs, </w:t>
      </w:r>
      <w:r w:rsidRPr="00676266">
        <w:rPr>
          <w:b/>
        </w:rPr>
        <w:t>Q2</w:t>
      </w:r>
      <w:r>
        <w:t xml:space="preserve"> compared salary, commercial potential and R&amp;D value in six pairs, </w:t>
      </w:r>
      <w:r w:rsidRPr="00676266">
        <w:rPr>
          <w:b/>
        </w:rPr>
        <w:t>Q3</w:t>
      </w:r>
      <w:r>
        <w:t xml:space="preserve"> compared hours of work, education level, community support and accident rate in six pairs and </w:t>
      </w:r>
      <w:r w:rsidRPr="00676266">
        <w:rPr>
          <w:b/>
        </w:rPr>
        <w:t xml:space="preserve">Q4 </w:t>
      </w:r>
      <w:r>
        <w:t>compared ecosystem quality, human health, resources and GHG.</w:t>
      </w:r>
    </w:p>
    <w:p w14:paraId="382019DC" w14:textId="77777777" w:rsidR="003D25CA" w:rsidRPr="00C61F24" w:rsidRDefault="003D25CA" w:rsidP="003D25CA">
      <w:r>
        <w:t xml:space="preserve">Participants were given the following description of the scoring system </w:t>
      </w:r>
      <w:r w:rsidRPr="002E06DF">
        <w:t>(</w:t>
      </w:r>
      <w:proofErr w:type="spellStart"/>
      <w:r w:rsidRPr="002E06DF">
        <w:t>Satty</w:t>
      </w:r>
      <w:proofErr w:type="spellEnd"/>
      <w:r w:rsidRPr="002E06DF">
        <w:t>, 2008)</w:t>
      </w:r>
      <w:r>
        <w:t>.</w:t>
      </w:r>
    </w:p>
    <w:p w14:paraId="428CCF4F" w14:textId="77777777" w:rsidR="003D25CA" w:rsidRDefault="003D25CA" w:rsidP="003D25CA">
      <w:pPr>
        <w:pStyle w:val="Caption"/>
        <w:keepNext/>
      </w:pPr>
      <w:bookmarkStart w:id="6" w:name="_Ref62736581"/>
      <w:bookmarkStart w:id="7" w:name="_Toc62589125"/>
      <w:r>
        <w:t xml:space="preserve">Table </w:t>
      </w:r>
      <w:bookmarkEnd w:id="6"/>
      <w:r w:rsidR="001A1B21">
        <w:t>6</w:t>
      </w:r>
      <w:r>
        <w:t xml:space="preserve"> Description of AHP Scoring from 1 to 9</w:t>
      </w:r>
      <w:bookmarkEnd w:id="7"/>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3451"/>
        <w:gridCol w:w="4318"/>
      </w:tblGrid>
      <w:tr w:rsidR="003D25CA" w:rsidRPr="00676266" w14:paraId="0D6DD668" w14:textId="77777777" w:rsidTr="00F95399">
        <w:tc>
          <w:tcPr>
            <w:tcW w:w="1271" w:type="dxa"/>
            <w:tcBorders>
              <w:bottom w:val="single" w:sz="4" w:space="0" w:color="auto"/>
            </w:tcBorders>
            <w:shd w:val="clear" w:color="auto" w:fill="auto"/>
            <w:vAlign w:val="center"/>
          </w:tcPr>
          <w:p w14:paraId="2EF9E0FE" w14:textId="77777777" w:rsidR="003D25CA" w:rsidRPr="00676266" w:rsidRDefault="003D25CA" w:rsidP="00F95399">
            <w:pPr>
              <w:jc w:val="center"/>
              <w:rPr>
                <w:b/>
                <w:sz w:val="20"/>
                <w:szCs w:val="20"/>
              </w:rPr>
            </w:pPr>
            <w:r w:rsidRPr="00676266">
              <w:rPr>
                <w:b/>
                <w:sz w:val="20"/>
                <w:szCs w:val="20"/>
              </w:rPr>
              <w:t>Intensity of importance</w:t>
            </w:r>
          </w:p>
        </w:tc>
        <w:tc>
          <w:tcPr>
            <w:tcW w:w="3451" w:type="dxa"/>
            <w:tcBorders>
              <w:bottom w:val="single" w:sz="4" w:space="0" w:color="auto"/>
            </w:tcBorders>
            <w:shd w:val="clear" w:color="auto" w:fill="auto"/>
            <w:vAlign w:val="center"/>
          </w:tcPr>
          <w:p w14:paraId="43393B34" w14:textId="77777777" w:rsidR="003D25CA" w:rsidRPr="00676266" w:rsidRDefault="003D25CA" w:rsidP="00F95399">
            <w:pPr>
              <w:rPr>
                <w:b/>
                <w:sz w:val="20"/>
                <w:szCs w:val="20"/>
              </w:rPr>
            </w:pPr>
            <w:r w:rsidRPr="00676266">
              <w:rPr>
                <w:b/>
                <w:sz w:val="20"/>
                <w:szCs w:val="20"/>
              </w:rPr>
              <w:t>Definition</w:t>
            </w:r>
          </w:p>
        </w:tc>
        <w:tc>
          <w:tcPr>
            <w:tcW w:w="4318" w:type="dxa"/>
            <w:tcBorders>
              <w:bottom w:val="single" w:sz="4" w:space="0" w:color="auto"/>
            </w:tcBorders>
            <w:shd w:val="clear" w:color="auto" w:fill="auto"/>
            <w:vAlign w:val="center"/>
          </w:tcPr>
          <w:p w14:paraId="05A105F2" w14:textId="77777777" w:rsidR="003D25CA" w:rsidRPr="00676266" w:rsidRDefault="003D25CA" w:rsidP="00F95399">
            <w:pPr>
              <w:ind w:left="-727" w:firstLine="727"/>
              <w:rPr>
                <w:b/>
                <w:sz w:val="20"/>
                <w:szCs w:val="20"/>
              </w:rPr>
            </w:pPr>
            <w:r w:rsidRPr="00676266">
              <w:rPr>
                <w:b/>
                <w:sz w:val="20"/>
                <w:szCs w:val="20"/>
              </w:rPr>
              <w:t>Explanation</w:t>
            </w:r>
          </w:p>
        </w:tc>
      </w:tr>
      <w:tr w:rsidR="003D25CA" w:rsidRPr="00676266" w14:paraId="3892766B" w14:textId="77777777" w:rsidTr="00F95399">
        <w:tc>
          <w:tcPr>
            <w:tcW w:w="0" w:type="auto"/>
            <w:tcBorders>
              <w:top w:val="single" w:sz="4" w:space="0" w:color="auto"/>
            </w:tcBorders>
            <w:shd w:val="clear" w:color="auto" w:fill="auto"/>
            <w:vAlign w:val="center"/>
          </w:tcPr>
          <w:p w14:paraId="49C6FDD1" w14:textId="77777777" w:rsidR="003D25CA" w:rsidRPr="00676266" w:rsidRDefault="003D25CA" w:rsidP="00F95399">
            <w:pPr>
              <w:jc w:val="center"/>
              <w:rPr>
                <w:sz w:val="20"/>
                <w:szCs w:val="20"/>
              </w:rPr>
            </w:pPr>
            <w:r w:rsidRPr="00676266">
              <w:rPr>
                <w:sz w:val="20"/>
                <w:szCs w:val="20"/>
              </w:rPr>
              <w:t>1</w:t>
            </w:r>
          </w:p>
        </w:tc>
        <w:tc>
          <w:tcPr>
            <w:tcW w:w="0" w:type="auto"/>
            <w:tcBorders>
              <w:top w:val="single" w:sz="4" w:space="0" w:color="auto"/>
            </w:tcBorders>
            <w:shd w:val="clear" w:color="auto" w:fill="auto"/>
            <w:vAlign w:val="center"/>
          </w:tcPr>
          <w:p w14:paraId="720410F1" w14:textId="77777777" w:rsidR="003D25CA" w:rsidRPr="00676266" w:rsidRDefault="003D25CA" w:rsidP="00F95399">
            <w:pPr>
              <w:rPr>
                <w:sz w:val="20"/>
                <w:szCs w:val="20"/>
              </w:rPr>
            </w:pPr>
            <w:r w:rsidRPr="00676266">
              <w:rPr>
                <w:sz w:val="20"/>
                <w:szCs w:val="20"/>
              </w:rPr>
              <w:t>Equal importance</w:t>
            </w:r>
          </w:p>
        </w:tc>
        <w:tc>
          <w:tcPr>
            <w:tcW w:w="0" w:type="auto"/>
            <w:tcBorders>
              <w:top w:val="single" w:sz="4" w:space="0" w:color="auto"/>
            </w:tcBorders>
            <w:shd w:val="clear" w:color="auto" w:fill="auto"/>
            <w:vAlign w:val="center"/>
          </w:tcPr>
          <w:p w14:paraId="210ADB79" w14:textId="77777777" w:rsidR="003D25CA" w:rsidRPr="00676266" w:rsidRDefault="003D25CA" w:rsidP="00F95399">
            <w:pPr>
              <w:rPr>
                <w:sz w:val="20"/>
                <w:szCs w:val="20"/>
              </w:rPr>
            </w:pPr>
            <w:r w:rsidRPr="00676266">
              <w:rPr>
                <w:sz w:val="20"/>
                <w:szCs w:val="20"/>
              </w:rPr>
              <w:t>Two activities contribute equally to the objective</w:t>
            </w:r>
          </w:p>
        </w:tc>
      </w:tr>
      <w:tr w:rsidR="003D25CA" w:rsidRPr="00676266" w14:paraId="1A6ADEE1" w14:textId="77777777" w:rsidTr="00F95399">
        <w:tc>
          <w:tcPr>
            <w:tcW w:w="0" w:type="auto"/>
            <w:shd w:val="clear" w:color="auto" w:fill="auto"/>
            <w:vAlign w:val="center"/>
          </w:tcPr>
          <w:p w14:paraId="65D5A8F5" w14:textId="77777777" w:rsidR="003D25CA" w:rsidRPr="00676266" w:rsidRDefault="003D25CA" w:rsidP="00F95399">
            <w:pPr>
              <w:jc w:val="center"/>
              <w:rPr>
                <w:sz w:val="20"/>
                <w:szCs w:val="20"/>
              </w:rPr>
            </w:pPr>
            <w:r w:rsidRPr="00676266">
              <w:rPr>
                <w:sz w:val="20"/>
                <w:szCs w:val="20"/>
              </w:rPr>
              <w:t>2</w:t>
            </w:r>
          </w:p>
        </w:tc>
        <w:tc>
          <w:tcPr>
            <w:tcW w:w="0" w:type="auto"/>
            <w:shd w:val="clear" w:color="auto" w:fill="auto"/>
            <w:vAlign w:val="center"/>
          </w:tcPr>
          <w:p w14:paraId="50BFA0C9" w14:textId="77777777" w:rsidR="003D25CA" w:rsidRPr="00676266" w:rsidRDefault="003D25CA" w:rsidP="00F95399">
            <w:pPr>
              <w:rPr>
                <w:sz w:val="20"/>
                <w:szCs w:val="20"/>
              </w:rPr>
            </w:pPr>
            <w:r w:rsidRPr="00676266">
              <w:rPr>
                <w:sz w:val="20"/>
                <w:szCs w:val="20"/>
              </w:rPr>
              <w:t>Weak or slight</w:t>
            </w:r>
          </w:p>
        </w:tc>
        <w:tc>
          <w:tcPr>
            <w:tcW w:w="0" w:type="auto"/>
            <w:shd w:val="clear" w:color="auto" w:fill="auto"/>
            <w:vAlign w:val="center"/>
          </w:tcPr>
          <w:p w14:paraId="62881A6E" w14:textId="77777777" w:rsidR="003D25CA" w:rsidRPr="00676266" w:rsidRDefault="003D25CA" w:rsidP="00F95399">
            <w:pPr>
              <w:rPr>
                <w:sz w:val="20"/>
                <w:szCs w:val="20"/>
              </w:rPr>
            </w:pPr>
          </w:p>
        </w:tc>
      </w:tr>
      <w:tr w:rsidR="003D25CA" w:rsidRPr="00676266" w14:paraId="398805B6" w14:textId="77777777" w:rsidTr="00F95399">
        <w:tc>
          <w:tcPr>
            <w:tcW w:w="0" w:type="auto"/>
            <w:shd w:val="clear" w:color="auto" w:fill="auto"/>
            <w:vAlign w:val="center"/>
          </w:tcPr>
          <w:p w14:paraId="10F52D51" w14:textId="77777777" w:rsidR="003D25CA" w:rsidRPr="00676266" w:rsidRDefault="003D25CA" w:rsidP="00F95399">
            <w:pPr>
              <w:jc w:val="center"/>
              <w:rPr>
                <w:sz w:val="20"/>
                <w:szCs w:val="20"/>
              </w:rPr>
            </w:pPr>
            <w:r w:rsidRPr="00676266">
              <w:rPr>
                <w:sz w:val="20"/>
                <w:szCs w:val="20"/>
              </w:rPr>
              <w:t>3</w:t>
            </w:r>
          </w:p>
        </w:tc>
        <w:tc>
          <w:tcPr>
            <w:tcW w:w="0" w:type="auto"/>
            <w:shd w:val="clear" w:color="auto" w:fill="auto"/>
            <w:vAlign w:val="center"/>
          </w:tcPr>
          <w:p w14:paraId="28D82C28" w14:textId="77777777" w:rsidR="003D25CA" w:rsidRPr="00676266" w:rsidRDefault="003D25CA" w:rsidP="00F95399">
            <w:pPr>
              <w:rPr>
                <w:sz w:val="20"/>
                <w:szCs w:val="20"/>
              </w:rPr>
            </w:pPr>
            <w:r w:rsidRPr="00676266">
              <w:rPr>
                <w:sz w:val="20"/>
                <w:szCs w:val="20"/>
              </w:rPr>
              <w:t>Moderate importance</w:t>
            </w:r>
          </w:p>
        </w:tc>
        <w:tc>
          <w:tcPr>
            <w:tcW w:w="0" w:type="auto"/>
            <w:shd w:val="clear" w:color="auto" w:fill="auto"/>
            <w:vAlign w:val="center"/>
          </w:tcPr>
          <w:p w14:paraId="0822C90F" w14:textId="77777777" w:rsidR="003D25CA" w:rsidRPr="00676266" w:rsidRDefault="003D25CA" w:rsidP="00F95399">
            <w:pPr>
              <w:rPr>
                <w:sz w:val="20"/>
                <w:szCs w:val="20"/>
              </w:rPr>
            </w:pPr>
            <w:r w:rsidRPr="00676266">
              <w:rPr>
                <w:sz w:val="20"/>
                <w:szCs w:val="20"/>
              </w:rPr>
              <w:t>Opinion slightly favours one activity over another</w:t>
            </w:r>
          </w:p>
        </w:tc>
      </w:tr>
      <w:tr w:rsidR="003D25CA" w:rsidRPr="00676266" w14:paraId="3CD0DE15" w14:textId="77777777" w:rsidTr="00F95399">
        <w:tc>
          <w:tcPr>
            <w:tcW w:w="0" w:type="auto"/>
            <w:shd w:val="clear" w:color="auto" w:fill="auto"/>
            <w:vAlign w:val="center"/>
          </w:tcPr>
          <w:p w14:paraId="324FF8FA" w14:textId="77777777" w:rsidR="003D25CA" w:rsidRPr="00676266" w:rsidRDefault="003D25CA" w:rsidP="00F95399">
            <w:pPr>
              <w:jc w:val="center"/>
              <w:rPr>
                <w:sz w:val="20"/>
                <w:szCs w:val="20"/>
              </w:rPr>
            </w:pPr>
            <w:r w:rsidRPr="00676266">
              <w:rPr>
                <w:sz w:val="20"/>
                <w:szCs w:val="20"/>
              </w:rPr>
              <w:t>4</w:t>
            </w:r>
          </w:p>
        </w:tc>
        <w:tc>
          <w:tcPr>
            <w:tcW w:w="0" w:type="auto"/>
            <w:shd w:val="clear" w:color="auto" w:fill="auto"/>
            <w:vAlign w:val="center"/>
          </w:tcPr>
          <w:p w14:paraId="410F4AD7" w14:textId="77777777" w:rsidR="003D25CA" w:rsidRPr="00676266" w:rsidRDefault="003D25CA" w:rsidP="00F95399">
            <w:pPr>
              <w:rPr>
                <w:sz w:val="20"/>
                <w:szCs w:val="20"/>
              </w:rPr>
            </w:pPr>
            <w:r w:rsidRPr="00676266">
              <w:rPr>
                <w:sz w:val="20"/>
                <w:szCs w:val="20"/>
              </w:rPr>
              <w:t>Moderate plus</w:t>
            </w:r>
          </w:p>
        </w:tc>
        <w:tc>
          <w:tcPr>
            <w:tcW w:w="0" w:type="auto"/>
            <w:shd w:val="clear" w:color="auto" w:fill="auto"/>
            <w:vAlign w:val="center"/>
          </w:tcPr>
          <w:p w14:paraId="02B6E08B" w14:textId="77777777" w:rsidR="003D25CA" w:rsidRPr="00676266" w:rsidRDefault="003D25CA" w:rsidP="00F95399">
            <w:pPr>
              <w:rPr>
                <w:sz w:val="20"/>
                <w:szCs w:val="20"/>
              </w:rPr>
            </w:pPr>
          </w:p>
        </w:tc>
      </w:tr>
      <w:tr w:rsidR="003D25CA" w:rsidRPr="00676266" w14:paraId="7B58CFB5" w14:textId="77777777" w:rsidTr="00F95399">
        <w:tc>
          <w:tcPr>
            <w:tcW w:w="0" w:type="auto"/>
            <w:shd w:val="clear" w:color="auto" w:fill="auto"/>
            <w:vAlign w:val="center"/>
          </w:tcPr>
          <w:p w14:paraId="33E49E34" w14:textId="77777777" w:rsidR="003D25CA" w:rsidRPr="00676266" w:rsidRDefault="003D25CA" w:rsidP="00F95399">
            <w:pPr>
              <w:jc w:val="center"/>
              <w:rPr>
                <w:sz w:val="20"/>
                <w:szCs w:val="20"/>
              </w:rPr>
            </w:pPr>
            <w:r w:rsidRPr="00676266">
              <w:rPr>
                <w:sz w:val="20"/>
                <w:szCs w:val="20"/>
              </w:rPr>
              <w:t>5</w:t>
            </w:r>
          </w:p>
        </w:tc>
        <w:tc>
          <w:tcPr>
            <w:tcW w:w="0" w:type="auto"/>
            <w:shd w:val="clear" w:color="auto" w:fill="auto"/>
            <w:vAlign w:val="center"/>
          </w:tcPr>
          <w:p w14:paraId="649601D0" w14:textId="77777777" w:rsidR="003D25CA" w:rsidRPr="00676266" w:rsidRDefault="003D25CA" w:rsidP="00F95399">
            <w:pPr>
              <w:rPr>
                <w:sz w:val="20"/>
                <w:szCs w:val="20"/>
              </w:rPr>
            </w:pPr>
            <w:r w:rsidRPr="00676266">
              <w:rPr>
                <w:sz w:val="20"/>
                <w:szCs w:val="20"/>
              </w:rPr>
              <w:t>Strong importance</w:t>
            </w:r>
          </w:p>
        </w:tc>
        <w:tc>
          <w:tcPr>
            <w:tcW w:w="0" w:type="auto"/>
            <w:shd w:val="clear" w:color="auto" w:fill="auto"/>
            <w:vAlign w:val="center"/>
          </w:tcPr>
          <w:p w14:paraId="69D068FE" w14:textId="77777777" w:rsidR="003D25CA" w:rsidRPr="00676266" w:rsidRDefault="003D25CA" w:rsidP="00F95399">
            <w:pPr>
              <w:rPr>
                <w:sz w:val="20"/>
                <w:szCs w:val="20"/>
              </w:rPr>
            </w:pPr>
            <w:r w:rsidRPr="00676266">
              <w:rPr>
                <w:sz w:val="20"/>
                <w:szCs w:val="20"/>
              </w:rPr>
              <w:t>Opinion strongly favour one activity over another</w:t>
            </w:r>
          </w:p>
        </w:tc>
      </w:tr>
      <w:tr w:rsidR="003D25CA" w:rsidRPr="00676266" w14:paraId="35FA1C05" w14:textId="77777777" w:rsidTr="00F95399">
        <w:tc>
          <w:tcPr>
            <w:tcW w:w="0" w:type="auto"/>
            <w:shd w:val="clear" w:color="auto" w:fill="auto"/>
            <w:vAlign w:val="center"/>
          </w:tcPr>
          <w:p w14:paraId="19254120" w14:textId="77777777" w:rsidR="003D25CA" w:rsidRPr="00676266" w:rsidRDefault="003D25CA" w:rsidP="00F95399">
            <w:pPr>
              <w:jc w:val="center"/>
              <w:rPr>
                <w:sz w:val="20"/>
                <w:szCs w:val="20"/>
              </w:rPr>
            </w:pPr>
            <w:r w:rsidRPr="00676266">
              <w:rPr>
                <w:sz w:val="20"/>
                <w:szCs w:val="20"/>
              </w:rPr>
              <w:t>6</w:t>
            </w:r>
          </w:p>
        </w:tc>
        <w:tc>
          <w:tcPr>
            <w:tcW w:w="0" w:type="auto"/>
            <w:shd w:val="clear" w:color="auto" w:fill="auto"/>
            <w:vAlign w:val="center"/>
          </w:tcPr>
          <w:p w14:paraId="45403188" w14:textId="77777777" w:rsidR="003D25CA" w:rsidRPr="00676266" w:rsidRDefault="003D25CA" w:rsidP="00F95399">
            <w:pPr>
              <w:rPr>
                <w:sz w:val="20"/>
                <w:szCs w:val="20"/>
              </w:rPr>
            </w:pPr>
            <w:r w:rsidRPr="00676266">
              <w:rPr>
                <w:sz w:val="20"/>
                <w:szCs w:val="20"/>
              </w:rPr>
              <w:t>Strong plus</w:t>
            </w:r>
          </w:p>
        </w:tc>
        <w:tc>
          <w:tcPr>
            <w:tcW w:w="0" w:type="auto"/>
            <w:shd w:val="clear" w:color="auto" w:fill="auto"/>
            <w:vAlign w:val="center"/>
          </w:tcPr>
          <w:p w14:paraId="4AB8FE21" w14:textId="77777777" w:rsidR="003D25CA" w:rsidRPr="00676266" w:rsidRDefault="003D25CA" w:rsidP="00F95399">
            <w:pPr>
              <w:rPr>
                <w:sz w:val="20"/>
                <w:szCs w:val="20"/>
              </w:rPr>
            </w:pPr>
          </w:p>
        </w:tc>
      </w:tr>
      <w:tr w:rsidR="003D25CA" w:rsidRPr="00676266" w14:paraId="589B92F5" w14:textId="77777777" w:rsidTr="00F95399">
        <w:tc>
          <w:tcPr>
            <w:tcW w:w="0" w:type="auto"/>
            <w:shd w:val="clear" w:color="auto" w:fill="auto"/>
            <w:vAlign w:val="center"/>
          </w:tcPr>
          <w:p w14:paraId="5711B219" w14:textId="77777777" w:rsidR="003D25CA" w:rsidRPr="00676266" w:rsidRDefault="003D25CA" w:rsidP="00F95399">
            <w:pPr>
              <w:jc w:val="center"/>
              <w:rPr>
                <w:sz w:val="20"/>
                <w:szCs w:val="20"/>
              </w:rPr>
            </w:pPr>
            <w:r w:rsidRPr="00676266">
              <w:rPr>
                <w:sz w:val="20"/>
                <w:szCs w:val="20"/>
              </w:rPr>
              <w:t>7</w:t>
            </w:r>
          </w:p>
        </w:tc>
        <w:tc>
          <w:tcPr>
            <w:tcW w:w="0" w:type="auto"/>
            <w:shd w:val="clear" w:color="auto" w:fill="auto"/>
            <w:vAlign w:val="center"/>
          </w:tcPr>
          <w:p w14:paraId="5CEA5175" w14:textId="77777777" w:rsidR="003D25CA" w:rsidRPr="00676266" w:rsidRDefault="003D25CA" w:rsidP="00F95399">
            <w:pPr>
              <w:rPr>
                <w:sz w:val="20"/>
                <w:szCs w:val="20"/>
              </w:rPr>
            </w:pPr>
            <w:r w:rsidRPr="00676266">
              <w:rPr>
                <w:sz w:val="20"/>
                <w:szCs w:val="20"/>
              </w:rPr>
              <w:t>Very strong demonstrated importance</w:t>
            </w:r>
          </w:p>
        </w:tc>
        <w:tc>
          <w:tcPr>
            <w:tcW w:w="0" w:type="auto"/>
            <w:shd w:val="clear" w:color="auto" w:fill="auto"/>
            <w:vAlign w:val="center"/>
          </w:tcPr>
          <w:p w14:paraId="2443D052" w14:textId="77777777" w:rsidR="003D25CA" w:rsidRPr="00676266" w:rsidRDefault="003D25CA" w:rsidP="00F95399">
            <w:pPr>
              <w:rPr>
                <w:sz w:val="20"/>
                <w:szCs w:val="20"/>
              </w:rPr>
            </w:pPr>
            <w:r w:rsidRPr="00676266">
              <w:rPr>
                <w:sz w:val="20"/>
                <w:szCs w:val="20"/>
              </w:rPr>
              <w:t>An activity is favoured very strongly over another</w:t>
            </w:r>
          </w:p>
        </w:tc>
      </w:tr>
      <w:tr w:rsidR="003D25CA" w:rsidRPr="00676266" w14:paraId="2F68EF42" w14:textId="77777777" w:rsidTr="00F95399">
        <w:tc>
          <w:tcPr>
            <w:tcW w:w="0" w:type="auto"/>
            <w:shd w:val="clear" w:color="auto" w:fill="auto"/>
            <w:vAlign w:val="center"/>
          </w:tcPr>
          <w:p w14:paraId="6361B18B" w14:textId="77777777" w:rsidR="003D25CA" w:rsidRPr="00676266" w:rsidRDefault="003D25CA" w:rsidP="00F95399">
            <w:pPr>
              <w:jc w:val="center"/>
              <w:rPr>
                <w:sz w:val="20"/>
                <w:szCs w:val="20"/>
              </w:rPr>
            </w:pPr>
            <w:r w:rsidRPr="00676266">
              <w:rPr>
                <w:sz w:val="20"/>
                <w:szCs w:val="20"/>
              </w:rPr>
              <w:t>8</w:t>
            </w:r>
          </w:p>
        </w:tc>
        <w:tc>
          <w:tcPr>
            <w:tcW w:w="0" w:type="auto"/>
            <w:shd w:val="clear" w:color="auto" w:fill="auto"/>
            <w:vAlign w:val="center"/>
          </w:tcPr>
          <w:p w14:paraId="35E51AF5" w14:textId="77777777" w:rsidR="003D25CA" w:rsidRPr="00676266" w:rsidRDefault="003D25CA" w:rsidP="00F95399">
            <w:pPr>
              <w:rPr>
                <w:sz w:val="20"/>
                <w:szCs w:val="20"/>
              </w:rPr>
            </w:pPr>
            <w:r w:rsidRPr="00676266">
              <w:rPr>
                <w:sz w:val="20"/>
                <w:szCs w:val="20"/>
              </w:rPr>
              <w:t>Very, very strong</w:t>
            </w:r>
          </w:p>
        </w:tc>
        <w:tc>
          <w:tcPr>
            <w:tcW w:w="0" w:type="auto"/>
            <w:shd w:val="clear" w:color="auto" w:fill="auto"/>
            <w:vAlign w:val="center"/>
          </w:tcPr>
          <w:p w14:paraId="3147ED57" w14:textId="77777777" w:rsidR="003D25CA" w:rsidRPr="00676266" w:rsidRDefault="003D25CA" w:rsidP="00F95399">
            <w:pPr>
              <w:rPr>
                <w:sz w:val="20"/>
                <w:szCs w:val="20"/>
              </w:rPr>
            </w:pPr>
          </w:p>
        </w:tc>
      </w:tr>
      <w:tr w:rsidR="003D25CA" w:rsidRPr="00676266" w14:paraId="7B4834D2" w14:textId="77777777" w:rsidTr="00F95399">
        <w:tc>
          <w:tcPr>
            <w:tcW w:w="0" w:type="auto"/>
            <w:tcBorders>
              <w:bottom w:val="single" w:sz="4" w:space="0" w:color="auto"/>
            </w:tcBorders>
            <w:shd w:val="clear" w:color="auto" w:fill="auto"/>
            <w:vAlign w:val="center"/>
          </w:tcPr>
          <w:p w14:paraId="67AF89D8" w14:textId="77777777" w:rsidR="003D25CA" w:rsidRPr="00676266" w:rsidRDefault="003D25CA" w:rsidP="00F95399">
            <w:pPr>
              <w:jc w:val="center"/>
              <w:rPr>
                <w:sz w:val="20"/>
                <w:szCs w:val="20"/>
              </w:rPr>
            </w:pPr>
            <w:r w:rsidRPr="00676266">
              <w:rPr>
                <w:sz w:val="20"/>
                <w:szCs w:val="20"/>
              </w:rPr>
              <w:t>9</w:t>
            </w:r>
          </w:p>
        </w:tc>
        <w:tc>
          <w:tcPr>
            <w:tcW w:w="0" w:type="auto"/>
            <w:tcBorders>
              <w:bottom w:val="single" w:sz="4" w:space="0" w:color="auto"/>
            </w:tcBorders>
            <w:shd w:val="clear" w:color="auto" w:fill="auto"/>
            <w:vAlign w:val="center"/>
          </w:tcPr>
          <w:p w14:paraId="54481FA0" w14:textId="77777777" w:rsidR="003D25CA" w:rsidRPr="00676266" w:rsidRDefault="003D25CA" w:rsidP="00F95399">
            <w:pPr>
              <w:rPr>
                <w:sz w:val="20"/>
                <w:szCs w:val="20"/>
              </w:rPr>
            </w:pPr>
            <w:r w:rsidRPr="00676266">
              <w:rPr>
                <w:sz w:val="20"/>
                <w:szCs w:val="20"/>
              </w:rPr>
              <w:t>Extreme importance</w:t>
            </w:r>
          </w:p>
        </w:tc>
        <w:tc>
          <w:tcPr>
            <w:tcW w:w="0" w:type="auto"/>
            <w:tcBorders>
              <w:bottom w:val="single" w:sz="4" w:space="0" w:color="auto"/>
            </w:tcBorders>
            <w:shd w:val="clear" w:color="auto" w:fill="auto"/>
            <w:vAlign w:val="center"/>
          </w:tcPr>
          <w:p w14:paraId="6DF21623" w14:textId="77777777" w:rsidR="003D25CA" w:rsidRPr="00676266" w:rsidRDefault="003D25CA" w:rsidP="00F95399">
            <w:pPr>
              <w:rPr>
                <w:sz w:val="20"/>
                <w:szCs w:val="20"/>
              </w:rPr>
            </w:pPr>
            <w:r w:rsidRPr="00676266">
              <w:rPr>
                <w:sz w:val="20"/>
                <w:szCs w:val="20"/>
              </w:rPr>
              <w:t>The highest possible order of affirmation</w:t>
            </w:r>
          </w:p>
        </w:tc>
      </w:tr>
    </w:tbl>
    <w:p w14:paraId="1C1F6316" w14:textId="77777777" w:rsidR="003D25CA" w:rsidRDefault="003D25CA" w:rsidP="003D25CA"/>
    <w:p w14:paraId="7B291423" w14:textId="77777777" w:rsidR="003D25CA" w:rsidRDefault="003D25CA" w:rsidP="003D25CA">
      <w:pPr>
        <w:pStyle w:val="Heading2"/>
        <w:numPr>
          <w:ilvl w:val="0"/>
          <w:numId w:val="0"/>
        </w:numPr>
      </w:pPr>
      <w:r>
        <w:t xml:space="preserve">Assumptions for Estimating the R&amp;D value  </w:t>
      </w:r>
    </w:p>
    <w:p w14:paraId="71F6780D" w14:textId="77777777" w:rsidR="003D25CA" w:rsidRPr="00F137F6" w:rsidRDefault="003D25CA" w:rsidP="003D25CA">
      <w:r>
        <w:t xml:space="preserve">The R&amp;D valuation method is based on </w:t>
      </w:r>
      <w:r>
        <w:rPr>
          <w:color w:val="2B579A"/>
          <w:shd w:val="clear" w:color="auto" w:fill="E6E6E6"/>
        </w:rPr>
        <w:fldChar w:fldCharType="begin" w:fldLock="1"/>
      </w:r>
      <w:r>
        <w:instrText>ADDIN CSL_CITATION {"citationItems":[{"id":"ITEM-1","itemData":{"DOI":"10.1016/j.ejor.2020.07.015","ISSN":"03772217","abstract":"We propose a practice relevant real options based decision support tool to aid in the practical evaluation of R&amp;D investments in technology. Using a Poisson process to simulate the discrete progress typical of advancements in R&amp;D, we take explicit account of the technical risk of the technology development, while market risk exposure and the effect of learning-by-doing through operating the technology is also explicitly modelled. We present a compound real option design, where a European real option structure is used to model the fixed length term typical of early phase research, which is exercisable into an American real option structure to model a subsequent phase R&amp;D. In this latter phase, a successful outcome is acted upon immediately to operationalise the technology. We propose a simulation approach, which models R&amp;D progress in a stylised logistic function or ’S-shape’ form, capturing the typically slow rate of R&amp;D progress at the start of the early phase, through to more rapid improvement as the R&amp;D advances, which then slows again as the limitations of the R&amp;D are approached. We propose a business appropriate and workable economic meaning to this progress in the R&amp;D process. We demonstrate the decision support tool with an application to evaluating the R&amp;D investment potential in CO2 recycling technology, where an energy commodity is produced.","author":[{"dropping-particle":"","family":"Deeney","given":"Peter","non-dropping-particle":"","parse-names":false,"suffix":""},{"dropping-particle":"","family":"Cummins","given":"Mark","non-dropping-particle":"","parse-names":false,"suffix":""},{"dropping-particle":"","family":"Heintz","given":"Katharina","non-dropping-particle":"","parse-names":false,"suffix":""},{"dropping-particle":"","family":"Pryce","given":"Mary T.","non-dropping-particle":"","parse-names":false,"suffix":""},{"dropping-particle":"","family":"Deeney, P., Cummins, M., Heintz, K., Pryce","given":"M.","non-dropping-particle":"","parse-names":false,"suffix":""}],"container-title":"European Journal of Operational Research","id":"ITEM-1","issue":"2","issued":{"date-parts":[["2021","7"]]},"page":"696-711","title":"A real options based decision support tool for R&amp;D investment: Application to CO2 recycling technology","type":"article-journal","volume":"289"},"uris":["http://www.mendeley.com/documents/?uuid=9cf8d130-fefe-438a-a7ea-809501c01a3d"]}],"mendeley":{"formattedCitation":"(Deeney &lt;i&gt;et al.&lt;/i&gt;, 2021)","manualFormatting":"Deeney et al., (2021)","plainTextFormattedCitation":"(Deeney et al., 2021)","previouslyFormattedCitation":"(Deeney &lt;i&gt;et al.&lt;/i&gt;, 2021)"},"properties":{"noteIndex":0},"schema":"https://github.com/citation-style-language/schema/raw/master/csl-citation.json"}</w:instrText>
      </w:r>
      <w:r>
        <w:rPr>
          <w:color w:val="2B579A"/>
          <w:shd w:val="clear" w:color="auto" w:fill="E6E6E6"/>
        </w:rPr>
        <w:fldChar w:fldCharType="separate"/>
      </w:r>
      <w:r w:rsidRPr="0033497F">
        <w:rPr>
          <w:noProof/>
        </w:rPr>
        <w:t xml:space="preserve">Deeney </w:t>
      </w:r>
      <w:r w:rsidRPr="0033497F">
        <w:rPr>
          <w:i/>
          <w:noProof/>
        </w:rPr>
        <w:t>et al.</w:t>
      </w:r>
      <w:r w:rsidRPr="0033497F">
        <w:rPr>
          <w:noProof/>
        </w:rPr>
        <w:t xml:space="preserve">, </w:t>
      </w:r>
      <w:r>
        <w:rPr>
          <w:noProof/>
        </w:rPr>
        <w:t>(</w:t>
      </w:r>
      <w:r w:rsidRPr="0033497F">
        <w:rPr>
          <w:noProof/>
        </w:rPr>
        <w:t>2021)</w:t>
      </w:r>
      <w:r>
        <w:rPr>
          <w:color w:val="2B579A"/>
          <w:shd w:val="clear" w:color="auto" w:fill="E6E6E6"/>
        </w:rPr>
        <w:fldChar w:fldCharType="end"/>
      </w:r>
      <w:r>
        <w:t xml:space="preserve"> in which an R&amp;D project aims to reduce the cost and improve the income from each alternative, this will be implemented at a specific cost and will last for a number of years. The scenario is that there is a two-year period for initial research during which the results of the R&amp;D are not implemented. This R&amp;D plan is typical of university-based research which has a fixed period in which to report its findings, but which does not aim at a commercial launch of a new product. The initial stage is followed by a period of up to three years where the research continues and may be implemented as soon as it is considered commercially opportune. It is reasonable to assume that there will be a supply of waste GFRP for the next 25 years due to blade decommissioning of existing blades. This allows for this 5-year R&amp;D phase followed by a 20-year operational life. Indications of the income and expenditure are </w:t>
      </w:r>
      <w:r w:rsidR="001A1B21">
        <w:t>given in Table 7</w:t>
      </w:r>
      <w:r>
        <w:t xml:space="preserve">. </w:t>
      </w:r>
    </w:p>
    <w:p w14:paraId="176875F3" w14:textId="77777777" w:rsidR="003D25CA" w:rsidRDefault="003D25CA" w:rsidP="003D25CA">
      <w:pPr>
        <w:pStyle w:val="Caption"/>
        <w:keepNext/>
      </w:pPr>
      <w:bookmarkStart w:id="8" w:name="_Ref62555415"/>
      <w:bookmarkStart w:id="9" w:name="_Toc62589126"/>
      <w:r>
        <w:t xml:space="preserve">Table </w:t>
      </w:r>
      <w:bookmarkEnd w:id="8"/>
      <w:r w:rsidR="001A1B21">
        <w:t>7</w:t>
      </w:r>
      <w:r>
        <w:t xml:space="preserve"> Assumptions for Real Option Valuation of the five alternative end-of-life wind turbine.</w:t>
      </w:r>
      <w:bookmarkEnd w:id="9"/>
    </w:p>
    <w:tbl>
      <w:tblPr>
        <w:tblStyle w:val="TableGridLight"/>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4"/>
        <w:gridCol w:w="3696"/>
        <w:gridCol w:w="2410"/>
        <w:gridCol w:w="1417"/>
      </w:tblGrid>
      <w:tr w:rsidR="003D25CA" w:rsidRPr="00676266" w14:paraId="400847FB" w14:textId="77777777" w:rsidTr="00F95399">
        <w:tc>
          <w:tcPr>
            <w:tcW w:w="1544" w:type="dxa"/>
            <w:tcBorders>
              <w:top w:val="single" w:sz="4" w:space="0" w:color="auto"/>
            </w:tcBorders>
          </w:tcPr>
          <w:p w14:paraId="1D819C0F" w14:textId="77777777" w:rsidR="003D25CA" w:rsidRPr="00676266" w:rsidRDefault="003D25CA" w:rsidP="00F95399">
            <w:pPr>
              <w:jc w:val="both"/>
              <w:rPr>
                <w:b/>
                <w:sz w:val="20"/>
                <w:szCs w:val="20"/>
              </w:rPr>
            </w:pPr>
          </w:p>
        </w:tc>
        <w:tc>
          <w:tcPr>
            <w:tcW w:w="3696" w:type="dxa"/>
            <w:tcBorders>
              <w:top w:val="single" w:sz="4" w:space="0" w:color="auto"/>
              <w:bottom w:val="single" w:sz="4" w:space="0" w:color="auto"/>
            </w:tcBorders>
          </w:tcPr>
          <w:p w14:paraId="104CA872" w14:textId="77777777" w:rsidR="003D25CA" w:rsidRPr="00676266" w:rsidRDefault="003D25CA" w:rsidP="00F95399">
            <w:pPr>
              <w:jc w:val="both"/>
              <w:rPr>
                <w:b/>
                <w:sz w:val="20"/>
                <w:szCs w:val="20"/>
              </w:rPr>
            </w:pPr>
            <w:r w:rsidRPr="00676266">
              <w:rPr>
                <w:b/>
                <w:sz w:val="20"/>
                <w:szCs w:val="20"/>
              </w:rPr>
              <w:t>Income</w:t>
            </w:r>
          </w:p>
        </w:tc>
        <w:tc>
          <w:tcPr>
            <w:tcW w:w="2410" w:type="dxa"/>
            <w:tcBorders>
              <w:top w:val="single" w:sz="4" w:space="0" w:color="auto"/>
              <w:bottom w:val="single" w:sz="4" w:space="0" w:color="auto"/>
            </w:tcBorders>
          </w:tcPr>
          <w:p w14:paraId="67E6CB58" w14:textId="77777777" w:rsidR="003D25CA" w:rsidRPr="00676266" w:rsidRDefault="003D25CA" w:rsidP="00F95399">
            <w:pPr>
              <w:jc w:val="both"/>
              <w:rPr>
                <w:b/>
                <w:sz w:val="20"/>
                <w:szCs w:val="20"/>
              </w:rPr>
            </w:pPr>
            <w:r w:rsidRPr="00676266">
              <w:rPr>
                <w:b/>
                <w:sz w:val="20"/>
                <w:szCs w:val="20"/>
              </w:rPr>
              <w:t>Expenditure</w:t>
            </w:r>
          </w:p>
        </w:tc>
        <w:tc>
          <w:tcPr>
            <w:tcW w:w="1417" w:type="dxa"/>
            <w:tcBorders>
              <w:top w:val="single" w:sz="4" w:space="0" w:color="auto"/>
              <w:bottom w:val="single" w:sz="4" w:space="0" w:color="auto"/>
            </w:tcBorders>
          </w:tcPr>
          <w:p w14:paraId="1C13D613" w14:textId="77777777" w:rsidR="003D25CA" w:rsidRPr="00676266" w:rsidRDefault="003D25CA" w:rsidP="00F95399">
            <w:pPr>
              <w:jc w:val="both"/>
              <w:rPr>
                <w:b/>
                <w:sz w:val="20"/>
                <w:szCs w:val="20"/>
              </w:rPr>
            </w:pPr>
            <w:r w:rsidRPr="00676266">
              <w:rPr>
                <w:b/>
                <w:sz w:val="20"/>
                <w:szCs w:val="20"/>
              </w:rPr>
              <w:t>Technology Readiness</w:t>
            </w:r>
          </w:p>
        </w:tc>
      </w:tr>
      <w:tr w:rsidR="003D25CA" w:rsidRPr="00676266" w14:paraId="177B5D10" w14:textId="77777777" w:rsidTr="00F95399">
        <w:tc>
          <w:tcPr>
            <w:tcW w:w="1544" w:type="dxa"/>
          </w:tcPr>
          <w:p w14:paraId="18BE410D" w14:textId="77777777" w:rsidR="003D25CA" w:rsidRPr="00676266" w:rsidRDefault="003D25CA" w:rsidP="00F95399">
            <w:pPr>
              <w:rPr>
                <w:b/>
                <w:sz w:val="20"/>
                <w:szCs w:val="20"/>
              </w:rPr>
            </w:pPr>
            <w:r w:rsidRPr="00676266">
              <w:rPr>
                <w:b/>
                <w:sz w:val="20"/>
                <w:szCs w:val="20"/>
              </w:rPr>
              <w:t>Landfill</w:t>
            </w:r>
          </w:p>
        </w:tc>
        <w:tc>
          <w:tcPr>
            <w:tcW w:w="3696" w:type="dxa"/>
            <w:tcBorders>
              <w:top w:val="single" w:sz="4" w:space="0" w:color="auto"/>
            </w:tcBorders>
          </w:tcPr>
          <w:p w14:paraId="55D25388" w14:textId="77777777" w:rsidR="003D25CA" w:rsidRPr="00676266" w:rsidRDefault="003D25CA" w:rsidP="00F95399">
            <w:pPr>
              <w:rPr>
                <w:sz w:val="20"/>
                <w:szCs w:val="20"/>
              </w:rPr>
            </w:pPr>
            <w:r w:rsidRPr="00676266">
              <w:rPr>
                <w:sz w:val="20"/>
                <w:szCs w:val="20"/>
              </w:rPr>
              <w:t xml:space="preserve">Gate fees </w:t>
            </w:r>
          </w:p>
          <w:p w14:paraId="00DB7103" w14:textId="77777777" w:rsidR="003D25CA" w:rsidRPr="00676266" w:rsidRDefault="003D25CA" w:rsidP="00F95399">
            <w:pPr>
              <w:rPr>
                <w:sz w:val="20"/>
                <w:szCs w:val="20"/>
              </w:rPr>
            </w:pPr>
            <w:r w:rsidRPr="00676266">
              <w:rPr>
                <w:sz w:val="20"/>
                <w:szCs w:val="20"/>
              </w:rPr>
              <w:t xml:space="preserve">Possible R&amp;D cost reduction 20%  </w:t>
            </w:r>
          </w:p>
          <w:p w14:paraId="7D8B2314" w14:textId="77777777" w:rsidR="003D25CA" w:rsidRPr="00676266" w:rsidRDefault="003D25CA" w:rsidP="00F95399">
            <w:pPr>
              <w:rPr>
                <w:sz w:val="20"/>
                <w:szCs w:val="20"/>
              </w:rPr>
            </w:pPr>
          </w:p>
        </w:tc>
        <w:tc>
          <w:tcPr>
            <w:tcW w:w="2410" w:type="dxa"/>
            <w:tcBorders>
              <w:top w:val="single" w:sz="4" w:space="0" w:color="auto"/>
            </w:tcBorders>
          </w:tcPr>
          <w:p w14:paraId="5DCDAFCD" w14:textId="77777777" w:rsidR="003D25CA" w:rsidRPr="00676266" w:rsidRDefault="003D25CA" w:rsidP="00F95399">
            <w:pPr>
              <w:rPr>
                <w:sz w:val="20"/>
                <w:szCs w:val="20"/>
              </w:rPr>
            </w:pPr>
            <w:r w:rsidRPr="00676266">
              <w:rPr>
                <w:sz w:val="20"/>
                <w:szCs w:val="20"/>
              </w:rPr>
              <w:t>Labour costs and regulatory compliance</w:t>
            </w:r>
          </w:p>
        </w:tc>
        <w:tc>
          <w:tcPr>
            <w:tcW w:w="1417" w:type="dxa"/>
            <w:tcBorders>
              <w:top w:val="single" w:sz="4" w:space="0" w:color="auto"/>
            </w:tcBorders>
          </w:tcPr>
          <w:p w14:paraId="36DE2251" w14:textId="77777777" w:rsidR="003D25CA" w:rsidRPr="00676266" w:rsidRDefault="003D25CA" w:rsidP="00F95399">
            <w:pPr>
              <w:rPr>
                <w:sz w:val="20"/>
                <w:szCs w:val="20"/>
              </w:rPr>
            </w:pPr>
            <w:r w:rsidRPr="00676266">
              <w:rPr>
                <w:sz w:val="20"/>
                <w:szCs w:val="20"/>
              </w:rPr>
              <w:t xml:space="preserve">Well established </w:t>
            </w:r>
          </w:p>
          <w:p w14:paraId="02D744E9" w14:textId="77777777" w:rsidR="003D25CA" w:rsidRPr="00676266" w:rsidRDefault="003D25CA" w:rsidP="00F95399">
            <w:pPr>
              <w:rPr>
                <w:sz w:val="20"/>
                <w:szCs w:val="20"/>
              </w:rPr>
            </w:pPr>
          </w:p>
        </w:tc>
      </w:tr>
      <w:tr w:rsidR="003D25CA" w:rsidRPr="00676266" w14:paraId="3302BA83" w14:textId="77777777" w:rsidTr="00F95399">
        <w:tc>
          <w:tcPr>
            <w:tcW w:w="1544" w:type="dxa"/>
          </w:tcPr>
          <w:p w14:paraId="72ADEE0D" w14:textId="77777777" w:rsidR="003D25CA" w:rsidRPr="00676266" w:rsidRDefault="003D25CA" w:rsidP="00F95399">
            <w:pPr>
              <w:rPr>
                <w:b/>
                <w:sz w:val="20"/>
                <w:szCs w:val="20"/>
              </w:rPr>
            </w:pPr>
            <w:r w:rsidRPr="00676266">
              <w:rPr>
                <w:b/>
                <w:sz w:val="20"/>
                <w:szCs w:val="20"/>
              </w:rPr>
              <w:t>Incineration with Heat Recovery</w:t>
            </w:r>
          </w:p>
        </w:tc>
        <w:tc>
          <w:tcPr>
            <w:tcW w:w="3696" w:type="dxa"/>
          </w:tcPr>
          <w:p w14:paraId="15926542" w14:textId="77777777" w:rsidR="003D25CA" w:rsidRPr="00676266" w:rsidRDefault="003D25CA" w:rsidP="00F95399">
            <w:pPr>
              <w:rPr>
                <w:sz w:val="20"/>
                <w:szCs w:val="20"/>
              </w:rPr>
            </w:pPr>
            <w:r w:rsidRPr="00676266">
              <w:rPr>
                <w:sz w:val="20"/>
                <w:szCs w:val="20"/>
              </w:rPr>
              <w:t xml:space="preserve">Value of the primary energy which is displaced by the heat recovery. There may be an improvement to this of the order of 20% due to R&amp;D. </w:t>
            </w:r>
          </w:p>
        </w:tc>
        <w:tc>
          <w:tcPr>
            <w:tcW w:w="2410" w:type="dxa"/>
          </w:tcPr>
          <w:p w14:paraId="2C434442" w14:textId="77777777" w:rsidR="003D25CA" w:rsidRPr="00676266" w:rsidRDefault="003D25CA" w:rsidP="00F95399">
            <w:pPr>
              <w:rPr>
                <w:sz w:val="20"/>
                <w:szCs w:val="20"/>
              </w:rPr>
            </w:pPr>
            <w:r w:rsidRPr="00676266">
              <w:rPr>
                <w:sz w:val="20"/>
                <w:szCs w:val="20"/>
              </w:rPr>
              <w:t>Labour, processing costs and EU Emission Allowances</w:t>
            </w:r>
          </w:p>
        </w:tc>
        <w:tc>
          <w:tcPr>
            <w:tcW w:w="1417" w:type="dxa"/>
          </w:tcPr>
          <w:p w14:paraId="2B9E630E" w14:textId="77777777" w:rsidR="003D25CA" w:rsidRPr="00676266" w:rsidRDefault="003D25CA" w:rsidP="00F95399">
            <w:pPr>
              <w:rPr>
                <w:sz w:val="20"/>
                <w:szCs w:val="20"/>
              </w:rPr>
            </w:pPr>
            <w:r w:rsidRPr="00676266">
              <w:rPr>
                <w:sz w:val="20"/>
                <w:szCs w:val="20"/>
              </w:rPr>
              <w:t>Well established</w:t>
            </w:r>
          </w:p>
          <w:p w14:paraId="764AEA12" w14:textId="77777777" w:rsidR="003D25CA" w:rsidRPr="00676266" w:rsidRDefault="003D25CA" w:rsidP="00F95399">
            <w:pPr>
              <w:rPr>
                <w:sz w:val="20"/>
                <w:szCs w:val="20"/>
              </w:rPr>
            </w:pPr>
          </w:p>
        </w:tc>
      </w:tr>
      <w:tr w:rsidR="003D25CA" w:rsidRPr="00676266" w14:paraId="2DE4DAB2" w14:textId="77777777" w:rsidTr="00F95399">
        <w:tc>
          <w:tcPr>
            <w:tcW w:w="1544" w:type="dxa"/>
          </w:tcPr>
          <w:p w14:paraId="0ABA04BE" w14:textId="77777777" w:rsidR="003D25CA" w:rsidRPr="00676266" w:rsidRDefault="003D25CA" w:rsidP="00F95399">
            <w:pPr>
              <w:rPr>
                <w:b/>
                <w:sz w:val="20"/>
                <w:szCs w:val="20"/>
              </w:rPr>
            </w:pPr>
            <w:r w:rsidRPr="00676266">
              <w:rPr>
                <w:b/>
                <w:sz w:val="20"/>
                <w:szCs w:val="20"/>
              </w:rPr>
              <w:lastRenderedPageBreak/>
              <w:t>Co-Processing</w:t>
            </w:r>
          </w:p>
        </w:tc>
        <w:tc>
          <w:tcPr>
            <w:tcW w:w="3696" w:type="dxa"/>
          </w:tcPr>
          <w:p w14:paraId="1D5495A3" w14:textId="77777777" w:rsidR="003D25CA" w:rsidRPr="00676266" w:rsidRDefault="003D25CA" w:rsidP="00F95399">
            <w:pPr>
              <w:rPr>
                <w:sz w:val="20"/>
                <w:szCs w:val="20"/>
              </w:rPr>
            </w:pPr>
            <w:r w:rsidRPr="00676266">
              <w:rPr>
                <w:sz w:val="20"/>
                <w:szCs w:val="20"/>
              </w:rPr>
              <w:t xml:space="preserve">Cement sale price, possible cost reduction 30% </w:t>
            </w:r>
          </w:p>
        </w:tc>
        <w:tc>
          <w:tcPr>
            <w:tcW w:w="2410" w:type="dxa"/>
          </w:tcPr>
          <w:p w14:paraId="50FD52EC" w14:textId="77777777" w:rsidR="003D25CA" w:rsidRPr="00676266" w:rsidRDefault="003D25CA" w:rsidP="00F95399">
            <w:pPr>
              <w:rPr>
                <w:sz w:val="20"/>
                <w:szCs w:val="20"/>
              </w:rPr>
            </w:pPr>
            <w:r w:rsidRPr="00676266">
              <w:rPr>
                <w:sz w:val="20"/>
                <w:szCs w:val="20"/>
              </w:rPr>
              <w:t>Labour, processing costs and EU Emission Allowances</w:t>
            </w:r>
          </w:p>
        </w:tc>
        <w:tc>
          <w:tcPr>
            <w:tcW w:w="1417" w:type="dxa"/>
          </w:tcPr>
          <w:p w14:paraId="2163173B" w14:textId="77777777" w:rsidR="003D25CA" w:rsidRPr="00676266" w:rsidRDefault="003D25CA" w:rsidP="00F95399">
            <w:pPr>
              <w:rPr>
                <w:sz w:val="20"/>
                <w:szCs w:val="20"/>
              </w:rPr>
            </w:pPr>
            <w:r w:rsidRPr="00676266">
              <w:rPr>
                <w:sz w:val="20"/>
                <w:szCs w:val="20"/>
              </w:rPr>
              <w:t>Quite advanced</w:t>
            </w:r>
          </w:p>
          <w:p w14:paraId="717EF0B2" w14:textId="77777777" w:rsidR="003D25CA" w:rsidRPr="00676266" w:rsidRDefault="003D25CA" w:rsidP="00F95399">
            <w:pPr>
              <w:rPr>
                <w:sz w:val="20"/>
                <w:szCs w:val="20"/>
              </w:rPr>
            </w:pPr>
          </w:p>
        </w:tc>
      </w:tr>
      <w:tr w:rsidR="003D25CA" w:rsidRPr="00676266" w14:paraId="21D47140" w14:textId="77777777" w:rsidTr="00F95399">
        <w:tc>
          <w:tcPr>
            <w:tcW w:w="1544" w:type="dxa"/>
          </w:tcPr>
          <w:p w14:paraId="3FA6A639" w14:textId="77777777" w:rsidR="003D25CA" w:rsidRPr="00676266" w:rsidRDefault="003D25CA" w:rsidP="00F95399">
            <w:pPr>
              <w:rPr>
                <w:b/>
                <w:sz w:val="20"/>
                <w:szCs w:val="20"/>
              </w:rPr>
            </w:pPr>
            <w:r w:rsidRPr="00676266">
              <w:rPr>
                <w:b/>
                <w:sz w:val="20"/>
                <w:szCs w:val="20"/>
              </w:rPr>
              <w:t>Furniture Making</w:t>
            </w:r>
          </w:p>
        </w:tc>
        <w:tc>
          <w:tcPr>
            <w:tcW w:w="3696" w:type="dxa"/>
          </w:tcPr>
          <w:p w14:paraId="77439E16" w14:textId="77777777" w:rsidR="003D25CA" w:rsidRPr="00676266" w:rsidRDefault="003D25CA" w:rsidP="00F95399">
            <w:pPr>
              <w:rPr>
                <w:sz w:val="20"/>
                <w:szCs w:val="20"/>
              </w:rPr>
            </w:pPr>
            <w:r w:rsidRPr="00676266">
              <w:rPr>
                <w:sz w:val="20"/>
                <w:szCs w:val="20"/>
              </w:rPr>
              <w:t>Furniture sales. As systems automate, and the niche market is abandoned for the mass market, there may be a cost reduction 50%</w:t>
            </w:r>
          </w:p>
        </w:tc>
        <w:tc>
          <w:tcPr>
            <w:tcW w:w="2410" w:type="dxa"/>
          </w:tcPr>
          <w:p w14:paraId="7814B9D6" w14:textId="77777777" w:rsidR="003D25CA" w:rsidRPr="00676266" w:rsidRDefault="003D25CA" w:rsidP="00F95399">
            <w:pPr>
              <w:rPr>
                <w:sz w:val="20"/>
                <w:szCs w:val="20"/>
              </w:rPr>
            </w:pPr>
            <w:r w:rsidRPr="00676266">
              <w:rPr>
                <w:sz w:val="20"/>
                <w:szCs w:val="20"/>
              </w:rPr>
              <w:t>Labour and processing costs</w:t>
            </w:r>
          </w:p>
          <w:p w14:paraId="4E2A2CB8" w14:textId="77777777" w:rsidR="003D25CA" w:rsidRPr="00676266" w:rsidRDefault="003D25CA" w:rsidP="00F95399">
            <w:pPr>
              <w:rPr>
                <w:sz w:val="20"/>
                <w:szCs w:val="20"/>
              </w:rPr>
            </w:pPr>
          </w:p>
        </w:tc>
        <w:tc>
          <w:tcPr>
            <w:tcW w:w="1417" w:type="dxa"/>
          </w:tcPr>
          <w:p w14:paraId="430270ED" w14:textId="77777777" w:rsidR="003D25CA" w:rsidRPr="00676266" w:rsidRDefault="003D25CA" w:rsidP="00F95399">
            <w:pPr>
              <w:rPr>
                <w:sz w:val="20"/>
                <w:szCs w:val="20"/>
              </w:rPr>
            </w:pPr>
            <w:r w:rsidRPr="00676266">
              <w:rPr>
                <w:sz w:val="20"/>
                <w:szCs w:val="20"/>
              </w:rPr>
              <w:t xml:space="preserve">Existing Tech </w:t>
            </w:r>
          </w:p>
          <w:p w14:paraId="4FB30505" w14:textId="77777777" w:rsidR="003D25CA" w:rsidRPr="00676266" w:rsidRDefault="003D25CA" w:rsidP="00F95399">
            <w:pPr>
              <w:rPr>
                <w:sz w:val="20"/>
                <w:szCs w:val="20"/>
              </w:rPr>
            </w:pPr>
          </w:p>
        </w:tc>
      </w:tr>
      <w:tr w:rsidR="003D25CA" w:rsidRPr="00676266" w14:paraId="09FDB092" w14:textId="77777777" w:rsidTr="00F95399">
        <w:tc>
          <w:tcPr>
            <w:tcW w:w="1544" w:type="dxa"/>
            <w:tcBorders>
              <w:bottom w:val="single" w:sz="4" w:space="0" w:color="auto"/>
            </w:tcBorders>
          </w:tcPr>
          <w:p w14:paraId="6E097552" w14:textId="77777777" w:rsidR="003D25CA" w:rsidRPr="00676266" w:rsidRDefault="003D25CA" w:rsidP="00F95399">
            <w:pPr>
              <w:rPr>
                <w:b/>
                <w:sz w:val="20"/>
                <w:szCs w:val="20"/>
              </w:rPr>
            </w:pPr>
            <w:r w:rsidRPr="00676266">
              <w:rPr>
                <w:b/>
                <w:sz w:val="20"/>
                <w:szCs w:val="20"/>
              </w:rPr>
              <w:t>Bridge Fabrication</w:t>
            </w:r>
          </w:p>
        </w:tc>
        <w:tc>
          <w:tcPr>
            <w:tcW w:w="3696" w:type="dxa"/>
            <w:tcBorders>
              <w:bottom w:val="single" w:sz="4" w:space="0" w:color="auto"/>
            </w:tcBorders>
          </w:tcPr>
          <w:p w14:paraId="7BE6B928" w14:textId="77777777" w:rsidR="003D25CA" w:rsidRPr="00676266" w:rsidRDefault="003D25CA" w:rsidP="00F95399">
            <w:pPr>
              <w:rPr>
                <w:sz w:val="20"/>
                <w:szCs w:val="20"/>
              </w:rPr>
            </w:pPr>
            <w:r w:rsidRPr="00676266">
              <w:rPr>
                <w:sz w:val="20"/>
                <w:szCs w:val="20"/>
              </w:rPr>
              <w:t>Bridge sales. This is a new product, R&amp;D needed now to greatly improve output. Currently unprofitable.</w:t>
            </w:r>
          </w:p>
          <w:p w14:paraId="5D5A22CC" w14:textId="77777777" w:rsidR="003D25CA" w:rsidRPr="00676266" w:rsidRDefault="003D25CA" w:rsidP="00F95399">
            <w:pPr>
              <w:rPr>
                <w:sz w:val="20"/>
                <w:szCs w:val="20"/>
              </w:rPr>
            </w:pPr>
            <w:r w:rsidRPr="00676266">
              <w:rPr>
                <w:sz w:val="20"/>
                <w:szCs w:val="20"/>
              </w:rPr>
              <w:t>Possible cost reduction 75%</w:t>
            </w:r>
          </w:p>
          <w:p w14:paraId="65F5E245" w14:textId="77777777" w:rsidR="003D25CA" w:rsidRPr="00676266" w:rsidRDefault="003D25CA" w:rsidP="00F95399">
            <w:pPr>
              <w:rPr>
                <w:sz w:val="20"/>
                <w:szCs w:val="20"/>
              </w:rPr>
            </w:pPr>
          </w:p>
        </w:tc>
        <w:tc>
          <w:tcPr>
            <w:tcW w:w="2410" w:type="dxa"/>
            <w:tcBorders>
              <w:bottom w:val="single" w:sz="4" w:space="0" w:color="auto"/>
            </w:tcBorders>
          </w:tcPr>
          <w:p w14:paraId="24F65C11" w14:textId="77777777" w:rsidR="003D25CA" w:rsidRPr="00676266" w:rsidRDefault="003D25CA" w:rsidP="00F95399">
            <w:pPr>
              <w:rPr>
                <w:sz w:val="20"/>
                <w:szCs w:val="20"/>
              </w:rPr>
            </w:pPr>
            <w:r w:rsidRPr="00676266">
              <w:rPr>
                <w:sz w:val="20"/>
                <w:szCs w:val="20"/>
              </w:rPr>
              <w:t>Labour and processing costs</w:t>
            </w:r>
          </w:p>
        </w:tc>
        <w:tc>
          <w:tcPr>
            <w:tcW w:w="1417" w:type="dxa"/>
            <w:tcBorders>
              <w:bottom w:val="single" w:sz="4" w:space="0" w:color="auto"/>
            </w:tcBorders>
          </w:tcPr>
          <w:p w14:paraId="1A36BA57" w14:textId="77777777" w:rsidR="003D25CA" w:rsidRPr="00676266" w:rsidRDefault="003D25CA" w:rsidP="00F95399">
            <w:pPr>
              <w:rPr>
                <w:sz w:val="20"/>
                <w:szCs w:val="20"/>
              </w:rPr>
            </w:pPr>
            <w:r w:rsidRPr="00676266">
              <w:rPr>
                <w:sz w:val="20"/>
                <w:szCs w:val="20"/>
              </w:rPr>
              <w:t>New</w:t>
            </w:r>
          </w:p>
          <w:p w14:paraId="40975DFE" w14:textId="77777777" w:rsidR="003D25CA" w:rsidRPr="00676266" w:rsidRDefault="003D25CA" w:rsidP="00F95399">
            <w:pPr>
              <w:rPr>
                <w:sz w:val="20"/>
                <w:szCs w:val="20"/>
              </w:rPr>
            </w:pPr>
          </w:p>
        </w:tc>
      </w:tr>
    </w:tbl>
    <w:p w14:paraId="646B759A" w14:textId="77777777" w:rsidR="003D25CA" w:rsidRDefault="003D25CA" w:rsidP="003D25CA">
      <w:pPr>
        <w:keepNext/>
        <w:shd w:val="clear" w:color="auto" w:fill="FFFFFF"/>
        <w:spacing w:after="0" w:line="240" w:lineRule="auto"/>
      </w:pPr>
    </w:p>
    <w:p w14:paraId="098B875D" w14:textId="77777777" w:rsidR="003D25CA" w:rsidRDefault="003D25CA" w:rsidP="003D25CA">
      <w:pPr>
        <w:jc w:val="both"/>
      </w:pPr>
      <w:r>
        <w:t xml:space="preserve">Landfill is an established technology, and it is considered that there is relatively little scope for a large cost reduction, perhaps of the order of 20%, because of the relatively straightforward way in which the business is conducted. R&amp;D might reduce the labour required or make monitoring easier. This may produce some cost savings. The income to landfill businesses will probably be fixed with little change in the next years until the use of landfill for GFRP is phased out. </w:t>
      </w:r>
    </w:p>
    <w:p w14:paraId="48D4BC46" w14:textId="77777777" w:rsidR="003D25CA" w:rsidRDefault="003D25CA" w:rsidP="003D25CA">
      <w:pPr>
        <w:jc w:val="both"/>
      </w:pPr>
      <w:r>
        <w:t>Incineration with heat recovery is already in use and may benefit from some R&amp;D to improve the process, either by improving the efficiency of heat extraction or power generation, or by decreasing the compliance and monitoring costs. This may amount to a possible reduction of 20% in production costs. Similar to landfill this business does not depend on blade decommissioning to any great extent. Incineration is liable for the EU Emissions Trading Scheme (EUETS) and so this business is liable to either the cost of emission allowances (EUAs) or the cost of carbon capture, whichever is the lesser. Income would be the value of coal at a substitution of 60%, so that 1 tonne of GFRP would be worth 600kg of coal which costs approx. €225</w:t>
      </w:r>
      <w:r w:rsidRPr="00AD2F96">
        <w:rPr>
          <w:rStyle w:val="FootnoteReference"/>
        </w:rPr>
        <w:footnoteReference w:id="1"/>
      </w:r>
      <w:r>
        <w:t xml:space="preserve"> (</w:t>
      </w:r>
      <w:r w:rsidRPr="00660683">
        <w:t>Nagle</w:t>
      </w:r>
      <w:r>
        <w:t xml:space="preserve"> et al.</w:t>
      </w:r>
      <w:r w:rsidRPr="00660683">
        <w:t>, 2020</w:t>
      </w:r>
      <w:r>
        <w:t xml:space="preserve">). Coal is chosen as it is the cheapest fuel source per heat generated and therefore will produce the most conservative estimate for the calculations. </w:t>
      </w:r>
    </w:p>
    <w:p w14:paraId="244799D4" w14:textId="77777777" w:rsidR="003D25CA" w:rsidRPr="00485FC2" w:rsidRDefault="003D25CA" w:rsidP="003D25CA">
      <w:r>
        <w:t>Co-Processing</w:t>
      </w:r>
      <w:r w:rsidRPr="007B47AA">
        <w:t xml:space="preserve"> involves shredding the blade waste to pieces less than 4cm, then burning this waste with </w:t>
      </w:r>
      <w:r>
        <w:t xml:space="preserve">solid recovered fuel in a cement kiln </w:t>
      </w:r>
      <w:r w:rsidRPr="007B47AA">
        <w:t>to make cement</w:t>
      </w:r>
      <w:r>
        <w:t xml:space="preserve"> (</w:t>
      </w:r>
      <w:r w:rsidRPr="00660683">
        <w:t>Nagle</w:t>
      </w:r>
      <w:r>
        <w:t xml:space="preserve"> et al.</w:t>
      </w:r>
      <w:r w:rsidRPr="00660683">
        <w:t>, 2020</w:t>
      </w:r>
      <w:r>
        <w:t>)</w:t>
      </w:r>
      <w:r>
        <w:rPr>
          <w:iCs/>
        </w:rPr>
        <w:t xml:space="preserve">. </w:t>
      </w:r>
      <w:r w:rsidRPr="00485FC2">
        <w:t>The</w:t>
      </w:r>
      <w:r>
        <w:t>re is</w:t>
      </w:r>
      <w:r w:rsidRPr="00485FC2">
        <w:t xml:space="preserve"> space for improvement</w:t>
      </w:r>
      <w:r>
        <w:t xml:space="preserve"> in the manner in which blade waste is mixed with other materials to make cement</w:t>
      </w:r>
      <w:r>
        <w:rPr>
          <w:iCs/>
        </w:rPr>
        <w:t>.</w:t>
      </w:r>
      <w:r>
        <w:t xml:space="preserve"> </w:t>
      </w:r>
      <w:r w:rsidRPr="007B47AA">
        <w:t>Co-Processing</w:t>
      </w:r>
      <w:r>
        <w:t xml:space="preserve"> as a method to recycle composite waste</w:t>
      </w:r>
      <w:r w:rsidRPr="007B47AA">
        <w:t xml:space="preserve"> is a relatively new technology </w:t>
      </w:r>
      <w:r>
        <w:t xml:space="preserve">which is currently the subject of a great deal of research </w:t>
      </w:r>
      <w:r w:rsidRPr="007B47AA">
        <w:t xml:space="preserve">and </w:t>
      </w:r>
      <w:r>
        <w:t>as such will</w:t>
      </w:r>
      <w:r w:rsidRPr="007B47AA">
        <w:t xml:space="preserve"> benefit from R&amp;D</w:t>
      </w:r>
      <w:r>
        <w:t xml:space="preserve"> </w:t>
      </w:r>
      <w:r w:rsidRPr="007B47AA">
        <w:rPr>
          <w:color w:val="2B579A"/>
          <w:shd w:val="clear" w:color="auto" w:fill="E6E6E6"/>
        </w:rPr>
        <w:fldChar w:fldCharType="begin" w:fldLock="1"/>
      </w:r>
      <w:r>
        <w:instrText>ADDIN CSL_CITATION {"citationItems":[{"id":"ITEM-1","itemData":{"ISSN":"1754-2383","abstract":"This report covers the possible recycling options for end-of-life glass fibre reinforced polymers. Two forms (jigsaw and diamond bladed wet saw) of composite size reduction were compared to determine the most viable option. It was determined that the use of a jigsaw is essential due to its portability and low cost; being ≈36% less than the cost of the wet saw. Incineration with fibre recovery was performed at six different temperatures to determine which was the best to achieve complete resin decomposition. It was found that the most effective temperature, in terms of cost, burn-off time and effectiveness was 500°C. Incineration with energy recovery tests were performed using the bomb calorimeter. It was determined that the recoverable energy was 7MJ/kg. These two tests were conducted in order to determine the most feasible option for dealing with end-of-life waste composites. It was concluded that the most feasible option was incineration with energy recovery. This is due to its potential in aiding the process of cement production. The matrix has potential to be used as a fuel due to its high calorific content and the reinforcement could be integrated into the cement itself.","author":[{"dropping-particle":"","family":"Hall","given":"Shannon","non-dropping-particle":"","parse-names":false,"suffix":""}],"container-title":"The Plymouth Student Scientist","id":"ITEM-1","issue":"2","issued":{"date-parts":[["2016","10"]]},"page":"68-94","title":"End-of-life recycling options for glass fibre reinforced polymers","type":"article-journal","volume":"9"},"uris":["http://www.mendeley.com/documents/?uuid=ffdd617b-b22f-3175-ba27-b9c439188954","http://www.mendeley.com/documents/?uuid=1c9304d1-1d4d-4d91-afb6-55f6a8216a7a","http://www.mendeley.com/documents/?uuid=38866a8f-190b-4046-8d6d-c1971025a709"]},{"id":"ITEM-2","itemData":{"author":[{"dropping-particle":"","family":"Schmidl","given":"E","non-dropping-particle":"","parse-names":false,"suffix":""},{"dropping-particle":"","family":"Hinrichs","given":"S","non-dropping-particle":"","parse-names":false,"suffix":""}],"container-title":"DEWI Magazin","id":"ITEM-2","issue":"February","issued":{"date-parts":[["2010"]]},"page":"6-14","publisher-place":"Holcim (Deutschland)","title":"Geocycle Provides Sustainable Recycling of Rotor Blades in Wenn es darauf ankommt . Werbung","type":"article-journal","volume":"36"},"uris":["http://www.mendeley.com/documents/?uuid=da357b5a-abca-321f-84a9-e2f165354cb0","http://www.mendeley.com/documents/?uuid=3800ba27-935e-4b44-8f10-53f887c49bca","http://www.mendeley.com/documents/?uuid=935bb672-115c-41d9-8ba7-7f351d96b188"]},{"id":"ITEM-3","itemData":{"author":[{"dropping-particle":"","family":"Job","given":"Stella","non-dropping-particle":"","parse-names":false,"suffix":""},{"dropping-particle":"","family":"Leeke","given":"Gary","non-dropping-particle":"","parse-names":false,"suffix":""},{"dropping-particle":"","family":"Oliveux","given":"Geraldine","non-dropping-particle":"","parse-names":false,"suffix":""},{"dropping-particle":"","family":"Pickering","given":"Steve","non-dropping-particle":"","parse-names":false,"suffix":""}],"id":"ITEM-3","issued":{"date-parts":[["2016"]]},"publisher-place":"Composites UK","title":"Composites Recycling, Where are we now?","type":"report"},"uris":["http://www.mendeley.com/documents/?uuid=d90bcc54-a324-3b58-8592-4faa77586cfb","http://www.mendeley.com/documents/?uuid=72d3ee8d-1423-4bba-8e01-7df2a191f290","http://www.mendeley.com/documents/?uuid=31d3d572-3ea5-4984-a70a-dced6bf14d97"]},{"id":"ITEM-4","itemData":{"DOI":"10.1016/J.PMATSCI.2015.01.004","ISSN":"0079-6425","abstract":"A complete review of the different techniques that have been developed to recycle fibre reinforced polymers is presented. The review also focuses on the reuse of valuable products recovered by different techniques, in particular the way that fibres have been reincorporated into new materials or applications and the main technological issues encountered. Recycled glass fibres can replace small amounts of virgin fibres in products but not at high enough concentrations to make their recycling economically and environmentally viable, if for example, thermolysis or solvolysis is used. Reclaimed carbon fibres from high-technology applications cannot be reincorporated in the same applications from which they were recovered, so new appropriate applications have to be developed in order to reuse the fibres. Materials incorporating recycled fibres exhibit specific mechanical properties because of the particular characteristics imparted by the fibres. The development of specific standards is therefore necessary, as well as efforts in the development of solutions that enable reusers to benefit from their reinforcement potential. The recovery and reuse of valuable products from resins are also considered, but also the development of recyclable thermoset resins. Finally, the economic and environmental aspects of recycling composite materials, based on Life Cycle Assessment, are discussed.","author":[{"dropping-particle":"","family":"Oliveux","given":"Géraldine","non-dropping-particle":"","parse-names":false,"suffix":""},{"dropping-particle":"","family":"Dandy","given":"Luke O.","non-dropping-particle":"","parse-names":false,"suffix":""},{"dropping-particle":"","family":"Leeke","given":"Gary A.","non-dropping-particle":"","parse-names":false,"suffix":""}],"container-title":"Progress in Materials Science","id":"ITEM-4","issued":{"date-parts":[["2015","7"]]},"page":"61-99","publisher":"Pergamon","title":"Current status of recycling of fibre reinforced polymers: Review of technologies, reuse and resulting properties","type":"article-journal","volume":"72"},"uris":["http://www.mendeley.com/documents/?uuid=614aa1d1-3e1a-3a46-ba03-b6f6741c0b72","http://www.mendeley.com/documents/?uuid=74ad1443-fb74-4a4c-a204-3dce8aeb541c"]}],"mendeley":{"formattedCitation":"(Schmidl and Hinrichs, 2010; Oliveux, Dandy and Leeke, 2015; Hall, 2016; Job &lt;i&gt;et al.&lt;/i&gt;, 2016)","plainTextFormattedCitation":"(Schmidl and Hinrichs, 2010; Oliveux, Dandy and Leeke, 2015; Hall, 2016; Job et al., 2016)","previouslyFormattedCitation":"(Schmidl and Hinrichs, 2010; Oliveux, Dandy and Leeke, 2015; Hall, 2016; Job &lt;i&gt;et al.&lt;/i&gt;, 2016)"},"properties":{"noteIndex":0},"schema":"https://github.com/citation-style-language/schema/raw/master/csl-citation.json"}</w:instrText>
      </w:r>
      <w:r w:rsidRPr="007B47AA">
        <w:rPr>
          <w:color w:val="2B579A"/>
          <w:shd w:val="clear" w:color="auto" w:fill="E6E6E6"/>
        </w:rPr>
        <w:fldChar w:fldCharType="separate"/>
      </w:r>
      <w:r w:rsidRPr="00F06689">
        <w:rPr>
          <w:noProof/>
        </w:rPr>
        <w:t xml:space="preserve">(Schmidl and Hinrichs, 2010; Oliveux, Dandy and Leeke, 2015; Hall, 2016; Job </w:t>
      </w:r>
      <w:r w:rsidRPr="726C6830">
        <w:rPr>
          <w:i/>
          <w:iCs/>
          <w:noProof/>
        </w:rPr>
        <w:t>et al.</w:t>
      </w:r>
      <w:r w:rsidRPr="00F06689">
        <w:rPr>
          <w:noProof/>
        </w:rPr>
        <w:t>, 2016)</w:t>
      </w:r>
      <w:r w:rsidRPr="007B47AA">
        <w:rPr>
          <w:color w:val="2B579A"/>
          <w:shd w:val="clear" w:color="auto" w:fill="E6E6E6"/>
        </w:rPr>
        <w:fldChar w:fldCharType="end"/>
      </w:r>
      <w:r>
        <w:t>. This may produce a 30% reduction in production costs as the process is quite complex and relatively new. A commercial price for a tonne of cement is €192.69</w:t>
      </w:r>
      <w:r>
        <w:rPr>
          <w:rStyle w:val="FootnoteReference"/>
        </w:rPr>
        <w:footnoteReference w:id="2"/>
      </w:r>
      <w:r>
        <w:t>. Given the ready market for cement, it is reasonable to assume this alternative could potentially use all the blade waste available to it.</w:t>
      </w:r>
    </w:p>
    <w:p w14:paraId="69E53008" w14:textId="77777777" w:rsidR="003D25CA" w:rsidRDefault="003D25CA" w:rsidP="003D25CA">
      <w:pPr>
        <w:jc w:val="both"/>
      </w:pPr>
      <w:r>
        <w:t xml:space="preserve">Furniture made from blade waste is a niche market product at present which is highly labour-intensive, there are a great many possible savings from R&amp;D for automation and new fixings, designing and cutting technologies. It may be realistic to propose a 50% reduction in production costs due to R&amp;D. Given the size of the furniture market it is possible for this technology to absorb all of the blade waste available in Ireland. </w:t>
      </w:r>
      <w:r w:rsidRPr="00D9610F">
        <w:rPr>
          <w:color w:val="2E74B5" w:themeColor="accent1" w:themeShade="BF"/>
        </w:rPr>
        <w:t>Estimates for the income generated by a tonne of GFRP are based on the cost per tonne of furniture from IKEA. An online search for “Table” was conducted on 10</w:t>
      </w:r>
      <w:r w:rsidRPr="00D9610F">
        <w:rPr>
          <w:color w:val="2E74B5" w:themeColor="accent1" w:themeShade="BF"/>
          <w:vertAlign w:val="superscript"/>
        </w:rPr>
        <w:t>th</w:t>
      </w:r>
      <w:r w:rsidRPr="00D9610F">
        <w:rPr>
          <w:color w:val="2E74B5" w:themeColor="accent1" w:themeShade="BF"/>
        </w:rPr>
        <w:t xml:space="preserve"> July 2020 and the </w:t>
      </w:r>
      <w:r w:rsidRPr="00D9610F">
        <w:rPr>
          <w:color w:val="2E74B5" w:themeColor="accent1" w:themeShade="BF"/>
        </w:rPr>
        <w:lastRenderedPageBreak/>
        <w:t>top 30 items were used to produce an average price. Tables were chosen as they are a relatively simple product which would reflect the possible uses of large pieces of GFRP.</w:t>
      </w:r>
    </w:p>
    <w:p w14:paraId="187090D4" w14:textId="77777777" w:rsidR="003D25CA" w:rsidRDefault="003D25CA" w:rsidP="003D25CA">
      <w:pPr>
        <w:jc w:val="both"/>
      </w:pPr>
      <w:r>
        <w:t>Bridge fabrication will require considerable R&amp;D as it is a new process and has yet to pass certification from civil engineers or gain public trust. Present costs for fabricating a modest 8.5m span bridge incorporating blades might be estimated to be of the order of €20,000</w:t>
      </w:r>
      <w:r>
        <w:rPr>
          <w:rStyle w:val="FootnoteReference"/>
        </w:rPr>
        <w:footnoteReference w:id="3"/>
      </w:r>
      <w:r>
        <w:t xml:space="preserve">. This cost could be reduced by 75% with sufficient R&amp;D and commercial scale production. There is a possibility that the market for bridges may increase as more infrastructure for walking and cycling is being considered. </w:t>
      </w:r>
    </w:p>
    <w:p w14:paraId="3170DA67" w14:textId="77777777" w:rsidR="003D25CA" w:rsidRDefault="003D25CA" w:rsidP="003D25CA">
      <w:pPr>
        <w:rPr>
          <w:rFonts w:asciiTheme="majorHAnsi" w:eastAsiaTheme="majorEastAsia" w:hAnsiTheme="majorHAnsi" w:cstheme="majorBidi"/>
          <w:color w:val="2E74B5" w:themeColor="accent1" w:themeShade="BF"/>
          <w:sz w:val="26"/>
          <w:szCs w:val="26"/>
        </w:rPr>
      </w:pPr>
      <w:r>
        <w:br w:type="page"/>
      </w:r>
    </w:p>
    <w:p w14:paraId="51775C89" w14:textId="77777777" w:rsidR="003D25CA" w:rsidRDefault="003D25CA" w:rsidP="003D25CA">
      <w:pPr>
        <w:pStyle w:val="Heading2"/>
        <w:numPr>
          <w:ilvl w:val="0"/>
          <w:numId w:val="0"/>
        </w:numPr>
      </w:pPr>
      <w:r>
        <w:lastRenderedPageBreak/>
        <w:t>Hours of Work and Salary</w:t>
      </w:r>
    </w:p>
    <w:p w14:paraId="6B25D9AB" w14:textId="77777777" w:rsidR="003D25CA" w:rsidRPr="00441941" w:rsidRDefault="003D25CA" w:rsidP="003D25CA">
      <w:pPr>
        <w:rPr>
          <w:color w:val="4472C4" w:themeColor="accent5"/>
        </w:rPr>
      </w:pPr>
      <w:r>
        <w:t xml:space="preserve"> </w:t>
      </w:r>
      <w:r w:rsidRPr="00441941">
        <w:rPr>
          <w:color w:val="4472C4" w:themeColor="accent5"/>
        </w:rPr>
        <w:t xml:space="preserve">The data for the calculation for the hours of work per tonne of GFRP are given in </w:t>
      </w:r>
      <w:r>
        <w:rPr>
          <w:color w:val="4472C4" w:themeColor="accent5"/>
        </w:rPr>
        <w:fldChar w:fldCharType="begin"/>
      </w:r>
      <w:r>
        <w:rPr>
          <w:color w:val="4472C4" w:themeColor="accent5"/>
        </w:rPr>
        <w:instrText xml:space="preserve"> REF _Ref68871882 \h  \* MERGEFORMAT </w:instrText>
      </w:r>
      <w:r>
        <w:rPr>
          <w:color w:val="4472C4" w:themeColor="accent5"/>
        </w:rPr>
      </w:r>
      <w:r>
        <w:rPr>
          <w:color w:val="4472C4" w:themeColor="accent5"/>
        </w:rPr>
        <w:fldChar w:fldCharType="separate"/>
      </w:r>
      <w:r w:rsidRPr="00E16D4A">
        <w:rPr>
          <w:color w:val="4472C4" w:themeColor="accent5"/>
        </w:rPr>
        <w:t>Table 8</w:t>
      </w:r>
      <w:r>
        <w:rPr>
          <w:color w:val="4472C4" w:themeColor="accent5"/>
        </w:rPr>
        <w:fldChar w:fldCharType="end"/>
      </w:r>
    </w:p>
    <w:p w14:paraId="261C7686" w14:textId="77777777" w:rsidR="003D25CA" w:rsidRDefault="003D25CA" w:rsidP="003D25CA"/>
    <w:p w14:paraId="2CFBC0D5" w14:textId="77777777" w:rsidR="003D25CA" w:rsidRDefault="003D25CA" w:rsidP="003D25CA">
      <w:pPr>
        <w:pStyle w:val="Caption"/>
        <w:keepNext/>
      </w:pPr>
      <w:bookmarkStart w:id="10" w:name="_Ref68871882"/>
      <w:r>
        <w:t xml:space="preserve">Table </w:t>
      </w:r>
      <w:r w:rsidR="001A1B21">
        <w:t>8</w:t>
      </w:r>
      <w:bookmarkEnd w:id="10"/>
      <w:r>
        <w:t xml:space="preserve"> Hours of Work and Salary Calculations</w:t>
      </w:r>
    </w:p>
    <w:tbl>
      <w:tblPr>
        <w:tblStyle w:val="PlainTable4"/>
        <w:tblW w:w="0" w:type="auto"/>
        <w:tblLook w:val="04A0" w:firstRow="1" w:lastRow="0" w:firstColumn="1" w:lastColumn="0" w:noHBand="0" w:noVBand="1"/>
      </w:tblPr>
      <w:tblGrid>
        <w:gridCol w:w="1221"/>
        <w:gridCol w:w="788"/>
        <w:gridCol w:w="1117"/>
        <w:gridCol w:w="1094"/>
        <w:gridCol w:w="727"/>
        <w:gridCol w:w="715"/>
        <w:gridCol w:w="1028"/>
        <w:gridCol w:w="793"/>
        <w:gridCol w:w="858"/>
        <w:gridCol w:w="709"/>
      </w:tblGrid>
      <w:tr w:rsidR="003D25CA" w14:paraId="0EBA6415" w14:textId="77777777" w:rsidTr="00F953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tcBorders>
              <w:top w:val="single" w:sz="4" w:space="0" w:color="auto"/>
              <w:bottom w:val="single" w:sz="4" w:space="0" w:color="auto"/>
            </w:tcBorders>
          </w:tcPr>
          <w:p w14:paraId="5121702A" w14:textId="77777777" w:rsidR="003D25CA" w:rsidRPr="00593D82" w:rsidRDefault="003D25CA" w:rsidP="00F95399">
            <w:pPr>
              <w:rPr>
                <w:sz w:val="20"/>
                <w:szCs w:val="20"/>
              </w:rPr>
            </w:pPr>
          </w:p>
        </w:tc>
        <w:tc>
          <w:tcPr>
            <w:tcW w:w="772" w:type="dxa"/>
            <w:tcBorders>
              <w:top w:val="single" w:sz="4" w:space="0" w:color="auto"/>
              <w:bottom w:val="single" w:sz="4" w:space="0" w:color="auto"/>
            </w:tcBorders>
          </w:tcPr>
          <w:p w14:paraId="0AD8CB5C" w14:textId="77777777" w:rsidR="003D25CA" w:rsidRPr="00593D82" w:rsidRDefault="003D25CA" w:rsidP="00F95399">
            <w:pPr>
              <w:cnfStyle w:val="100000000000" w:firstRow="1"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Load Size in tonnes</w:t>
            </w:r>
          </w:p>
        </w:tc>
        <w:tc>
          <w:tcPr>
            <w:tcW w:w="1224" w:type="dxa"/>
            <w:tcBorders>
              <w:top w:val="single" w:sz="4" w:space="0" w:color="auto"/>
              <w:bottom w:val="single" w:sz="4" w:space="0" w:color="auto"/>
            </w:tcBorders>
          </w:tcPr>
          <w:p w14:paraId="39FE4291" w14:textId="77777777" w:rsidR="003D25CA" w:rsidRPr="00593D82" w:rsidRDefault="003D25CA" w:rsidP="00F95399">
            <w:pPr>
              <w:cnfStyle w:val="100000000000" w:firstRow="1"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Prep. h</w:t>
            </w:r>
          </w:p>
        </w:tc>
        <w:tc>
          <w:tcPr>
            <w:tcW w:w="1131" w:type="dxa"/>
            <w:tcBorders>
              <w:top w:val="single" w:sz="4" w:space="0" w:color="auto"/>
              <w:bottom w:val="single" w:sz="4" w:space="0" w:color="auto"/>
            </w:tcBorders>
          </w:tcPr>
          <w:p w14:paraId="6A4C8CB7" w14:textId="77777777" w:rsidR="003D25CA" w:rsidRPr="00593D82" w:rsidRDefault="003D25CA" w:rsidP="00F95399">
            <w:pPr>
              <w:cnfStyle w:val="100000000000" w:firstRow="1"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Distance km</w:t>
            </w:r>
          </w:p>
        </w:tc>
        <w:tc>
          <w:tcPr>
            <w:tcW w:w="715" w:type="dxa"/>
            <w:tcBorders>
              <w:top w:val="single" w:sz="4" w:space="0" w:color="auto"/>
              <w:bottom w:val="single" w:sz="4" w:space="0" w:color="auto"/>
            </w:tcBorders>
          </w:tcPr>
          <w:p w14:paraId="15BF32BB" w14:textId="77777777" w:rsidR="003D25CA" w:rsidRPr="00593D82" w:rsidRDefault="003D25CA" w:rsidP="00F95399">
            <w:pPr>
              <w:cnfStyle w:val="100000000000" w:firstRow="1"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Lorry Speed km/h</w:t>
            </w:r>
          </w:p>
        </w:tc>
        <w:tc>
          <w:tcPr>
            <w:tcW w:w="725" w:type="dxa"/>
            <w:tcBorders>
              <w:top w:val="single" w:sz="4" w:space="0" w:color="auto"/>
              <w:bottom w:val="single" w:sz="4" w:space="0" w:color="auto"/>
            </w:tcBorders>
          </w:tcPr>
          <w:p w14:paraId="6309F923" w14:textId="77777777" w:rsidR="003D25CA" w:rsidRPr="00593D82" w:rsidRDefault="003D25CA" w:rsidP="00F95399">
            <w:pPr>
              <w:cnfStyle w:val="100000000000" w:firstRow="1"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 xml:space="preserve">Work time </w:t>
            </w:r>
          </w:p>
        </w:tc>
        <w:tc>
          <w:tcPr>
            <w:tcW w:w="1023" w:type="dxa"/>
            <w:tcBorders>
              <w:top w:val="single" w:sz="4" w:space="0" w:color="auto"/>
              <w:bottom w:val="single" w:sz="4" w:space="0" w:color="auto"/>
            </w:tcBorders>
          </w:tcPr>
          <w:p w14:paraId="10A79F51" w14:textId="77777777" w:rsidR="003D25CA" w:rsidRPr="00593D82" w:rsidRDefault="003D25CA" w:rsidP="00F95399">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593D82">
              <w:rPr>
                <w:rFonts w:ascii="Calibri" w:hAnsi="Calibri" w:cs="Calibri"/>
                <w:bCs w:val="0"/>
                <w:sz w:val="20"/>
                <w:szCs w:val="20"/>
              </w:rPr>
              <w:t>Hours Transport per tonne</w:t>
            </w:r>
          </w:p>
        </w:tc>
        <w:tc>
          <w:tcPr>
            <w:tcW w:w="790" w:type="dxa"/>
            <w:tcBorders>
              <w:top w:val="single" w:sz="4" w:space="0" w:color="auto"/>
              <w:bottom w:val="single" w:sz="4" w:space="0" w:color="auto"/>
            </w:tcBorders>
          </w:tcPr>
          <w:p w14:paraId="0997939C" w14:textId="77777777" w:rsidR="003D25CA" w:rsidRPr="00593D82" w:rsidRDefault="003D25CA" w:rsidP="00F95399">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593D82">
              <w:rPr>
                <w:rFonts w:ascii="Calibri" w:hAnsi="Calibri" w:cs="Calibri"/>
                <w:bCs w:val="0"/>
                <w:sz w:val="20"/>
                <w:szCs w:val="20"/>
              </w:rPr>
              <w:t>Labour Hours per tonne</w:t>
            </w:r>
          </w:p>
        </w:tc>
        <w:tc>
          <w:tcPr>
            <w:tcW w:w="854" w:type="dxa"/>
            <w:tcBorders>
              <w:top w:val="single" w:sz="4" w:space="0" w:color="auto"/>
              <w:bottom w:val="single" w:sz="4" w:space="0" w:color="auto"/>
            </w:tcBorders>
          </w:tcPr>
          <w:p w14:paraId="17068F75" w14:textId="77777777" w:rsidR="003D25CA" w:rsidRPr="00593D82" w:rsidRDefault="003D25CA" w:rsidP="00F95399">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593D82">
              <w:rPr>
                <w:rFonts w:ascii="Calibri" w:hAnsi="Calibri" w:cs="Calibri"/>
                <w:bCs w:val="0"/>
                <w:sz w:val="20"/>
                <w:szCs w:val="20"/>
              </w:rPr>
              <w:t>Total Salaries per tonne</w:t>
            </w:r>
          </w:p>
        </w:tc>
        <w:tc>
          <w:tcPr>
            <w:tcW w:w="706" w:type="dxa"/>
            <w:tcBorders>
              <w:top w:val="single" w:sz="4" w:space="0" w:color="auto"/>
              <w:bottom w:val="single" w:sz="4" w:space="0" w:color="auto"/>
            </w:tcBorders>
          </w:tcPr>
          <w:p w14:paraId="71BA2F6D" w14:textId="77777777" w:rsidR="003D25CA" w:rsidRPr="00593D82" w:rsidRDefault="003D25CA" w:rsidP="00F95399">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593D82">
              <w:rPr>
                <w:rFonts w:ascii="Calibri" w:hAnsi="Calibri" w:cs="Calibri"/>
                <w:bCs w:val="0"/>
                <w:sz w:val="20"/>
                <w:szCs w:val="20"/>
              </w:rPr>
              <w:t>Total Hours of work per tonne</w:t>
            </w:r>
          </w:p>
        </w:tc>
      </w:tr>
      <w:tr w:rsidR="003D25CA" w14:paraId="62FE50E8" w14:textId="77777777" w:rsidTr="00F95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tcBorders>
              <w:top w:val="single" w:sz="4" w:space="0" w:color="auto"/>
            </w:tcBorders>
          </w:tcPr>
          <w:p w14:paraId="1F9E3A4B" w14:textId="77777777" w:rsidR="003D25CA" w:rsidRPr="00593D82" w:rsidRDefault="003D25CA" w:rsidP="00F95399">
            <w:pPr>
              <w:rPr>
                <w:rFonts w:ascii="Calibri" w:eastAsia="Times New Roman" w:hAnsi="Calibri" w:cs="Calibri"/>
                <w:sz w:val="20"/>
                <w:szCs w:val="20"/>
                <w:lang w:val="en-IE" w:eastAsia="en-IE"/>
              </w:rPr>
            </w:pPr>
            <w:r w:rsidRPr="00593D82">
              <w:rPr>
                <w:rFonts w:ascii="Calibri" w:eastAsia="Times New Roman" w:hAnsi="Calibri" w:cs="Calibri"/>
                <w:sz w:val="20"/>
                <w:szCs w:val="20"/>
                <w:lang w:val="en-IE" w:eastAsia="en-IE"/>
              </w:rPr>
              <w:t>Landfill</w:t>
            </w:r>
          </w:p>
          <w:p w14:paraId="142F1FB9" w14:textId="77777777" w:rsidR="003D25CA" w:rsidRPr="00593D82" w:rsidRDefault="003D25CA" w:rsidP="00F95399">
            <w:pPr>
              <w:rPr>
                <w:sz w:val="20"/>
                <w:szCs w:val="20"/>
              </w:rPr>
            </w:pPr>
          </w:p>
        </w:tc>
        <w:tc>
          <w:tcPr>
            <w:tcW w:w="772" w:type="dxa"/>
            <w:tcBorders>
              <w:top w:val="single" w:sz="4" w:space="0" w:color="auto"/>
            </w:tcBorders>
          </w:tcPr>
          <w:p w14:paraId="6EE0B2D4"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6</w:t>
            </w:r>
          </w:p>
        </w:tc>
        <w:tc>
          <w:tcPr>
            <w:tcW w:w="1224" w:type="dxa"/>
            <w:tcBorders>
              <w:top w:val="single" w:sz="4" w:space="0" w:color="auto"/>
            </w:tcBorders>
          </w:tcPr>
          <w:p w14:paraId="3D3958D1"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2</w:t>
            </w:r>
          </w:p>
        </w:tc>
        <w:tc>
          <w:tcPr>
            <w:tcW w:w="1131" w:type="dxa"/>
            <w:tcBorders>
              <w:top w:val="single" w:sz="4" w:space="0" w:color="auto"/>
            </w:tcBorders>
          </w:tcPr>
          <w:p w14:paraId="5C110FAF"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296</w:t>
            </w:r>
          </w:p>
        </w:tc>
        <w:tc>
          <w:tcPr>
            <w:tcW w:w="715" w:type="dxa"/>
            <w:tcBorders>
              <w:top w:val="single" w:sz="4" w:space="0" w:color="auto"/>
            </w:tcBorders>
          </w:tcPr>
          <w:p w14:paraId="15938A8A"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60</w:t>
            </w:r>
          </w:p>
        </w:tc>
        <w:tc>
          <w:tcPr>
            <w:tcW w:w="725" w:type="dxa"/>
            <w:tcBorders>
              <w:top w:val="single" w:sz="4" w:space="0" w:color="auto"/>
            </w:tcBorders>
          </w:tcPr>
          <w:p w14:paraId="58367B11"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1</w:t>
            </w:r>
          </w:p>
        </w:tc>
        <w:tc>
          <w:tcPr>
            <w:tcW w:w="1023" w:type="dxa"/>
            <w:tcBorders>
              <w:top w:val="single" w:sz="4" w:space="0" w:color="auto"/>
            </w:tcBorders>
          </w:tcPr>
          <w:p w14:paraId="3D1C1816"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0.82</w:t>
            </w:r>
          </w:p>
        </w:tc>
        <w:tc>
          <w:tcPr>
            <w:tcW w:w="790" w:type="dxa"/>
            <w:tcBorders>
              <w:top w:val="single" w:sz="4" w:space="0" w:color="auto"/>
            </w:tcBorders>
          </w:tcPr>
          <w:p w14:paraId="79D4E6D2"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0.50</w:t>
            </w:r>
          </w:p>
        </w:tc>
        <w:tc>
          <w:tcPr>
            <w:tcW w:w="854" w:type="dxa"/>
            <w:tcBorders>
              <w:top w:val="single" w:sz="4" w:space="0" w:color="auto"/>
            </w:tcBorders>
          </w:tcPr>
          <w:p w14:paraId="77A7F687"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31.83</w:t>
            </w:r>
          </w:p>
        </w:tc>
        <w:tc>
          <w:tcPr>
            <w:tcW w:w="706" w:type="dxa"/>
            <w:tcBorders>
              <w:top w:val="single" w:sz="4" w:space="0" w:color="auto"/>
            </w:tcBorders>
          </w:tcPr>
          <w:p w14:paraId="01A99D25"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93D82">
              <w:rPr>
                <w:rFonts w:ascii="Calibri" w:hAnsi="Calibri" w:cs="Calibri"/>
                <w:bCs/>
                <w:sz w:val="20"/>
                <w:szCs w:val="20"/>
              </w:rPr>
              <w:t>1.32</w:t>
            </w:r>
          </w:p>
        </w:tc>
      </w:tr>
      <w:tr w:rsidR="003D25CA" w14:paraId="62B24C20" w14:textId="77777777" w:rsidTr="00F95399">
        <w:tc>
          <w:tcPr>
            <w:cnfStyle w:val="001000000000" w:firstRow="0" w:lastRow="0" w:firstColumn="1" w:lastColumn="0" w:oddVBand="0" w:evenVBand="0" w:oddHBand="0" w:evenHBand="0" w:firstRowFirstColumn="0" w:firstRowLastColumn="0" w:lastRowFirstColumn="0" w:lastRowLastColumn="0"/>
            <w:tcW w:w="1100" w:type="dxa"/>
          </w:tcPr>
          <w:p w14:paraId="5172C486" w14:textId="77777777" w:rsidR="003D25CA" w:rsidRPr="00593D82" w:rsidRDefault="003D25CA" w:rsidP="00F95399">
            <w:pPr>
              <w:rPr>
                <w:sz w:val="20"/>
                <w:szCs w:val="20"/>
              </w:rPr>
            </w:pPr>
            <w:r w:rsidRPr="00593D82">
              <w:rPr>
                <w:rFonts w:ascii="Calibri" w:eastAsia="Times New Roman" w:hAnsi="Calibri" w:cs="Calibri"/>
                <w:sz w:val="20"/>
                <w:szCs w:val="20"/>
                <w:lang w:val="en-IE" w:eastAsia="en-IE"/>
              </w:rPr>
              <w:t>Incineration with Heat Recovery</w:t>
            </w:r>
          </w:p>
        </w:tc>
        <w:tc>
          <w:tcPr>
            <w:tcW w:w="772" w:type="dxa"/>
          </w:tcPr>
          <w:p w14:paraId="3AEA31BB"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6</w:t>
            </w:r>
          </w:p>
        </w:tc>
        <w:tc>
          <w:tcPr>
            <w:tcW w:w="1224" w:type="dxa"/>
          </w:tcPr>
          <w:p w14:paraId="45829FBC"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2</w:t>
            </w:r>
          </w:p>
        </w:tc>
        <w:tc>
          <w:tcPr>
            <w:tcW w:w="1131" w:type="dxa"/>
          </w:tcPr>
          <w:p w14:paraId="3F36D01B"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457</w:t>
            </w:r>
          </w:p>
        </w:tc>
        <w:tc>
          <w:tcPr>
            <w:tcW w:w="715" w:type="dxa"/>
          </w:tcPr>
          <w:p w14:paraId="34DA695C"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60</w:t>
            </w:r>
          </w:p>
        </w:tc>
        <w:tc>
          <w:tcPr>
            <w:tcW w:w="725" w:type="dxa"/>
          </w:tcPr>
          <w:p w14:paraId="3A08C830"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1.5</w:t>
            </w:r>
          </w:p>
        </w:tc>
        <w:tc>
          <w:tcPr>
            <w:tcW w:w="1023" w:type="dxa"/>
          </w:tcPr>
          <w:p w14:paraId="7DF4A423"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1.27</w:t>
            </w:r>
          </w:p>
        </w:tc>
        <w:tc>
          <w:tcPr>
            <w:tcW w:w="790" w:type="dxa"/>
          </w:tcPr>
          <w:p w14:paraId="2D49D697"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0.58</w:t>
            </w:r>
          </w:p>
        </w:tc>
        <w:tc>
          <w:tcPr>
            <w:tcW w:w="854" w:type="dxa"/>
          </w:tcPr>
          <w:p w14:paraId="04BA2CB6"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44.40</w:t>
            </w:r>
          </w:p>
        </w:tc>
        <w:tc>
          <w:tcPr>
            <w:tcW w:w="706" w:type="dxa"/>
          </w:tcPr>
          <w:p w14:paraId="7551EB06"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93D82">
              <w:rPr>
                <w:rFonts w:ascii="Calibri" w:hAnsi="Calibri" w:cs="Calibri"/>
                <w:bCs/>
                <w:sz w:val="20"/>
                <w:szCs w:val="20"/>
              </w:rPr>
              <w:t>1.85</w:t>
            </w:r>
          </w:p>
        </w:tc>
      </w:tr>
      <w:tr w:rsidR="003D25CA" w14:paraId="714B7013" w14:textId="77777777" w:rsidTr="00F95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tcPr>
          <w:p w14:paraId="6D1F46B5" w14:textId="77777777" w:rsidR="003D25CA" w:rsidRPr="00593D82" w:rsidRDefault="003D25CA" w:rsidP="00F95399">
            <w:pPr>
              <w:rPr>
                <w:sz w:val="20"/>
                <w:szCs w:val="20"/>
              </w:rPr>
            </w:pPr>
            <w:r w:rsidRPr="00593D82">
              <w:rPr>
                <w:rFonts w:ascii="Calibri" w:eastAsia="Times New Roman" w:hAnsi="Calibri" w:cs="Calibri"/>
                <w:sz w:val="20"/>
                <w:szCs w:val="20"/>
                <w:lang w:val="en-IE" w:eastAsia="en-IE"/>
              </w:rPr>
              <w:t>Co-Processing</w:t>
            </w:r>
          </w:p>
        </w:tc>
        <w:tc>
          <w:tcPr>
            <w:tcW w:w="772" w:type="dxa"/>
          </w:tcPr>
          <w:p w14:paraId="63E87AD9"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6</w:t>
            </w:r>
          </w:p>
        </w:tc>
        <w:tc>
          <w:tcPr>
            <w:tcW w:w="1224" w:type="dxa"/>
          </w:tcPr>
          <w:p w14:paraId="68BDC2A7"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2</w:t>
            </w:r>
          </w:p>
        </w:tc>
        <w:tc>
          <w:tcPr>
            <w:tcW w:w="1131" w:type="dxa"/>
          </w:tcPr>
          <w:p w14:paraId="52E1691E"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729</w:t>
            </w:r>
          </w:p>
        </w:tc>
        <w:tc>
          <w:tcPr>
            <w:tcW w:w="715" w:type="dxa"/>
          </w:tcPr>
          <w:p w14:paraId="2C8A85AE"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60</w:t>
            </w:r>
          </w:p>
        </w:tc>
        <w:tc>
          <w:tcPr>
            <w:tcW w:w="725" w:type="dxa"/>
          </w:tcPr>
          <w:p w14:paraId="59373F9F"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7.8</w:t>
            </w:r>
          </w:p>
        </w:tc>
        <w:tc>
          <w:tcPr>
            <w:tcW w:w="1023" w:type="dxa"/>
          </w:tcPr>
          <w:p w14:paraId="3790A7AE"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2.03</w:t>
            </w:r>
          </w:p>
        </w:tc>
        <w:tc>
          <w:tcPr>
            <w:tcW w:w="790" w:type="dxa"/>
          </w:tcPr>
          <w:p w14:paraId="437D8DC9"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1.63</w:t>
            </w:r>
          </w:p>
        </w:tc>
        <w:tc>
          <w:tcPr>
            <w:tcW w:w="854" w:type="dxa"/>
          </w:tcPr>
          <w:p w14:paraId="42B52E1D"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88.62</w:t>
            </w:r>
          </w:p>
        </w:tc>
        <w:tc>
          <w:tcPr>
            <w:tcW w:w="706" w:type="dxa"/>
          </w:tcPr>
          <w:p w14:paraId="3BB6DD10"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93D82">
              <w:rPr>
                <w:rFonts w:ascii="Calibri" w:hAnsi="Calibri" w:cs="Calibri"/>
                <w:bCs/>
                <w:sz w:val="20"/>
                <w:szCs w:val="20"/>
              </w:rPr>
              <w:t>3.66</w:t>
            </w:r>
          </w:p>
        </w:tc>
      </w:tr>
      <w:tr w:rsidR="003D25CA" w14:paraId="050B1435" w14:textId="77777777" w:rsidTr="00F95399">
        <w:tc>
          <w:tcPr>
            <w:cnfStyle w:val="001000000000" w:firstRow="0" w:lastRow="0" w:firstColumn="1" w:lastColumn="0" w:oddVBand="0" w:evenVBand="0" w:oddHBand="0" w:evenHBand="0" w:firstRowFirstColumn="0" w:firstRowLastColumn="0" w:lastRowFirstColumn="0" w:lastRowLastColumn="0"/>
            <w:tcW w:w="1100" w:type="dxa"/>
          </w:tcPr>
          <w:p w14:paraId="76176AC1" w14:textId="77777777" w:rsidR="003D25CA" w:rsidRPr="00593D82" w:rsidRDefault="003D25CA" w:rsidP="00F95399">
            <w:pPr>
              <w:rPr>
                <w:sz w:val="20"/>
                <w:szCs w:val="20"/>
              </w:rPr>
            </w:pPr>
            <w:r w:rsidRPr="00593D82">
              <w:rPr>
                <w:rFonts w:ascii="Calibri" w:eastAsia="Times New Roman" w:hAnsi="Calibri" w:cs="Calibri"/>
                <w:sz w:val="20"/>
                <w:szCs w:val="20"/>
                <w:lang w:val="en-IE" w:eastAsia="en-IE"/>
              </w:rPr>
              <w:t>Furniture making</w:t>
            </w:r>
          </w:p>
        </w:tc>
        <w:tc>
          <w:tcPr>
            <w:tcW w:w="772" w:type="dxa"/>
          </w:tcPr>
          <w:p w14:paraId="7B677701"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4</w:t>
            </w:r>
          </w:p>
        </w:tc>
        <w:tc>
          <w:tcPr>
            <w:tcW w:w="1224" w:type="dxa"/>
          </w:tcPr>
          <w:p w14:paraId="4B4D5C2C"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2</w:t>
            </w:r>
          </w:p>
        </w:tc>
        <w:tc>
          <w:tcPr>
            <w:tcW w:w="1131" w:type="dxa"/>
          </w:tcPr>
          <w:p w14:paraId="71D5D2BB"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59</w:t>
            </w:r>
          </w:p>
        </w:tc>
        <w:tc>
          <w:tcPr>
            <w:tcW w:w="715" w:type="dxa"/>
          </w:tcPr>
          <w:p w14:paraId="33024C77"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60</w:t>
            </w:r>
          </w:p>
        </w:tc>
        <w:tc>
          <w:tcPr>
            <w:tcW w:w="725" w:type="dxa"/>
          </w:tcPr>
          <w:p w14:paraId="7A3C46DF"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sz w:val="20"/>
                <w:szCs w:val="20"/>
              </w:rPr>
            </w:pPr>
            <w:r w:rsidRPr="00593D82">
              <w:rPr>
                <w:rFonts w:ascii="Calibri" w:hAnsi="Calibri" w:cs="Calibri"/>
                <w:sz w:val="20"/>
                <w:szCs w:val="20"/>
              </w:rPr>
              <w:t>74</w:t>
            </w:r>
          </w:p>
        </w:tc>
        <w:tc>
          <w:tcPr>
            <w:tcW w:w="1023" w:type="dxa"/>
          </w:tcPr>
          <w:p w14:paraId="7577CA73"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0.25</w:t>
            </w:r>
          </w:p>
        </w:tc>
        <w:tc>
          <w:tcPr>
            <w:tcW w:w="790" w:type="dxa"/>
          </w:tcPr>
          <w:p w14:paraId="0F9E9E48"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19.00</w:t>
            </w:r>
          </w:p>
        </w:tc>
        <w:tc>
          <w:tcPr>
            <w:tcW w:w="854" w:type="dxa"/>
          </w:tcPr>
          <w:p w14:paraId="532AF76A"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486.24</w:t>
            </w:r>
          </w:p>
        </w:tc>
        <w:tc>
          <w:tcPr>
            <w:tcW w:w="706" w:type="dxa"/>
          </w:tcPr>
          <w:p w14:paraId="32626D62" w14:textId="77777777" w:rsidR="003D25CA" w:rsidRPr="00593D82" w:rsidRDefault="003D25CA" w:rsidP="00F9539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93D82">
              <w:rPr>
                <w:rFonts w:ascii="Calibri" w:hAnsi="Calibri" w:cs="Calibri"/>
                <w:bCs/>
                <w:sz w:val="20"/>
                <w:szCs w:val="20"/>
              </w:rPr>
              <w:t>19.25</w:t>
            </w:r>
          </w:p>
        </w:tc>
      </w:tr>
      <w:tr w:rsidR="003D25CA" w14:paraId="679E4666" w14:textId="77777777" w:rsidTr="00F95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0" w:type="dxa"/>
            <w:tcBorders>
              <w:bottom w:val="single" w:sz="4" w:space="0" w:color="auto"/>
            </w:tcBorders>
          </w:tcPr>
          <w:p w14:paraId="1512F34C" w14:textId="77777777" w:rsidR="003D25CA" w:rsidRPr="00593D82" w:rsidRDefault="003D25CA" w:rsidP="00F95399">
            <w:pPr>
              <w:rPr>
                <w:sz w:val="20"/>
                <w:szCs w:val="20"/>
              </w:rPr>
            </w:pPr>
            <w:r w:rsidRPr="00593D82">
              <w:rPr>
                <w:rFonts w:ascii="Calibri" w:eastAsia="Times New Roman" w:hAnsi="Calibri" w:cs="Calibri"/>
                <w:sz w:val="20"/>
                <w:szCs w:val="20"/>
                <w:lang w:val="en-IE" w:eastAsia="en-IE"/>
              </w:rPr>
              <w:t>Bridge fabrication</w:t>
            </w:r>
          </w:p>
        </w:tc>
        <w:tc>
          <w:tcPr>
            <w:tcW w:w="772" w:type="dxa"/>
            <w:tcBorders>
              <w:bottom w:val="single" w:sz="4" w:space="0" w:color="auto"/>
            </w:tcBorders>
          </w:tcPr>
          <w:p w14:paraId="130C6D60"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4</w:t>
            </w:r>
          </w:p>
        </w:tc>
        <w:tc>
          <w:tcPr>
            <w:tcW w:w="1224" w:type="dxa"/>
            <w:tcBorders>
              <w:bottom w:val="single" w:sz="4" w:space="0" w:color="auto"/>
            </w:tcBorders>
          </w:tcPr>
          <w:p w14:paraId="5ECCA948"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3</w:t>
            </w:r>
          </w:p>
        </w:tc>
        <w:tc>
          <w:tcPr>
            <w:tcW w:w="1131" w:type="dxa"/>
            <w:tcBorders>
              <w:bottom w:val="single" w:sz="4" w:space="0" w:color="auto"/>
            </w:tcBorders>
          </w:tcPr>
          <w:p w14:paraId="6C870BD7"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59</w:t>
            </w:r>
          </w:p>
        </w:tc>
        <w:tc>
          <w:tcPr>
            <w:tcW w:w="715" w:type="dxa"/>
            <w:tcBorders>
              <w:bottom w:val="single" w:sz="4" w:space="0" w:color="auto"/>
            </w:tcBorders>
          </w:tcPr>
          <w:p w14:paraId="13DE2B66"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30</w:t>
            </w:r>
          </w:p>
        </w:tc>
        <w:tc>
          <w:tcPr>
            <w:tcW w:w="725" w:type="dxa"/>
            <w:tcBorders>
              <w:bottom w:val="single" w:sz="4" w:space="0" w:color="auto"/>
            </w:tcBorders>
          </w:tcPr>
          <w:p w14:paraId="4D3397EF"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sz w:val="20"/>
                <w:szCs w:val="20"/>
              </w:rPr>
            </w:pPr>
            <w:r w:rsidRPr="00593D82">
              <w:rPr>
                <w:rFonts w:ascii="Calibri" w:hAnsi="Calibri" w:cs="Calibri"/>
                <w:sz w:val="20"/>
                <w:szCs w:val="20"/>
              </w:rPr>
              <w:t>74</w:t>
            </w:r>
          </w:p>
        </w:tc>
        <w:tc>
          <w:tcPr>
            <w:tcW w:w="1023" w:type="dxa"/>
            <w:tcBorders>
              <w:bottom w:val="single" w:sz="4" w:space="0" w:color="auto"/>
            </w:tcBorders>
          </w:tcPr>
          <w:p w14:paraId="4F588849"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0.49</w:t>
            </w:r>
          </w:p>
        </w:tc>
        <w:tc>
          <w:tcPr>
            <w:tcW w:w="790" w:type="dxa"/>
            <w:tcBorders>
              <w:bottom w:val="single" w:sz="4" w:space="0" w:color="auto"/>
            </w:tcBorders>
          </w:tcPr>
          <w:p w14:paraId="127137E8"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19.25</w:t>
            </w:r>
          </w:p>
        </w:tc>
        <w:tc>
          <w:tcPr>
            <w:tcW w:w="854" w:type="dxa"/>
            <w:tcBorders>
              <w:bottom w:val="single" w:sz="4" w:space="0" w:color="auto"/>
            </w:tcBorders>
          </w:tcPr>
          <w:p w14:paraId="1C7A7B87"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93D82">
              <w:rPr>
                <w:rFonts w:ascii="Calibri" w:hAnsi="Calibri" w:cs="Calibri"/>
                <w:sz w:val="20"/>
                <w:szCs w:val="20"/>
              </w:rPr>
              <w:t>498.29</w:t>
            </w:r>
          </w:p>
        </w:tc>
        <w:tc>
          <w:tcPr>
            <w:tcW w:w="706" w:type="dxa"/>
            <w:tcBorders>
              <w:bottom w:val="single" w:sz="4" w:space="0" w:color="auto"/>
            </w:tcBorders>
          </w:tcPr>
          <w:p w14:paraId="21E19F05" w14:textId="77777777" w:rsidR="003D25CA" w:rsidRPr="00593D82" w:rsidRDefault="003D25CA" w:rsidP="00F95399">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93D82">
              <w:rPr>
                <w:rFonts w:ascii="Calibri" w:hAnsi="Calibri" w:cs="Calibri"/>
                <w:bCs/>
                <w:sz w:val="20"/>
                <w:szCs w:val="20"/>
              </w:rPr>
              <w:t>19.74</w:t>
            </w:r>
          </w:p>
        </w:tc>
      </w:tr>
    </w:tbl>
    <w:p w14:paraId="3DFFB11D" w14:textId="77777777" w:rsidR="003D25CA" w:rsidRDefault="003D25CA" w:rsidP="003D25CA"/>
    <w:p w14:paraId="153A7B42" w14:textId="77777777" w:rsidR="003D25CA" w:rsidRPr="00593D82" w:rsidRDefault="003D25CA" w:rsidP="003D25CA">
      <w:r w:rsidRPr="00593D82">
        <w:t>Prep.: Time in hours includes onsite cutting or chopping as well as loading and unloading. Bridge fabrication takes longer as the pieces of blade used are much longer and slower to move by road.</w:t>
      </w:r>
    </w:p>
    <w:p w14:paraId="7F973EA8" w14:textId="77777777" w:rsidR="003D25CA" w:rsidRPr="00593D82" w:rsidRDefault="003D25CA" w:rsidP="003D25CA">
      <w:pPr>
        <w:rPr>
          <w:rFonts w:ascii="Calibri" w:hAnsi="Calibri" w:cs="Calibri"/>
          <w:sz w:val="20"/>
          <w:szCs w:val="20"/>
        </w:rPr>
      </w:pPr>
      <w:r w:rsidRPr="00593D82">
        <w:t xml:space="preserve">Distance: Distance is in km, </w:t>
      </w:r>
      <w:r w:rsidRPr="00593D82">
        <w:rPr>
          <w:rFonts w:ascii="Calibri" w:hAnsi="Calibri" w:cs="Calibri"/>
          <w:sz w:val="20"/>
          <w:szCs w:val="20"/>
        </w:rPr>
        <w:t>by lorry includes travel to location of work and travel to and from a local town where a lorry may be expected to be based. For Furniture making and Bridge fabrication it is assumed that the same local town is where the work is done and where the lorry is kept. Distances are estimated from GIS.</w:t>
      </w:r>
    </w:p>
    <w:p w14:paraId="684BAF43" w14:textId="77777777" w:rsidR="003D25CA" w:rsidRPr="00593D82" w:rsidRDefault="003D25CA" w:rsidP="003D25CA">
      <w:r w:rsidRPr="00593D82">
        <w:t>Work: Work time in hours includes the time spent on the substantial work as well as administration for the facility where the work is carried out.</w:t>
      </w:r>
    </w:p>
    <w:p w14:paraId="3A8F7D79" w14:textId="77777777" w:rsidR="003D25CA" w:rsidRPr="00593D82" w:rsidRDefault="003D25CA" w:rsidP="003D25CA">
      <w:r w:rsidRPr="00593D82">
        <w:t xml:space="preserve">Salaries: Salary in Euro per tonne use the information from the CSO </w:t>
      </w:r>
      <w:r w:rsidRPr="00593D82">
        <w:fldChar w:fldCharType="begin" w:fldLock="1"/>
      </w:r>
      <w:r w:rsidRPr="00593D82">
        <w:instrText>ADDIN CSL_CITATION {"citationItems":[{"id":"ITEM-1","itemData":{"URL":"https://www.cso.ie/en/releasesandpublications/er/elcq/earningsandlabourcostsq42019finalq12020preliminaryestimates/","accessed":{"date-parts":[["2020","6","1"]]},"author":[{"dropping-particle":"","family":"CSO","given":"","non-dropping-particle":"","parse-names":false,"suffix":""}],"container-title":"Central Statistics Office (Ireland)","id":"ITEM-1","issued":{"date-parts":[["2020"]]},"title":"Earnings and Labour Costs Quarterly: Q4 2019 (Final) Q1 2020 (Preliminary Estimates)","type":"webpage"},"uris":["http://www.mendeley.com/documents/?uuid=0a2b2661-4b53-457c-95ff-805d3120b48e","http://www.mendeley.com/documents/?uuid=8c513b7e-18ad-4109-904e-cc58384ddf61"]}],"mendeley":{"formattedCitation":"(CSO, 2020a)","plainTextFormattedCitation":"(CSO, 2020a)","previouslyFormattedCitation":"(CSO, 2020a)"},"properties":{"noteIndex":0},"schema":"https://github.com/citation-style-language/schema/raw/master/csl-citation.json"}</w:instrText>
      </w:r>
      <w:r w:rsidRPr="00593D82">
        <w:fldChar w:fldCharType="separate"/>
      </w:r>
      <w:r w:rsidRPr="00593D82">
        <w:rPr>
          <w:noProof/>
        </w:rPr>
        <w:t>(CSO, 2020a)</w:t>
      </w:r>
      <w:r w:rsidRPr="00593D82">
        <w:fldChar w:fldCharType="end"/>
      </w:r>
      <w:r w:rsidRPr="00593D82">
        <w:t>.</w:t>
      </w:r>
    </w:p>
    <w:p w14:paraId="2DCD6685" w14:textId="77777777" w:rsidR="003D25CA" w:rsidRDefault="003D25CA" w:rsidP="003D25CA">
      <w:pPr>
        <w:pStyle w:val="Heading2"/>
        <w:numPr>
          <w:ilvl w:val="0"/>
          <w:numId w:val="0"/>
        </w:numPr>
      </w:pPr>
      <w:bookmarkStart w:id="11" w:name="_Toc60416167"/>
      <w:bookmarkStart w:id="12" w:name="_Toc61869231"/>
      <w:r>
        <w:t>Education Level</w:t>
      </w:r>
      <w:bookmarkEnd w:id="11"/>
      <w:bookmarkEnd w:id="12"/>
    </w:p>
    <w:p w14:paraId="3BE2D4CF" w14:textId="77777777" w:rsidR="003D25CA" w:rsidRDefault="003D25CA" w:rsidP="003D25CA">
      <w:r>
        <w:t xml:space="preserve">Based on the Irish Census of 2016 with the scoring of 1 for primary, 2 lower secondary, 3 upper secondary, 4 Technical / Vocational qualification, 5 Advanced Certificate, 6 Higher Certificate, 7 Ordinary Bachelor Degree, 8 Honours Degree, 9 Post graduate degree, 10 Doctoral degree, the calculations for mean </w:t>
      </w:r>
      <w:r w:rsidRPr="002230EF">
        <w:rPr>
          <w:i/>
        </w:rPr>
        <w:t>Educational Levels</w:t>
      </w:r>
      <w:r>
        <w:t xml:space="preserve"> </w:t>
      </w:r>
      <w:r w:rsidRPr="00593D82">
        <w:t xml:space="preserve">weighted by population within each employment category are presented in </w:t>
      </w:r>
      <w:r w:rsidRPr="00593D82">
        <w:fldChar w:fldCharType="begin"/>
      </w:r>
      <w:r w:rsidRPr="00593D82">
        <w:instrText xml:space="preserve"> REF _Ref51062231 \h  \* MERGEFORMAT </w:instrText>
      </w:r>
      <w:r w:rsidRPr="00593D82">
        <w:fldChar w:fldCharType="separate"/>
      </w:r>
      <w:r w:rsidRPr="00593D82">
        <w:t>Table 9</w:t>
      </w:r>
      <w:r w:rsidRPr="00593D82">
        <w:fldChar w:fldCharType="end"/>
      </w:r>
      <w:r w:rsidRPr="00593D82">
        <w:t xml:space="preserve"> and </w:t>
      </w:r>
      <w:r w:rsidRPr="00593D82">
        <w:fldChar w:fldCharType="begin"/>
      </w:r>
      <w:r w:rsidRPr="00593D82">
        <w:instrText xml:space="preserve"> REF _Ref51062231 \h </w:instrText>
      </w:r>
      <w:r w:rsidRPr="00593D82">
        <w:fldChar w:fldCharType="separate"/>
      </w:r>
      <w:r w:rsidRPr="00593D82">
        <w:t xml:space="preserve">Table </w:t>
      </w:r>
      <w:r w:rsidRPr="00593D82">
        <w:rPr>
          <w:noProof/>
        </w:rPr>
        <w:t>10</w:t>
      </w:r>
      <w:r w:rsidRPr="00593D82">
        <w:fldChar w:fldCharType="end"/>
      </w:r>
      <w:r w:rsidRPr="00593D82">
        <w:t xml:space="preserve"> </w:t>
      </w:r>
      <w:r w:rsidRPr="00593D82">
        <w:rPr>
          <w:shd w:val="clear" w:color="auto" w:fill="E6E6E6"/>
        </w:rPr>
        <w:fldChar w:fldCharType="begin" w:fldLock="1"/>
      </w:r>
      <w:r w:rsidRPr="00593D82">
        <w:instrText>ADDIN CSL_CITATION {"citationItems":[{"id":"ITEM-1","itemData":{"URL":"https://statbank.cso.ie/px/pxeirestat/Statire/SelectVarVal/Define.asp?maintable=EB049&amp;PLanguage=0","accessed":{"date-parts":[["2020","6","1"]]},"author":[{"dropping-particle":"","family":"CSO","given":"","non-dropping-particle":"","parse-names":false,"suffix":""}],"container-title":"Central Statistics Office (Ireland)","id":"ITEM-1","issued":{"date-parts":[["2020"]]},"title":"EB049: Population Aged 15 Years and Over in the Labour Force 2011 to 2016 by County and City, Detailed Occupational Group and CensusYear","type":"webpage"},"uris":["http://www.mendeley.com/documents/?uuid=bdb660e9-d8e1-47bc-b7ca-f2e2496fd593","http://www.mendeley.com/documents/?uuid=9f67f91c-dca4-4e1f-befb-e6cded8f086d"]}],"mendeley":{"formattedCitation":"(CSO, 2020b)","plainTextFormattedCitation":"(CSO, 2020b)","previouslyFormattedCitation":"(CSO, 2020b)"},"properties":{"noteIndex":0},"schema":"https://github.com/citation-style-language/schema/raw/master/csl-citation.json"}</w:instrText>
      </w:r>
      <w:r w:rsidRPr="00593D82">
        <w:rPr>
          <w:shd w:val="clear" w:color="auto" w:fill="E6E6E6"/>
        </w:rPr>
        <w:fldChar w:fldCharType="separate"/>
      </w:r>
      <w:r w:rsidRPr="00593D82">
        <w:rPr>
          <w:noProof/>
        </w:rPr>
        <w:t>(CSO, 2020b)</w:t>
      </w:r>
      <w:r w:rsidRPr="00593D82">
        <w:rPr>
          <w:shd w:val="clear" w:color="auto" w:fill="E6E6E6"/>
        </w:rPr>
        <w:fldChar w:fldCharType="end"/>
      </w:r>
      <w:r>
        <w:t xml:space="preserve">. </w:t>
      </w:r>
    </w:p>
    <w:p w14:paraId="080AD089" w14:textId="77777777" w:rsidR="003D25CA" w:rsidRDefault="003D25CA" w:rsidP="003D25CA">
      <w:pPr>
        <w:pStyle w:val="Caption"/>
        <w:keepNext/>
      </w:pPr>
      <w:r>
        <w:t xml:space="preserve">Table </w:t>
      </w:r>
      <w:r w:rsidR="001A1B21">
        <w:t>9</w:t>
      </w:r>
      <w:r>
        <w:t xml:space="preserve"> Education Levels</w:t>
      </w:r>
    </w:p>
    <w:tbl>
      <w:tblPr>
        <w:tblW w:w="15451" w:type="dxa"/>
        <w:tblLook w:val="04A0" w:firstRow="1" w:lastRow="0" w:firstColumn="1" w:lastColumn="0" w:noHBand="0" w:noVBand="1"/>
      </w:tblPr>
      <w:tblGrid>
        <w:gridCol w:w="1051"/>
        <w:gridCol w:w="162"/>
        <w:gridCol w:w="384"/>
        <w:gridCol w:w="581"/>
        <w:gridCol w:w="662"/>
        <w:gridCol w:w="662"/>
        <w:gridCol w:w="609"/>
        <w:gridCol w:w="240"/>
        <w:gridCol w:w="422"/>
        <w:gridCol w:w="581"/>
        <w:gridCol w:w="19"/>
        <w:gridCol w:w="562"/>
        <w:gridCol w:w="581"/>
        <w:gridCol w:w="581"/>
        <w:gridCol w:w="192"/>
        <w:gridCol w:w="268"/>
        <w:gridCol w:w="743"/>
        <w:gridCol w:w="704"/>
        <w:gridCol w:w="594"/>
        <w:gridCol w:w="236"/>
        <w:gridCol w:w="236"/>
        <w:gridCol w:w="717"/>
        <w:gridCol w:w="967"/>
        <w:gridCol w:w="717"/>
        <w:gridCol w:w="674"/>
        <w:gridCol w:w="1153"/>
        <w:gridCol w:w="1153"/>
      </w:tblGrid>
      <w:tr w:rsidR="003D25CA" w:rsidRPr="002D6B31" w14:paraId="6D8DB47E" w14:textId="77777777" w:rsidTr="00F95399">
        <w:trPr>
          <w:trHeight w:val="481"/>
        </w:trPr>
        <w:tc>
          <w:tcPr>
            <w:tcW w:w="1213" w:type="dxa"/>
            <w:gridSpan w:val="2"/>
            <w:tcBorders>
              <w:top w:val="nil"/>
              <w:left w:val="nil"/>
              <w:bottom w:val="single" w:sz="4" w:space="0" w:color="auto"/>
              <w:right w:val="nil"/>
            </w:tcBorders>
            <w:shd w:val="clear" w:color="auto" w:fill="auto"/>
            <w:noWrap/>
            <w:vAlign w:val="bottom"/>
            <w:hideMark/>
          </w:tcPr>
          <w:p w14:paraId="21EEC840" w14:textId="77777777" w:rsidR="003D25CA" w:rsidRPr="002D6B31" w:rsidRDefault="003D25CA" w:rsidP="00F95399">
            <w:pPr>
              <w:spacing w:after="0" w:line="240" w:lineRule="auto"/>
              <w:jc w:val="right"/>
              <w:rPr>
                <w:rFonts w:ascii="Calibri" w:eastAsia="Times New Roman" w:hAnsi="Calibri" w:cs="Calibri"/>
                <w:color w:val="000000"/>
                <w:sz w:val="18"/>
                <w:szCs w:val="18"/>
                <w:lang w:val="en-IE" w:eastAsia="en-IE"/>
              </w:rPr>
            </w:pPr>
          </w:p>
        </w:tc>
        <w:tc>
          <w:tcPr>
            <w:tcW w:w="965" w:type="dxa"/>
            <w:gridSpan w:val="2"/>
            <w:tcBorders>
              <w:top w:val="nil"/>
              <w:left w:val="nil"/>
              <w:bottom w:val="single" w:sz="4" w:space="0" w:color="auto"/>
              <w:right w:val="nil"/>
            </w:tcBorders>
            <w:shd w:val="clear" w:color="auto" w:fill="auto"/>
            <w:noWrap/>
            <w:vAlign w:val="bottom"/>
          </w:tcPr>
          <w:p w14:paraId="608506BB" w14:textId="77777777" w:rsidR="003D25CA" w:rsidRPr="002D6B31" w:rsidRDefault="003D25CA" w:rsidP="00F95399">
            <w:pPr>
              <w:spacing w:after="0" w:line="240" w:lineRule="auto"/>
              <w:jc w:val="right"/>
              <w:rPr>
                <w:rFonts w:ascii="Calibri" w:eastAsia="Times New Roman" w:hAnsi="Calibri" w:cs="Calibri"/>
                <w:color w:val="000000"/>
                <w:sz w:val="18"/>
                <w:szCs w:val="18"/>
                <w:lang w:val="en-IE" w:eastAsia="en-IE"/>
              </w:rPr>
            </w:pPr>
          </w:p>
        </w:tc>
        <w:tc>
          <w:tcPr>
            <w:tcW w:w="2173" w:type="dxa"/>
            <w:gridSpan w:val="4"/>
            <w:tcBorders>
              <w:top w:val="nil"/>
              <w:left w:val="nil"/>
              <w:bottom w:val="single" w:sz="4" w:space="0" w:color="auto"/>
              <w:right w:val="nil"/>
            </w:tcBorders>
            <w:shd w:val="clear" w:color="auto" w:fill="auto"/>
            <w:noWrap/>
            <w:vAlign w:val="bottom"/>
          </w:tcPr>
          <w:p w14:paraId="6A6018B6" w14:textId="77777777" w:rsidR="003D25CA" w:rsidRPr="002D6B31" w:rsidRDefault="003D25CA" w:rsidP="00F95399">
            <w:pPr>
              <w:spacing w:after="0" w:line="240" w:lineRule="auto"/>
              <w:jc w:val="right"/>
              <w:rPr>
                <w:rFonts w:ascii="Calibri" w:eastAsia="Times New Roman" w:hAnsi="Calibri" w:cs="Calibri"/>
                <w:color w:val="000000"/>
                <w:sz w:val="18"/>
                <w:szCs w:val="18"/>
                <w:lang w:val="en-IE" w:eastAsia="en-IE"/>
              </w:rPr>
            </w:pPr>
          </w:p>
        </w:tc>
        <w:tc>
          <w:tcPr>
            <w:tcW w:w="1022" w:type="dxa"/>
            <w:gridSpan w:val="3"/>
            <w:tcBorders>
              <w:top w:val="nil"/>
              <w:left w:val="nil"/>
              <w:bottom w:val="single" w:sz="4" w:space="0" w:color="auto"/>
              <w:right w:val="nil"/>
            </w:tcBorders>
            <w:shd w:val="clear" w:color="auto" w:fill="auto"/>
            <w:noWrap/>
            <w:vAlign w:val="bottom"/>
          </w:tcPr>
          <w:p w14:paraId="03A0E3B9" w14:textId="77777777" w:rsidR="003D25CA" w:rsidRPr="002D6B31" w:rsidRDefault="003D25CA" w:rsidP="00F95399">
            <w:pPr>
              <w:spacing w:after="0" w:line="240" w:lineRule="auto"/>
              <w:jc w:val="right"/>
              <w:rPr>
                <w:rFonts w:ascii="Calibri" w:eastAsia="Times New Roman" w:hAnsi="Calibri" w:cs="Calibri"/>
                <w:color w:val="000000"/>
                <w:sz w:val="18"/>
                <w:szCs w:val="18"/>
                <w:lang w:val="en-IE" w:eastAsia="en-IE"/>
              </w:rPr>
            </w:pPr>
          </w:p>
        </w:tc>
        <w:tc>
          <w:tcPr>
            <w:tcW w:w="1916" w:type="dxa"/>
            <w:gridSpan w:val="4"/>
            <w:tcBorders>
              <w:top w:val="nil"/>
              <w:left w:val="nil"/>
              <w:bottom w:val="single" w:sz="4" w:space="0" w:color="auto"/>
              <w:right w:val="nil"/>
            </w:tcBorders>
            <w:shd w:val="clear" w:color="auto" w:fill="auto"/>
            <w:noWrap/>
            <w:vAlign w:val="bottom"/>
          </w:tcPr>
          <w:p w14:paraId="4E4CEF5F" w14:textId="77777777" w:rsidR="003D25CA" w:rsidRPr="002D6B31" w:rsidRDefault="003D25CA" w:rsidP="00F95399">
            <w:pPr>
              <w:spacing w:after="0" w:line="240" w:lineRule="auto"/>
              <w:jc w:val="right"/>
              <w:rPr>
                <w:rFonts w:ascii="Calibri" w:eastAsia="Times New Roman" w:hAnsi="Calibri" w:cs="Calibri"/>
                <w:color w:val="000000"/>
                <w:sz w:val="18"/>
                <w:szCs w:val="18"/>
                <w:lang w:val="en-IE" w:eastAsia="en-IE"/>
              </w:rPr>
            </w:pPr>
          </w:p>
        </w:tc>
        <w:tc>
          <w:tcPr>
            <w:tcW w:w="2309" w:type="dxa"/>
            <w:gridSpan w:val="4"/>
            <w:tcBorders>
              <w:top w:val="nil"/>
              <w:left w:val="nil"/>
              <w:bottom w:val="single" w:sz="4" w:space="0" w:color="auto"/>
              <w:right w:val="nil"/>
            </w:tcBorders>
            <w:shd w:val="clear" w:color="auto" w:fill="auto"/>
            <w:noWrap/>
            <w:vAlign w:val="bottom"/>
          </w:tcPr>
          <w:p w14:paraId="7887EE11" w14:textId="77777777" w:rsidR="003D25CA" w:rsidRPr="002D6B31" w:rsidRDefault="003D25CA" w:rsidP="00F95399">
            <w:pPr>
              <w:spacing w:after="0" w:line="240" w:lineRule="auto"/>
              <w:jc w:val="right"/>
              <w:rPr>
                <w:rFonts w:ascii="Calibri" w:eastAsia="Times New Roman" w:hAnsi="Calibri" w:cs="Calibri"/>
                <w:color w:val="000000"/>
                <w:sz w:val="18"/>
                <w:szCs w:val="18"/>
                <w:lang w:val="en-IE" w:eastAsia="en-IE"/>
              </w:rPr>
            </w:pPr>
          </w:p>
        </w:tc>
        <w:tc>
          <w:tcPr>
            <w:tcW w:w="236" w:type="dxa"/>
            <w:tcBorders>
              <w:top w:val="nil"/>
              <w:left w:val="nil"/>
              <w:bottom w:val="nil"/>
              <w:right w:val="nil"/>
            </w:tcBorders>
            <w:shd w:val="clear" w:color="auto" w:fill="auto"/>
            <w:noWrap/>
            <w:vAlign w:val="bottom"/>
          </w:tcPr>
          <w:p w14:paraId="11C50B39" w14:textId="77777777" w:rsidR="003D25CA" w:rsidRPr="002D6B31" w:rsidRDefault="003D25CA" w:rsidP="00F95399">
            <w:pPr>
              <w:spacing w:after="0" w:line="240" w:lineRule="auto"/>
              <w:jc w:val="right"/>
              <w:rPr>
                <w:rFonts w:ascii="Calibri" w:eastAsia="Times New Roman" w:hAnsi="Calibri" w:cs="Calibri"/>
                <w:color w:val="000000"/>
                <w:sz w:val="18"/>
                <w:szCs w:val="18"/>
                <w:lang w:val="en-IE" w:eastAsia="en-IE"/>
              </w:rPr>
            </w:pPr>
          </w:p>
        </w:tc>
        <w:tc>
          <w:tcPr>
            <w:tcW w:w="236" w:type="dxa"/>
            <w:tcBorders>
              <w:top w:val="nil"/>
              <w:left w:val="nil"/>
              <w:bottom w:val="nil"/>
              <w:right w:val="nil"/>
            </w:tcBorders>
            <w:shd w:val="clear" w:color="auto" w:fill="auto"/>
            <w:noWrap/>
            <w:vAlign w:val="bottom"/>
          </w:tcPr>
          <w:p w14:paraId="4F4C45B9" w14:textId="77777777" w:rsidR="003D25CA" w:rsidRPr="002D6B31" w:rsidRDefault="003D25CA" w:rsidP="00F95399">
            <w:pPr>
              <w:spacing w:after="0" w:line="240" w:lineRule="auto"/>
              <w:jc w:val="right"/>
              <w:rPr>
                <w:rFonts w:ascii="Calibri" w:eastAsia="Times New Roman" w:hAnsi="Calibri" w:cs="Calibri"/>
                <w:color w:val="000000"/>
                <w:lang w:val="en-IE" w:eastAsia="en-IE"/>
              </w:rPr>
            </w:pPr>
          </w:p>
        </w:tc>
        <w:tc>
          <w:tcPr>
            <w:tcW w:w="717" w:type="dxa"/>
            <w:tcBorders>
              <w:top w:val="nil"/>
              <w:left w:val="nil"/>
              <w:bottom w:val="nil"/>
              <w:right w:val="nil"/>
            </w:tcBorders>
            <w:shd w:val="clear" w:color="auto" w:fill="auto"/>
            <w:noWrap/>
            <w:vAlign w:val="bottom"/>
          </w:tcPr>
          <w:p w14:paraId="3C1BB701" w14:textId="77777777" w:rsidR="003D25CA" w:rsidRPr="002D6B31" w:rsidRDefault="003D25CA" w:rsidP="00F95399">
            <w:pPr>
              <w:spacing w:after="0" w:line="240" w:lineRule="auto"/>
              <w:jc w:val="right"/>
              <w:rPr>
                <w:rFonts w:ascii="Calibri" w:eastAsia="Times New Roman" w:hAnsi="Calibri" w:cs="Calibri"/>
                <w:color w:val="000000"/>
                <w:lang w:val="en-IE" w:eastAsia="en-IE"/>
              </w:rPr>
            </w:pPr>
          </w:p>
        </w:tc>
        <w:tc>
          <w:tcPr>
            <w:tcW w:w="967" w:type="dxa"/>
            <w:tcBorders>
              <w:top w:val="nil"/>
              <w:left w:val="nil"/>
              <w:bottom w:val="nil"/>
              <w:right w:val="nil"/>
            </w:tcBorders>
            <w:shd w:val="clear" w:color="auto" w:fill="auto"/>
            <w:noWrap/>
            <w:vAlign w:val="bottom"/>
          </w:tcPr>
          <w:p w14:paraId="0E487151" w14:textId="77777777" w:rsidR="003D25CA" w:rsidRPr="002D6B31" w:rsidRDefault="003D25CA" w:rsidP="00F95399">
            <w:pPr>
              <w:spacing w:after="0" w:line="240" w:lineRule="auto"/>
              <w:jc w:val="right"/>
              <w:rPr>
                <w:rFonts w:ascii="Calibri" w:eastAsia="Times New Roman" w:hAnsi="Calibri" w:cs="Calibri"/>
                <w:color w:val="000000"/>
                <w:lang w:val="en-IE" w:eastAsia="en-IE"/>
              </w:rPr>
            </w:pPr>
          </w:p>
        </w:tc>
        <w:tc>
          <w:tcPr>
            <w:tcW w:w="717" w:type="dxa"/>
            <w:tcBorders>
              <w:top w:val="nil"/>
              <w:left w:val="nil"/>
              <w:bottom w:val="nil"/>
              <w:right w:val="nil"/>
            </w:tcBorders>
            <w:shd w:val="clear" w:color="auto" w:fill="auto"/>
            <w:noWrap/>
            <w:vAlign w:val="bottom"/>
          </w:tcPr>
          <w:p w14:paraId="0C2FDCA3" w14:textId="77777777" w:rsidR="003D25CA" w:rsidRPr="002D6B31" w:rsidRDefault="003D25CA" w:rsidP="00F95399">
            <w:pPr>
              <w:spacing w:after="0" w:line="240" w:lineRule="auto"/>
              <w:jc w:val="right"/>
              <w:rPr>
                <w:rFonts w:ascii="Calibri" w:eastAsia="Times New Roman" w:hAnsi="Calibri" w:cs="Calibri"/>
                <w:color w:val="000000"/>
                <w:lang w:val="en-IE" w:eastAsia="en-IE"/>
              </w:rPr>
            </w:pPr>
          </w:p>
        </w:tc>
        <w:tc>
          <w:tcPr>
            <w:tcW w:w="674" w:type="dxa"/>
            <w:tcBorders>
              <w:top w:val="nil"/>
              <w:left w:val="nil"/>
              <w:bottom w:val="nil"/>
              <w:right w:val="nil"/>
            </w:tcBorders>
            <w:shd w:val="clear" w:color="auto" w:fill="auto"/>
            <w:noWrap/>
            <w:vAlign w:val="bottom"/>
          </w:tcPr>
          <w:p w14:paraId="23301323" w14:textId="77777777" w:rsidR="003D25CA" w:rsidRPr="002D6B31" w:rsidRDefault="003D25CA" w:rsidP="00F95399">
            <w:pPr>
              <w:spacing w:after="0" w:line="240" w:lineRule="auto"/>
              <w:jc w:val="right"/>
              <w:rPr>
                <w:rFonts w:ascii="Calibri" w:eastAsia="Times New Roman" w:hAnsi="Calibri" w:cs="Calibri"/>
                <w:color w:val="000000"/>
                <w:lang w:val="en-IE" w:eastAsia="en-IE"/>
              </w:rPr>
            </w:pPr>
          </w:p>
        </w:tc>
        <w:tc>
          <w:tcPr>
            <w:tcW w:w="1153" w:type="dxa"/>
            <w:tcBorders>
              <w:top w:val="nil"/>
              <w:left w:val="nil"/>
              <w:bottom w:val="nil"/>
              <w:right w:val="nil"/>
            </w:tcBorders>
            <w:shd w:val="clear" w:color="auto" w:fill="auto"/>
            <w:noWrap/>
            <w:vAlign w:val="bottom"/>
            <w:hideMark/>
          </w:tcPr>
          <w:p w14:paraId="065AE8DB" w14:textId="77777777" w:rsidR="003D25CA" w:rsidRPr="002D6B31" w:rsidRDefault="003D25CA" w:rsidP="00F95399">
            <w:pPr>
              <w:spacing w:after="0" w:line="240" w:lineRule="auto"/>
              <w:rPr>
                <w:rFonts w:ascii="Calibri" w:eastAsia="Times New Roman" w:hAnsi="Calibri" w:cs="Calibri"/>
                <w:color w:val="000000"/>
                <w:lang w:val="en-IE" w:eastAsia="en-IE"/>
              </w:rPr>
            </w:pPr>
          </w:p>
        </w:tc>
        <w:tc>
          <w:tcPr>
            <w:tcW w:w="1153" w:type="dxa"/>
            <w:tcBorders>
              <w:top w:val="nil"/>
              <w:left w:val="nil"/>
              <w:bottom w:val="nil"/>
              <w:right w:val="nil"/>
            </w:tcBorders>
            <w:shd w:val="clear" w:color="auto" w:fill="auto"/>
            <w:noWrap/>
            <w:vAlign w:val="bottom"/>
            <w:hideMark/>
          </w:tcPr>
          <w:p w14:paraId="68A3C371" w14:textId="77777777" w:rsidR="003D25CA" w:rsidRPr="002D6B31" w:rsidRDefault="003D25CA" w:rsidP="00F95399">
            <w:pPr>
              <w:spacing w:after="0" w:line="240" w:lineRule="auto"/>
              <w:rPr>
                <w:rFonts w:ascii="Calibri" w:eastAsia="Times New Roman" w:hAnsi="Calibri" w:cs="Calibri"/>
                <w:color w:val="000000"/>
                <w:lang w:val="en-IE" w:eastAsia="en-IE"/>
              </w:rPr>
            </w:pPr>
          </w:p>
        </w:tc>
      </w:tr>
      <w:tr w:rsidR="003D25CA" w:rsidRPr="0009105E" w14:paraId="395F8F3D" w14:textId="77777777" w:rsidTr="00F95399">
        <w:trPr>
          <w:gridAfter w:val="8"/>
          <w:wAfter w:w="5853" w:type="dxa"/>
          <w:trHeight w:val="300"/>
        </w:trPr>
        <w:tc>
          <w:tcPr>
            <w:tcW w:w="1051" w:type="dxa"/>
            <w:tcBorders>
              <w:top w:val="single" w:sz="4" w:space="0" w:color="auto"/>
              <w:bottom w:val="single" w:sz="4" w:space="0" w:color="auto"/>
            </w:tcBorders>
            <w:shd w:val="clear" w:color="auto" w:fill="auto"/>
            <w:noWrap/>
            <w:vAlign w:val="bottom"/>
          </w:tcPr>
          <w:p w14:paraId="70523BEF" w14:textId="77777777" w:rsidR="003D25CA" w:rsidRPr="00593D82" w:rsidRDefault="003D25CA" w:rsidP="00F95399">
            <w:pPr>
              <w:spacing w:after="0" w:line="240" w:lineRule="auto"/>
              <w:rPr>
                <w:rFonts w:ascii="Calibri" w:eastAsia="Times New Roman" w:hAnsi="Calibri" w:cs="Calibri"/>
                <w:b/>
                <w:bCs/>
                <w:sz w:val="16"/>
                <w:szCs w:val="16"/>
                <w:lang w:val="en-IE" w:eastAsia="en-IE"/>
              </w:rPr>
            </w:pPr>
            <w:r w:rsidRPr="00593D82">
              <w:rPr>
                <w:rFonts w:ascii="Calibri" w:eastAsia="Times New Roman" w:hAnsi="Calibri" w:cs="Calibri"/>
                <w:sz w:val="16"/>
                <w:szCs w:val="16"/>
                <w:lang w:val="en-IE" w:eastAsia="en-IE"/>
              </w:rPr>
              <w:t>Education Level.</w:t>
            </w:r>
          </w:p>
        </w:tc>
        <w:tc>
          <w:tcPr>
            <w:tcW w:w="546" w:type="dxa"/>
            <w:gridSpan w:val="2"/>
            <w:tcBorders>
              <w:top w:val="single" w:sz="4" w:space="0" w:color="auto"/>
              <w:bottom w:val="single" w:sz="4" w:space="0" w:color="auto"/>
            </w:tcBorders>
            <w:shd w:val="clear" w:color="auto" w:fill="auto"/>
            <w:noWrap/>
            <w:vAlign w:val="bottom"/>
          </w:tcPr>
          <w:p w14:paraId="1DD22AE6"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0</w:t>
            </w:r>
          </w:p>
        </w:tc>
        <w:tc>
          <w:tcPr>
            <w:tcW w:w="581" w:type="dxa"/>
            <w:tcBorders>
              <w:top w:val="single" w:sz="4" w:space="0" w:color="auto"/>
              <w:bottom w:val="single" w:sz="4" w:space="0" w:color="auto"/>
            </w:tcBorders>
            <w:shd w:val="clear" w:color="auto" w:fill="auto"/>
            <w:noWrap/>
            <w:vAlign w:val="bottom"/>
          </w:tcPr>
          <w:p w14:paraId="22C482C3"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1</w:t>
            </w:r>
          </w:p>
        </w:tc>
        <w:tc>
          <w:tcPr>
            <w:tcW w:w="662" w:type="dxa"/>
            <w:tcBorders>
              <w:top w:val="single" w:sz="4" w:space="0" w:color="auto"/>
              <w:bottom w:val="single" w:sz="4" w:space="0" w:color="auto"/>
            </w:tcBorders>
            <w:shd w:val="clear" w:color="auto" w:fill="auto"/>
            <w:noWrap/>
            <w:vAlign w:val="bottom"/>
          </w:tcPr>
          <w:p w14:paraId="67D93812"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2</w:t>
            </w:r>
          </w:p>
        </w:tc>
        <w:tc>
          <w:tcPr>
            <w:tcW w:w="662" w:type="dxa"/>
            <w:tcBorders>
              <w:top w:val="single" w:sz="4" w:space="0" w:color="auto"/>
              <w:bottom w:val="single" w:sz="4" w:space="0" w:color="auto"/>
            </w:tcBorders>
            <w:shd w:val="clear" w:color="auto" w:fill="auto"/>
            <w:noWrap/>
            <w:vAlign w:val="bottom"/>
          </w:tcPr>
          <w:p w14:paraId="13490473"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3</w:t>
            </w:r>
          </w:p>
        </w:tc>
        <w:tc>
          <w:tcPr>
            <w:tcW w:w="609" w:type="dxa"/>
            <w:tcBorders>
              <w:top w:val="single" w:sz="4" w:space="0" w:color="auto"/>
              <w:bottom w:val="single" w:sz="4" w:space="0" w:color="auto"/>
            </w:tcBorders>
            <w:shd w:val="clear" w:color="auto" w:fill="auto"/>
            <w:noWrap/>
            <w:vAlign w:val="bottom"/>
          </w:tcPr>
          <w:p w14:paraId="733C778E"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4</w:t>
            </w:r>
          </w:p>
        </w:tc>
        <w:tc>
          <w:tcPr>
            <w:tcW w:w="662" w:type="dxa"/>
            <w:gridSpan w:val="2"/>
            <w:tcBorders>
              <w:top w:val="single" w:sz="4" w:space="0" w:color="auto"/>
              <w:bottom w:val="single" w:sz="4" w:space="0" w:color="auto"/>
            </w:tcBorders>
            <w:shd w:val="clear" w:color="auto" w:fill="auto"/>
            <w:noWrap/>
            <w:vAlign w:val="bottom"/>
          </w:tcPr>
          <w:p w14:paraId="71C3833C"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5</w:t>
            </w:r>
          </w:p>
        </w:tc>
        <w:tc>
          <w:tcPr>
            <w:tcW w:w="581" w:type="dxa"/>
            <w:tcBorders>
              <w:top w:val="single" w:sz="4" w:space="0" w:color="auto"/>
              <w:bottom w:val="single" w:sz="4" w:space="0" w:color="auto"/>
            </w:tcBorders>
            <w:shd w:val="clear" w:color="auto" w:fill="auto"/>
            <w:noWrap/>
            <w:vAlign w:val="bottom"/>
          </w:tcPr>
          <w:p w14:paraId="748E905A"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6</w:t>
            </w:r>
          </w:p>
        </w:tc>
        <w:tc>
          <w:tcPr>
            <w:tcW w:w="581" w:type="dxa"/>
            <w:gridSpan w:val="2"/>
            <w:tcBorders>
              <w:top w:val="single" w:sz="4" w:space="0" w:color="auto"/>
              <w:bottom w:val="single" w:sz="4" w:space="0" w:color="auto"/>
            </w:tcBorders>
            <w:shd w:val="clear" w:color="auto" w:fill="auto"/>
            <w:noWrap/>
            <w:vAlign w:val="bottom"/>
          </w:tcPr>
          <w:p w14:paraId="1C44BAC4"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7</w:t>
            </w:r>
          </w:p>
        </w:tc>
        <w:tc>
          <w:tcPr>
            <w:tcW w:w="581" w:type="dxa"/>
            <w:tcBorders>
              <w:top w:val="single" w:sz="4" w:space="0" w:color="auto"/>
              <w:bottom w:val="single" w:sz="4" w:space="0" w:color="auto"/>
            </w:tcBorders>
            <w:shd w:val="clear" w:color="auto" w:fill="auto"/>
            <w:noWrap/>
            <w:vAlign w:val="bottom"/>
          </w:tcPr>
          <w:p w14:paraId="13BDC49A"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8</w:t>
            </w:r>
          </w:p>
        </w:tc>
        <w:tc>
          <w:tcPr>
            <w:tcW w:w="581" w:type="dxa"/>
            <w:tcBorders>
              <w:top w:val="single" w:sz="4" w:space="0" w:color="auto"/>
              <w:bottom w:val="single" w:sz="4" w:space="0" w:color="auto"/>
            </w:tcBorders>
            <w:shd w:val="clear" w:color="auto" w:fill="auto"/>
            <w:noWrap/>
            <w:vAlign w:val="bottom"/>
          </w:tcPr>
          <w:p w14:paraId="722C01CA"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9</w:t>
            </w:r>
          </w:p>
        </w:tc>
        <w:tc>
          <w:tcPr>
            <w:tcW w:w="460" w:type="dxa"/>
            <w:gridSpan w:val="2"/>
            <w:tcBorders>
              <w:top w:val="single" w:sz="4" w:space="0" w:color="auto"/>
              <w:bottom w:val="single" w:sz="4" w:space="0" w:color="auto"/>
            </w:tcBorders>
            <w:shd w:val="clear" w:color="auto" w:fill="auto"/>
            <w:noWrap/>
            <w:vAlign w:val="bottom"/>
          </w:tcPr>
          <w:p w14:paraId="1D4D84EA"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10</w:t>
            </w:r>
          </w:p>
        </w:tc>
        <w:tc>
          <w:tcPr>
            <w:tcW w:w="743" w:type="dxa"/>
            <w:tcBorders>
              <w:top w:val="single" w:sz="4" w:space="0" w:color="auto"/>
              <w:bottom w:val="single" w:sz="4" w:space="0" w:color="auto"/>
            </w:tcBorders>
            <w:shd w:val="clear" w:color="auto" w:fill="auto"/>
            <w:noWrap/>
            <w:vAlign w:val="bottom"/>
          </w:tcPr>
          <w:p w14:paraId="41F0D974"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Total</w:t>
            </w:r>
          </w:p>
        </w:tc>
        <w:tc>
          <w:tcPr>
            <w:tcW w:w="704" w:type="dxa"/>
            <w:tcBorders>
              <w:top w:val="single" w:sz="4" w:space="0" w:color="auto"/>
              <w:bottom w:val="single" w:sz="4" w:space="0" w:color="auto"/>
            </w:tcBorders>
            <w:shd w:val="clear" w:color="auto" w:fill="auto"/>
            <w:noWrap/>
            <w:vAlign w:val="bottom"/>
          </w:tcPr>
          <w:p w14:paraId="4FD305D1"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No. People.</w:t>
            </w:r>
          </w:p>
        </w:tc>
        <w:tc>
          <w:tcPr>
            <w:tcW w:w="594" w:type="dxa"/>
            <w:tcBorders>
              <w:top w:val="single" w:sz="4" w:space="0" w:color="auto"/>
              <w:left w:val="nil"/>
              <w:bottom w:val="single" w:sz="4" w:space="0" w:color="auto"/>
            </w:tcBorders>
            <w:shd w:val="clear" w:color="auto" w:fill="auto"/>
            <w:noWrap/>
            <w:vAlign w:val="bottom"/>
          </w:tcPr>
          <w:p w14:paraId="6D92F21F" w14:textId="77777777" w:rsidR="003D25CA" w:rsidRPr="00593D82" w:rsidRDefault="003D25CA" w:rsidP="00F95399">
            <w:pPr>
              <w:spacing w:after="0" w:line="240" w:lineRule="auto"/>
              <w:jc w:val="right"/>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Mean </w:t>
            </w:r>
            <w:proofErr w:type="spellStart"/>
            <w:r w:rsidRPr="00593D82">
              <w:rPr>
                <w:rFonts w:ascii="Calibri" w:eastAsia="Times New Roman" w:hAnsi="Calibri" w:cs="Calibri"/>
                <w:sz w:val="16"/>
                <w:szCs w:val="16"/>
                <w:lang w:val="en-IE" w:eastAsia="en-IE"/>
              </w:rPr>
              <w:t>Educ</w:t>
            </w:r>
            <w:proofErr w:type="spellEnd"/>
            <w:r w:rsidRPr="00593D82">
              <w:rPr>
                <w:rFonts w:ascii="Calibri" w:eastAsia="Times New Roman" w:hAnsi="Calibri" w:cs="Calibri"/>
                <w:sz w:val="16"/>
                <w:szCs w:val="16"/>
                <w:lang w:val="en-IE" w:eastAsia="en-IE"/>
              </w:rPr>
              <w:t xml:space="preserve"> </w:t>
            </w:r>
          </w:p>
        </w:tc>
      </w:tr>
      <w:tr w:rsidR="003D25CA" w:rsidRPr="0009105E" w14:paraId="77839F71" w14:textId="77777777" w:rsidTr="00F95399">
        <w:trPr>
          <w:gridAfter w:val="8"/>
          <w:wAfter w:w="5853" w:type="dxa"/>
          <w:trHeight w:val="300"/>
        </w:trPr>
        <w:tc>
          <w:tcPr>
            <w:tcW w:w="1051" w:type="dxa"/>
            <w:tcBorders>
              <w:top w:val="single" w:sz="4" w:space="0" w:color="auto"/>
            </w:tcBorders>
            <w:shd w:val="clear" w:color="auto" w:fill="auto"/>
            <w:noWrap/>
            <w:vAlign w:val="bottom"/>
            <w:hideMark/>
          </w:tcPr>
          <w:p w14:paraId="2206FA4B" w14:textId="77777777" w:rsidR="003D25CA" w:rsidRPr="00593D82" w:rsidRDefault="003D25CA" w:rsidP="00F95399">
            <w:pPr>
              <w:spacing w:after="0" w:line="240" w:lineRule="auto"/>
              <w:rPr>
                <w:rFonts w:ascii="Calibri" w:eastAsia="Times New Roman" w:hAnsi="Calibri" w:cs="Calibri"/>
                <w:b/>
                <w:bCs/>
                <w:sz w:val="16"/>
                <w:szCs w:val="16"/>
                <w:lang w:val="en-IE" w:eastAsia="en-IE"/>
              </w:rPr>
            </w:pPr>
            <w:r w:rsidRPr="00593D82">
              <w:rPr>
                <w:rFonts w:ascii="Calibri" w:eastAsia="Times New Roman" w:hAnsi="Calibri" w:cs="Calibri"/>
                <w:b/>
                <w:bCs/>
                <w:sz w:val="16"/>
                <w:szCs w:val="16"/>
                <w:lang w:val="en-IE" w:eastAsia="en-IE"/>
              </w:rPr>
              <w:t>Transport and mobile machine drivers and operatives</w:t>
            </w:r>
          </w:p>
        </w:tc>
        <w:tc>
          <w:tcPr>
            <w:tcW w:w="546" w:type="dxa"/>
            <w:gridSpan w:val="2"/>
            <w:tcBorders>
              <w:top w:val="single" w:sz="4" w:space="0" w:color="auto"/>
            </w:tcBorders>
            <w:shd w:val="clear" w:color="auto" w:fill="auto"/>
            <w:noWrap/>
            <w:vAlign w:val="bottom"/>
            <w:hideMark/>
          </w:tcPr>
          <w:p w14:paraId="00BCCEA4"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768 </w:t>
            </w:r>
          </w:p>
        </w:tc>
        <w:tc>
          <w:tcPr>
            <w:tcW w:w="581" w:type="dxa"/>
            <w:tcBorders>
              <w:top w:val="single" w:sz="4" w:space="0" w:color="auto"/>
            </w:tcBorders>
            <w:shd w:val="clear" w:color="auto" w:fill="auto"/>
            <w:noWrap/>
            <w:vAlign w:val="bottom"/>
            <w:hideMark/>
          </w:tcPr>
          <w:p w14:paraId="66501050"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7,146 </w:t>
            </w:r>
          </w:p>
        </w:tc>
        <w:tc>
          <w:tcPr>
            <w:tcW w:w="662" w:type="dxa"/>
            <w:tcBorders>
              <w:top w:val="single" w:sz="4" w:space="0" w:color="auto"/>
            </w:tcBorders>
            <w:shd w:val="clear" w:color="auto" w:fill="auto"/>
            <w:noWrap/>
            <w:vAlign w:val="bottom"/>
            <w:hideMark/>
          </w:tcPr>
          <w:p w14:paraId="288EC9BF"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21,371 </w:t>
            </w:r>
          </w:p>
        </w:tc>
        <w:tc>
          <w:tcPr>
            <w:tcW w:w="662" w:type="dxa"/>
            <w:tcBorders>
              <w:top w:val="single" w:sz="4" w:space="0" w:color="auto"/>
            </w:tcBorders>
            <w:shd w:val="clear" w:color="auto" w:fill="auto"/>
            <w:noWrap/>
            <w:vAlign w:val="bottom"/>
            <w:hideMark/>
          </w:tcPr>
          <w:p w14:paraId="08DE6CEC"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16,718 </w:t>
            </w:r>
          </w:p>
        </w:tc>
        <w:tc>
          <w:tcPr>
            <w:tcW w:w="609" w:type="dxa"/>
            <w:tcBorders>
              <w:top w:val="single" w:sz="4" w:space="0" w:color="auto"/>
            </w:tcBorders>
            <w:shd w:val="clear" w:color="auto" w:fill="auto"/>
            <w:noWrap/>
            <w:vAlign w:val="bottom"/>
            <w:hideMark/>
          </w:tcPr>
          <w:p w14:paraId="5805469E"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6,466 </w:t>
            </w:r>
          </w:p>
        </w:tc>
        <w:tc>
          <w:tcPr>
            <w:tcW w:w="662" w:type="dxa"/>
            <w:gridSpan w:val="2"/>
            <w:tcBorders>
              <w:top w:val="single" w:sz="4" w:space="0" w:color="auto"/>
            </w:tcBorders>
            <w:shd w:val="clear" w:color="auto" w:fill="auto"/>
            <w:noWrap/>
            <w:vAlign w:val="bottom"/>
            <w:hideMark/>
          </w:tcPr>
          <w:p w14:paraId="5D72EDAB"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4,221 </w:t>
            </w:r>
          </w:p>
        </w:tc>
        <w:tc>
          <w:tcPr>
            <w:tcW w:w="581" w:type="dxa"/>
            <w:tcBorders>
              <w:top w:val="single" w:sz="4" w:space="0" w:color="auto"/>
            </w:tcBorders>
            <w:shd w:val="clear" w:color="auto" w:fill="auto"/>
            <w:noWrap/>
            <w:vAlign w:val="bottom"/>
            <w:hideMark/>
          </w:tcPr>
          <w:p w14:paraId="1D14A3E5"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1,973 </w:t>
            </w:r>
          </w:p>
        </w:tc>
        <w:tc>
          <w:tcPr>
            <w:tcW w:w="581" w:type="dxa"/>
            <w:gridSpan w:val="2"/>
            <w:tcBorders>
              <w:top w:val="single" w:sz="4" w:space="0" w:color="auto"/>
            </w:tcBorders>
            <w:shd w:val="clear" w:color="auto" w:fill="auto"/>
            <w:noWrap/>
            <w:vAlign w:val="bottom"/>
            <w:hideMark/>
          </w:tcPr>
          <w:p w14:paraId="3BE05BD0"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1,674 </w:t>
            </w:r>
          </w:p>
        </w:tc>
        <w:tc>
          <w:tcPr>
            <w:tcW w:w="581" w:type="dxa"/>
            <w:tcBorders>
              <w:top w:val="single" w:sz="4" w:space="0" w:color="auto"/>
            </w:tcBorders>
            <w:shd w:val="clear" w:color="auto" w:fill="auto"/>
            <w:noWrap/>
            <w:vAlign w:val="bottom"/>
            <w:hideMark/>
          </w:tcPr>
          <w:p w14:paraId="292F0950"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996 </w:t>
            </w:r>
          </w:p>
        </w:tc>
        <w:tc>
          <w:tcPr>
            <w:tcW w:w="581" w:type="dxa"/>
            <w:tcBorders>
              <w:top w:val="single" w:sz="4" w:space="0" w:color="auto"/>
            </w:tcBorders>
            <w:shd w:val="clear" w:color="auto" w:fill="auto"/>
            <w:noWrap/>
            <w:vAlign w:val="bottom"/>
            <w:hideMark/>
          </w:tcPr>
          <w:p w14:paraId="0C85183C"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557 </w:t>
            </w:r>
          </w:p>
        </w:tc>
        <w:tc>
          <w:tcPr>
            <w:tcW w:w="460" w:type="dxa"/>
            <w:gridSpan w:val="2"/>
            <w:tcBorders>
              <w:top w:val="single" w:sz="4" w:space="0" w:color="auto"/>
            </w:tcBorders>
            <w:shd w:val="clear" w:color="auto" w:fill="auto"/>
            <w:noWrap/>
            <w:vAlign w:val="bottom"/>
            <w:hideMark/>
          </w:tcPr>
          <w:p w14:paraId="68FF64ED"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20 </w:t>
            </w:r>
          </w:p>
        </w:tc>
        <w:tc>
          <w:tcPr>
            <w:tcW w:w="743" w:type="dxa"/>
            <w:tcBorders>
              <w:top w:val="single" w:sz="4" w:space="0" w:color="auto"/>
            </w:tcBorders>
            <w:shd w:val="clear" w:color="auto" w:fill="auto"/>
            <w:noWrap/>
            <w:vAlign w:val="bottom"/>
            <w:hideMark/>
          </w:tcPr>
          <w:p w14:paraId="28CFBB9B"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183,748 </w:t>
            </w:r>
          </w:p>
        </w:tc>
        <w:tc>
          <w:tcPr>
            <w:tcW w:w="704" w:type="dxa"/>
            <w:tcBorders>
              <w:top w:val="single" w:sz="4" w:space="0" w:color="auto"/>
            </w:tcBorders>
            <w:shd w:val="clear" w:color="auto" w:fill="auto"/>
            <w:noWrap/>
            <w:vAlign w:val="bottom"/>
            <w:hideMark/>
          </w:tcPr>
          <w:p w14:paraId="445CE52D"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61,910 </w:t>
            </w:r>
          </w:p>
        </w:tc>
        <w:tc>
          <w:tcPr>
            <w:tcW w:w="594" w:type="dxa"/>
            <w:tcBorders>
              <w:top w:val="single" w:sz="4" w:space="0" w:color="auto"/>
              <w:left w:val="nil"/>
            </w:tcBorders>
            <w:shd w:val="clear" w:color="auto" w:fill="auto"/>
            <w:noWrap/>
            <w:vAlign w:val="bottom"/>
            <w:hideMark/>
          </w:tcPr>
          <w:p w14:paraId="3AD0CE35" w14:textId="77777777" w:rsidR="003D25CA" w:rsidRPr="00593D82" w:rsidRDefault="003D25CA" w:rsidP="00F95399">
            <w:pPr>
              <w:spacing w:after="0" w:line="240" w:lineRule="auto"/>
              <w:jc w:val="right"/>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3.0</w:t>
            </w:r>
          </w:p>
        </w:tc>
      </w:tr>
      <w:tr w:rsidR="003D25CA" w:rsidRPr="0009105E" w14:paraId="2D46EBC6" w14:textId="77777777" w:rsidTr="00F95399">
        <w:trPr>
          <w:gridAfter w:val="8"/>
          <w:wAfter w:w="5853" w:type="dxa"/>
          <w:trHeight w:val="300"/>
        </w:trPr>
        <w:tc>
          <w:tcPr>
            <w:tcW w:w="1051" w:type="dxa"/>
            <w:shd w:val="clear" w:color="auto" w:fill="auto"/>
            <w:noWrap/>
            <w:vAlign w:val="bottom"/>
            <w:hideMark/>
          </w:tcPr>
          <w:p w14:paraId="0F88AA3D" w14:textId="77777777" w:rsidR="003D25CA" w:rsidRPr="00593D82" w:rsidRDefault="003D25CA" w:rsidP="00F95399">
            <w:pPr>
              <w:spacing w:after="0" w:line="240" w:lineRule="auto"/>
              <w:rPr>
                <w:rFonts w:ascii="Calibri" w:eastAsia="Times New Roman" w:hAnsi="Calibri" w:cs="Calibri"/>
                <w:b/>
                <w:bCs/>
                <w:sz w:val="16"/>
                <w:szCs w:val="16"/>
                <w:lang w:val="en-IE" w:eastAsia="en-IE"/>
              </w:rPr>
            </w:pPr>
            <w:r w:rsidRPr="00593D82">
              <w:rPr>
                <w:rFonts w:ascii="Calibri" w:eastAsia="Times New Roman" w:hAnsi="Calibri" w:cs="Calibri"/>
                <w:b/>
                <w:bCs/>
                <w:sz w:val="16"/>
                <w:szCs w:val="16"/>
                <w:lang w:val="en-IE" w:eastAsia="en-IE"/>
              </w:rPr>
              <w:t xml:space="preserve">Process, plant and </w:t>
            </w:r>
            <w:r w:rsidRPr="00593D82">
              <w:rPr>
                <w:rFonts w:ascii="Calibri" w:eastAsia="Times New Roman" w:hAnsi="Calibri" w:cs="Calibri"/>
                <w:b/>
                <w:bCs/>
                <w:sz w:val="16"/>
                <w:szCs w:val="16"/>
                <w:lang w:val="en-IE" w:eastAsia="en-IE"/>
              </w:rPr>
              <w:lastRenderedPageBreak/>
              <w:t>machine operatives</w:t>
            </w:r>
          </w:p>
        </w:tc>
        <w:tc>
          <w:tcPr>
            <w:tcW w:w="546" w:type="dxa"/>
            <w:gridSpan w:val="2"/>
            <w:shd w:val="clear" w:color="auto" w:fill="auto"/>
            <w:noWrap/>
            <w:vAlign w:val="bottom"/>
            <w:hideMark/>
          </w:tcPr>
          <w:p w14:paraId="08F7A720"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lastRenderedPageBreak/>
              <w:t xml:space="preserve">           516 </w:t>
            </w:r>
          </w:p>
        </w:tc>
        <w:tc>
          <w:tcPr>
            <w:tcW w:w="581" w:type="dxa"/>
            <w:shd w:val="clear" w:color="auto" w:fill="auto"/>
            <w:noWrap/>
            <w:vAlign w:val="bottom"/>
            <w:hideMark/>
          </w:tcPr>
          <w:p w14:paraId="1FD33C9C"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3,929 </w:t>
            </w:r>
          </w:p>
        </w:tc>
        <w:tc>
          <w:tcPr>
            <w:tcW w:w="662" w:type="dxa"/>
            <w:shd w:val="clear" w:color="auto" w:fill="auto"/>
            <w:noWrap/>
            <w:vAlign w:val="bottom"/>
            <w:hideMark/>
          </w:tcPr>
          <w:p w14:paraId="05C8F92D"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14,114 </w:t>
            </w:r>
          </w:p>
        </w:tc>
        <w:tc>
          <w:tcPr>
            <w:tcW w:w="662" w:type="dxa"/>
            <w:shd w:val="clear" w:color="auto" w:fill="auto"/>
            <w:noWrap/>
            <w:vAlign w:val="bottom"/>
            <w:hideMark/>
          </w:tcPr>
          <w:p w14:paraId="0A0BF849"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21,238 </w:t>
            </w:r>
          </w:p>
        </w:tc>
        <w:tc>
          <w:tcPr>
            <w:tcW w:w="609" w:type="dxa"/>
            <w:shd w:val="clear" w:color="auto" w:fill="auto"/>
            <w:noWrap/>
            <w:vAlign w:val="bottom"/>
            <w:hideMark/>
          </w:tcPr>
          <w:p w14:paraId="0840C032"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8,560 </w:t>
            </w:r>
          </w:p>
        </w:tc>
        <w:tc>
          <w:tcPr>
            <w:tcW w:w="662" w:type="dxa"/>
            <w:gridSpan w:val="2"/>
            <w:shd w:val="clear" w:color="auto" w:fill="auto"/>
            <w:noWrap/>
            <w:vAlign w:val="bottom"/>
            <w:hideMark/>
          </w:tcPr>
          <w:p w14:paraId="3719F011"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5,524 </w:t>
            </w:r>
          </w:p>
        </w:tc>
        <w:tc>
          <w:tcPr>
            <w:tcW w:w="581" w:type="dxa"/>
            <w:shd w:val="clear" w:color="auto" w:fill="auto"/>
            <w:noWrap/>
            <w:vAlign w:val="bottom"/>
            <w:hideMark/>
          </w:tcPr>
          <w:p w14:paraId="791B94F6"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3,312 </w:t>
            </w:r>
          </w:p>
        </w:tc>
        <w:tc>
          <w:tcPr>
            <w:tcW w:w="581" w:type="dxa"/>
            <w:gridSpan w:val="2"/>
            <w:shd w:val="clear" w:color="auto" w:fill="auto"/>
            <w:noWrap/>
            <w:vAlign w:val="bottom"/>
            <w:hideMark/>
          </w:tcPr>
          <w:p w14:paraId="322EAAF0"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3,702 </w:t>
            </w:r>
          </w:p>
        </w:tc>
        <w:tc>
          <w:tcPr>
            <w:tcW w:w="581" w:type="dxa"/>
            <w:shd w:val="clear" w:color="auto" w:fill="auto"/>
            <w:noWrap/>
            <w:vAlign w:val="bottom"/>
            <w:hideMark/>
          </w:tcPr>
          <w:p w14:paraId="43607F8C"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3,520 </w:t>
            </w:r>
          </w:p>
        </w:tc>
        <w:tc>
          <w:tcPr>
            <w:tcW w:w="581" w:type="dxa"/>
            <w:shd w:val="clear" w:color="auto" w:fill="auto"/>
            <w:noWrap/>
            <w:vAlign w:val="bottom"/>
            <w:hideMark/>
          </w:tcPr>
          <w:p w14:paraId="6809E6D6"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2,245 </w:t>
            </w:r>
          </w:p>
        </w:tc>
        <w:tc>
          <w:tcPr>
            <w:tcW w:w="460" w:type="dxa"/>
            <w:gridSpan w:val="2"/>
            <w:shd w:val="clear" w:color="auto" w:fill="auto"/>
            <w:noWrap/>
            <w:vAlign w:val="bottom"/>
            <w:hideMark/>
          </w:tcPr>
          <w:p w14:paraId="5EE99CCC"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210 </w:t>
            </w:r>
          </w:p>
        </w:tc>
        <w:tc>
          <w:tcPr>
            <w:tcW w:w="743" w:type="dxa"/>
            <w:shd w:val="clear" w:color="auto" w:fill="auto"/>
            <w:noWrap/>
            <w:vAlign w:val="bottom"/>
            <w:hideMark/>
          </w:tcPr>
          <w:p w14:paraId="43311E05"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253,982 </w:t>
            </w:r>
          </w:p>
        </w:tc>
        <w:tc>
          <w:tcPr>
            <w:tcW w:w="704" w:type="dxa"/>
            <w:shd w:val="clear" w:color="auto" w:fill="auto"/>
            <w:noWrap/>
            <w:vAlign w:val="bottom"/>
            <w:hideMark/>
          </w:tcPr>
          <w:p w14:paraId="4E596C79"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66,870 </w:t>
            </w:r>
          </w:p>
        </w:tc>
        <w:tc>
          <w:tcPr>
            <w:tcW w:w="594" w:type="dxa"/>
            <w:tcBorders>
              <w:left w:val="nil"/>
            </w:tcBorders>
            <w:shd w:val="clear" w:color="auto" w:fill="auto"/>
            <w:noWrap/>
            <w:vAlign w:val="bottom"/>
            <w:hideMark/>
          </w:tcPr>
          <w:p w14:paraId="57A342CF" w14:textId="77777777" w:rsidR="003D25CA" w:rsidRPr="00593D82" w:rsidRDefault="003D25CA" w:rsidP="00F95399">
            <w:pPr>
              <w:spacing w:after="0" w:line="240" w:lineRule="auto"/>
              <w:jc w:val="right"/>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3.8</w:t>
            </w:r>
          </w:p>
        </w:tc>
      </w:tr>
      <w:tr w:rsidR="003D25CA" w:rsidRPr="0009105E" w14:paraId="7C2782B7" w14:textId="77777777" w:rsidTr="00F95399">
        <w:trPr>
          <w:gridAfter w:val="8"/>
          <w:wAfter w:w="5853" w:type="dxa"/>
          <w:trHeight w:val="300"/>
        </w:trPr>
        <w:tc>
          <w:tcPr>
            <w:tcW w:w="1051" w:type="dxa"/>
            <w:shd w:val="clear" w:color="auto" w:fill="auto"/>
            <w:noWrap/>
            <w:vAlign w:val="bottom"/>
            <w:hideMark/>
          </w:tcPr>
          <w:p w14:paraId="14CFC5FA" w14:textId="77777777" w:rsidR="003D25CA" w:rsidRPr="00593D82" w:rsidRDefault="003D25CA" w:rsidP="00F95399">
            <w:pPr>
              <w:spacing w:after="0" w:line="240" w:lineRule="auto"/>
              <w:rPr>
                <w:rFonts w:ascii="Calibri" w:eastAsia="Times New Roman" w:hAnsi="Calibri" w:cs="Calibri"/>
                <w:b/>
                <w:bCs/>
                <w:sz w:val="16"/>
                <w:szCs w:val="16"/>
                <w:lang w:val="en-IE" w:eastAsia="en-IE"/>
              </w:rPr>
            </w:pPr>
            <w:r w:rsidRPr="00593D82">
              <w:rPr>
                <w:rFonts w:ascii="Calibri" w:eastAsia="Times New Roman" w:hAnsi="Calibri" w:cs="Calibri"/>
                <w:b/>
                <w:bCs/>
                <w:sz w:val="16"/>
                <w:szCs w:val="16"/>
                <w:lang w:val="en-IE" w:eastAsia="en-IE"/>
              </w:rPr>
              <w:t>Skilled metal, electrical and electronic trades</w:t>
            </w:r>
          </w:p>
        </w:tc>
        <w:tc>
          <w:tcPr>
            <w:tcW w:w="546" w:type="dxa"/>
            <w:gridSpan w:val="2"/>
            <w:shd w:val="clear" w:color="auto" w:fill="auto"/>
            <w:noWrap/>
            <w:vAlign w:val="bottom"/>
            <w:hideMark/>
          </w:tcPr>
          <w:p w14:paraId="01EAC065"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207 </w:t>
            </w:r>
          </w:p>
        </w:tc>
        <w:tc>
          <w:tcPr>
            <w:tcW w:w="581" w:type="dxa"/>
            <w:shd w:val="clear" w:color="auto" w:fill="auto"/>
            <w:noWrap/>
            <w:vAlign w:val="bottom"/>
            <w:hideMark/>
          </w:tcPr>
          <w:p w14:paraId="25E39B7D"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1,951 </w:t>
            </w:r>
          </w:p>
        </w:tc>
        <w:tc>
          <w:tcPr>
            <w:tcW w:w="662" w:type="dxa"/>
            <w:shd w:val="clear" w:color="auto" w:fill="auto"/>
            <w:noWrap/>
            <w:vAlign w:val="bottom"/>
            <w:hideMark/>
          </w:tcPr>
          <w:p w14:paraId="27D0D81D"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10,797 </w:t>
            </w:r>
          </w:p>
        </w:tc>
        <w:tc>
          <w:tcPr>
            <w:tcW w:w="662" w:type="dxa"/>
            <w:shd w:val="clear" w:color="auto" w:fill="auto"/>
            <w:noWrap/>
            <w:vAlign w:val="bottom"/>
            <w:hideMark/>
          </w:tcPr>
          <w:p w14:paraId="11FFA8E1"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12,169 </w:t>
            </w:r>
          </w:p>
        </w:tc>
        <w:tc>
          <w:tcPr>
            <w:tcW w:w="609" w:type="dxa"/>
            <w:shd w:val="clear" w:color="auto" w:fill="auto"/>
            <w:noWrap/>
            <w:vAlign w:val="bottom"/>
            <w:hideMark/>
          </w:tcPr>
          <w:p w14:paraId="17FE7923"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9,270 </w:t>
            </w:r>
          </w:p>
        </w:tc>
        <w:tc>
          <w:tcPr>
            <w:tcW w:w="662" w:type="dxa"/>
            <w:gridSpan w:val="2"/>
            <w:shd w:val="clear" w:color="auto" w:fill="auto"/>
            <w:noWrap/>
            <w:vAlign w:val="bottom"/>
            <w:hideMark/>
          </w:tcPr>
          <w:p w14:paraId="1879EC70"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24,871 </w:t>
            </w:r>
          </w:p>
        </w:tc>
        <w:tc>
          <w:tcPr>
            <w:tcW w:w="581" w:type="dxa"/>
            <w:shd w:val="clear" w:color="auto" w:fill="auto"/>
            <w:noWrap/>
            <w:vAlign w:val="bottom"/>
            <w:hideMark/>
          </w:tcPr>
          <w:p w14:paraId="18704B6C"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4,293 </w:t>
            </w:r>
          </w:p>
        </w:tc>
        <w:tc>
          <w:tcPr>
            <w:tcW w:w="581" w:type="dxa"/>
            <w:gridSpan w:val="2"/>
            <w:shd w:val="clear" w:color="auto" w:fill="auto"/>
            <w:noWrap/>
            <w:vAlign w:val="bottom"/>
            <w:hideMark/>
          </w:tcPr>
          <w:p w14:paraId="270A33B2"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4,116 </w:t>
            </w:r>
          </w:p>
        </w:tc>
        <w:tc>
          <w:tcPr>
            <w:tcW w:w="581" w:type="dxa"/>
            <w:shd w:val="clear" w:color="auto" w:fill="auto"/>
            <w:noWrap/>
            <w:vAlign w:val="bottom"/>
            <w:hideMark/>
          </w:tcPr>
          <w:p w14:paraId="4D6DF5C0"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3,444 </w:t>
            </w:r>
          </w:p>
        </w:tc>
        <w:tc>
          <w:tcPr>
            <w:tcW w:w="581" w:type="dxa"/>
            <w:shd w:val="clear" w:color="auto" w:fill="auto"/>
            <w:noWrap/>
            <w:vAlign w:val="bottom"/>
            <w:hideMark/>
          </w:tcPr>
          <w:p w14:paraId="0E79A889"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1,867 </w:t>
            </w:r>
          </w:p>
        </w:tc>
        <w:tc>
          <w:tcPr>
            <w:tcW w:w="460" w:type="dxa"/>
            <w:gridSpan w:val="2"/>
            <w:shd w:val="clear" w:color="auto" w:fill="auto"/>
            <w:noWrap/>
            <w:vAlign w:val="bottom"/>
            <w:hideMark/>
          </w:tcPr>
          <w:p w14:paraId="6C4344D1"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115 </w:t>
            </w:r>
          </w:p>
        </w:tc>
        <w:tc>
          <w:tcPr>
            <w:tcW w:w="743" w:type="dxa"/>
            <w:shd w:val="clear" w:color="auto" w:fill="auto"/>
            <w:noWrap/>
            <w:vAlign w:val="bottom"/>
            <w:hideMark/>
          </w:tcPr>
          <w:p w14:paraId="6BB3F6D7"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321,562 </w:t>
            </w:r>
          </w:p>
        </w:tc>
        <w:tc>
          <w:tcPr>
            <w:tcW w:w="704" w:type="dxa"/>
            <w:shd w:val="clear" w:color="auto" w:fill="auto"/>
            <w:noWrap/>
            <w:vAlign w:val="bottom"/>
            <w:hideMark/>
          </w:tcPr>
          <w:p w14:paraId="72118C1D"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73,100 </w:t>
            </w:r>
          </w:p>
        </w:tc>
        <w:tc>
          <w:tcPr>
            <w:tcW w:w="594" w:type="dxa"/>
            <w:tcBorders>
              <w:left w:val="nil"/>
            </w:tcBorders>
            <w:shd w:val="clear" w:color="auto" w:fill="auto"/>
            <w:noWrap/>
            <w:vAlign w:val="bottom"/>
            <w:hideMark/>
          </w:tcPr>
          <w:p w14:paraId="26393809" w14:textId="77777777" w:rsidR="003D25CA" w:rsidRPr="00593D82" w:rsidRDefault="003D25CA" w:rsidP="00F95399">
            <w:pPr>
              <w:spacing w:after="0" w:line="240" w:lineRule="auto"/>
              <w:jc w:val="right"/>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4.4</w:t>
            </w:r>
          </w:p>
        </w:tc>
      </w:tr>
      <w:tr w:rsidR="003D25CA" w:rsidRPr="0009105E" w14:paraId="711E05AC" w14:textId="77777777" w:rsidTr="00F95399">
        <w:trPr>
          <w:gridAfter w:val="8"/>
          <w:wAfter w:w="5853" w:type="dxa"/>
          <w:trHeight w:val="300"/>
        </w:trPr>
        <w:tc>
          <w:tcPr>
            <w:tcW w:w="1051" w:type="dxa"/>
            <w:tcBorders>
              <w:left w:val="nil"/>
              <w:right w:val="nil"/>
            </w:tcBorders>
            <w:shd w:val="clear" w:color="auto" w:fill="auto"/>
            <w:noWrap/>
            <w:vAlign w:val="bottom"/>
            <w:hideMark/>
          </w:tcPr>
          <w:p w14:paraId="12CE9155" w14:textId="77777777" w:rsidR="003D25CA" w:rsidRPr="00593D82" w:rsidRDefault="003D25CA" w:rsidP="00F95399">
            <w:pPr>
              <w:spacing w:after="0" w:line="240" w:lineRule="auto"/>
              <w:rPr>
                <w:rFonts w:ascii="Calibri" w:eastAsia="Times New Roman" w:hAnsi="Calibri" w:cs="Calibri"/>
                <w:b/>
                <w:bCs/>
                <w:sz w:val="16"/>
                <w:szCs w:val="16"/>
                <w:lang w:val="en-IE" w:eastAsia="en-IE"/>
              </w:rPr>
            </w:pPr>
            <w:r w:rsidRPr="00593D82">
              <w:rPr>
                <w:rFonts w:ascii="Calibri" w:eastAsia="Times New Roman" w:hAnsi="Calibri" w:cs="Calibri"/>
                <w:b/>
                <w:bCs/>
                <w:sz w:val="16"/>
                <w:szCs w:val="16"/>
                <w:lang w:val="en-IE" w:eastAsia="en-IE"/>
              </w:rPr>
              <w:t>Textiles, printing and other skilled trades</w:t>
            </w:r>
          </w:p>
        </w:tc>
        <w:tc>
          <w:tcPr>
            <w:tcW w:w="546" w:type="dxa"/>
            <w:gridSpan w:val="2"/>
            <w:tcBorders>
              <w:left w:val="nil"/>
              <w:right w:val="nil"/>
            </w:tcBorders>
            <w:shd w:val="clear" w:color="auto" w:fill="auto"/>
            <w:noWrap/>
            <w:vAlign w:val="bottom"/>
            <w:hideMark/>
          </w:tcPr>
          <w:p w14:paraId="19AA1E42"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329 </w:t>
            </w:r>
          </w:p>
        </w:tc>
        <w:tc>
          <w:tcPr>
            <w:tcW w:w="581" w:type="dxa"/>
            <w:tcBorders>
              <w:left w:val="nil"/>
              <w:right w:val="nil"/>
            </w:tcBorders>
            <w:shd w:val="clear" w:color="auto" w:fill="auto"/>
            <w:noWrap/>
            <w:vAlign w:val="bottom"/>
            <w:hideMark/>
          </w:tcPr>
          <w:p w14:paraId="2E577C2E"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2,483 </w:t>
            </w:r>
          </w:p>
        </w:tc>
        <w:tc>
          <w:tcPr>
            <w:tcW w:w="662" w:type="dxa"/>
            <w:tcBorders>
              <w:left w:val="nil"/>
              <w:right w:val="nil"/>
            </w:tcBorders>
            <w:shd w:val="clear" w:color="auto" w:fill="auto"/>
            <w:noWrap/>
            <w:vAlign w:val="bottom"/>
            <w:hideMark/>
          </w:tcPr>
          <w:p w14:paraId="6D43BF02"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8,170 </w:t>
            </w:r>
          </w:p>
        </w:tc>
        <w:tc>
          <w:tcPr>
            <w:tcW w:w="662" w:type="dxa"/>
            <w:tcBorders>
              <w:left w:val="nil"/>
              <w:right w:val="nil"/>
            </w:tcBorders>
            <w:shd w:val="clear" w:color="auto" w:fill="auto"/>
            <w:noWrap/>
            <w:vAlign w:val="bottom"/>
            <w:hideMark/>
          </w:tcPr>
          <w:p w14:paraId="5B03A8CF"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11,624 </w:t>
            </w:r>
          </w:p>
        </w:tc>
        <w:tc>
          <w:tcPr>
            <w:tcW w:w="609" w:type="dxa"/>
            <w:tcBorders>
              <w:left w:val="nil"/>
              <w:right w:val="nil"/>
            </w:tcBorders>
            <w:shd w:val="clear" w:color="auto" w:fill="auto"/>
            <w:noWrap/>
            <w:vAlign w:val="bottom"/>
            <w:hideMark/>
          </w:tcPr>
          <w:p w14:paraId="366FFB6B"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6,816 </w:t>
            </w:r>
          </w:p>
        </w:tc>
        <w:tc>
          <w:tcPr>
            <w:tcW w:w="662" w:type="dxa"/>
            <w:gridSpan w:val="2"/>
            <w:tcBorders>
              <w:left w:val="nil"/>
              <w:right w:val="nil"/>
            </w:tcBorders>
            <w:shd w:val="clear" w:color="auto" w:fill="auto"/>
            <w:noWrap/>
            <w:vAlign w:val="bottom"/>
            <w:hideMark/>
          </w:tcPr>
          <w:p w14:paraId="010D1922"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8,032 </w:t>
            </w:r>
          </w:p>
        </w:tc>
        <w:tc>
          <w:tcPr>
            <w:tcW w:w="581" w:type="dxa"/>
            <w:tcBorders>
              <w:left w:val="nil"/>
              <w:right w:val="nil"/>
            </w:tcBorders>
            <w:shd w:val="clear" w:color="auto" w:fill="auto"/>
            <w:noWrap/>
            <w:vAlign w:val="bottom"/>
            <w:hideMark/>
          </w:tcPr>
          <w:p w14:paraId="6E89D7FC"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3,590 </w:t>
            </w:r>
          </w:p>
        </w:tc>
        <w:tc>
          <w:tcPr>
            <w:tcW w:w="581" w:type="dxa"/>
            <w:gridSpan w:val="2"/>
            <w:tcBorders>
              <w:left w:val="nil"/>
              <w:right w:val="nil"/>
            </w:tcBorders>
            <w:shd w:val="clear" w:color="auto" w:fill="auto"/>
            <w:noWrap/>
            <w:vAlign w:val="bottom"/>
            <w:hideMark/>
          </w:tcPr>
          <w:p w14:paraId="392FC5F3"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3,487 </w:t>
            </w:r>
          </w:p>
        </w:tc>
        <w:tc>
          <w:tcPr>
            <w:tcW w:w="581" w:type="dxa"/>
            <w:tcBorders>
              <w:left w:val="nil"/>
              <w:right w:val="nil"/>
            </w:tcBorders>
            <w:shd w:val="clear" w:color="auto" w:fill="auto"/>
            <w:noWrap/>
            <w:vAlign w:val="bottom"/>
            <w:hideMark/>
          </w:tcPr>
          <w:p w14:paraId="78C9D3C4"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2,154 </w:t>
            </w:r>
          </w:p>
        </w:tc>
        <w:tc>
          <w:tcPr>
            <w:tcW w:w="581" w:type="dxa"/>
            <w:tcBorders>
              <w:left w:val="nil"/>
              <w:right w:val="nil"/>
            </w:tcBorders>
            <w:shd w:val="clear" w:color="auto" w:fill="auto"/>
            <w:noWrap/>
            <w:vAlign w:val="bottom"/>
            <w:hideMark/>
          </w:tcPr>
          <w:p w14:paraId="71CDF3E5"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977 </w:t>
            </w:r>
          </w:p>
        </w:tc>
        <w:tc>
          <w:tcPr>
            <w:tcW w:w="460" w:type="dxa"/>
            <w:gridSpan w:val="2"/>
            <w:tcBorders>
              <w:left w:val="nil"/>
              <w:right w:val="nil"/>
            </w:tcBorders>
            <w:shd w:val="clear" w:color="auto" w:fill="auto"/>
            <w:noWrap/>
            <w:vAlign w:val="bottom"/>
            <w:hideMark/>
          </w:tcPr>
          <w:p w14:paraId="05129567"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28 </w:t>
            </w:r>
          </w:p>
        </w:tc>
        <w:tc>
          <w:tcPr>
            <w:tcW w:w="743" w:type="dxa"/>
            <w:tcBorders>
              <w:left w:val="nil"/>
              <w:right w:val="nil"/>
            </w:tcBorders>
            <w:shd w:val="clear" w:color="auto" w:fill="auto"/>
            <w:noWrap/>
            <w:vAlign w:val="bottom"/>
            <w:hideMark/>
          </w:tcPr>
          <w:p w14:paraId="34FA319D"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193,373 </w:t>
            </w:r>
          </w:p>
        </w:tc>
        <w:tc>
          <w:tcPr>
            <w:tcW w:w="704" w:type="dxa"/>
            <w:tcBorders>
              <w:left w:val="nil"/>
              <w:right w:val="nil"/>
            </w:tcBorders>
            <w:shd w:val="clear" w:color="auto" w:fill="auto"/>
            <w:noWrap/>
            <w:vAlign w:val="bottom"/>
            <w:hideMark/>
          </w:tcPr>
          <w:p w14:paraId="7D4E196A"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47,690 </w:t>
            </w:r>
          </w:p>
        </w:tc>
        <w:tc>
          <w:tcPr>
            <w:tcW w:w="594" w:type="dxa"/>
            <w:tcBorders>
              <w:left w:val="nil"/>
              <w:right w:val="nil"/>
            </w:tcBorders>
            <w:shd w:val="clear" w:color="auto" w:fill="auto"/>
            <w:noWrap/>
            <w:vAlign w:val="bottom"/>
            <w:hideMark/>
          </w:tcPr>
          <w:p w14:paraId="3831FF5B" w14:textId="77777777" w:rsidR="003D25CA" w:rsidRPr="00593D82" w:rsidRDefault="003D25CA" w:rsidP="00F95399">
            <w:pPr>
              <w:spacing w:after="0" w:line="240" w:lineRule="auto"/>
              <w:jc w:val="right"/>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4.1</w:t>
            </w:r>
          </w:p>
        </w:tc>
      </w:tr>
      <w:tr w:rsidR="003D25CA" w:rsidRPr="0009105E" w14:paraId="1CCC6369" w14:textId="77777777" w:rsidTr="00F95399">
        <w:trPr>
          <w:gridAfter w:val="8"/>
          <w:wAfter w:w="5853" w:type="dxa"/>
          <w:trHeight w:val="300"/>
        </w:trPr>
        <w:tc>
          <w:tcPr>
            <w:tcW w:w="1051" w:type="dxa"/>
            <w:tcBorders>
              <w:top w:val="nil"/>
              <w:left w:val="nil"/>
              <w:bottom w:val="single" w:sz="4" w:space="0" w:color="auto"/>
              <w:right w:val="nil"/>
            </w:tcBorders>
            <w:shd w:val="clear" w:color="auto" w:fill="auto"/>
            <w:noWrap/>
            <w:vAlign w:val="bottom"/>
            <w:hideMark/>
          </w:tcPr>
          <w:p w14:paraId="27CC797E" w14:textId="77777777" w:rsidR="003D25CA" w:rsidRPr="00593D82" w:rsidRDefault="003D25CA" w:rsidP="00F95399">
            <w:pPr>
              <w:spacing w:after="0" w:line="240" w:lineRule="auto"/>
              <w:rPr>
                <w:rFonts w:ascii="Calibri" w:eastAsia="Times New Roman" w:hAnsi="Calibri" w:cs="Calibri"/>
                <w:b/>
                <w:bCs/>
                <w:sz w:val="16"/>
                <w:szCs w:val="16"/>
                <w:lang w:val="en-IE" w:eastAsia="en-IE"/>
              </w:rPr>
            </w:pPr>
            <w:r w:rsidRPr="00593D82">
              <w:rPr>
                <w:rFonts w:ascii="Calibri" w:eastAsia="Times New Roman" w:hAnsi="Calibri" w:cs="Calibri"/>
                <w:b/>
                <w:bCs/>
                <w:sz w:val="16"/>
                <w:szCs w:val="16"/>
                <w:lang w:val="en-IE" w:eastAsia="en-IE"/>
              </w:rPr>
              <w:t>Skilled construction and building trades</w:t>
            </w:r>
          </w:p>
        </w:tc>
        <w:tc>
          <w:tcPr>
            <w:tcW w:w="546" w:type="dxa"/>
            <w:gridSpan w:val="2"/>
            <w:tcBorders>
              <w:top w:val="nil"/>
              <w:left w:val="nil"/>
              <w:bottom w:val="single" w:sz="4" w:space="0" w:color="auto"/>
              <w:right w:val="nil"/>
            </w:tcBorders>
            <w:shd w:val="clear" w:color="auto" w:fill="auto"/>
            <w:noWrap/>
            <w:vAlign w:val="bottom"/>
            <w:hideMark/>
          </w:tcPr>
          <w:p w14:paraId="6A5DA0BA"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400 </w:t>
            </w:r>
          </w:p>
        </w:tc>
        <w:tc>
          <w:tcPr>
            <w:tcW w:w="581" w:type="dxa"/>
            <w:tcBorders>
              <w:top w:val="nil"/>
              <w:left w:val="nil"/>
              <w:bottom w:val="single" w:sz="4" w:space="0" w:color="auto"/>
              <w:right w:val="nil"/>
            </w:tcBorders>
            <w:shd w:val="clear" w:color="auto" w:fill="auto"/>
            <w:noWrap/>
            <w:vAlign w:val="bottom"/>
            <w:hideMark/>
          </w:tcPr>
          <w:p w14:paraId="24EBE420"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3,332 </w:t>
            </w:r>
          </w:p>
        </w:tc>
        <w:tc>
          <w:tcPr>
            <w:tcW w:w="662" w:type="dxa"/>
            <w:tcBorders>
              <w:top w:val="nil"/>
              <w:left w:val="nil"/>
              <w:bottom w:val="single" w:sz="4" w:space="0" w:color="auto"/>
              <w:right w:val="nil"/>
            </w:tcBorders>
            <w:shd w:val="clear" w:color="auto" w:fill="auto"/>
            <w:noWrap/>
            <w:vAlign w:val="bottom"/>
            <w:hideMark/>
          </w:tcPr>
          <w:p w14:paraId="089B7054"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15,458 </w:t>
            </w:r>
          </w:p>
        </w:tc>
        <w:tc>
          <w:tcPr>
            <w:tcW w:w="662" w:type="dxa"/>
            <w:tcBorders>
              <w:top w:val="nil"/>
              <w:left w:val="nil"/>
              <w:bottom w:val="single" w:sz="4" w:space="0" w:color="auto"/>
              <w:right w:val="nil"/>
            </w:tcBorders>
            <w:shd w:val="clear" w:color="auto" w:fill="auto"/>
            <w:noWrap/>
            <w:vAlign w:val="bottom"/>
            <w:hideMark/>
          </w:tcPr>
          <w:p w14:paraId="4E30EBAE"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12,198 </w:t>
            </w:r>
          </w:p>
        </w:tc>
        <w:tc>
          <w:tcPr>
            <w:tcW w:w="609" w:type="dxa"/>
            <w:tcBorders>
              <w:top w:val="nil"/>
              <w:left w:val="nil"/>
              <w:bottom w:val="single" w:sz="4" w:space="0" w:color="auto"/>
              <w:right w:val="nil"/>
            </w:tcBorders>
            <w:shd w:val="clear" w:color="auto" w:fill="auto"/>
            <w:noWrap/>
            <w:vAlign w:val="bottom"/>
            <w:hideMark/>
          </w:tcPr>
          <w:p w14:paraId="45CE4FA6"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6,672 </w:t>
            </w:r>
          </w:p>
        </w:tc>
        <w:tc>
          <w:tcPr>
            <w:tcW w:w="662" w:type="dxa"/>
            <w:gridSpan w:val="2"/>
            <w:tcBorders>
              <w:top w:val="nil"/>
              <w:left w:val="nil"/>
              <w:bottom w:val="single" w:sz="4" w:space="0" w:color="auto"/>
              <w:right w:val="nil"/>
            </w:tcBorders>
            <w:shd w:val="clear" w:color="auto" w:fill="auto"/>
            <w:noWrap/>
            <w:vAlign w:val="bottom"/>
            <w:hideMark/>
          </w:tcPr>
          <w:p w14:paraId="16D25A31"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14,080 </w:t>
            </w:r>
          </w:p>
        </w:tc>
        <w:tc>
          <w:tcPr>
            <w:tcW w:w="581" w:type="dxa"/>
            <w:tcBorders>
              <w:top w:val="nil"/>
              <w:left w:val="nil"/>
              <w:bottom w:val="single" w:sz="4" w:space="0" w:color="auto"/>
              <w:right w:val="nil"/>
            </w:tcBorders>
            <w:shd w:val="clear" w:color="auto" w:fill="auto"/>
            <w:noWrap/>
            <w:vAlign w:val="bottom"/>
            <w:hideMark/>
          </w:tcPr>
          <w:p w14:paraId="1EDAB6D6"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1,977 </w:t>
            </w:r>
          </w:p>
        </w:tc>
        <w:tc>
          <w:tcPr>
            <w:tcW w:w="581" w:type="dxa"/>
            <w:gridSpan w:val="2"/>
            <w:tcBorders>
              <w:top w:val="nil"/>
              <w:left w:val="nil"/>
              <w:bottom w:val="single" w:sz="4" w:space="0" w:color="auto"/>
              <w:right w:val="nil"/>
            </w:tcBorders>
            <w:shd w:val="clear" w:color="auto" w:fill="auto"/>
            <w:noWrap/>
            <w:vAlign w:val="bottom"/>
            <w:hideMark/>
          </w:tcPr>
          <w:p w14:paraId="47A4E996"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1,569 </w:t>
            </w:r>
          </w:p>
        </w:tc>
        <w:tc>
          <w:tcPr>
            <w:tcW w:w="581" w:type="dxa"/>
            <w:tcBorders>
              <w:top w:val="nil"/>
              <w:left w:val="nil"/>
              <w:bottom w:val="single" w:sz="4" w:space="0" w:color="auto"/>
              <w:right w:val="nil"/>
            </w:tcBorders>
            <w:shd w:val="clear" w:color="auto" w:fill="auto"/>
            <w:noWrap/>
            <w:vAlign w:val="bottom"/>
            <w:hideMark/>
          </w:tcPr>
          <w:p w14:paraId="1CA20206"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1,072 </w:t>
            </w:r>
          </w:p>
        </w:tc>
        <w:tc>
          <w:tcPr>
            <w:tcW w:w="581" w:type="dxa"/>
            <w:tcBorders>
              <w:top w:val="nil"/>
              <w:left w:val="nil"/>
              <w:bottom w:val="single" w:sz="4" w:space="0" w:color="auto"/>
              <w:right w:val="nil"/>
            </w:tcBorders>
            <w:shd w:val="clear" w:color="auto" w:fill="auto"/>
            <w:noWrap/>
            <w:vAlign w:val="bottom"/>
            <w:hideMark/>
          </w:tcPr>
          <w:p w14:paraId="0E34748D"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396 </w:t>
            </w:r>
          </w:p>
        </w:tc>
        <w:tc>
          <w:tcPr>
            <w:tcW w:w="460" w:type="dxa"/>
            <w:gridSpan w:val="2"/>
            <w:tcBorders>
              <w:top w:val="nil"/>
              <w:left w:val="nil"/>
              <w:bottom w:val="single" w:sz="4" w:space="0" w:color="auto"/>
              <w:right w:val="nil"/>
            </w:tcBorders>
            <w:shd w:val="clear" w:color="auto" w:fill="auto"/>
            <w:noWrap/>
            <w:vAlign w:val="bottom"/>
            <w:hideMark/>
          </w:tcPr>
          <w:p w14:paraId="0D680CEF"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14 </w:t>
            </w:r>
          </w:p>
        </w:tc>
        <w:tc>
          <w:tcPr>
            <w:tcW w:w="743" w:type="dxa"/>
            <w:tcBorders>
              <w:top w:val="nil"/>
              <w:left w:val="nil"/>
              <w:bottom w:val="single" w:sz="4" w:space="0" w:color="auto"/>
              <w:right w:val="nil"/>
            </w:tcBorders>
            <w:shd w:val="clear" w:color="auto" w:fill="auto"/>
            <w:noWrap/>
            <w:vAlign w:val="bottom"/>
            <w:hideMark/>
          </w:tcPr>
          <w:p w14:paraId="6BC4D9C7"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203,055 </w:t>
            </w:r>
          </w:p>
        </w:tc>
        <w:tc>
          <w:tcPr>
            <w:tcW w:w="704" w:type="dxa"/>
            <w:tcBorders>
              <w:top w:val="nil"/>
              <w:left w:val="nil"/>
              <w:bottom w:val="single" w:sz="4" w:space="0" w:color="auto"/>
              <w:right w:val="nil"/>
            </w:tcBorders>
            <w:shd w:val="clear" w:color="auto" w:fill="auto"/>
            <w:noWrap/>
            <w:vAlign w:val="bottom"/>
            <w:hideMark/>
          </w:tcPr>
          <w:p w14:paraId="79E3A6E5" w14:textId="77777777" w:rsidR="003D25CA" w:rsidRPr="00593D82" w:rsidRDefault="003D25CA" w:rsidP="00F95399">
            <w:pPr>
              <w:spacing w:after="0" w:line="240" w:lineRule="auto"/>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 xml:space="preserve">     57,168 </w:t>
            </w:r>
          </w:p>
        </w:tc>
        <w:tc>
          <w:tcPr>
            <w:tcW w:w="594" w:type="dxa"/>
            <w:tcBorders>
              <w:top w:val="nil"/>
              <w:left w:val="nil"/>
              <w:bottom w:val="single" w:sz="4" w:space="0" w:color="auto"/>
              <w:right w:val="nil"/>
            </w:tcBorders>
            <w:shd w:val="clear" w:color="auto" w:fill="auto"/>
            <w:noWrap/>
            <w:vAlign w:val="bottom"/>
            <w:hideMark/>
          </w:tcPr>
          <w:p w14:paraId="2D8685EB" w14:textId="77777777" w:rsidR="003D25CA" w:rsidRPr="00593D82" w:rsidRDefault="003D25CA" w:rsidP="00F95399">
            <w:pPr>
              <w:spacing w:after="0" w:line="240" w:lineRule="auto"/>
              <w:jc w:val="right"/>
              <w:rPr>
                <w:rFonts w:ascii="Calibri" w:eastAsia="Times New Roman" w:hAnsi="Calibri" w:cs="Calibri"/>
                <w:sz w:val="16"/>
                <w:szCs w:val="16"/>
                <w:lang w:val="en-IE" w:eastAsia="en-IE"/>
              </w:rPr>
            </w:pPr>
            <w:r w:rsidRPr="00593D82">
              <w:rPr>
                <w:rFonts w:ascii="Calibri" w:eastAsia="Times New Roman" w:hAnsi="Calibri" w:cs="Calibri"/>
                <w:sz w:val="16"/>
                <w:szCs w:val="16"/>
                <w:lang w:val="en-IE" w:eastAsia="en-IE"/>
              </w:rPr>
              <w:t>3.6</w:t>
            </w:r>
          </w:p>
        </w:tc>
      </w:tr>
    </w:tbl>
    <w:p w14:paraId="680E8138" w14:textId="77777777" w:rsidR="003D25CA" w:rsidRDefault="003D25CA" w:rsidP="003D25CA"/>
    <w:p w14:paraId="0F802587" w14:textId="77777777" w:rsidR="003D25CA" w:rsidRDefault="003D25CA" w:rsidP="003D25CA"/>
    <w:p w14:paraId="422C59E6" w14:textId="77777777" w:rsidR="003D25CA" w:rsidRPr="00A30835" w:rsidRDefault="003D25CA" w:rsidP="003D25CA">
      <w:pPr>
        <w:pStyle w:val="Caption"/>
        <w:keepNext/>
      </w:pPr>
      <w:bookmarkStart w:id="13" w:name="_Ref51062231"/>
      <w:bookmarkStart w:id="14" w:name="_Toc51756413"/>
      <w:bookmarkStart w:id="15" w:name="_Toc51931762"/>
      <w:bookmarkStart w:id="16" w:name="_Toc52544866"/>
      <w:bookmarkStart w:id="17" w:name="_Toc53230449"/>
      <w:bookmarkStart w:id="18" w:name="_Toc53260133"/>
      <w:bookmarkStart w:id="19" w:name="_Toc61869169"/>
      <w:bookmarkStart w:id="20" w:name="_Toc62589127"/>
      <w:r>
        <w:t xml:space="preserve">Table </w:t>
      </w:r>
      <w:bookmarkEnd w:id="13"/>
      <w:r w:rsidR="001A1B21" w:rsidRPr="001A1B21">
        <w:t xml:space="preserve">10 </w:t>
      </w:r>
      <w:r>
        <w:t>Worker Compatible Education Level</w:t>
      </w:r>
      <w:bookmarkEnd w:id="14"/>
      <w:bookmarkEnd w:id="15"/>
      <w:bookmarkEnd w:id="16"/>
      <w:bookmarkEnd w:id="17"/>
      <w:bookmarkEnd w:id="18"/>
      <w:bookmarkEnd w:id="19"/>
      <w:bookmarkEnd w:id="20"/>
    </w:p>
    <w:tbl>
      <w:tblPr>
        <w:tblStyle w:val="GridTable1Light"/>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127"/>
        <w:gridCol w:w="5252"/>
      </w:tblGrid>
      <w:tr w:rsidR="003D25CA" w:rsidRPr="00676266" w14:paraId="3AFDB49B" w14:textId="77777777" w:rsidTr="00F9539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tcBorders>
            <w:noWrap/>
            <w:hideMark/>
          </w:tcPr>
          <w:p w14:paraId="3A81ACB0" w14:textId="77777777" w:rsidR="003D25CA" w:rsidRPr="00676266" w:rsidRDefault="003D25CA" w:rsidP="00F95399">
            <w:pPr>
              <w:jc w:val="both"/>
              <w:rPr>
                <w:rFonts w:ascii="Times New Roman" w:eastAsia="Times New Roman" w:hAnsi="Times New Roman" w:cs="Times New Roman"/>
                <w:sz w:val="20"/>
                <w:szCs w:val="20"/>
                <w:lang w:val="en-IE" w:eastAsia="en-IE"/>
              </w:rPr>
            </w:pPr>
          </w:p>
        </w:tc>
        <w:tc>
          <w:tcPr>
            <w:tcW w:w="1127" w:type="dxa"/>
            <w:tcBorders>
              <w:top w:val="single" w:sz="4" w:space="0" w:color="auto"/>
              <w:bottom w:val="single" w:sz="4" w:space="0" w:color="auto"/>
            </w:tcBorders>
            <w:noWrap/>
            <w:hideMark/>
          </w:tcPr>
          <w:p w14:paraId="1BCAB781" w14:textId="77777777" w:rsidR="003D25CA" w:rsidRPr="00676266" w:rsidRDefault="003D25CA" w:rsidP="00F9539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val="en-IE" w:eastAsia="en-IE"/>
              </w:rPr>
            </w:pPr>
            <w:r w:rsidRPr="00676266">
              <w:rPr>
                <w:rFonts w:ascii="Calibri" w:eastAsia="Times New Roman" w:hAnsi="Calibri" w:cs="Calibri"/>
                <w:color w:val="000000"/>
                <w:sz w:val="20"/>
                <w:szCs w:val="20"/>
                <w:lang w:val="en-IE" w:eastAsia="en-IE"/>
              </w:rPr>
              <w:t>Education Level</w:t>
            </w:r>
          </w:p>
        </w:tc>
        <w:tc>
          <w:tcPr>
            <w:tcW w:w="5252" w:type="dxa"/>
            <w:tcBorders>
              <w:top w:val="single" w:sz="4" w:space="0" w:color="auto"/>
              <w:bottom w:val="single" w:sz="4" w:space="0" w:color="auto"/>
            </w:tcBorders>
          </w:tcPr>
          <w:p w14:paraId="4AEE81FD" w14:textId="77777777" w:rsidR="003D25CA" w:rsidRPr="00676266" w:rsidRDefault="003D25CA" w:rsidP="00F95399">
            <w:pPr>
              <w:jc w:val="both"/>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val="en-IE" w:eastAsia="en-IE"/>
              </w:rPr>
            </w:pPr>
            <w:r w:rsidRPr="00676266">
              <w:rPr>
                <w:rFonts w:ascii="Calibri" w:eastAsia="Times New Roman" w:hAnsi="Calibri" w:cs="Calibri"/>
                <w:color w:val="000000"/>
                <w:sz w:val="20"/>
                <w:szCs w:val="20"/>
                <w:lang w:val="en-IE" w:eastAsia="en-IE"/>
              </w:rPr>
              <w:t xml:space="preserve">   Comparable Position</w:t>
            </w:r>
          </w:p>
        </w:tc>
      </w:tr>
      <w:tr w:rsidR="003D25CA" w:rsidRPr="00676266" w14:paraId="2990BC3C" w14:textId="77777777" w:rsidTr="00F95399">
        <w:trPr>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32067527" w14:textId="77777777" w:rsidR="003D25CA" w:rsidRPr="00676266" w:rsidRDefault="003D25CA" w:rsidP="00F95399">
            <w:pPr>
              <w:jc w:val="both"/>
              <w:rPr>
                <w:rFonts w:ascii="Calibri" w:eastAsia="Times New Roman" w:hAnsi="Calibri" w:cs="Calibri"/>
                <w:b w:val="0"/>
                <w:bCs w:val="0"/>
                <w:color w:val="000000"/>
                <w:sz w:val="20"/>
                <w:szCs w:val="20"/>
                <w:lang w:val="en-IE" w:eastAsia="en-IE"/>
              </w:rPr>
            </w:pPr>
            <w:r w:rsidRPr="00676266">
              <w:rPr>
                <w:rFonts w:ascii="Calibri" w:eastAsia="Times New Roman" w:hAnsi="Calibri" w:cs="Calibri"/>
                <w:color w:val="000000"/>
                <w:sz w:val="20"/>
                <w:szCs w:val="20"/>
                <w:lang w:val="en-IE" w:eastAsia="en-IE"/>
              </w:rPr>
              <w:t>Landfill</w:t>
            </w:r>
          </w:p>
        </w:tc>
        <w:tc>
          <w:tcPr>
            <w:tcW w:w="1127" w:type="dxa"/>
            <w:noWrap/>
            <w:hideMark/>
          </w:tcPr>
          <w:p w14:paraId="3CC920A6" w14:textId="77777777" w:rsidR="003D25CA" w:rsidRPr="00676266"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676266">
              <w:rPr>
                <w:rFonts w:ascii="Calibri" w:hAnsi="Calibri" w:cs="Calibri"/>
                <w:color w:val="000000"/>
                <w:sz w:val="20"/>
                <w:szCs w:val="20"/>
              </w:rPr>
              <w:t>3.0</w:t>
            </w:r>
          </w:p>
        </w:tc>
        <w:tc>
          <w:tcPr>
            <w:tcW w:w="5252" w:type="dxa"/>
          </w:tcPr>
          <w:p w14:paraId="0AF66516" w14:textId="77777777" w:rsidR="003D25CA" w:rsidRPr="00676266" w:rsidRDefault="003D25CA" w:rsidP="00F9539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76266">
              <w:rPr>
                <w:rFonts w:ascii="Calibri" w:hAnsi="Calibri"/>
                <w:bCs/>
                <w:color w:val="000000"/>
                <w:sz w:val="20"/>
                <w:szCs w:val="20"/>
              </w:rPr>
              <w:t>Transport and mobile machine drivers and operatives</w:t>
            </w:r>
          </w:p>
        </w:tc>
      </w:tr>
      <w:tr w:rsidR="003D25CA" w:rsidRPr="00676266" w14:paraId="6218BDAC" w14:textId="77777777" w:rsidTr="00F95399">
        <w:trPr>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309208F6" w14:textId="77777777" w:rsidR="003D25CA" w:rsidRPr="00676266" w:rsidRDefault="003D25CA" w:rsidP="00F95399">
            <w:pPr>
              <w:rPr>
                <w:rFonts w:ascii="Calibri" w:eastAsia="Times New Roman" w:hAnsi="Calibri" w:cs="Calibri"/>
                <w:b w:val="0"/>
                <w:bCs w:val="0"/>
                <w:color w:val="000000"/>
                <w:sz w:val="20"/>
                <w:szCs w:val="20"/>
                <w:lang w:val="en-IE" w:eastAsia="en-IE"/>
              </w:rPr>
            </w:pPr>
            <w:r w:rsidRPr="00676266">
              <w:rPr>
                <w:rFonts w:ascii="Calibri" w:eastAsia="Times New Roman" w:hAnsi="Calibri" w:cs="Calibri"/>
                <w:color w:val="000000"/>
                <w:sz w:val="20"/>
                <w:szCs w:val="20"/>
                <w:lang w:val="en-IE" w:eastAsia="en-IE"/>
              </w:rPr>
              <w:t>Incineration with Heat Recovery</w:t>
            </w:r>
          </w:p>
        </w:tc>
        <w:tc>
          <w:tcPr>
            <w:tcW w:w="1127" w:type="dxa"/>
            <w:noWrap/>
            <w:hideMark/>
          </w:tcPr>
          <w:p w14:paraId="6D6EA3ED" w14:textId="77777777" w:rsidR="003D25CA" w:rsidRPr="00676266"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676266">
              <w:rPr>
                <w:rFonts w:ascii="Calibri" w:hAnsi="Calibri" w:cs="Calibri"/>
                <w:color w:val="000000"/>
                <w:sz w:val="20"/>
                <w:szCs w:val="20"/>
              </w:rPr>
              <w:t>3.8</w:t>
            </w:r>
          </w:p>
        </w:tc>
        <w:tc>
          <w:tcPr>
            <w:tcW w:w="5252" w:type="dxa"/>
          </w:tcPr>
          <w:p w14:paraId="48939DC7" w14:textId="77777777" w:rsidR="003D25CA" w:rsidRPr="00676266" w:rsidRDefault="003D25CA" w:rsidP="00F9539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76266">
              <w:rPr>
                <w:rFonts w:ascii="Calibri" w:hAnsi="Calibri"/>
                <w:bCs/>
                <w:color w:val="000000"/>
                <w:sz w:val="20"/>
                <w:szCs w:val="20"/>
              </w:rPr>
              <w:t>Process, plant and machine operatives</w:t>
            </w:r>
          </w:p>
        </w:tc>
      </w:tr>
      <w:tr w:rsidR="003D25CA" w:rsidRPr="00676266" w14:paraId="0040C587" w14:textId="77777777" w:rsidTr="00F95399">
        <w:trPr>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6A315C47" w14:textId="77777777" w:rsidR="003D25CA" w:rsidRPr="00676266" w:rsidRDefault="003D25CA" w:rsidP="00F95399">
            <w:pPr>
              <w:jc w:val="both"/>
              <w:rPr>
                <w:rFonts w:ascii="Calibri" w:eastAsia="Times New Roman" w:hAnsi="Calibri" w:cs="Calibri"/>
                <w:b w:val="0"/>
                <w:bCs w:val="0"/>
                <w:color w:val="000000"/>
                <w:sz w:val="20"/>
                <w:szCs w:val="20"/>
                <w:lang w:val="en-IE" w:eastAsia="en-IE"/>
              </w:rPr>
            </w:pPr>
            <w:r w:rsidRPr="00676266">
              <w:rPr>
                <w:rFonts w:ascii="Calibri" w:eastAsia="Times New Roman" w:hAnsi="Calibri" w:cs="Calibri"/>
                <w:color w:val="000000"/>
                <w:sz w:val="20"/>
                <w:szCs w:val="20"/>
                <w:lang w:val="en-IE" w:eastAsia="en-IE"/>
              </w:rPr>
              <w:t>Co-Processing</w:t>
            </w:r>
          </w:p>
        </w:tc>
        <w:tc>
          <w:tcPr>
            <w:tcW w:w="1127" w:type="dxa"/>
            <w:noWrap/>
            <w:hideMark/>
          </w:tcPr>
          <w:p w14:paraId="02AE061C" w14:textId="77777777" w:rsidR="003D25CA" w:rsidRPr="00676266"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676266">
              <w:rPr>
                <w:rFonts w:ascii="Calibri" w:hAnsi="Calibri" w:cs="Calibri"/>
                <w:color w:val="000000"/>
                <w:sz w:val="20"/>
                <w:szCs w:val="20"/>
              </w:rPr>
              <w:t>4.4</w:t>
            </w:r>
          </w:p>
        </w:tc>
        <w:tc>
          <w:tcPr>
            <w:tcW w:w="5252" w:type="dxa"/>
          </w:tcPr>
          <w:p w14:paraId="692D0C61" w14:textId="77777777" w:rsidR="003D25CA" w:rsidRPr="00676266" w:rsidRDefault="003D25CA" w:rsidP="00F9539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76266">
              <w:rPr>
                <w:rFonts w:ascii="Calibri" w:hAnsi="Calibri"/>
                <w:bCs/>
                <w:color w:val="000000"/>
                <w:sz w:val="20"/>
                <w:szCs w:val="20"/>
              </w:rPr>
              <w:t>Skilled metal, electrical and electronic trades</w:t>
            </w:r>
          </w:p>
        </w:tc>
      </w:tr>
      <w:tr w:rsidR="003D25CA" w:rsidRPr="00676266" w14:paraId="5F45C92D" w14:textId="77777777" w:rsidTr="00F95399">
        <w:trPr>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4FE67FD1" w14:textId="77777777" w:rsidR="003D25CA" w:rsidRPr="00676266" w:rsidRDefault="003D25CA" w:rsidP="00F95399">
            <w:pPr>
              <w:jc w:val="both"/>
              <w:rPr>
                <w:rFonts w:ascii="Calibri" w:eastAsia="Times New Roman" w:hAnsi="Calibri" w:cs="Calibri"/>
                <w:b w:val="0"/>
                <w:bCs w:val="0"/>
                <w:color w:val="000000"/>
                <w:sz w:val="20"/>
                <w:szCs w:val="20"/>
                <w:lang w:val="en-IE" w:eastAsia="en-IE"/>
              </w:rPr>
            </w:pPr>
            <w:r w:rsidRPr="00676266">
              <w:rPr>
                <w:rFonts w:ascii="Calibri" w:eastAsia="Times New Roman" w:hAnsi="Calibri" w:cs="Calibri"/>
                <w:color w:val="000000"/>
                <w:sz w:val="20"/>
                <w:szCs w:val="20"/>
                <w:lang w:val="en-IE" w:eastAsia="en-IE"/>
              </w:rPr>
              <w:t>Furniture making</w:t>
            </w:r>
          </w:p>
        </w:tc>
        <w:tc>
          <w:tcPr>
            <w:tcW w:w="1127" w:type="dxa"/>
            <w:noWrap/>
            <w:hideMark/>
          </w:tcPr>
          <w:p w14:paraId="58C26279" w14:textId="77777777" w:rsidR="003D25CA" w:rsidRPr="00676266"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676266">
              <w:rPr>
                <w:rFonts w:ascii="Calibri" w:hAnsi="Calibri" w:cs="Calibri"/>
                <w:color w:val="000000"/>
                <w:sz w:val="20"/>
                <w:szCs w:val="20"/>
              </w:rPr>
              <w:t>4.1</w:t>
            </w:r>
          </w:p>
        </w:tc>
        <w:tc>
          <w:tcPr>
            <w:tcW w:w="5252" w:type="dxa"/>
          </w:tcPr>
          <w:p w14:paraId="34489340" w14:textId="77777777" w:rsidR="003D25CA" w:rsidRPr="00676266" w:rsidRDefault="003D25CA" w:rsidP="00F9539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76266">
              <w:rPr>
                <w:rFonts w:ascii="Calibri" w:hAnsi="Calibri"/>
                <w:bCs/>
                <w:color w:val="000000"/>
                <w:sz w:val="20"/>
                <w:szCs w:val="20"/>
              </w:rPr>
              <w:t>Textiles, printing and other skilled trades</w:t>
            </w:r>
          </w:p>
        </w:tc>
      </w:tr>
      <w:tr w:rsidR="003D25CA" w:rsidRPr="00676266" w14:paraId="11A3900C" w14:textId="77777777" w:rsidTr="00F95399">
        <w:trPr>
          <w:trHeight w:val="300"/>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auto"/>
            </w:tcBorders>
            <w:noWrap/>
            <w:hideMark/>
          </w:tcPr>
          <w:p w14:paraId="1343B5C4" w14:textId="77777777" w:rsidR="003D25CA" w:rsidRPr="00676266" w:rsidRDefault="003D25CA" w:rsidP="00F95399">
            <w:pPr>
              <w:jc w:val="both"/>
              <w:rPr>
                <w:rFonts w:ascii="Calibri" w:eastAsia="Times New Roman" w:hAnsi="Calibri" w:cs="Calibri"/>
                <w:b w:val="0"/>
                <w:bCs w:val="0"/>
                <w:color w:val="000000"/>
                <w:sz w:val="20"/>
                <w:szCs w:val="20"/>
                <w:lang w:val="en-IE" w:eastAsia="en-IE"/>
              </w:rPr>
            </w:pPr>
            <w:r w:rsidRPr="00676266">
              <w:rPr>
                <w:rFonts w:ascii="Calibri" w:eastAsia="Times New Roman" w:hAnsi="Calibri" w:cs="Calibri"/>
                <w:color w:val="000000"/>
                <w:sz w:val="20"/>
                <w:szCs w:val="20"/>
                <w:lang w:val="en-IE" w:eastAsia="en-IE"/>
              </w:rPr>
              <w:t>Bridge fabrication</w:t>
            </w:r>
          </w:p>
        </w:tc>
        <w:tc>
          <w:tcPr>
            <w:tcW w:w="1127" w:type="dxa"/>
            <w:tcBorders>
              <w:bottom w:val="single" w:sz="4" w:space="0" w:color="auto"/>
            </w:tcBorders>
            <w:noWrap/>
            <w:hideMark/>
          </w:tcPr>
          <w:p w14:paraId="27A0E1B1" w14:textId="77777777" w:rsidR="003D25CA" w:rsidRPr="00676266" w:rsidRDefault="003D25CA" w:rsidP="00F95399">
            <w:pPr>
              <w:keepNext/>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676266">
              <w:rPr>
                <w:rFonts w:ascii="Calibri" w:hAnsi="Calibri" w:cs="Calibri"/>
                <w:color w:val="000000"/>
                <w:sz w:val="20"/>
                <w:szCs w:val="20"/>
              </w:rPr>
              <w:t>3.6</w:t>
            </w:r>
          </w:p>
        </w:tc>
        <w:tc>
          <w:tcPr>
            <w:tcW w:w="5252" w:type="dxa"/>
            <w:tcBorders>
              <w:bottom w:val="single" w:sz="4" w:space="0" w:color="auto"/>
            </w:tcBorders>
          </w:tcPr>
          <w:p w14:paraId="61FF13B2" w14:textId="77777777" w:rsidR="003D25CA" w:rsidRPr="00676266" w:rsidRDefault="003D25CA" w:rsidP="00F95399">
            <w:pPr>
              <w:keepNext/>
              <w:jc w:val="both"/>
              <w:cnfStyle w:val="000000000000" w:firstRow="0" w:lastRow="0" w:firstColumn="0" w:lastColumn="0" w:oddVBand="0" w:evenVBand="0" w:oddHBand="0" w:evenHBand="0" w:firstRowFirstColumn="0" w:firstRowLastColumn="0" w:lastRowFirstColumn="0" w:lastRowLastColumn="0"/>
              <w:rPr>
                <w:rFonts w:ascii="Calibri" w:hAnsi="Calibri"/>
                <w:bCs/>
                <w:color w:val="000000"/>
                <w:sz w:val="20"/>
                <w:szCs w:val="20"/>
              </w:rPr>
            </w:pPr>
            <w:r w:rsidRPr="00676266">
              <w:rPr>
                <w:rFonts w:ascii="Calibri" w:hAnsi="Calibri"/>
                <w:bCs/>
                <w:color w:val="000000"/>
                <w:sz w:val="20"/>
                <w:szCs w:val="20"/>
              </w:rPr>
              <w:t>Skilled construction and building trades</w:t>
            </w:r>
          </w:p>
        </w:tc>
      </w:tr>
    </w:tbl>
    <w:p w14:paraId="240973C2" w14:textId="6ED8A68A" w:rsidR="003D25CA" w:rsidRDefault="003D25CA" w:rsidP="003D25CA">
      <w:pPr>
        <w:pStyle w:val="Heading2"/>
        <w:numPr>
          <w:ilvl w:val="0"/>
          <w:numId w:val="0"/>
        </w:numPr>
      </w:pPr>
      <w:bookmarkStart w:id="21" w:name="_Toc46409337"/>
      <w:bookmarkEnd w:id="21"/>
    </w:p>
    <w:p w14:paraId="19AA9499" w14:textId="77777777" w:rsidR="003D25CA" w:rsidRDefault="003D25CA" w:rsidP="003D25CA"/>
    <w:p w14:paraId="4013711F" w14:textId="77777777" w:rsidR="003D25CA" w:rsidRDefault="003D25CA" w:rsidP="003D25CA">
      <w:pPr>
        <w:pStyle w:val="Heading2"/>
        <w:numPr>
          <w:ilvl w:val="0"/>
          <w:numId w:val="0"/>
        </w:numPr>
      </w:pPr>
      <w:bookmarkStart w:id="22" w:name="_Toc60416180"/>
      <w:bookmarkStart w:id="23" w:name="_Ref60771514"/>
      <w:bookmarkStart w:id="24" w:name="_Toc61869244"/>
      <w:bookmarkStart w:id="25" w:name="_Toc46314104"/>
      <w:bookmarkStart w:id="26" w:name="_Toc46409613"/>
      <w:bookmarkStart w:id="27" w:name="_Toc49782695"/>
      <w:bookmarkStart w:id="28" w:name="_Toc50960450"/>
      <w:bookmarkStart w:id="29" w:name="_Toc51755947"/>
      <w:bookmarkStart w:id="30" w:name="_Toc60416168"/>
      <w:bookmarkStart w:id="31" w:name="_Toc61869232"/>
      <w:r>
        <w:t>Ternary Plots for the Economic Dimension</w:t>
      </w:r>
      <w:bookmarkEnd w:id="22"/>
      <w:bookmarkEnd w:id="23"/>
      <w:bookmarkEnd w:id="24"/>
    </w:p>
    <w:p w14:paraId="44E78D4D" w14:textId="77777777" w:rsidR="003D25CA" w:rsidRDefault="003D25CA" w:rsidP="003D25CA">
      <w:r>
        <w:t xml:space="preserve">It is possible to use a ternary plot within the Economic Dimension as it has three metrics. It is seen from the normalized metrics in </w:t>
      </w:r>
      <w:r>
        <w:rPr>
          <w:color w:val="2B579A"/>
          <w:shd w:val="clear" w:color="auto" w:fill="E6E6E6"/>
        </w:rPr>
        <w:fldChar w:fldCharType="begin"/>
      </w:r>
      <w:r>
        <w:instrText xml:space="preserve"> REF _Ref49763441 \h </w:instrText>
      </w:r>
      <w:r>
        <w:rPr>
          <w:color w:val="2B579A"/>
          <w:shd w:val="clear" w:color="auto" w:fill="E6E6E6"/>
        </w:rPr>
      </w:r>
      <w:r>
        <w:rPr>
          <w:color w:val="2B579A"/>
          <w:shd w:val="clear" w:color="auto" w:fill="E6E6E6"/>
        </w:rPr>
        <w:fldChar w:fldCharType="separate"/>
      </w:r>
      <w:r>
        <w:t xml:space="preserve">Table </w:t>
      </w:r>
      <w:r>
        <w:rPr>
          <w:noProof/>
        </w:rPr>
        <w:t>11</w:t>
      </w:r>
      <w:r>
        <w:rPr>
          <w:color w:val="2B579A"/>
          <w:shd w:val="clear" w:color="auto" w:fill="E6E6E6"/>
        </w:rPr>
        <w:fldChar w:fldCharType="end"/>
      </w:r>
      <w:r>
        <w:t xml:space="preserve"> that the sequence of rankings has the possibility of placing bridge fabrication in first place ahead of furniture making in the AHP Economic Sustainability Index, if the weight given to </w:t>
      </w:r>
      <w:r w:rsidRPr="00E23FF1">
        <w:rPr>
          <w:i/>
        </w:rPr>
        <w:t>Salary</w:t>
      </w:r>
      <w:r>
        <w:t xml:space="preserve"> is large enough, and also that incineration may be placed ahead of co-processing if the weight given to </w:t>
      </w:r>
      <w:r w:rsidRPr="00E23FF1">
        <w:rPr>
          <w:i/>
        </w:rPr>
        <w:t>R&amp;D Value</w:t>
      </w:r>
      <w:r>
        <w:t xml:space="preserve"> is large enough. These are illustrated in </w:t>
      </w:r>
      <w:r>
        <w:rPr>
          <w:color w:val="2B579A"/>
          <w:shd w:val="clear" w:color="auto" w:fill="E6E6E6"/>
        </w:rPr>
        <w:fldChar w:fldCharType="begin"/>
      </w:r>
      <w:r>
        <w:instrText xml:space="preserve"> REF _Ref49765308 \h </w:instrText>
      </w:r>
      <w:r>
        <w:rPr>
          <w:color w:val="2B579A"/>
          <w:shd w:val="clear" w:color="auto" w:fill="E6E6E6"/>
        </w:rPr>
      </w:r>
      <w:r>
        <w:rPr>
          <w:color w:val="2B579A"/>
          <w:shd w:val="clear" w:color="auto" w:fill="E6E6E6"/>
        </w:rPr>
        <w:fldChar w:fldCharType="separate"/>
      </w:r>
      <w:r>
        <w:t xml:space="preserve">Figure </w:t>
      </w:r>
      <w:r>
        <w:rPr>
          <w:noProof/>
        </w:rPr>
        <w:t>6</w:t>
      </w:r>
      <w:r>
        <w:rPr>
          <w:color w:val="2B579A"/>
          <w:shd w:val="clear" w:color="auto" w:fill="E6E6E6"/>
        </w:rPr>
        <w:fldChar w:fldCharType="end"/>
      </w:r>
      <w:r>
        <w:t xml:space="preserve"> and </w:t>
      </w:r>
      <w:r>
        <w:rPr>
          <w:color w:val="2B579A"/>
          <w:shd w:val="clear" w:color="auto" w:fill="E6E6E6"/>
        </w:rPr>
        <w:fldChar w:fldCharType="begin"/>
      </w:r>
      <w:r>
        <w:instrText xml:space="preserve"> REF _Ref49767051 \h </w:instrText>
      </w:r>
      <w:r>
        <w:rPr>
          <w:color w:val="2B579A"/>
          <w:shd w:val="clear" w:color="auto" w:fill="E6E6E6"/>
        </w:rPr>
      </w:r>
      <w:r>
        <w:rPr>
          <w:color w:val="2B579A"/>
          <w:shd w:val="clear" w:color="auto" w:fill="E6E6E6"/>
        </w:rPr>
        <w:fldChar w:fldCharType="separate"/>
      </w:r>
      <w:r>
        <w:t xml:space="preserve">Figure </w:t>
      </w:r>
      <w:r>
        <w:rPr>
          <w:noProof/>
        </w:rPr>
        <w:t>7</w:t>
      </w:r>
      <w:r>
        <w:rPr>
          <w:color w:val="2B579A"/>
          <w:shd w:val="clear" w:color="auto" w:fill="E6E6E6"/>
        </w:rPr>
        <w:fldChar w:fldCharType="end"/>
      </w:r>
      <w:r>
        <w:t xml:space="preserve">. </w:t>
      </w:r>
    </w:p>
    <w:p w14:paraId="0224910D" w14:textId="77777777" w:rsidR="003D25CA" w:rsidRDefault="003D25CA" w:rsidP="003D25CA">
      <w:r>
        <w:t>The situation becomes more complex for the Social and Environmental weights as both of these dimensions have four metrics, and so the illustration of a triangle needs to be replaced with a tetrahedron (for which Viviani’s Theorem still applies). This is not illustrated here.</w:t>
      </w:r>
    </w:p>
    <w:p w14:paraId="4FDD5D8A" w14:textId="77777777" w:rsidR="003D25CA" w:rsidRDefault="003D25CA" w:rsidP="003D25CA">
      <w:pPr>
        <w:pStyle w:val="Caption"/>
        <w:keepNext/>
      </w:pPr>
      <w:bookmarkStart w:id="32" w:name="_Ref49763441"/>
      <w:bookmarkStart w:id="33" w:name="_Toc51756405"/>
      <w:bookmarkStart w:id="34" w:name="_Toc51931769"/>
      <w:bookmarkStart w:id="35" w:name="_Toc52544873"/>
      <w:bookmarkStart w:id="36" w:name="_Toc53230456"/>
      <w:bookmarkStart w:id="37" w:name="_Toc53260141"/>
      <w:bookmarkStart w:id="38" w:name="_Toc61869178"/>
      <w:bookmarkStart w:id="39" w:name="_Toc62589130"/>
      <w:r>
        <w:t xml:space="preserve">Table </w:t>
      </w:r>
      <w:bookmarkEnd w:id="32"/>
      <w:r w:rsidR="001A1B21" w:rsidRPr="001A1B21">
        <w:t xml:space="preserve">11 </w:t>
      </w:r>
      <w:r>
        <w:t>Economic Metrics</w:t>
      </w:r>
      <w:bookmarkEnd w:id="33"/>
      <w:bookmarkEnd w:id="34"/>
      <w:r>
        <w:t xml:space="preserve"> Normalized Values</w:t>
      </w:r>
      <w:bookmarkEnd w:id="35"/>
      <w:bookmarkEnd w:id="36"/>
      <w:bookmarkEnd w:id="37"/>
      <w:bookmarkEnd w:id="38"/>
      <w:bookmarkEnd w:id="39"/>
    </w:p>
    <w:tbl>
      <w:tblPr>
        <w:tblStyle w:val="GridTable1Light"/>
        <w:tblW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851"/>
        <w:gridCol w:w="1417"/>
        <w:gridCol w:w="1134"/>
      </w:tblGrid>
      <w:tr w:rsidR="003D25CA" w:rsidRPr="00495D3E" w14:paraId="6A797E44" w14:textId="77777777" w:rsidTr="00F9539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7A5A4B5A" w14:textId="77777777" w:rsidR="003D25CA" w:rsidRPr="00495D3E" w:rsidRDefault="003D25CA" w:rsidP="00F95399">
            <w:pPr>
              <w:rPr>
                <w:rFonts w:ascii="Calibri" w:eastAsia="Times New Roman" w:hAnsi="Calibri" w:cs="Calibri"/>
                <w:b w:val="0"/>
                <w:bCs w:val="0"/>
                <w:sz w:val="20"/>
                <w:szCs w:val="20"/>
                <w:lang w:val="en-IE" w:eastAsia="en-IE"/>
              </w:rPr>
            </w:pPr>
          </w:p>
        </w:tc>
        <w:tc>
          <w:tcPr>
            <w:tcW w:w="851" w:type="dxa"/>
            <w:tcBorders>
              <w:top w:val="single" w:sz="4" w:space="0" w:color="auto"/>
              <w:bottom w:val="single" w:sz="4" w:space="0" w:color="auto"/>
            </w:tcBorders>
            <w:noWrap/>
            <w:hideMark/>
          </w:tcPr>
          <w:p w14:paraId="7509B2D4" w14:textId="77777777" w:rsidR="003D25CA" w:rsidRPr="00495D3E" w:rsidRDefault="003D25CA" w:rsidP="00F9539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sz w:val="20"/>
                <w:szCs w:val="20"/>
                <w:lang w:val="en-IE" w:eastAsia="en-IE"/>
              </w:rPr>
            </w:pPr>
            <w:r w:rsidRPr="00495D3E">
              <w:rPr>
                <w:rFonts w:ascii="Calibri" w:eastAsia="Times New Roman" w:hAnsi="Calibri" w:cs="Calibri"/>
                <w:i/>
                <w:sz w:val="20"/>
                <w:szCs w:val="20"/>
                <w:lang w:val="en-IE" w:eastAsia="en-IE"/>
              </w:rPr>
              <w:t>Salary</w:t>
            </w:r>
          </w:p>
        </w:tc>
        <w:tc>
          <w:tcPr>
            <w:tcW w:w="1417" w:type="dxa"/>
            <w:tcBorders>
              <w:top w:val="single" w:sz="4" w:space="0" w:color="auto"/>
              <w:bottom w:val="single" w:sz="4" w:space="0" w:color="auto"/>
            </w:tcBorders>
            <w:noWrap/>
            <w:hideMark/>
          </w:tcPr>
          <w:p w14:paraId="101E6807" w14:textId="77777777" w:rsidR="003D25CA" w:rsidRPr="00495D3E" w:rsidRDefault="003D25CA" w:rsidP="00F9539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sz w:val="20"/>
                <w:szCs w:val="20"/>
                <w:lang w:val="en-IE" w:eastAsia="en-IE"/>
              </w:rPr>
            </w:pPr>
            <w:r w:rsidRPr="00495D3E">
              <w:rPr>
                <w:rFonts w:ascii="Calibri" w:eastAsia="Times New Roman" w:hAnsi="Calibri" w:cs="Calibri"/>
                <w:i/>
                <w:sz w:val="20"/>
                <w:szCs w:val="20"/>
                <w:lang w:val="en-IE" w:eastAsia="en-IE"/>
              </w:rPr>
              <w:t>Commercial Potential</w:t>
            </w:r>
          </w:p>
        </w:tc>
        <w:tc>
          <w:tcPr>
            <w:tcW w:w="1134" w:type="dxa"/>
            <w:tcBorders>
              <w:top w:val="single" w:sz="4" w:space="0" w:color="auto"/>
              <w:bottom w:val="single" w:sz="4" w:space="0" w:color="auto"/>
            </w:tcBorders>
            <w:noWrap/>
            <w:hideMark/>
          </w:tcPr>
          <w:p w14:paraId="79899581" w14:textId="77777777" w:rsidR="003D25CA" w:rsidRPr="00495D3E" w:rsidRDefault="003D25CA" w:rsidP="00F9539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sz w:val="20"/>
                <w:szCs w:val="20"/>
                <w:lang w:val="en-IE" w:eastAsia="en-IE"/>
              </w:rPr>
            </w:pPr>
            <w:r w:rsidRPr="00495D3E">
              <w:rPr>
                <w:rFonts w:ascii="Calibri" w:eastAsia="Times New Roman" w:hAnsi="Calibri" w:cs="Calibri"/>
                <w:i/>
                <w:sz w:val="20"/>
                <w:szCs w:val="20"/>
                <w:lang w:val="en-IE" w:eastAsia="en-IE"/>
              </w:rPr>
              <w:t xml:space="preserve">R&amp;D </w:t>
            </w:r>
          </w:p>
          <w:p w14:paraId="2E396236" w14:textId="77777777" w:rsidR="003D25CA" w:rsidRPr="00495D3E" w:rsidRDefault="003D25CA" w:rsidP="00F9539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sz w:val="20"/>
                <w:szCs w:val="20"/>
                <w:lang w:val="en-IE" w:eastAsia="en-IE"/>
              </w:rPr>
            </w:pPr>
            <w:r w:rsidRPr="00495D3E">
              <w:rPr>
                <w:rFonts w:ascii="Calibri" w:eastAsia="Times New Roman" w:hAnsi="Calibri" w:cs="Calibri"/>
                <w:i/>
                <w:sz w:val="20"/>
                <w:szCs w:val="20"/>
                <w:lang w:val="en-IE" w:eastAsia="en-IE"/>
              </w:rPr>
              <w:t>Value</w:t>
            </w:r>
          </w:p>
        </w:tc>
      </w:tr>
      <w:tr w:rsidR="003D25CA" w:rsidRPr="00495D3E" w14:paraId="6A83FCC9" w14:textId="77777777" w:rsidTr="00F95399">
        <w:trPr>
          <w:trHeight w:val="211"/>
        </w:trPr>
        <w:tc>
          <w:tcPr>
            <w:cnfStyle w:val="001000000000" w:firstRow="0" w:lastRow="0" w:firstColumn="1" w:lastColumn="0" w:oddVBand="0" w:evenVBand="0" w:oddHBand="0" w:evenHBand="0" w:firstRowFirstColumn="0" w:firstRowLastColumn="0" w:lastRowFirstColumn="0" w:lastRowLastColumn="0"/>
            <w:tcW w:w="2263" w:type="dxa"/>
          </w:tcPr>
          <w:p w14:paraId="51EDEFF0" w14:textId="77777777" w:rsidR="003D25CA" w:rsidRPr="00495D3E" w:rsidRDefault="003D25CA" w:rsidP="00F95399">
            <w:pPr>
              <w:jc w:val="center"/>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Weights of the Metrics</w:t>
            </w:r>
          </w:p>
        </w:tc>
        <w:tc>
          <w:tcPr>
            <w:tcW w:w="851" w:type="dxa"/>
            <w:tcBorders>
              <w:top w:val="single" w:sz="4" w:space="0" w:color="auto"/>
            </w:tcBorders>
            <w:noWrap/>
          </w:tcPr>
          <w:p w14:paraId="301A9FFB"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25%</w:t>
            </w:r>
          </w:p>
        </w:tc>
        <w:tc>
          <w:tcPr>
            <w:tcW w:w="1417" w:type="dxa"/>
            <w:tcBorders>
              <w:top w:val="single" w:sz="4" w:space="0" w:color="auto"/>
            </w:tcBorders>
            <w:noWrap/>
          </w:tcPr>
          <w:p w14:paraId="08783934"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48%</w:t>
            </w:r>
          </w:p>
        </w:tc>
        <w:tc>
          <w:tcPr>
            <w:tcW w:w="1134" w:type="dxa"/>
            <w:tcBorders>
              <w:top w:val="single" w:sz="4" w:space="0" w:color="auto"/>
            </w:tcBorders>
            <w:noWrap/>
          </w:tcPr>
          <w:p w14:paraId="07372B47"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27%</w:t>
            </w:r>
          </w:p>
        </w:tc>
      </w:tr>
      <w:tr w:rsidR="003D25CA" w:rsidRPr="00495D3E" w14:paraId="7AFADC4F" w14:textId="77777777" w:rsidTr="00F95399">
        <w:trPr>
          <w:trHeight w:val="300"/>
        </w:trPr>
        <w:tc>
          <w:tcPr>
            <w:cnfStyle w:val="001000000000" w:firstRow="0" w:lastRow="0" w:firstColumn="1" w:lastColumn="0" w:oddVBand="0" w:evenVBand="0" w:oddHBand="0" w:evenHBand="0" w:firstRowFirstColumn="0" w:firstRowLastColumn="0" w:lastRowFirstColumn="0" w:lastRowLastColumn="0"/>
            <w:tcW w:w="2263" w:type="dxa"/>
          </w:tcPr>
          <w:p w14:paraId="64859B7C" w14:textId="77777777" w:rsidR="003D25CA" w:rsidRPr="00495D3E" w:rsidRDefault="003D25CA" w:rsidP="00F95399">
            <w:pPr>
              <w:jc w:val="center"/>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Normalised</w:t>
            </w:r>
          </w:p>
          <w:p w14:paraId="74AAD689" w14:textId="77777777" w:rsidR="003D25CA" w:rsidRPr="00495D3E" w:rsidRDefault="003D25CA" w:rsidP="00F95399">
            <w:pPr>
              <w:jc w:val="center"/>
              <w:rPr>
                <w:rFonts w:ascii="Calibri" w:eastAsia="Times New Roman" w:hAnsi="Calibri" w:cs="Calibri"/>
                <w:b w:val="0"/>
                <w:color w:val="000000"/>
                <w:sz w:val="20"/>
                <w:szCs w:val="20"/>
                <w:lang w:val="en-IE" w:eastAsia="en-IE"/>
              </w:rPr>
            </w:pPr>
            <w:r w:rsidRPr="00495D3E">
              <w:rPr>
                <w:rFonts w:ascii="Calibri" w:eastAsia="Times New Roman" w:hAnsi="Calibri" w:cs="Calibri"/>
                <w:color w:val="000000"/>
                <w:sz w:val="20"/>
                <w:szCs w:val="20"/>
                <w:lang w:val="en-IE" w:eastAsia="en-IE"/>
              </w:rPr>
              <w:t>Values of the Metrics</w:t>
            </w:r>
          </w:p>
        </w:tc>
        <w:tc>
          <w:tcPr>
            <w:tcW w:w="851" w:type="dxa"/>
            <w:noWrap/>
          </w:tcPr>
          <w:p w14:paraId="58F53496"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p>
        </w:tc>
        <w:tc>
          <w:tcPr>
            <w:tcW w:w="1417" w:type="dxa"/>
            <w:noWrap/>
          </w:tcPr>
          <w:p w14:paraId="51EF5135"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p>
        </w:tc>
        <w:tc>
          <w:tcPr>
            <w:tcW w:w="1134" w:type="dxa"/>
            <w:noWrap/>
          </w:tcPr>
          <w:p w14:paraId="650B3B9D"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p>
        </w:tc>
      </w:tr>
      <w:tr w:rsidR="003D25CA" w:rsidRPr="00495D3E" w14:paraId="04C649DA" w14:textId="77777777" w:rsidTr="00F95399">
        <w:trPr>
          <w:trHeight w:val="181"/>
        </w:trPr>
        <w:tc>
          <w:tcPr>
            <w:cnfStyle w:val="001000000000" w:firstRow="0" w:lastRow="0" w:firstColumn="1" w:lastColumn="0" w:oddVBand="0" w:evenVBand="0" w:oddHBand="0" w:evenHBand="0" w:firstRowFirstColumn="0" w:firstRowLastColumn="0" w:lastRowFirstColumn="0" w:lastRowLastColumn="0"/>
            <w:tcW w:w="2263" w:type="dxa"/>
          </w:tcPr>
          <w:p w14:paraId="04E2C095" w14:textId="77777777" w:rsidR="003D25CA" w:rsidRPr="00495D3E" w:rsidRDefault="003D25CA" w:rsidP="00F95399">
            <w:pPr>
              <w:jc w:val="right"/>
              <w:rPr>
                <w:rFonts w:ascii="Calibri" w:eastAsia="Times New Roman" w:hAnsi="Calibri" w:cs="Calibri"/>
                <w:b w:val="0"/>
                <w:color w:val="000000"/>
                <w:sz w:val="20"/>
                <w:szCs w:val="20"/>
                <w:lang w:val="en-IE" w:eastAsia="en-IE"/>
              </w:rPr>
            </w:pPr>
            <w:r w:rsidRPr="00495D3E">
              <w:rPr>
                <w:rFonts w:ascii="Calibri" w:eastAsia="Times New Roman" w:hAnsi="Calibri" w:cs="Calibri"/>
                <w:b w:val="0"/>
                <w:color w:val="000000"/>
                <w:sz w:val="20"/>
                <w:szCs w:val="20"/>
                <w:lang w:val="en-IE" w:eastAsia="en-IE"/>
              </w:rPr>
              <w:t>Landfill</w:t>
            </w:r>
          </w:p>
        </w:tc>
        <w:tc>
          <w:tcPr>
            <w:tcW w:w="851" w:type="dxa"/>
            <w:noWrap/>
            <w:hideMark/>
          </w:tcPr>
          <w:p w14:paraId="0A02CD9A"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0.00</w:t>
            </w:r>
          </w:p>
        </w:tc>
        <w:tc>
          <w:tcPr>
            <w:tcW w:w="1417" w:type="dxa"/>
            <w:noWrap/>
            <w:hideMark/>
          </w:tcPr>
          <w:p w14:paraId="28964CA3"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0.00</w:t>
            </w:r>
          </w:p>
        </w:tc>
        <w:tc>
          <w:tcPr>
            <w:tcW w:w="1134" w:type="dxa"/>
            <w:noWrap/>
            <w:hideMark/>
          </w:tcPr>
          <w:p w14:paraId="2906CBD4"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0.00</w:t>
            </w:r>
          </w:p>
        </w:tc>
      </w:tr>
      <w:tr w:rsidR="003D25CA" w:rsidRPr="00495D3E" w14:paraId="591FE4BB" w14:textId="77777777" w:rsidTr="00F95399">
        <w:trPr>
          <w:trHeight w:val="213"/>
        </w:trPr>
        <w:tc>
          <w:tcPr>
            <w:cnfStyle w:val="001000000000" w:firstRow="0" w:lastRow="0" w:firstColumn="1" w:lastColumn="0" w:oddVBand="0" w:evenVBand="0" w:oddHBand="0" w:evenHBand="0" w:firstRowFirstColumn="0" w:firstRowLastColumn="0" w:lastRowFirstColumn="0" w:lastRowLastColumn="0"/>
            <w:tcW w:w="2263" w:type="dxa"/>
          </w:tcPr>
          <w:p w14:paraId="460BEEC3" w14:textId="77777777" w:rsidR="003D25CA" w:rsidRPr="00495D3E" w:rsidRDefault="003D25CA" w:rsidP="00F95399">
            <w:pPr>
              <w:jc w:val="right"/>
              <w:rPr>
                <w:rFonts w:ascii="Calibri" w:eastAsia="Times New Roman" w:hAnsi="Calibri" w:cs="Calibri"/>
                <w:b w:val="0"/>
                <w:color w:val="000000"/>
                <w:sz w:val="20"/>
                <w:szCs w:val="20"/>
                <w:lang w:val="en-IE" w:eastAsia="en-IE"/>
              </w:rPr>
            </w:pPr>
            <w:r w:rsidRPr="00495D3E">
              <w:rPr>
                <w:rFonts w:ascii="Calibri" w:eastAsia="Times New Roman" w:hAnsi="Calibri" w:cs="Calibri"/>
                <w:b w:val="0"/>
                <w:color w:val="000000"/>
                <w:sz w:val="20"/>
                <w:szCs w:val="20"/>
                <w:lang w:val="en-IE" w:eastAsia="en-IE"/>
              </w:rPr>
              <w:t>Incineration</w:t>
            </w:r>
          </w:p>
        </w:tc>
        <w:tc>
          <w:tcPr>
            <w:tcW w:w="851" w:type="dxa"/>
            <w:noWrap/>
            <w:hideMark/>
          </w:tcPr>
          <w:p w14:paraId="52D37C04"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0.03</w:t>
            </w:r>
          </w:p>
        </w:tc>
        <w:tc>
          <w:tcPr>
            <w:tcW w:w="1417" w:type="dxa"/>
            <w:noWrap/>
            <w:hideMark/>
          </w:tcPr>
          <w:p w14:paraId="164982BE"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0.39</w:t>
            </w:r>
          </w:p>
        </w:tc>
        <w:tc>
          <w:tcPr>
            <w:tcW w:w="1134" w:type="dxa"/>
            <w:noWrap/>
            <w:hideMark/>
          </w:tcPr>
          <w:p w14:paraId="1D296BF9"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0.04</w:t>
            </w:r>
          </w:p>
        </w:tc>
      </w:tr>
      <w:tr w:rsidR="003D25CA" w:rsidRPr="00495D3E" w14:paraId="0190D606" w14:textId="77777777" w:rsidTr="00F95399">
        <w:trPr>
          <w:trHeight w:val="259"/>
        </w:trPr>
        <w:tc>
          <w:tcPr>
            <w:cnfStyle w:val="001000000000" w:firstRow="0" w:lastRow="0" w:firstColumn="1" w:lastColumn="0" w:oddVBand="0" w:evenVBand="0" w:oddHBand="0" w:evenHBand="0" w:firstRowFirstColumn="0" w:firstRowLastColumn="0" w:lastRowFirstColumn="0" w:lastRowLastColumn="0"/>
            <w:tcW w:w="2263" w:type="dxa"/>
          </w:tcPr>
          <w:p w14:paraId="3796B965" w14:textId="77777777" w:rsidR="003D25CA" w:rsidRPr="00495D3E" w:rsidRDefault="003D25CA" w:rsidP="00F95399">
            <w:pPr>
              <w:jc w:val="right"/>
              <w:rPr>
                <w:rFonts w:ascii="Calibri" w:eastAsia="Times New Roman" w:hAnsi="Calibri" w:cs="Calibri"/>
                <w:b w:val="0"/>
                <w:color w:val="000000"/>
                <w:sz w:val="20"/>
                <w:szCs w:val="20"/>
                <w:lang w:val="en-IE" w:eastAsia="en-IE"/>
              </w:rPr>
            </w:pPr>
            <w:r w:rsidRPr="00495D3E">
              <w:rPr>
                <w:rFonts w:ascii="Calibri" w:eastAsia="Times New Roman" w:hAnsi="Calibri" w:cs="Calibri"/>
                <w:b w:val="0"/>
                <w:color w:val="000000"/>
                <w:sz w:val="20"/>
                <w:szCs w:val="20"/>
                <w:lang w:val="en-IE" w:eastAsia="en-IE"/>
              </w:rPr>
              <w:t>Co-Processing</w:t>
            </w:r>
          </w:p>
        </w:tc>
        <w:tc>
          <w:tcPr>
            <w:tcW w:w="851" w:type="dxa"/>
            <w:noWrap/>
            <w:hideMark/>
          </w:tcPr>
          <w:p w14:paraId="2C531AE7"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0.12</w:t>
            </w:r>
          </w:p>
        </w:tc>
        <w:tc>
          <w:tcPr>
            <w:tcW w:w="1417" w:type="dxa"/>
            <w:noWrap/>
            <w:hideMark/>
          </w:tcPr>
          <w:p w14:paraId="0B3BE723"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0.64</w:t>
            </w:r>
          </w:p>
        </w:tc>
        <w:tc>
          <w:tcPr>
            <w:tcW w:w="1134" w:type="dxa"/>
            <w:noWrap/>
            <w:hideMark/>
          </w:tcPr>
          <w:p w14:paraId="141EEDAE"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0.03</w:t>
            </w:r>
          </w:p>
        </w:tc>
      </w:tr>
      <w:tr w:rsidR="003D25CA" w:rsidRPr="00495D3E" w14:paraId="1212822B" w14:textId="77777777" w:rsidTr="00F95399">
        <w:trPr>
          <w:trHeight w:val="150"/>
        </w:trPr>
        <w:tc>
          <w:tcPr>
            <w:cnfStyle w:val="001000000000" w:firstRow="0" w:lastRow="0" w:firstColumn="1" w:lastColumn="0" w:oddVBand="0" w:evenVBand="0" w:oddHBand="0" w:evenHBand="0" w:firstRowFirstColumn="0" w:firstRowLastColumn="0" w:lastRowFirstColumn="0" w:lastRowLastColumn="0"/>
            <w:tcW w:w="2263" w:type="dxa"/>
          </w:tcPr>
          <w:p w14:paraId="2C6F654B" w14:textId="77777777" w:rsidR="003D25CA" w:rsidRPr="00495D3E" w:rsidRDefault="003D25CA" w:rsidP="00F95399">
            <w:pPr>
              <w:jc w:val="right"/>
              <w:rPr>
                <w:rFonts w:ascii="Calibri" w:eastAsia="Times New Roman" w:hAnsi="Calibri" w:cs="Calibri"/>
                <w:b w:val="0"/>
                <w:color w:val="000000"/>
                <w:sz w:val="20"/>
                <w:szCs w:val="20"/>
                <w:lang w:val="en-IE" w:eastAsia="en-IE"/>
              </w:rPr>
            </w:pPr>
            <w:r w:rsidRPr="00495D3E">
              <w:rPr>
                <w:rFonts w:ascii="Calibri" w:eastAsia="Times New Roman" w:hAnsi="Calibri" w:cs="Calibri"/>
                <w:b w:val="0"/>
                <w:color w:val="000000"/>
                <w:sz w:val="20"/>
                <w:szCs w:val="20"/>
                <w:lang w:val="en-IE" w:eastAsia="en-IE"/>
              </w:rPr>
              <w:t>Furniture Making</w:t>
            </w:r>
          </w:p>
        </w:tc>
        <w:tc>
          <w:tcPr>
            <w:tcW w:w="851" w:type="dxa"/>
            <w:noWrap/>
            <w:hideMark/>
          </w:tcPr>
          <w:p w14:paraId="488DC22B"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0.97</w:t>
            </w:r>
          </w:p>
        </w:tc>
        <w:tc>
          <w:tcPr>
            <w:tcW w:w="1417" w:type="dxa"/>
            <w:noWrap/>
            <w:hideMark/>
          </w:tcPr>
          <w:p w14:paraId="015EBB63"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1.00</w:t>
            </w:r>
          </w:p>
        </w:tc>
        <w:tc>
          <w:tcPr>
            <w:tcW w:w="1134" w:type="dxa"/>
            <w:noWrap/>
            <w:hideMark/>
          </w:tcPr>
          <w:p w14:paraId="2A4772F9"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1.00</w:t>
            </w:r>
          </w:p>
        </w:tc>
      </w:tr>
      <w:tr w:rsidR="003D25CA" w:rsidRPr="00495D3E" w14:paraId="034E91FD" w14:textId="77777777" w:rsidTr="00F95399">
        <w:trPr>
          <w:trHeight w:val="195"/>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tcBorders>
          </w:tcPr>
          <w:p w14:paraId="6B186414" w14:textId="77777777" w:rsidR="003D25CA" w:rsidRPr="00495D3E" w:rsidRDefault="003D25CA" w:rsidP="00F95399">
            <w:pPr>
              <w:jc w:val="right"/>
              <w:rPr>
                <w:rFonts w:ascii="Calibri" w:eastAsia="Times New Roman" w:hAnsi="Calibri" w:cs="Calibri"/>
                <w:b w:val="0"/>
                <w:color w:val="000000"/>
                <w:sz w:val="20"/>
                <w:szCs w:val="20"/>
                <w:lang w:val="en-IE" w:eastAsia="en-IE"/>
              </w:rPr>
            </w:pPr>
            <w:r w:rsidRPr="00495D3E">
              <w:rPr>
                <w:rFonts w:ascii="Calibri" w:eastAsia="Times New Roman" w:hAnsi="Calibri" w:cs="Calibri"/>
                <w:b w:val="0"/>
                <w:color w:val="000000"/>
                <w:sz w:val="20"/>
                <w:szCs w:val="20"/>
                <w:lang w:val="en-IE" w:eastAsia="en-IE"/>
              </w:rPr>
              <w:t>Bridge Fabrication</w:t>
            </w:r>
          </w:p>
        </w:tc>
        <w:tc>
          <w:tcPr>
            <w:tcW w:w="851" w:type="dxa"/>
            <w:tcBorders>
              <w:bottom w:val="single" w:sz="4" w:space="0" w:color="auto"/>
            </w:tcBorders>
            <w:noWrap/>
            <w:hideMark/>
          </w:tcPr>
          <w:p w14:paraId="21C43B28"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1.00</w:t>
            </w:r>
          </w:p>
        </w:tc>
        <w:tc>
          <w:tcPr>
            <w:tcW w:w="1417" w:type="dxa"/>
            <w:tcBorders>
              <w:bottom w:val="single" w:sz="4" w:space="0" w:color="auto"/>
            </w:tcBorders>
            <w:noWrap/>
            <w:hideMark/>
          </w:tcPr>
          <w:p w14:paraId="001E2E59"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0.56</w:t>
            </w:r>
          </w:p>
        </w:tc>
        <w:tc>
          <w:tcPr>
            <w:tcW w:w="1134" w:type="dxa"/>
            <w:tcBorders>
              <w:bottom w:val="single" w:sz="4" w:space="0" w:color="auto"/>
            </w:tcBorders>
            <w:noWrap/>
            <w:hideMark/>
          </w:tcPr>
          <w:p w14:paraId="20E4C461" w14:textId="77777777" w:rsidR="003D25CA" w:rsidRPr="00495D3E" w:rsidRDefault="003D25CA" w:rsidP="00F953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val="en-IE" w:eastAsia="en-IE"/>
              </w:rPr>
            </w:pPr>
            <w:r w:rsidRPr="00495D3E">
              <w:rPr>
                <w:rFonts w:ascii="Calibri" w:eastAsia="Times New Roman" w:hAnsi="Calibri" w:cs="Calibri"/>
                <w:color w:val="000000"/>
                <w:sz w:val="20"/>
                <w:szCs w:val="20"/>
                <w:lang w:val="en-IE" w:eastAsia="en-IE"/>
              </w:rPr>
              <w:t>0.30</w:t>
            </w:r>
          </w:p>
        </w:tc>
      </w:tr>
    </w:tbl>
    <w:p w14:paraId="7843431D" w14:textId="77777777" w:rsidR="003D25CA" w:rsidRDefault="003D25CA" w:rsidP="003D25CA">
      <w:pPr>
        <w:jc w:val="both"/>
      </w:pPr>
    </w:p>
    <w:p w14:paraId="4772B62F" w14:textId="77777777" w:rsidR="003D25CA" w:rsidRDefault="003D25CA" w:rsidP="003D25CA">
      <w:pPr>
        <w:keepNext/>
        <w:jc w:val="center"/>
      </w:pPr>
      <w:r>
        <w:rPr>
          <w:noProof/>
          <w:color w:val="2B579A"/>
          <w:shd w:val="clear" w:color="auto" w:fill="E6E6E6"/>
          <w:lang w:val="en-IE" w:eastAsia="en-IE"/>
        </w:rPr>
        <w:drawing>
          <wp:inline distT="0" distB="0" distL="0" distR="0" wp14:anchorId="4E253A6D" wp14:editId="053F4D8B">
            <wp:extent cx="2955341" cy="1898277"/>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42">
                      <a:extLst>
                        <a:ext uri="{28A0092B-C50C-407E-A947-70E740481C1C}">
                          <a14:useLocalDpi xmlns:a14="http://schemas.microsoft.com/office/drawing/2010/main" val="0"/>
                        </a:ext>
                      </a:extLst>
                    </a:blip>
                    <a:stretch>
                      <a:fillRect/>
                    </a:stretch>
                  </pic:blipFill>
                  <pic:spPr>
                    <a:xfrm>
                      <a:off x="0" y="0"/>
                      <a:ext cx="2955341" cy="1898277"/>
                    </a:xfrm>
                    <a:prstGeom prst="rect">
                      <a:avLst/>
                    </a:prstGeom>
                  </pic:spPr>
                </pic:pic>
              </a:graphicData>
            </a:graphic>
          </wp:inline>
        </w:drawing>
      </w:r>
    </w:p>
    <w:p w14:paraId="16C40337" w14:textId="77777777" w:rsidR="003D25CA" w:rsidRDefault="003D25CA" w:rsidP="003D25CA">
      <w:pPr>
        <w:pStyle w:val="Caption"/>
      </w:pPr>
      <w:bookmarkStart w:id="40" w:name="_Ref49765308"/>
      <w:bookmarkStart w:id="41" w:name="_Toc51756386"/>
      <w:bookmarkStart w:id="42" w:name="_Ref51776101"/>
      <w:bookmarkStart w:id="43" w:name="_Toc52544883"/>
      <w:bookmarkStart w:id="44" w:name="_Toc53260114"/>
      <w:bookmarkStart w:id="45" w:name="_Toc53260850"/>
      <w:bookmarkStart w:id="46" w:name="_Toc53261014"/>
      <w:bookmarkStart w:id="47" w:name="_Toc53261210"/>
      <w:bookmarkStart w:id="48" w:name="_Toc53262398"/>
      <w:bookmarkStart w:id="49" w:name="_Toc61869154"/>
      <w:bookmarkStart w:id="50" w:name="_Toc62589154"/>
      <w:r>
        <w:t xml:space="preserve">Figure </w:t>
      </w:r>
      <w:r>
        <w:rPr>
          <w:color w:val="2B579A"/>
          <w:shd w:val="clear" w:color="auto" w:fill="E6E6E6"/>
        </w:rPr>
        <w:fldChar w:fldCharType="begin"/>
      </w:r>
      <w:r>
        <w:instrText>SEQ Figure \* ARABIC</w:instrText>
      </w:r>
      <w:r>
        <w:rPr>
          <w:color w:val="2B579A"/>
          <w:shd w:val="clear" w:color="auto" w:fill="E6E6E6"/>
        </w:rPr>
        <w:fldChar w:fldCharType="separate"/>
      </w:r>
      <w:r>
        <w:rPr>
          <w:noProof/>
        </w:rPr>
        <w:t>6</w:t>
      </w:r>
      <w:r>
        <w:rPr>
          <w:color w:val="2B579A"/>
          <w:shd w:val="clear" w:color="auto" w:fill="E6E6E6"/>
        </w:rPr>
        <w:fldChar w:fldCharType="end"/>
      </w:r>
      <w:bookmarkEnd w:id="40"/>
      <w:r>
        <w:t xml:space="preserve"> Ternary Plot of Economic Weights for </w:t>
      </w:r>
      <w:bookmarkEnd w:id="41"/>
      <w:bookmarkEnd w:id="42"/>
      <w:bookmarkEnd w:id="43"/>
      <w:bookmarkEnd w:id="44"/>
      <w:bookmarkEnd w:id="45"/>
      <w:bookmarkEnd w:id="46"/>
      <w:bookmarkEnd w:id="47"/>
      <w:r>
        <w:t>Furniture Making and Bridge Fabrication</w:t>
      </w:r>
      <w:bookmarkEnd w:id="48"/>
      <w:r w:rsidRPr="00C73643">
        <w:t xml:space="preserve"> </w:t>
      </w:r>
      <w:r>
        <w:t>showing areas where furniture making or bridge building are in first position using the Economic AHP score ranking.</w:t>
      </w:r>
      <w:bookmarkEnd w:id="49"/>
      <w:bookmarkEnd w:id="50"/>
    </w:p>
    <w:p w14:paraId="78BC1C29" w14:textId="77777777" w:rsidR="003D25CA" w:rsidRDefault="003D25CA" w:rsidP="003D25CA">
      <w:pPr>
        <w:keepNext/>
      </w:pPr>
    </w:p>
    <w:p w14:paraId="63914029" w14:textId="77777777" w:rsidR="003D25CA" w:rsidRDefault="003D25CA" w:rsidP="003D25CA">
      <w:pPr>
        <w:keepNext/>
        <w:jc w:val="center"/>
      </w:pPr>
      <w:r>
        <w:rPr>
          <w:noProof/>
          <w:color w:val="2B579A"/>
          <w:shd w:val="clear" w:color="auto" w:fill="E6E6E6"/>
          <w:lang w:val="en-IE" w:eastAsia="en-IE"/>
        </w:rPr>
        <w:drawing>
          <wp:inline distT="0" distB="0" distL="0" distR="0" wp14:anchorId="688E7282" wp14:editId="3BCBDB17">
            <wp:extent cx="2936964" cy="188647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3">
                      <a:extLst>
                        <a:ext uri="{28A0092B-C50C-407E-A947-70E740481C1C}">
                          <a14:useLocalDpi xmlns:a14="http://schemas.microsoft.com/office/drawing/2010/main" val="0"/>
                        </a:ext>
                      </a:extLst>
                    </a:blip>
                    <a:stretch>
                      <a:fillRect/>
                    </a:stretch>
                  </pic:blipFill>
                  <pic:spPr>
                    <a:xfrm>
                      <a:off x="0" y="0"/>
                      <a:ext cx="2936964" cy="1886473"/>
                    </a:xfrm>
                    <a:prstGeom prst="rect">
                      <a:avLst/>
                    </a:prstGeom>
                  </pic:spPr>
                </pic:pic>
              </a:graphicData>
            </a:graphic>
          </wp:inline>
        </w:drawing>
      </w:r>
    </w:p>
    <w:p w14:paraId="56575B0E" w14:textId="77777777" w:rsidR="003D25CA" w:rsidRDefault="003D25CA" w:rsidP="003D25CA">
      <w:pPr>
        <w:pStyle w:val="Caption"/>
      </w:pPr>
      <w:bookmarkStart w:id="51" w:name="_Ref49767051"/>
      <w:bookmarkStart w:id="52" w:name="_Ref53761240"/>
      <w:bookmarkStart w:id="53" w:name="_Toc51756387"/>
      <w:bookmarkStart w:id="54" w:name="_Toc52544884"/>
      <w:bookmarkStart w:id="55" w:name="_Toc53260115"/>
      <w:bookmarkStart w:id="56" w:name="_Toc53260851"/>
      <w:bookmarkStart w:id="57" w:name="_Toc53261015"/>
      <w:bookmarkStart w:id="58" w:name="_Toc53261211"/>
      <w:bookmarkStart w:id="59" w:name="_Toc53262399"/>
      <w:bookmarkStart w:id="60" w:name="_Toc61869155"/>
      <w:bookmarkStart w:id="61" w:name="_Toc62589155"/>
      <w:r>
        <w:t xml:space="preserve">Figure </w:t>
      </w:r>
      <w:r>
        <w:rPr>
          <w:color w:val="2B579A"/>
          <w:shd w:val="clear" w:color="auto" w:fill="E6E6E6"/>
        </w:rPr>
        <w:fldChar w:fldCharType="begin"/>
      </w:r>
      <w:r>
        <w:instrText>SEQ Figure \* ARABIC</w:instrText>
      </w:r>
      <w:r>
        <w:rPr>
          <w:color w:val="2B579A"/>
          <w:shd w:val="clear" w:color="auto" w:fill="E6E6E6"/>
        </w:rPr>
        <w:fldChar w:fldCharType="separate"/>
      </w:r>
      <w:r>
        <w:rPr>
          <w:noProof/>
        </w:rPr>
        <w:t>7</w:t>
      </w:r>
      <w:r>
        <w:rPr>
          <w:color w:val="2B579A"/>
          <w:shd w:val="clear" w:color="auto" w:fill="E6E6E6"/>
        </w:rPr>
        <w:fldChar w:fldCharType="end"/>
      </w:r>
      <w:bookmarkEnd w:id="51"/>
      <w:bookmarkEnd w:id="52"/>
      <w:r>
        <w:t xml:space="preserve"> Ternary Plot of Economic Weights for Co-Processing and Incineration</w:t>
      </w:r>
      <w:bookmarkEnd w:id="53"/>
      <w:bookmarkEnd w:id="54"/>
      <w:bookmarkEnd w:id="55"/>
      <w:bookmarkEnd w:id="56"/>
      <w:bookmarkEnd w:id="57"/>
      <w:bookmarkEnd w:id="58"/>
      <w:bookmarkEnd w:id="59"/>
      <w:r w:rsidRPr="00C73643">
        <w:t xml:space="preserve"> </w:t>
      </w:r>
      <w:r>
        <w:t>showing areas where co-processing or incineration with heat recovery are in third position using the Economic AHP score ranking.</w:t>
      </w:r>
      <w:bookmarkEnd w:id="60"/>
      <w:bookmarkEnd w:id="61"/>
    </w:p>
    <w:p w14:paraId="704D1315" w14:textId="77777777" w:rsidR="003D25CA" w:rsidRDefault="003D25CA" w:rsidP="003D25CA">
      <w:pPr>
        <w:pStyle w:val="Heading2"/>
        <w:numPr>
          <w:ilvl w:val="0"/>
          <w:numId w:val="0"/>
        </w:numPr>
      </w:pPr>
      <w:bookmarkStart w:id="62" w:name="_Ref56105540"/>
      <w:bookmarkStart w:id="63" w:name="_Toc60416178"/>
      <w:bookmarkStart w:id="64" w:name="_Toc61869242"/>
      <w:bookmarkStart w:id="65" w:name="_Toc52544830"/>
      <w:bookmarkStart w:id="66" w:name="_Toc53230520"/>
      <w:r>
        <w:t>Technical Details on the Ternary Plots of the Three Dimensions</w:t>
      </w:r>
      <w:bookmarkEnd w:id="62"/>
      <w:bookmarkEnd w:id="63"/>
      <w:bookmarkEnd w:id="64"/>
    </w:p>
    <w:p w14:paraId="57E1F527" w14:textId="77777777" w:rsidR="003D25CA" w:rsidRDefault="003D25CA" w:rsidP="003D25CA">
      <w:r>
        <w:t xml:space="preserve">Viviani’s Theorem </w:t>
      </w:r>
      <w:r>
        <w:rPr>
          <w:color w:val="2B579A"/>
          <w:shd w:val="clear" w:color="auto" w:fill="E6E6E6"/>
        </w:rPr>
        <w:fldChar w:fldCharType="begin" w:fldLock="1"/>
      </w:r>
      <w:r>
        <w:instrText>ADDIN CSL_CITATION {"citationItems":[{"id":"ITEM-1","itemData":{"author":[{"dropping-particle":"","family":"Ken-Ichiroh Kawasaki","given":"Yoshihiro Yagi and Katsuya Yanagawa","non-dropping-particle":"","parse-names":false,"suffix":""}],"container-title":"The Mathematical Gazette","id":"ITEM-1","issue":"515","issued":{"date-parts":[["2005"]]},"page":"283-287","title":"On Viviani's Theorem in Three Dimensions","type":"article-journal","volume":"89"},"uris":["http://www.mendeley.com/documents/?uuid=6f158eaf-4478-4d77-9bdb-3fb72fc4a027","http://www.mendeley.com/documents/?uuid=bbe541d4-e86c-40e5-83ac-3204c5c551de"]}],"mendeley":{"formattedCitation":"(Ken-Ichiroh Kawasaki, 2005)","plainTextFormattedCitation":"(Ken-Ichiroh Kawasaki, 2005)","previouslyFormattedCitation":"(Ken-Ichiroh Kawasaki, 2005)"},"properties":{"noteIndex":0},"schema":"https://github.com/citation-style-language/schema/raw/master/csl-citation.json"}</w:instrText>
      </w:r>
      <w:r>
        <w:rPr>
          <w:color w:val="2B579A"/>
          <w:shd w:val="clear" w:color="auto" w:fill="E6E6E6"/>
        </w:rPr>
        <w:fldChar w:fldCharType="separate"/>
      </w:r>
      <w:r w:rsidRPr="7888D621">
        <w:rPr>
          <w:noProof/>
        </w:rPr>
        <w:t>(Ken-Ichiroh Kawasaki, 2005)</w:t>
      </w:r>
      <w:r>
        <w:rPr>
          <w:color w:val="2B579A"/>
          <w:shd w:val="clear" w:color="auto" w:fill="E6E6E6"/>
        </w:rPr>
        <w:fldChar w:fldCharType="end"/>
      </w:r>
      <w:r>
        <w:t xml:space="preserve"> states that the sum of the perpendicular distances of a point inside an equilateral triangle is equal to the height of the triangle, which in this case is 1. Hence, any combination of the weights for Economy, Society and Environment, can be described as a point in or on the triangle.</w:t>
      </w:r>
      <w:r w:rsidRPr="00A65B55">
        <w:t xml:space="preserve"> </w:t>
      </w:r>
      <w:r>
        <w:t xml:space="preserve">Given that height of the triangle is 1, and hence the side of the triangle is </w:t>
      </w:r>
      <m:oMath>
        <m:r>
          <w:rPr>
            <w:rFonts w:ascii="Cambria Math" w:hAnsi="Cambria Math"/>
          </w:rPr>
          <m:t>2/</m:t>
        </m:r>
        <m:rad>
          <m:radPr>
            <m:degHide m:val="1"/>
            <m:ctrlPr>
              <w:rPr>
                <w:rFonts w:ascii="Cambria Math" w:hAnsi="Cambria Math"/>
                <w:i/>
              </w:rPr>
            </m:ctrlPr>
          </m:radPr>
          <m:deg/>
          <m:e>
            <m:r>
              <w:rPr>
                <w:rFonts w:ascii="Cambria Math" w:hAnsi="Cambria Math"/>
              </w:rPr>
              <m:t>3</m:t>
            </m:r>
          </m:e>
        </m:rad>
      </m:oMath>
      <w:r>
        <w:t xml:space="preserve"> , it can be calculated that on a standard Cartesian plane with origin at the Economy vertex and x axis in the direction towards the Environment vertex, that the Cartesian coordinates of C, the weight triplet chosen by the Delphi Study are (0.74, 0.28). The point D is taken </w:t>
      </w:r>
      <w:r w:rsidR="001A1B21">
        <w:t>from Table 4</w:t>
      </w:r>
      <w:r>
        <w:t xml:space="preserve"> and is the weight triplet (31%, 22%, 47%) which is a 10% or 0.10 increase in the Economic weight, this corresponds to the position (0.67, 0.22) in Cartesian coordinates and is in the red zone where furniture is in first place. </w:t>
      </w:r>
      <w:proofErr w:type="spellStart"/>
      <w:r>
        <w:t>E</w:t>
      </w:r>
      <w:proofErr w:type="spellEnd"/>
      <w:r>
        <w:t xml:space="preserve"> is also from </w:t>
      </w:r>
      <w:r w:rsidR="001A1B21" w:rsidRPr="001A1B21">
        <w:t>Table 4 and</w:t>
      </w:r>
      <w:r>
        <w:t xml:space="preserve"> represents a 15% decrease in Environmental weight giving the weight triplet (28.5%, 34.5%, 37%) with Cartesian coordinates (0.63, 0.35), it is also in the red zone.</w:t>
      </w:r>
      <w:r w:rsidRPr="00340140">
        <w:t xml:space="preserve"> </w:t>
      </w:r>
      <w:r>
        <w:t xml:space="preserve">The line AB </w:t>
      </w:r>
      <w:r w:rsidR="001A1B21">
        <w:t>in Figure 4</w:t>
      </w:r>
      <w:r>
        <w:t xml:space="preserve">, has gradient -10.5 and an intercept on the y-axis of 7.5 (recall the origin is at the Economy vertex and the x-axis is to the right). The shortest distance from C to the boundary is 0.047, meaning that a reasonably small change in the weights will change the selection of first and second places, the direction of this change is mostly towards Economy but also towards Society (which explains why the 5% increase in the Economy weight </w:t>
      </w:r>
      <w:r w:rsidR="001A1B21">
        <w:t>in Table 4 d</w:t>
      </w:r>
      <w:r>
        <w:t xml:space="preserve">id not result in a changed outcome). </w:t>
      </w:r>
    </w:p>
    <w:p w14:paraId="1286C1FF" w14:textId="77777777" w:rsidR="003D25CA" w:rsidRDefault="003D25CA" w:rsidP="003D25CA">
      <w:r>
        <w:lastRenderedPageBreak/>
        <w:t xml:space="preserve">This method of visualising the weights for Economy, Society and Environment is used </w:t>
      </w:r>
      <w:r w:rsidR="001A1B21">
        <w:t>in Section 3.4</w:t>
      </w:r>
      <w:r>
        <w:t xml:space="preserve"> to illustrate the sensitivity of the results for the end-of-life choices for wind blades, to the values of the weights.</w:t>
      </w:r>
      <w:r w:rsidRPr="00A65B55">
        <w:t xml:space="preserve"> </w:t>
      </w:r>
      <w:r>
        <w:t xml:space="preserve">This will also be applied to the three economic weights given to </w:t>
      </w:r>
      <w:r w:rsidRPr="00640575">
        <w:rPr>
          <w:i/>
        </w:rPr>
        <w:t xml:space="preserve">Salary, </w:t>
      </w:r>
      <w:r>
        <w:rPr>
          <w:i/>
        </w:rPr>
        <w:t>C</w:t>
      </w:r>
      <w:r w:rsidRPr="00640575">
        <w:rPr>
          <w:i/>
        </w:rPr>
        <w:t xml:space="preserve">ommercial </w:t>
      </w:r>
      <w:r>
        <w:rPr>
          <w:i/>
        </w:rPr>
        <w:t>P</w:t>
      </w:r>
      <w:r w:rsidRPr="00640575">
        <w:rPr>
          <w:i/>
        </w:rPr>
        <w:t xml:space="preserve">otential </w:t>
      </w:r>
      <w:r w:rsidRPr="00640575">
        <w:t>and</w:t>
      </w:r>
      <w:r w:rsidRPr="00640575">
        <w:rPr>
          <w:i/>
        </w:rPr>
        <w:t xml:space="preserve"> R&amp;D </w:t>
      </w:r>
      <w:r>
        <w:rPr>
          <w:i/>
        </w:rPr>
        <w:t>V</w:t>
      </w:r>
      <w:r w:rsidRPr="00640575">
        <w:rPr>
          <w:i/>
        </w:rPr>
        <w:t>alue</w:t>
      </w:r>
      <w:r>
        <w:rPr>
          <w:i/>
        </w:rPr>
        <w:t xml:space="preserve"> </w:t>
      </w:r>
      <w:r>
        <w:t>below. Application to four weights for the Social and Environmental dimensions, will require illustrations using tetrahedrons; these are not presented here.</w:t>
      </w:r>
    </w:p>
    <w:bookmarkEnd w:id="65"/>
    <w:bookmarkEnd w:id="66"/>
    <w:p w14:paraId="56CD0B88" w14:textId="77777777" w:rsidR="003D25CA" w:rsidRDefault="003D25CA" w:rsidP="003D25CA">
      <w:pPr>
        <w:pStyle w:val="Heading2"/>
        <w:numPr>
          <w:ilvl w:val="0"/>
          <w:numId w:val="0"/>
        </w:numPr>
      </w:pPr>
      <w:r>
        <w:t>First Round Delphi Results</w:t>
      </w:r>
    </w:p>
    <w:p w14:paraId="13404D94" w14:textId="77777777" w:rsidR="003D25CA" w:rsidRDefault="003D25CA" w:rsidP="003D25CA">
      <w:r>
        <w:t xml:space="preserve">The dimension weights from the first Delphi were (0.21, 0.27, </w:t>
      </w:r>
      <w:proofErr w:type="gramStart"/>
      <w:r>
        <w:t>0.52</w:t>
      </w:r>
      <w:proofErr w:type="gramEnd"/>
      <w:r>
        <w:t xml:space="preserve">) as illustrated in </w:t>
      </w:r>
      <w:r>
        <w:rPr>
          <w:color w:val="2B579A"/>
          <w:shd w:val="clear" w:color="auto" w:fill="E6E6E6"/>
        </w:rPr>
        <w:fldChar w:fldCharType="begin"/>
      </w:r>
      <w:r>
        <w:instrText xml:space="preserve"> REF _Ref49266540 \h </w:instrText>
      </w:r>
      <w:r>
        <w:rPr>
          <w:color w:val="2B579A"/>
          <w:shd w:val="clear" w:color="auto" w:fill="E6E6E6"/>
        </w:rPr>
      </w:r>
      <w:r>
        <w:rPr>
          <w:color w:val="2B579A"/>
          <w:shd w:val="clear" w:color="auto" w:fill="E6E6E6"/>
        </w:rPr>
        <w:fldChar w:fldCharType="separate"/>
      </w:r>
      <w:r>
        <w:t xml:space="preserve">Figure </w:t>
      </w:r>
      <w:r>
        <w:rPr>
          <w:noProof/>
        </w:rPr>
        <w:t>5</w:t>
      </w:r>
      <w:r>
        <w:rPr>
          <w:color w:val="2B579A"/>
          <w:shd w:val="clear" w:color="auto" w:fill="E6E6E6"/>
        </w:rPr>
        <w:fldChar w:fldCharType="end"/>
      </w:r>
      <w:r>
        <w:t>. In the second round the point C moved a distance of 0.018 from its earlier position, indicating that the change between the rounds is very small.</w:t>
      </w:r>
    </w:p>
    <w:p w14:paraId="24ECF332" w14:textId="77777777" w:rsidR="003D25CA" w:rsidRDefault="003D25CA" w:rsidP="003D25CA">
      <w:pPr>
        <w:keepNext/>
        <w:jc w:val="center"/>
      </w:pPr>
      <w:r>
        <w:rPr>
          <w:noProof/>
          <w:color w:val="2B579A"/>
          <w:shd w:val="clear" w:color="auto" w:fill="E6E6E6"/>
          <w:lang w:val="en-IE" w:eastAsia="en-IE"/>
        </w:rPr>
        <w:drawing>
          <wp:inline distT="0" distB="0" distL="0" distR="0" wp14:anchorId="16A0D07C" wp14:editId="326AD155">
            <wp:extent cx="3182670" cy="204444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44">
                      <a:extLst>
                        <a:ext uri="{28A0092B-C50C-407E-A947-70E740481C1C}">
                          <a14:useLocalDpi xmlns:a14="http://schemas.microsoft.com/office/drawing/2010/main" val="0"/>
                        </a:ext>
                      </a:extLst>
                    </a:blip>
                    <a:stretch>
                      <a:fillRect/>
                    </a:stretch>
                  </pic:blipFill>
                  <pic:spPr>
                    <a:xfrm>
                      <a:off x="0" y="0"/>
                      <a:ext cx="3182670" cy="2044441"/>
                    </a:xfrm>
                    <a:prstGeom prst="rect">
                      <a:avLst/>
                    </a:prstGeom>
                  </pic:spPr>
                </pic:pic>
              </a:graphicData>
            </a:graphic>
          </wp:inline>
        </w:drawing>
      </w:r>
    </w:p>
    <w:p w14:paraId="313A8322" w14:textId="77777777" w:rsidR="003D25CA" w:rsidRDefault="003D25CA" w:rsidP="003D25CA">
      <w:pPr>
        <w:pStyle w:val="Caption"/>
      </w:pPr>
      <w:bookmarkStart w:id="67" w:name="_Ref49266540"/>
      <w:bookmarkStart w:id="68" w:name="_Ref49266536"/>
      <w:bookmarkStart w:id="69" w:name="_Toc51756398"/>
      <w:bookmarkStart w:id="70" w:name="_Toc52544895"/>
      <w:bookmarkStart w:id="71" w:name="_Toc53260118"/>
      <w:bookmarkStart w:id="72" w:name="_Toc53260854"/>
      <w:bookmarkStart w:id="73" w:name="_Toc53261018"/>
      <w:bookmarkStart w:id="74" w:name="_Toc53261214"/>
      <w:bookmarkStart w:id="75" w:name="_Toc53262402"/>
      <w:bookmarkStart w:id="76" w:name="_Toc61869152"/>
      <w:bookmarkStart w:id="77" w:name="_Toc62589153"/>
      <w:r>
        <w:t xml:space="preserve">Figure </w:t>
      </w:r>
      <w:r>
        <w:rPr>
          <w:color w:val="2B579A"/>
          <w:shd w:val="clear" w:color="auto" w:fill="E6E6E6"/>
        </w:rPr>
        <w:fldChar w:fldCharType="begin"/>
      </w:r>
      <w:r>
        <w:instrText>SEQ Figure \* ARABIC</w:instrText>
      </w:r>
      <w:r>
        <w:rPr>
          <w:color w:val="2B579A"/>
          <w:shd w:val="clear" w:color="auto" w:fill="E6E6E6"/>
        </w:rPr>
        <w:fldChar w:fldCharType="separate"/>
      </w:r>
      <w:r>
        <w:rPr>
          <w:noProof/>
        </w:rPr>
        <w:t>5</w:t>
      </w:r>
      <w:r>
        <w:rPr>
          <w:color w:val="2B579A"/>
          <w:shd w:val="clear" w:color="auto" w:fill="E6E6E6"/>
        </w:rPr>
        <w:fldChar w:fldCharType="end"/>
      </w:r>
      <w:bookmarkEnd w:id="67"/>
      <w:r>
        <w:t xml:space="preserve"> First Delphi Results</w:t>
      </w:r>
      <w:bookmarkEnd w:id="68"/>
      <w:bookmarkEnd w:id="69"/>
      <w:bookmarkEnd w:id="70"/>
      <w:bookmarkEnd w:id="71"/>
      <w:bookmarkEnd w:id="72"/>
      <w:bookmarkEnd w:id="73"/>
      <w:bookmarkEnd w:id="74"/>
      <w:bookmarkEnd w:id="75"/>
      <w:bookmarkEnd w:id="76"/>
      <w:bookmarkEnd w:id="77"/>
      <w:r>
        <w:t>.</w:t>
      </w:r>
    </w:p>
    <w:p w14:paraId="2CC56B25" w14:textId="77777777" w:rsidR="003D25CA" w:rsidRDefault="003D25CA" w:rsidP="003D25CA">
      <w:pPr>
        <w:pStyle w:val="Heading2"/>
        <w:numPr>
          <w:ilvl w:val="0"/>
          <w:numId w:val="0"/>
        </w:numPr>
      </w:pPr>
      <w:r>
        <w:t>Community Support</w:t>
      </w:r>
      <w:bookmarkEnd w:id="25"/>
      <w:bookmarkEnd w:id="26"/>
      <w:bookmarkEnd w:id="27"/>
      <w:bookmarkEnd w:id="28"/>
      <w:bookmarkEnd w:id="29"/>
      <w:bookmarkEnd w:id="30"/>
      <w:bookmarkEnd w:id="31"/>
    </w:p>
    <w:p w14:paraId="2CAC4255" w14:textId="77777777" w:rsidR="003D25CA" w:rsidRPr="00C276AC" w:rsidRDefault="003D25CA" w:rsidP="003D25CA">
      <w:pPr>
        <w:jc w:val="both"/>
      </w:pPr>
      <w:r>
        <w:t xml:space="preserve">In order to assess the level of community support for the five alternatives a Delphi study was conducted among an expert group of 10 sociologists and academics with experience in community work in an Irish context, following </w:t>
      </w:r>
      <w:r>
        <w:rPr>
          <w:color w:val="2B579A"/>
          <w:shd w:val="clear" w:color="auto" w:fill="E6E6E6"/>
        </w:rPr>
        <w:fldChar w:fldCharType="begin" w:fldLock="1"/>
      </w:r>
      <w:r>
        <w:instrText>ADDIN CSL_CITATION {"citationItems":[{"id":"ITEM-1","itemData":{"DOI":"10.1177/1609406920903218","ISSN":"16094069","abstract":"Energy transition debates have been characterized by a strong emphasis on the technical implications of shifting away from fossil fuels to renewable energy sources, with little consideration of social contexts. This is now changing, with a growing emphasis on reconfiguring the social aspects of energy, particularly in terms of introducing more democratic processes into behavior change and energy practice engagements. This article situates itself within these debates and demonstrates the transformative potential of combining participatory action research (PAR) approaches with a modified Delphi method for understanding energy transition issues, particularly beyond forecasting instruments. There remains a dearth in literature combining the Delphi method with PAR; its application in the field of energy transitions is very innovative. PAR draws from grassroots and local-based knowledge, Delphi panels typically focus on the insights from a panel of professional experts. In combining these two approaches, to develop principles for an inclusive and just energy transition, a reflexive form of dialogue emerges that gives voice to what are often considered dissonant or mismatched perspectives. Furthermore, the experimental use of a modified Delphi panel, combined with PAR, offers a strategy to promote knowledge sharing between different groups and to counter potential communication barriers among different actors in society. This article shows how a modified Delphi panel approach is considerably enhanced by combining elements of PAR, raising the potential of Delphi panels beyond forecasting instruments, which often seek to determine the way the future “will be,” toward an envisioning tool that collaboratively seeks to explore the way a low-carbon system “could be,” or perhaps “should be.” The development of energy transition principles, endorsed through the modified Delphi panel, offers a concrete way to enact practices of energy justice within a more democratized energy system.","author":[{"dropping-particle":"","family":"Revez","given":"Alexandra","non-dropping-particle":"","parse-names":false,"suffix":""},{"dropping-particle":"","family":"Dunphy","given":"Niall","non-dropping-particle":"","parse-names":false,"suffix":""},{"dropping-particle":"","family":"Harris","given":"Clodagh","non-dropping-particle":"","parse-names":false,"suffix":""},{"dropping-particle":"","family":"Mullally","given":"Gerard","non-dropping-particle":"","parse-names":false,"suffix":""},{"dropping-particle":"","family":"Lennon","given":"Breffní","non-dropping-particle":"","parse-names":false,"suffix":""},{"dropping-particle":"","family":"Gaffney","given":"Christine","non-dropping-particle":"","parse-names":false,"suffix":""}],"container-title":"International Journal of Qualitative Methods","id":"ITEM-1","issued":{"date-parts":[["2020"]]},"page":"1-12","title":"Beyond Forecasting: Using a Modified Delphi Method to Build Upon Participatory Action Research in Developing Principles for a Just and Inclusive Energy Transition","type":"article-journal","volume":"19"},"uris":["http://www.mendeley.com/documents/?uuid=19a9b288-8c3a-4a0c-ae81-5f5954c8c91a","http://www.mendeley.com/documents/?uuid=885a16af-bd2d-4c5c-814e-ae4626130f8f"]}],"mendeley":{"formattedCitation":"(Revez &lt;i&gt;et al.&lt;/i&gt;, 2020)","plainTextFormattedCitation":"(Revez et al., 2020)","previouslyFormattedCitation":"(Revez &lt;i&gt;et al.&lt;/i&gt;, 2020)"},"properties":{"noteIndex":0},"schema":"https://github.com/citation-style-language/schema/raw/master/csl-citation.json"}</w:instrText>
      </w:r>
      <w:r>
        <w:rPr>
          <w:color w:val="2B579A"/>
          <w:shd w:val="clear" w:color="auto" w:fill="E6E6E6"/>
        </w:rPr>
        <w:fldChar w:fldCharType="separate"/>
      </w:r>
      <w:r w:rsidRPr="006A399D">
        <w:rPr>
          <w:noProof/>
        </w:rPr>
        <w:t xml:space="preserve">(Revez </w:t>
      </w:r>
      <w:r w:rsidRPr="7888D621">
        <w:rPr>
          <w:i/>
          <w:iCs/>
          <w:noProof/>
        </w:rPr>
        <w:t>et al.</w:t>
      </w:r>
      <w:r w:rsidRPr="006A399D">
        <w:rPr>
          <w:noProof/>
        </w:rPr>
        <w:t>, 2020)</w:t>
      </w:r>
      <w:r>
        <w:rPr>
          <w:color w:val="2B579A"/>
          <w:shd w:val="clear" w:color="auto" w:fill="E6E6E6"/>
        </w:rPr>
        <w:fldChar w:fldCharType="end"/>
      </w:r>
      <w:r>
        <w:t xml:space="preserve">. A summary of the results is presented in </w:t>
      </w:r>
      <w:r>
        <w:rPr>
          <w:color w:val="2B579A"/>
          <w:shd w:val="clear" w:color="auto" w:fill="E6E6E6"/>
        </w:rPr>
        <w:fldChar w:fldCharType="begin"/>
      </w:r>
      <w:r>
        <w:instrText xml:space="preserve"> REF _Ref52460778 \h </w:instrText>
      </w:r>
      <w:r>
        <w:rPr>
          <w:color w:val="2B579A"/>
          <w:shd w:val="clear" w:color="auto" w:fill="E6E6E6"/>
        </w:rPr>
      </w:r>
      <w:r>
        <w:rPr>
          <w:color w:val="2B579A"/>
          <w:shd w:val="clear" w:color="auto" w:fill="E6E6E6"/>
        </w:rPr>
        <w:fldChar w:fldCharType="separate"/>
      </w:r>
      <w:r>
        <w:t xml:space="preserve">Table </w:t>
      </w:r>
      <w:r>
        <w:rPr>
          <w:noProof/>
        </w:rPr>
        <w:t>9</w:t>
      </w:r>
      <w:r>
        <w:rPr>
          <w:color w:val="2B579A"/>
          <w:shd w:val="clear" w:color="auto" w:fill="E6E6E6"/>
        </w:rPr>
        <w:fldChar w:fldCharType="end"/>
      </w:r>
      <w:r>
        <w:t>. Details of the methods used in the study are the same as those used for the weights Delphi study as described in Section</w:t>
      </w:r>
      <w:r w:rsidR="001A1B21">
        <w:t xml:space="preserve"> </w:t>
      </w:r>
      <w:r w:rsidR="001A1B21" w:rsidRPr="001A1B21">
        <w:t xml:space="preserve">2.2. </w:t>
      </w:r>
      <w:r>
        <w:t xml:space="preserve">The study required two rounds and was in line with standard practice </w:t>
      </w:r>
      <w:r>
        <w:rPr>
          <w:color w:val="2B579A"/>
          <w:shd w:val="clear" w:color="auto" w:fill="E6E6E6"/>
        </w:rPr>
        <w:fldChar w:fldCharType="begin" w:fldLock="1"/>
      </w:r>
      <w:r>
        <w:instrText>ADDIN CSL_CITATION {"citationItems":[{"id":"ITEM-1","itemData":{"DOI":"10.1016/j.jclinepi.2013.12.002","ISSN":"08954356","abstract":"Objective: To investigate how consensus is operationalized in Delphi studies and to explore the role of consensus in determining the results of these studies. Study Design and Settings: Systematic review of a random sample of 100 English language Delphi studies, from two large multidisciplinary databases [ISI Web of Science (Thompson Reuters, New York, NY) and Scopus (Elsevier, Amsterdam, NL)], published between 2000 and 2009. Results: About 98 of the Delphi studies purported to assess consensus, although a definition for consensus was only provided in 72 of the studies (64 a priori). The most common definition for consensus was percent agreement (25 studies), with 75% being the median threshold to define consensus. Although the authors concluded in 86 of the studies that consensus was achieved, consensus was only specified a priori (with a threshold value) in 42 of these studies. Achievement of consensus was related to the decision to stop the Delphi study in only 23 studies, with 70 studies terminating after a specified number of rounds. Conclusion: Although consensus generally is felt to be of primary importance to the Delphi process, definitions of consensus vary widely and are poorly reported. Improved criteria for reporting of methods of Delphi studies are required. © 2014 Elsevier Inc. All rights reserved.","author":[{"dropping-particle":"","family":"Diamond","given":"Ivan R.","non-dropping-particle":"","parse-names":false,"suffix":""},{"dropping-particle":"","family":"Grant","given":"Robert C.","non-dropping-particle":"","parse-names":false,"suffix":""},{"dropping-particle":"","family":"Feldman","given":"Brian M.","non-dropping-particle":"","parse-names":false,"suffix":""},{"dropping-particle":"","family":"Pencharz","given":"Paul B.","non-dropping-particle":"","parse-names":false,"suffix":""},{"dropping-particle":"","family":"Ling","given":"Simon C.","non-dropping-particle":"","parse-names":false,"suffix":""},{"dropping-particle":"","family":"Moore","given":"Aideen M.","non-dropping-particle":"","parse-names":false,"suffix":""},{"dropping-particle":"","family":"Wales","given":"Paul W.","non-dropping-particle":"","parse-names":false,"suffix":""}],"container-title":"Journal of Clinical Epidemiology","id":"ITEM-1","issue":"4","issued":{"date-parts":[["2014"]]},"page":"401-409","title":"Defining consensus: A systematic review recommends methodologic criteria for reporting of Delphi studies","type":"article-journal","volume":"67"},"uris":["http://www.mendeley.com/documents/?uuid=4a225c82-4cbc-402d-81f9-b991bc787926","http://www.mendeley.com/documents/?uuid=efb238ee-e4b9-4e01-9703-580a8323ff80"]}],"mendeley":{"formattedCitation":"(Diamond &lt;i&gt;et al.&lt;/i&gt;, 2014)","plainTextFormattedCitation":"(Diamond et al., 2014)","previouslyFormattedCitation":"(Diamond &lt;i&gt;et al.&lt;/i&gt;, 2014)"},"properties":{"noteIndex":0},"schema":"https://github.com/citation-style-language/schema/raw/master/csl-citation.json"}</w:instrText>
      </w:r>
      <w:r>
        <w:rPr>
          <w:color w:val="2B579A"/>
          <w:shd w:val="clear" w:color="auto" w:fill="E6E6E6"/>
        </w:rPr>
        <w:fldChar w:fldCharType="separate"/>
      </w:r>
      <w:r w:rsidRPr="006A399D">
        <w:rPr>
          <w:noProof/>
        </w:rPr>
        <w:t xml:space="preserve">(Diamond </w:t>
      </w:r>
      <w:r w:rsidRPr="7888D621">
        <w:rPr>
          <w:i/>
          <w:iCs/>
          <w:noProof/>
        </w:rPr>
        <w:t>et al.</w:t>
      </w:r>
      <w:r w:rsidRPr="006A399D">
        <w:rPr>
          <w:noProof/>
        </w:rPr>
        <w:t>, 2014)</w:t>
      </w:r>
      <w:r>
        <w:rPr>
          <w:color w:val="2B579A"/>
          <w:shd w:val="clear" w:color="auto" w:fill="E6E6E6"/>
        </w:rPr>
        <w:fldChar w:fldCharType="end"/>
      </w:r>
      <w:r>
        <w:t>.</w:t>
      </w:r>
      <w:r w:rsidRPr="00AD1C65">
        <w:t xml:space="preserve"> </w:t>
      </w:r>
      <w:r>
        <w:t xml:space="preserve"> On the first round Kendall’s W had a score of 0.89 indicating a high degree of consensus, this increased to 0.95 for the second and final round. The </w:t>
      </w:r>
      <w:proofErr w:type="spellStart"/>
      <w:r>
        <w:t>Saaty</w:t>
      </w:r>
      <w:proofErr w:type="spellEnd"/>
      <w:r>
        <w:t xml:space="preserve"> consistency ratio for the first round was 0.068 and 0.085 for the second round both of which are less than the acceptable limit of 0.1. The distance between the two vectors is 0.025 indicating an acceptable level of convergence. These measures of consensus, consistency and convergence indicate that the stopping condition of </w:t>
      </w:r>
      <w:r w:rsidR="001A1B21">
        <w:t>Section 2.2</w:t>
      </w:r>
      <w:r>
        <w:t xml:space="preserve"> has been fulfilled. It is interesting to note that although furniture making was marginally ahead on the first round, bridge fabrication moved into first position as a result of changes made by the respondents.</w:t>
      </w:r>
      <w:r w:rsidRPr="00C276AC">
        <w:t xml:space="preserve"> </w:t>
      </w:r>
    </w:p>
    <w:p w14:paraId="67799330" w14:textId="77777777" w:rsidR="003D25CA" w:rsidRDefault="003D25CA" w:rsidP="003D25CA">
      <w:pPr>
        <w:pStyle w:val="Caption"/>
        <w:spacing w:after="0"/>
      </w:pPr>
      <w:bookmarkStart w:id="78" w:name="_Ref51955684"/>
      <w:bookmarkStart w:id="79" w:name="_Ref52460778"/>
      <w:bookmarkStart w:id="80" w:name="_Toc51931761"/>
      <w:bookmarkStart w:id="81" w:name="_Toc52544865"/>
      <w:bookmarkStart w:id="82" w:name="_Toc53230448"/>
      <w:bookmarkStart w:id="83" w:name="_Toc53260134"/>
      <w:bookmarkStart w:id="84" w:name="_Toc61869170"/>
      <w:bookmarkStart w:id="85" w:name="_Toc62589128"/>
      <w:r>
        <w:t xml:space="preserve">Table </w:t>
      </w:r>
      <w:bookmarkEnd w:id="78"/>
      <w:bookmarkEnd w:id="79"/>
      <w:r w:rsidR="001A1B21" w:rsidRPr="001A1B21">
        <w:t>12</w:t>
      </w:r>
      <w:r>
        <w:t xml:space="preserve"> Delphi Results for Community Support</w:t>
      </w:r>
      <w:bookmarkEnd w:id="80"/>
      <w:bookmarkEnd w:id="81"/>
      <w:bookmarkEnd w:id="82"/>
      <w:bookmarkEnd w:id="83"/>
      <w:bookmarkEnd w:id="84"/>
      <w:bookmarkEnd w:id="85"/>
    </w:p>
    <w:tbl>
      <w:tblPr>
        <w:tblStyle w:val="TableGrid"/>
        <w:tblW w:w="9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506"/>
        <w:gridCol w:w="1507"/>
        <w:gridCol w:w="1577"/>
        <w:gridCol w:w="1507"/>
        <w:gridCol w:w="1507"/>
      </w:tblGrid>
      <w:tr w:rsidR="003D25CA" w:rsidRPr="003A500E" w14:paraId="5B971EF6" w14:textId="77777777" w:rsidTr="00F95399">
        <w:tc>
          <w:tcPr>
            <w:tcW w:w="1985" w:type="dxa"/>
          </w:tcPr>
          <w:p w14:paraId="3E109040" w14:textId="77777777" w:rsidR="003D25CA" w:rsidRPr="003A500E" w:rsidRDefault="003D25CA" w:rsidP="00F95399">
            <w:pPr>
              <w:rPr>
                <w:sz w:val="19"/>
                <w:szCs w:val="19"/>
              </w:rPr>
            </w:pPr>
          </w:p>
        </w:tc>
        <w:tc>
          <w:tcPr>
            <w:tcW w:w="1506" w:type="dxa"/>
          </w:tcPr>
          <w:p w14:paraId="1C7AABBD" w14:textId="77777777" w:rsidR="003D25CA" w:rsidRPr="003A500E" w:rsidRDefault="003D25CA" w:rsidP="00F95399">
            <w:pPr>
              <w:rPr>
                <w:b/>
                <w:sz w:val="19"/>
                <w:szCs w:val="19"/>
              </w:rPr>
            </w:pPr>
            <w:r w:rsidRPr="003A500E">
              <w:rPr>
                <w:b/>
                <w:sz w:val="19"/>
                <w:szCs w:val="19"/>
              </w:rPr>
              <w:t>Round 1 Weight</w:t>
            </w:r>
          </w:p>
        </w:tc>
        <w:tc>
          <w:tcPr>
            <w:tcW w:w="1507" w:type="dxa"/>
          </w:tcPr>
          <w:p w14:paraId="291B25E3" w14:textId="77777777" w:rsidR="003D25CA" w:rsidRPr="003A500E" w:rsidRDefault="003D25CA" w:rsidP="00F95399">
            <w:pPr>
              <w:rPr>
                <w:b/>
                <w:sz w:val="19"/>
                <w:szCs w:val="19"/>
              </w:rPr>
            </w:pPr>
            <w:r w:rsidRPr="003A500E">
              <w:rPr>
                <w:b/>
                <w:sz w:val="19"/>
                <w:szCs w:val="19"/>
              </w:rPr>
              <w:t>Round 2 Weight</w:t>
            </w:r>
          </w:p>
        </w:tc>
        <w:tc>
          <w:tcPr>
            <w:tcW w:w="1577" w:type="dxa"/>
          </w:tcPr>
          <w:p w14:paraId="11894019" w14:textId="77777777" w:rsidR="003D25CA" w:rsidRPr="003A500E" w:rsidRDefault="003D25CA" w:rsidP="00F95399">
            <w:pPr>
              <w:rPr>
                <w:b/>
                <w:sz w:val="19"/>
                <w:szCs w:val="19"/>
              </w:rPr>
            </w:pPr>
            <w:r w:rsidRPr="003A500E">
              <w:rPr>
                <w:b/>
                <w:sz w:val="19"/>
                <w:szCs w:val="19"/>
              </w:rPr>
              <w:t>Change</w:t>
            </w:r>
          </w:p>
        </w:tc>
        <w:tc>
          <w:tcPr>
            <w:tcW w:w="1507" w:type="dxa"/>
          </w:tcPr>
          <w:p w14:paraId="596CAF42" w14:textId="77777777" w:rsidR="003D25CA" w:rsidRPr="003A500E" w:rsidRDefault="003D25CA" w:rsidP="00F95399">
            <w:pPr>
              <w:rPr>
                <w:b/>
                <w:sz w:val="19"/>
                <w:szCs w:val="19"/>
              </w:rPr>
            </w:pPr>
            <w:r w:rsidRPr="003A500E">
              <w:rPr>
                <w:b/>
                <w:sz w:val="19"/>
                <w:szCs w:val="19"/>
              </w:rPr>
              <w:t>Change Squared</w:t>
            </w:r>
          </w:p>
        </w:tc>
        <w:tc>
          <w:tcPr>
            <w:tcW w:w="1507" w:type="dxa"/>
          </w:tcPr>
          <w:p w14:paraId="398C6F50" w14:textId="77777777" w:rsidR="003D25CA" w:rsidRPr="003A500E" w:rsidRDefault="003D25CA" w:rsidP="00F95399">
            <w:pPr>
              <w:rPr>
                <w:b/>
                <w:sz w:val="19"/>
                <w:szCs w:val="19"/>
              </w:rPr>
            </w:pPr>
            <w:r w:rsidRPr="003A500E">
              <w:rPr>
                <w:b/>
                <w:sz w:val="19"/>
                <w:szCs w:val="19"/>
              </w:rPr>
              <w:t>Distance d</w:t>
            </w:r>
            <w:r w:rsidRPr="003A500E">
              <w:rPr>
                <w:b/>
                <w:sz w:val="19"/>
                <w:szCs w:val="19"/>
                <w:vertAlign w:val="subscript"/>
              </w:rPr>
              <w:t>1</w:t>
            </w:r>
          </w:p>
        </w:tc>
      </w:tr>
      <w:tr w:rsidR="003D25CA" w:rsidRPr="003A500E" w14:paraId="26D44796" w14:textId="77777777" w:rsidTr="00F95399">
        <w:tc>
          <w:tcPr>
            <w:tcW w:w="1985" w:type="dxa"/>
          </w:tcPr>
          <w:p w14:paraId="4F8BA779" w14:textId="77777777" w:rsidR="003D25CA" w:rsidRPr="003A500E" w:rsidRDefault="003D25CA" w:rsidP="00F95399">
            <w:pPr>
              <w:rPr>
                <w:sz w:val="19"/>
                <w:szCs w:val="19"/>
              </w:rPr>
            </w:pPr>
            <w:r w:rsidRPr="003A500E">
              <w:rPr>
                <w:rFonts w:eastAsia="Times New Roman" w:cs="Calibri"/>
                <w:b/>
                <w:color w:val="000000"/>
                <w:sz w:val="19"/>
                <w:szCs w:val="19"/>
                <w:lang w:val="en-IE" w:eastAsia="en-IE"/>
              </w:rPr>
              <w:t>Landfill</w:t>
            </w:r>
          </w:p>
        </w:tc>
        <w:tc>
          <w:tcPr>
            <w:tcW w:w="1506" w:type="dxa"/>
          </w:tcPr>
          <w:p w14:paraId="3BA49A35"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0.032</w:t>
            </w:r>
          </w:p>
        </w:tc>
        <w:tc>
          <w:tcPr>
            <w:tcW w:w="1507" w:type="dxa"/>
          </w:tcPr>
          <w:p w14:paraId="34BCC782"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0.031</w:t>
            </w:r>
          </w:p>
        </w:tc>
        <w:tc>
          <w:tcPr>
            <w:tcW w:w="1577" w:type="dxa"/>
          </w:tcPr>
          <w:p w14:paraId="493EA16A"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-0.001</w:t>
            </w:r>
          </w:p>
        </w:tc>
        <w:tc>
          <w:tcPr>
            <w:tcW w:w="1507" w:type="dxa"/>
          </w:tcPr>
          <w:p w14:paraId="02C33B86"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0.000001</w:t>
            </w:r>
          </w:p>
        </w:tc>
        <w:tc>
          <w:tcPr>
            <w:tcW w:w="1507" w:type="dxa"/>
          </w:tcPr>
          <w:p w14:paraId="16CF3942"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0.02509</w:t>
            </w:r>
          </w:p>
        </w:tc>
      </w:tr>
      <w:tr w:rsidR="003D25CA" w:rsidRPr="003A500E" w14:paraId="65D9C656" w14:textId="77777777" w:rsidTr="00F95399">
        <w:tc>
          <w:tcPr>
            <w:tcW w:w="1985" w:type="dxa"/>
          </w:tcPr>
          <w:p w14:paraId="38CB0F39" w14:textId="77777777" w:rsidR="003D25CA" w:rsidRPr="003A500E" w:rsidRDefault="003D25CA" w:rsidP="00F95399">
            <w:pPr>
              <w:rPr>
                <w:sz w:val="19"/>
                <w:szCs w:val="19"/>
              </w:rPr>
            </w:pPr>
            <w:r w:rsidRPr="003A500E">
              <w:rPr>
                <w:rFonts w:eastAsia="Times New Roman" w:cs="Calibri"/>
                <w:b/>
                <w:color w:val="000000"/>
                <w:sz w:val="19"/>
                <w:szCs w:val="19"/>
                <w:lang w:val="en-IE" w:eastAsia="en-IE"/>
              </w:rPr>
              <w:t>Incineration with Heat Recovery</w:t>
            </w:r>
          </w:p>
        </w:tc>
        <w:tc>
          <w:tcPr>
            <w:tcW w:w="1506" w:type="dxa"/>
          </w:tcPr>
          <w:p w14:paraId="6113CD5B"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0.051</w:t>
            </w:r>
          </w:p>
        </w:tc>
        <w:tc>
          <w:tcPr>
            <w:tcW w:w="1507" w:type="dxa"/>
          </w:tcPr>
          <w:p w14:paraId="4FB9F91E"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0.052</w:t>
            </w:r>
          </w:p>
        </w:tc>
        <w:tc>
          <w:tcPr>
            <w:tcW w:w="1577" w:type="dxa"/>
          </w:tcPr>
          <w:p w14:paraId="2C96E4AB"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0.001</w:t>
            </w:r>
          </w:p>
        </w:tc>
        <w:tc>
          <w:tcPr>
            <w:tcW w:w="1507" w:type="dxa"/>
          </w:tcPr>
          <w:p w14:paraId="33CF35C2"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0.000002</w:t>
            </w:r>
          </w:p>
        </w:tc>
        <w:tc>
          <w:tcPr>
            <w:tcW w:w="1507" w:type="dxa"/>
          </w:tcPr>
          <w:p w14:paraId="2F4E31D0" w14:textId="77777777" w:rsidR="003D25CA" w:rsidRPr="003A500E" w:rsidRDefault="003D25CA" w:rsidP="00F95399">
            <w:pPr>
              <w:rPr>
                <w:sz w:val="19"/>
                <w:szCs w:val="19"/>
              </w:rPr>
            </w:pPr>
          </w:p>
        </w:tc>
      </w:tr>
      <w:tr w:rsidR="003D25CA" w:rsidRPr="003A500E" w14:paraId="6A60783C" w14:textId="77777777" w:rsidTr="00F95399">
        <w:tc>
          <w:tcPr>
            <w:tcW w:w="1985" w:type="dxa"/>
          </w:tcPr>
          <w:p w14:paraId="6E9ABFE9" w14:textId="77777777" w:rsidR="003D25CA" w:rsidRPr="003A500E" w:rsidRDefault="003D25CA" w:rsidP="00F95399">
            <w:pPr>
              <w:rPr>
                <w:sz w:val="19"/>
                <w:szCs w:val="19"/>
              </w:rPr>
            </w:pPr>
            <w:r w:rsidRPr="003A500E">
              <w:rPr>
                <w:rFonts w:eastAsia="Times New Roman" w:cs="Calibri"/>
                <w:b/>
                <w:color w:val="000000"/>
                <w:sz w:val="19"/>
                <w:szCs w:val="19"/>
                <w:lang w:val="en-IE" w:eastAsia="en-IE"/>
              </w:rPr>
              <w:t>Co Processing</w:t>
            </w:r>
          </w:p>
        </w:tc>
        <w:tc>
          <w:tcPr>
            <w:tcW w:w="1506" w:type="dxa"/>
          </w:tcPr>
          <w:p w14:paraId="41C13259"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0.110</w:t>
            </w:r>
          </w:p>
        </w:tc>
        <w:tc>
          <w:tcPr>
            <w:tcW w:w="1507" w:type="dxa"/>
          </w:tcPr>
          <w:p w14:paraId="2BB55EF8"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0.118</w:t>
            </w:r>
          </w:p>
        </w:tc>
        <w:tc>
          <w:tcPr>
            <w:tcW w:w="1577" w:type="dxa"/>
          </w:tcPr>
          <w:p w14:paraId="68091361"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0.009</w:t>
            </w:r>
          </w:p>
        </w:tc>
        <w:tc>
          <w:tcPr>
            <w:tcW w:w="1507" w:type="dxa"/>
          </w:tcPr>
          <w:p w14:paraId="3F394E6C"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0.000074</w:t>
            </w:r>
          </w:p>
        </w:tc>
        <w:tc>
          <w:tcPr>
            <w:tcW w:w="1507" w:type="dxa"/>
          </w:tcPr>
          <w:p w14:paraId="14826B71" w14:textId="77777777" w:rsidR="003D25CA" w:rsidRPr="003A500E" w:rsidRDefault="003D25CA" w:rsidP="00F95399">
            <w:pPr>
              <w:rPr>
                <w:sz w:val="19"/>
                <w:szCs w:val="19"/>
              </w:rPr>
            </w:pPr>
          </w:p>
        </w:tc>
      </w:tr>
      <w:tr w:rsidR="003D25CA" w:rsidRPr="003A500E" w14:paraId="62BBB417" w14:textId="77777777" w:rsidTr="00F95399">
        <w:tc>
          <w:tcPr>
            <w:tcW w:w="1985" w:type="dxa"/>
          </w:tcPr>
          <w:p w14:paraId="11F179C1" w14:textId="77777777" w:rsidR="003D25CA" w:rsidRPr="003A500E" w:rsidRDefault="003D25CA" w:rsidP="00F95399">
            <w:pPr>
              <w:rPr>
                <w:sz w:val="19"/>
                <w:szCs w:val="19"/>
              </w:rPr>
            </w:pPr>
            <w:r w:rsidRPr="003A500E">
              <w:rPr>
                <w:rFonts w:eastAsia="Times New Roman" w:cs="Calibri"/>
                <w:b/>
                <w:color w:val="000000"/>
                <w:sz w:val="19"/>
                <w:szCs w:val="19"/>
                <w:lang w:val="en-IE" w:eastAsia="en-IE"/>
              </w:rPr>
              <w:t>Furniture Making</w:t>
            </w:r>
          </w:p>
        </w:tc>
        <w:tc>
          <w:tcPr>
            <w:tcW w:w="1506" w:type="dxa"/>
          </w:tcPr>
          <w:p w14:paraId="77D8A06D"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0.407</w:t>
            </w:r>
          </w:p>
        </w:tc>
        <w:tc>
          <w:tcPr>
            <w:tcW w:w="1507" w:type="dxa"/>
          </w:tcPr>
          <w:p w14:paraId="4C8F6218"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0.387</w:t>
            </w:r>
          </w:p>
        </w:tc>
        <w:tc>
          <w:tcPr>
            <w:tcW w:w="1577" w:type="dxa"/>
          </w:tcPr>
          <w:p w14:paraId="33B30D29"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-0.020</w:t>
            </w:r>
          </w:p>
        </w:tc>
        <w:tc>
          <w:tcPr>
            <w:tcW w:w="1507" w:type="dxa"/>
          </w:tcPr>
          <w:p w14:paraId="770C9A95"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0.000419</w:t>
            </w:r>
          </w:p>
        </w:tc>
        <w:tc>
          <w:tcPr>
            <w:tcW w:w="1507" w:type="dxa"/>
          </w:tcPr>
          <w:p w14:paraId="39934B47" w14:textId="77777777" w:rsidR="003D25CA" w:rsidRPr="003A500E" w:rsidRDefault="003D25CA" w:rsidP="00F95399">
            <w:pPr>
              <w:rPr>
                <w:sz w:val="19"/>
                <w:szCs w:val="19"/>
              </w:rPr>
            </w:pPr>
          </w:p>
        </w:tc>
      </w:tr>
      <w:tr w:rsidR="003D25CA" w:rsidRPr="003A500E" w14:paraId="3891A376" w14:textId="77777777" w:rsidTr="00F95399">
        <w:tc>
          <w:tcPr>
            <w:tcW w:w="1985" w:type="dxa"/>
          </w:tcPr>
          <w:p w14:paraId="55F8B344" w14:textId="77777777" w:rsidR="003D25CA" w:rsidRPr="003A500E" w:rsidRDefault="003D25CA" w:rsidP="00F95399">
            <w:pPr>
              <w:rPr>
                <w:sz w:val="19"/>
                <w:szCs w:val="19"/>
              </w:rPr>
            </w:pPr>
            <w:r w:rsidRPr="003A500E">
              <w:rPr>
                <w:rFonts w:eastAsia="Times New Roman" w:cs="Calibri"/>
                <w:b/>
                <w:color w:val="000000"/>
                <w:sz w:val="19"/>
                <w:szCs w:val="19"/>
                <w:lang w:val="en-IE" w:eastAsia="en-IE"/>
              </w:rPr>
              <w:t>Bridge Fabrication</w:t>
            </w:r>
          </w:p>
        </w:tc>
        <w:tc>
          <w:tcPr>
            <w:tcW w:w="1506" w:type="dxa"/>
          </w:tcPr>
          <w:p w14:paraId="41021A89"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0.400</w:t>
            </w:r>
          </w:p>
        </w:tc>
        <w:tc>
          <w:tcPr>
            <w:tcW w:w="1507" w:type="dxa"/>
          </w:tcPr>
          <w:p w14:paraId="08C0C3A7"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0.412</w:t>
            </w:r>
          </w:p>
        </w:tc>
        <w:tc>
          <w:tcPr>
            <w:tcW w:w="1577" w:type="dxa"/>
          </w:tcPr>
          <w:p w14:paraId="661E94E3"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0.012</w:t>
            </w:r>
          </w:p>
        </w:tc>
        <w:tc>
          <w:tcPr>
            <w:tcW w:w="1507" w:type="dxa"/>
          </w:tcPr>
          <w:p w14:paraId="3E42C3A6" w14:textId="77777777" w:rsidR="003D25CA" w:rsidRPr="003A500E" w:rsidRDefault="003D25CA" w:rsidP="00F95399">
            <w:pPr>
              <w:rPr>
                <w:sz w:val="19"/>
                <w:szCs w:val="19"/>
              </w:rPr>
            </w:pPr>
            <w:r w:rsidRPr="003A500E">
              <w:rPr>
                <w:rFonts w:eastAsia="Times New Roman" w:cs="Calibri"/>
                <w:color w:val="000000"/>
                <w:sz w:val="19"/>
                <w:szCs w:val="19"/>
                <w:lang w:val="en-IE" w:eastAsia="en-IE"/>
              </w:rPr>
              <w:t>0.000133</w:t>
            </w:r>
          </w:p>
        </w:tc>
        <w:tc>
          <w:tcPr>
            <w:tcW w:w="1507" w:type="dxa"/>
          </w:tcPr>
          <w:p w14:paraId="22588276" w14:textId="77777777" w:rsidR="003D25CA" w:rsidRPr="003A500E" w:rsidRDefault="003D25CA" w:rsidP="00F95399">
            <w:pPr>
              <w:rPr>
                <w:sz w:val="19"/>
                <w:szCs w:val="19"/>
              </w:rPr>
            </w:pPr>
          </w:p>
        </w:tc>
      </w:tr>
      <w:tr w:rsidR="003D25CA" w:rsidRPr="003A500E" w14:paraId="0BF25453" w14:textId="77777777" w:rsidTr="00F95399">
        <w:tc>
          <w:tcPr>
            <w:tcW w:w="1985" w:type="dxa"/>
          </w:tcPr>
          <w:p w14:paraId="4638C15B" w14:textId="77777777" w:rsidR="003D25CA" w:rsidRPr="003A500E" w:rsidRDefault="003D25CA" w:rsidP="00F95399">
            <w:pPr>
              <w:rPr>
                <w:rFonts w:eastAsia="Times New Roman" w:cs="Calibri"/>
                <w:b/>
                <w:color w:val="000000"/>
                <w:sz w:val="19"/>
                <w:szCs w:val="19"/>
                <w:lang w:val="en-IE" w:eastAsia="en-IE"/>
              </w:rPr>
            </w:pPr>
            <w:r w:rsidRPr="003A500E">
              <w:rPr>
                <w:rFonts w:eastAsia="Times New Roman" w:cs="Calibri"/>
                <w:b/>
                <w:color w:val="000000"/>
                <w:sz w:val="19"/>
                <w:szCs w:val="19"/>
                <w:lang w:val="en-IE" w:eastAsia="en-IE"/>
              </w:rPr>
              <w:t>Kendall's W</w:t>
            </w:r>
          </w:p>
        </w:tc>
        <w:tc>
          <w:tcPr>
            <w:tcW w:w="1506" w:type="dxa"/>
          </w:tcPr>
          <w:p w14:paraId="0A5E9196" w14:textId="77777777" w:rsidR="003D25CA" w:rsidRPr="003A500E" w:rsidRDefault="003D25CA" w:rsidP="00F95399">
            <w:pPr>
              <w:rPr>
                <w:rFonts w:eastAsia="Times New Roman" w:cs="Calibri"/>
                <w:color w:val="000000"/>
                <w:sz w:val="19"/>
                <w:szCs w:val="19"/>
                <w:lang w:val="en-IE" w:eastAsia="en-IE"/>
              </w:rPr>
            </w:pPr>
            <w:r w:rsidRPr="003A500E">
              <w:rPr>
                <w:rFonts w:eastAsia="Times New Roman" w:cs="Calibri"/>
                <w:color w:val="000000"/>
                <w:sz w:val="19"/>
                <w:szCs w:val="19"/>
                <w:lang w:val="en-IE" w:eastAsia="en-IE"/>
              </w:rPr>
              <w:t>0.89</w:t>
            </w:r>
          </w:p>
        </w:tc>
        <w:tc>
          <w:tcPr>
            <w:tcW w:w="1507" w:type="dxa"/>
          </w:tcPr>
          <w:p w14:paraId="6903CC94" w14:textId="77777777" w:rsidR="003D25CA" w:rsidRPr="003A500E" w:rsidRDefault="003D25CA" w:rsidP="00F95399">
            <w:pPr>
              <w:rPr>
                <w:rFonts w:eastAsia="Times New Roman" w:cs="Calibri"/>
                <w:color w:val="000000"/>
                <w:sz w:val="19"/>
                <w:szCs w:val="19"/>
                <w:lang w:val="en-IE" w:eastAsia="en-IE"/>
              </w:rPr>
            </w:pPr>
            <w:r w:rsidRPr="003A500E">
              <w:rPr>
                <w:rFonts w:eastAsia="Times New Roman" w:cs="Calibri"/>
                <w:color w:val="000000"/>
                <w:sz w:val="19"/>
                <w:szCs w:val="19"/>
                <w:lang w:val="en-IE" w:eastAsia="en-IE"/>
              </w:rPr>
              <w:t>0.95</w:t>
            </w:r>
          </w:p>
        </w:tc>
        <w:tc>
          <w:tcPr>
            <w:tcW w:w="1577" w:type="dxa"/>
          </w:tcPr>
          <w:p w14:paraId="51CC4698" w14:textId="77777777" w:rsidR="003D25CA" w:rsidRPr="003A500E" w:rsidRDefault="003D25CA" w:rsidP="00F95399">
            <w:pPr>
              <w:rPr>
                <w:rFonts w:eastAsia="Times New Roman" w:cs="Calibri"/>
                <w:color w:val="000000"/>
                <w:sz w:val="19"/>
                <w:szCs w:val="19"/>
                <w:lang w:val="en-IE" w:eastAsia="en-IE"/>
              </w:rPr>
            </w:pPr>
          </w:p>
        </w:tc>
        <w:tc>
          <w:tcPr>
            <w:tcW w:w="1507" w:type="dxa"/>
          </w:tcPr>
          <w:p w14:paraId="24BD2696" w14:textId="77777777" w:rsidR="003D25CA" w:rsidRPr="003A500E" w:rsidRDefault="003D25CA" w:rsidP="00F95399">
            <w:pPr>
              <w:rPr>
                <w:rFonts w:eastAsia="Times New Roman" w:cs="Calibri"/>
                <w:color w:val="000000"/>
                <w:sz w:val="19"/>
                <w:szCs w:val="19"/>
                <w:lang w:val="en-IE" w:eastAsia="en-IE"/>
              </w:rPr>
            </w:pPr>
          </w:p>
        </w:tc>
        <w:tc>
          <w:tcPr>
            <w:tcW w:w="1507" w:type="dxa"/>
          </w:tcPr>
          <w:p w14:paraId="077E1B84" w14:textId="77777777" w:rsidR="003D25CA" w:rsidRPr="003A500E" w:rsidRDefault="003D25CA" w:rsidP="00F95399">
            <w:pPr>
              <w:rPr>
                <w:sz w:val="19"/>
                <w:szCs w:val="19"/>
              </w:rPr>
            </w:pPr>
          </w:p>
        </w:tc>
      </w:tr>
      <w:tr w:rsidR="003D25CA" w:rsidRPr="003A500E" w14:paraId="22DD6448" w14:textId="77777777" w:rsidTr="00F95399">
        <w:tc>
          <w:tcPr>
            <w:tcW w:w="1985" w:type="dxa"/>
          </w:tcPr>
          <w:p w14:paraId="6A999E8F" w14:textId="77777777" w:rsidR="003D25CA" w:rsidRPr="003A500E" w:rsidRDefault="003D25CA" w:rsidP="00F95399">
            <w:pPr>
              <w:rPr>
                <w:rFonts w:eastAsia="Times New Roman" w:cs="Calibri"/>
                <w:b/>
                <w:color w:val="000000"/>
                <w:sz w:val="19"/>
                <w:szCs w:val="19"/>
                <w:lang w:val="en-IE" w:eastAsia="en-IE"/>
              </w:rPr>
            </w:pPr>
            <w:r w:rsidRPr="003A500E">
              <w:rPr>
                <w:rFonts w:eastAsia="Times New Roman" w:cs="Calibri"/>
                <w:b/>
                <w:color w:val="000000"/>
                <w:sz w:val="19"/>
                <w:szCs w:val="19"/>
                <w:lang w:val="en-IE" w:eastAsia="en-IE"/>
              </w:rPr>
              <w:t>CI</w:t>
            </w:r>
          </w:p>
        </w:tc>
        <w:tc>
          <w:tcPr>
            <w:tcW w:w="1506" w:type="dxa"/>
          </w:tcPr>
          <w:p w14:paraId="2264CCD0" w14:textId="77777777" w:rsidR="003D25CA" w:rsidRPr="003A500E" w:rsidRDefault="003D25CA" w:rsidP="00F95399">
            <w:pPr>
              <w:rPr>
                <w:rFonts w:eastAsia="Times New Roman" w:cs="Calibri"/>
                <w:color w:val="000000"/>
                <w:sz w:val="19"/>
                <w:szCs w:val="19"/>
                <w:lang w:val="en-IE" w:eastAsia="en-IE"/>
              </w:rPr>
            </w:pPr>
            <w:r w:rsidRPr="003A500E">
              <w:rPr>
                <w:rFonts w:eastAsia="Times New Roman" w:cs="Calibri"/>
                <w:color w:val="000000"/>
                <w:sz w:val="19"/>
                <w:szCs w:val="19"/>
                <w:lang w:val="en-IE" w:eastAsia="en-IE"/>
              </w:rPr>
              <w:t>0.075</w:t>
            </w:r>
          </w:p>
        </w:tc>
        <w:tc>
          <w:tcPr>
            <w:tcW w:w="1507" w:type="dxa"/>
          </w:tcPr>
          <w:p w14:paraId="1011FA84" w14:textId="77777777" w:rsidR="003D25CA" w:rsidRPr="003A500E" w:rsidRDefault="003D25CA" w:rsidP="00F95399">
            <w:pPr>
              <w:rPr>
                <w:rFonts w:eastAsia="Times New Roman" w:cs="Calibri"/>
                <w:color w:val="000000"/>
                <w:sz w:val="19"/>
                <w:szCs w:val="19"/>
                <w:lang w:val="en-IE" w:eastAsia="en-IE"/>
              </w:rPr>
            </w:pPr>
            <w:r w:rsidRPr="003A500E">
              <w:rPr>
                <w:rFonts w:eastAsia="Times New Roman" w:cs="Calibri"/>
                <w:color w:val="000000"/>
                <w:sz w:val="19"/>
                <w:szCs w:val="19"/>
                <w:lang w:val="en-IE" w:eastAsia="en-IE"/>
              </w:rPr>
              <w:t>0.095</w:t>
            </w:r>
          </w:p>
        </w:tc>
        <w:tc>
          <w:tcPr>
            <w:tcW w:w="1577" w:type="dxa"/>
          </w:tcPr>
          <w:p w14:paraId="1CC46136" w14:textId="77777777" w:rsidR="003D25CA" w:rsidRPr="003A500E" w:rsidRDefault="003D25CA" w:rsidP="00F95399">
            <w:pPr>
              <w:rPr>
                <w:rFonts w:eastAsia="Times New Roman" w:cs="Calibri"/>
                <w:color w:val="000000"/>
                <w:sz w:val="19"/>
                <w:szCs w:val="19"/>
                <w:lang w:val="en-IE" w:eastAsia="en-IE"/>
              </w:rPr>
            </w:pPr>
          </w:p>
        </w:tc>
        <w:tc>
          <w:tcPr>
            <w:tcW w:w="1507" w:type="dxa"/>
          </w:tcPr>
          <w:p w14:paraId="34D2247E" w14:textId="77777777" w:rsidR="003D25CA" w:rsidRPr="003A500E" w:rsidRDefault="003D25CA" w:rsidP="00F95399">
            <w:pPr>
              <w:rPr>
                <w:rFonts w:eastAsia="Times New Roman" w:cs="Calibri"/>
                <w:color w:val="000000"/>
                <w:sz w:val="19"/>
                <w:szCs w:val="19"/>
                <w:lang w:val="en-IE" w:eastAsia="en-IE"/>
              </w:rPr>
            </w:pPr>
          </w:p>
        </w:tc>
        <w:tc>
          <w:tcPr>
            <w:tcW w:w="1507" w:type="dxa"/>
          </w:tcPr>
          <w:p w14:paraId="7CCEC15F" w14:textId="77777777" w:rsidR="003D25CA" w:rsidRPr="003A500E" w:rsidRDefault="003D25CA" w:rsidP="00F95399">
            <w:pPr>
              <w:rPr>
                <w:sz w:val="19"/>
                <w:szCs w:val="19"/>
              </w:rPr>
            </w:pPr>
          </w:p>
        </w:tc>
      </w:tr>
      <w:tr w:rsidR="003D25CA" w:rsidRPr="003A500E" w14:paraId="06EA4094" w14:textId="77777777" w:rsidTr="00F95399">
        <w:tc>
          <w:tcPr>
            <w:tcW w:w="1985" w:type="dxa"/>
          </w:tcPr>
          <w:p w14:paraId="225CE0EB" w14:textId="77777777" w:rsidR="003D25CA" w:rsidRPr="003A500E" w:rsidRDefault="003D25CA" w:rsidP="00F95399">
            <w:pPr>
              <w:rPr>
                <w:rFonts w:eastAsia="Times New Roman" w:cs="Calibri"/>
                <w:b/>
                <w:color w:val="000000"/>
                <w:sz w:val="19"/>
                <w:szCs w:val="19"/>
                <w:lang w:val="en-IE" w:eastAsia="en-IE"/>
              </w:rPr>
            </w:pPr>
            <w:r>
              <w:rPr>
                <w:rFonts w:eastAsia="Times New Roman" w:cs="Calibri"/>
                <w:b/>
                <w:color w:val="000000"/>
                <w:sz w:val="19"/>
                <w:szCs w:val="19"/>
                <w:lang w:val="en-IE" w:eastAsia="en-IE"/>
              </w:rPr>
              <w:t>CI/</w:t>
            </w:r>
            <w:r w:rsidRPr="003A500E">
              <w:rPr>
                <w:rFonts w:eastAsia="Times New Roman" w:cs="Calibri"/>
                <w:b/>
                <w:color w:val="000000"/>
                <w:sz w:val="19"/>
                <w:szCs w:val="19"/>
                <w:lang w:val="en-IE" w:eastAsia="en-IE"/>
              </w:rPr>
              <w:t>CR</w:t>
            </w:r>
          </w:p>
        </w:tc>
        <w:tc>
          <w:tcPr>
            <w:tcW w:w="1506" w:type="dxa"/>
          </w:tcPr>
          <w:p w14:paraId="602D6B24" w14:textId="77777777" w:rsidR="003D25CA" w:rsidRPr="003A500E" w:rsidRDefault="003D25CA" w:rsidP="00F95399">
            <w:pPr>
              <w:rPr>
                <w:rFonts w:eastAsia="Times New Roman" w:cs="Calibri"/>
                <w:color w:val="000000"/>
                <w:sz w:val="19"/>
                <w:szCs w:val="19"/>
                <w:lang w:val="en-IE" w:eastAsia="en-IE"/>
              </w:rPr>
            </w:pPr>
            <w:r w:rsidRPr="003A500E">
              <w:rPr>
                <w:rFonts w:eastAsia="Times New Roman" w:cs="Calibri"/>
                <w:color w:val="000000"/>
                <w:sz w:val="19"/>
                <w:szCs w:val="19"/>
                <w:lang w:val="en-IE" w:eastAsia="en-IE"/>
              </w:rPr>
              <w:t>0.068</w:t>
            </w:r>
          </w:p>
        </w:tc>
        <w:tc>
          <w:tcPr>
            <w:tcW w:w="1507" w:type="dxa"/>
          </w:tcPr>
          <w:p w14:paraId="497420C4" w14:textId="77777777" w:rsidR="003D25CA" w:rsidRPr="003A500E" w:rsidRDefault="003D25CA" w:rsidP="00F95399">
            <w:pPr>
              <w:rPr>
                <w:rFonts w:eastAsia="Times New Roman" w:cs="Calibri"/>
                <w:color w:val="000000"/>
                <w:sz w:val="19"/>
                <w:szCs w:val="19"/>
                <w:lang w:val="en-IE" w:eastAsia="en-IE"/>
              </w:rPr>
            </w:pPr>
            <w:r w:rsidRPr="003A500E">
              <w:rPr>
                <w:rFonts w:eastAsia="Times New Roman" w:cs="Calibri"/>
                <w:color w:val="000000"/>
                <w:sz w:val="19"/>
                <w:szCs w:val="19"/>
                <w:lang w:val="en-IE" w:eastAsia="en-IE"/>
              </w:rPr>
              <w:t>0.085</w:t>
            </w:r>
          </w:p>
        </w:tc>
        <w:tc>
          <w:tcPr>
            <w:tcW w:w="1577" w:type="dxa"/>
          </w:tcPr>
          <w:p w14:paraId="0719CD22" w14:textId="77777777" w:rsidR="003D25CA" w:rsidRPr="003A500E" w:rsidRDefault="003D25CA" w:rsidP="00F95399">
            <w:pPr>
              <w:rPr>
                <w:rFonts w:eastAsia="Times New Roman" w:cs="Calibri"/>
                <w:color w:val="000000"/>
                <w:sz w:val="19"/>
                <w:szCs w:val="19"/>
                <w:lang w:val="en-IE" w:eastAsia="en-IE"/>
              </w:rPr>
            </w:pPr>
          </w:p>
        </w:tc>
        <w:tc>
          <w:tcPr>
            <w:tcW w:w="1507" w:type="dxa"/>
          </w:tcPr>
          <w:p w14:paraId="03DF413C" w14:textId="77777777" w:rsidR="003D25CA" w:rsidRPr="003A500E" w:rsidRDefault="003D25CA" w:rsidP="00F95399">
            <w:pPr>
              <w:rPr>
                <w:rFonts w:eastAsia="Times New Roman" w:cs="Calibri"/>
                <w:color w:val="000000"/>
                <w:sz w:val="19"/>
                <w:szCs w:val="19"/>
                <w:lang w:val="en-IE" w:eastAsia="en-IE"/>
              </w:rPr>
            </w:pPr>
          </w:p>
        </w:tc>
        <w:tc>
          <w:tcPr>
            <w:tcW w:w="1507" w:type="dxa"/>
          </w:tcPr>
          <w:p w14:paraId="26D650E6" w14:textId="77777777" w:rsidR="003D25CA" w:rsidRPr="003A500E" w:rsidRDefault="003D25CA" w:rsidP="00F95399">
            <w:pPr>
              <w:rPr>
                <w:sz w:val="19"/>
                <w:szCs w:val="19"/>
              </w:rPr>
            </w:pPr>
          </w:p>
        </w:tc>
      </w:tr>
    </w:tbl>
    <w:p w14:paraId="63BC2A02" w14:textId="77777777" w:rsidR="003D25CA" w:rsidRDefault="003D25CA" w:rsidP="003D25CA">
      <w:pPr>
        <w:pStyle w:val="Caption"/>
        <w:keepNext/>
        <w:spacing w:after="0"/>
      </w:pPr>
      <w:bookmarkStart w:id="86" w:name="_Toc62589129"/>
      <w:r>
        <w:lastRenderedPageBreak/>
        <w:t>Tabl</w:t>
      </w:r>
      <w:r w:rsidR="001A1B21">
        <w:t>e 13</w:t>
      </w:r>
      <w:r>
        <w:fldChar w:fldCharType="begin"/>
      </w:r>
      <w:r>
        <w:instrText xml:space="preserve"> SEQ Table \* ARABIC </w:instrText>
      </w:r>
      <w:r>
        <w:fldChar w:fldCharType="end"/>
      </w:r>
      <w:r>
        <w:t>: Statistics of two round Delphi study.</w:t>
      </w:r>
      <w:bookmarkEnd w:id="86"/>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2"/>
        <w:gridCol w:w="1092"/>
        <w:gridCol w:w="706"/>
        <w:gridCol w:w="706"/>
        <w:gridCol w:w="1248"/>
        <w:gridCol w:w="1413"/>
        <w:gridCol w:w="1092"/>
        <w:gridCol w:w="829"/>
        <w:gridCol w:w="672"/>
      </w:tblGrid>
      <w:tr w:rsidR="003D25CA" w:rsidRPr="00495D3E" w14:paraId="751761B2" w14:textId="77777777" w:rsidTr="00F95399">
        <w:tc>
          <w:tcPr>
            <w:tcW w:w="0" w:type="auto"/>
          </w:tcPr>
          <w:p w14:paraId="44A46A10" w14:textId="77777777" w:rsidR="003D25CA" w:rsidRPr="00495D3E" w:rsidRDefault="003D25CA" w:rsidP="00F95399">
            <w:pPr>
              <w:jc w:val="center"/>
              <w:rPr>
                <w:b/>
                <w:sz w:val="20"/>
                <w:szCs w:val="20"/>
              </w:rPr>
            </w:pPr>
          </w:p>
        </w:tc>
        <w:tc>
          <w:tcPr>
            <w:tcW w:w="0" w:type="auto"/>
            <w:gridSpan w:val="2"/>
            <w:tcBorders>
              <w:bottom w:val="single" w:sz="4" w:space="0" w:color="auto"/>
            </w:tcBorders>
          </w:tcPr>
          <w:p w14:paraId="7285D1C2" w14:textId="77777777" w:rsidR="003D25CA" w:rsidRPr="00495D3E" w:rsidRDefault="003D25CA" w:rsidP="00F95399">
            <w:pPr>
              <w:jc w:val="center"/>
              <w:rPr>
                <w:b/>
                <w:sz w:val="20"/>
                <w:szCs w:val="20"/>
              </w:rPr>
            </w:pPr>
            <w:r w:rsidRPr="00495D3E">
              <w:rPr>
                <w:b/>
                <w:sz w:val="20"/>
                <w:szCs w:val="20"/>
              </w:rPr>
              <w:t>Round 1</w:t>
            </w:r>
          </w:p>
        </w:tc>
        <w:tc>
          <w:tcPr>
            <w:tcW w:w="0" w:type="auto"/>
            <w:gridSpan w:val="2"/>
            <w:tcBorders>
              <w:bottom w:val="single" w:sz="4" w:space="0" w:color="auto"/>
            </w:tcBorders>
          </w:tcPr>
          <w:p w14:paraId="12CCF98A" w14:textId="77777777" w:rsidR="003D25CA" w:rsidRPr="00495D3E" w:rsidRDefault="003D25CA" w:rsidP="00F95399">
            <w:pPr>
              <w:tabs>
                <w:tab w:val="left" w:pos="1313"/>
              </w:tabs>
              <w:jc w:val="center"/>
              <w:rPr>
                <w:b/>
                <w:sz w:val="20"/>
                <w:szCs w:val="20"/>
              </w:rPr>
            </w:pPr>
            <w:r w:rsidRPr="00495D3E">
              <w:rPr>
                <w:b/>
                <w:sz w:val="20"/>
                <w:szCs w:val="20"/>
              </w:rPr>
              <w:t xml:space="preserve">            Round 2</w:t>
            </w:r>
          </w:p>
        </w:tc>
        <w:tc>
          <w:tcPr>
            <w:tcW w:w="0" w:type="auto"/>
            <w:tcBorders>
              <w:bottom w:val="single" w:sz="4" w:space="0" w:color="auto"/>
            </w:tcBorders>
          </w:tcPr>
          <w:p w14:paraId="5C8DD290" w14:textId="77777777" w:rsidR="003D25CA" w:rsidRPr="00495D3E" w:rsidRDefault="003D25CA" w:rsidP="00F95399">
            <w:pPr>
              <w:tabs>
                <w:tab w:val="left" w:pos="1313"/>
              </w:tabs>
              <w:jc w:val="center"/>
              <w:rPr>
                <w:b/>
                <w:sz w:val="20"/>
                <w:szCs w:val="20"/>
              </w:rPr>
            </w:pPr>
          </w:p>
        </w:tc>
        <w:tc>
          <w:tcPr>
            <w:tcW w:w="0" w:type="auto"/>
            <w:tcBorders>
              <w:bottom w:val="single" w:sz="4" w:space="0" w:color="auto"/>
            </w:tcBorders>
          </w:tcPr>
          <w:p w14:paraId="47D3B754" w14:textId="77777777" w:rsidR="003D25CA" w:rsidRPr="00495D3E" w:rsidRDefault="003D25CA" w:rsidP="00F95399">
            <w:pPr>
              <w:tabs>
                <w:tab w:val="left" w:pos="1313"/>
              </w:tabs>
              <w:jc w:val="center"/>
              <w:rPr>
                <w:b/>
                <w:sz w:val="20"/>
                <w:szCs w:val="20"/>
              </w:rPr>
            </w:pPr>
            <w:r w:rsidRPr="00495D3E">
              <w:rPr>
                <w:b/>
                <w:sz w:val="20"/>
                <w:szCs w:val="20"/>
              </w:rPr>
              <w:t>Consensus</w:t>
            </w:r>
          </w:p>
        </w:tc>
        <w:tc>
          <w:tcPr>
            <w:tcW w:w="0" w:type="auto"/>
            <w:gridSpan w:val="2"/>
            <w:tcBorders>
              <w:bottom w:val="single" w:sz="4" w:space="0" w:color="auto"/>
            </w:tcBorders>
          </w:tcPr>
          <w:p w14:paraId="202CE344" w14:textId="77777777" w:rsidR="003D25CA" w:rsidRPr="00495D3E" w:rsidRDefault="003D25CA" w:rsidP="00F95399">
            <w:pPr>
              <w:tabs>
                <w:tab w:val="left" w:pos="1313"/>
              </w:tabs>
              <w:jc w:val="center"/>
              <w:rPr>
                <w:b/>
                <w:sz w:val="20"/>
                <w:szCs w:val="20"/>
              </w:rPr>
            </w:pPr>
            <w:r w:rsidRPr="00495D3E">
              <w:rPr>
                <w:b/>
                <w:sz w:val="20"/>
                <w:szCs w:val="20"/>
              </w:rPr>
              <w:t>Convergence</w:t>
            </w:r>
          </w:p>
        </w:tc>
      </w:tr>
      <w:tr w:rsidR="003D25CA" w:rsidRPr="00495D3E" w14:paraId="3EE5546C" w14:textId="77777777" w:rsidTr="00F95399">
        <w:tc>
          <w:tcPr>
            <w:tcW w:w="0" w:type="auto"/>
          </w:tcPr>
          <w:p w14:paraId="1D0BDA22" w14:textId="77777777" w:rsidR="003D25CA" w:rsidRPr="00495D3E" w:rsidRDefault="003D25CA" w:rsidP="00F95399">
            <w:pPr>
              <w:jc w:val="center"/>
              <w:rPr>
                <w:b/>
                <w:sz w:val="20"/>
                <w:szCs w:val="20"/>
              </w:rPr>
            </w:pPr>
          </w:p>
        </w:tc>
        <w:tc>
          <w:tcPr>
            <w:tcW w:w="0" w:type="auto"/>
            <w:tcBorders>
              <w:top w:val="single" w:sz="4" w:space="0" w:color="auto"/>
              <w:bottom w:val="single" w:sz="4" w:space="0" w:color="auto"/>
            </w:tcBorders>
          </w:tcPr>
          <w:p w14:paraId="6ABC168D" w14:textId="77777777" w:rsidR="003D25CA" w:rsidRPr="00495D3E" w:rsidRDefault="003D25CA" w:rsidP="00F95399">
            <w:pPr>
              <w:jc w:val="center"/>
              <w:rPr>
                <w:b/>
                <w:sz w:val="20"/>
                <w:szCs w:val="20"/>
              </w:rPr>
            </w:pPr>
            <w:r w:rsidRPr="00495D3E">
              <w:rPr>
                <w:b/>
                <w:sz w:val="20"/>
                <w:szCs w:val="20"/>
              </w:rPr>
              <w:t>Consensus</w:t>
            </w:r>
          </w:p>
        </w:tc>
        <w:tc>
          <w:tcPr>
            <w:tcW w:w="0" w:type="auto"/>
            <w:gridSpan w:val="2"/>
            <w:tcBorders>
              <w:top w:val="single" w:sz="4" w:space="0" w:color="auto"/>
              <w:bottom w:val="single" w:sz="4" w:space="0" w:color="auto"/>
            </w:tcBorders>
          </w:tcPr>
          <w:p w14:paraId="4CBA1502" w14:textId="77777777" w:rsidR="003D25CA" w:rsidRPr="00495D3E" w:rsidRDefault="003D25CA" w:rsidP="00F95399">
            <w:pPr>
              <w:tabs>
                <w:tab w:val="left" w:pos="1313"/>
              </w:tabs>
              <w:jc w:val="center"/>
              <w:rPr>
                <w:b/>
                <w:sz w:val="20"/>
                <w:szCs w:val="20"/>
              </w:rPr>
            </w:pPr>
            <w:r w:rsidRPr="00495D3E">
              <w:rPr>
                <w:b/>
                <w:sz w:val="20"/>
                <w:szCs w:val="20"/>
              </w:rPr>
              <w:t>Consistency Ratio</w:t>
            </w:r>
          </w:p>
        </w:tc>
        <w:tc>
          <w:tcPr>
            <w:tcW w:w="0" w:type="auto"/>
            <w:tcBorders>
              <w:top w:val="single" w:sz="4" w:space="0" w:color="auto"/>
              <w:bottom w:val="single" w:sz="4" w:space="0" w:color="auto"/>
            </w:tcBorders>
          </w:tcPr>
          <w:p w14:paraId="19C4DC40" w14:textId="77777777" w:rsidR="003D25CA" w:rsidRPr="00495D3E" w:rsidRDefault="003D25CA" w:rsidP="00F95399">
            <w:pPr>
              <w:tabs>
                <w:tab w:val="left" w:pos="1313"/>
              </w:tabs>
              <w:jc w:val="center"/>
              <w:rPr>
                <w:b/>
                <w:sz w:val="20"/>
                <w:szCs w:val="20"/>
              </w:rPr>
            </w:pPr>
            <w:r w:rsidRPr="00495D3E">
              <w:rPr>
                <w:b/>
                <w:sz w:val="20"/>
                <w:szCs w:val="20"/>
              </w:rPr>
              <w:t>Consensus</w:t>
            </w:r>
          </w:p>
        </w:tc>
        <w:tc>
          <w:tcPr>
            <w:tcW w:w="0" w:type="auto"/>
            <w:tcBorders>
              <w:top w:val="single" w:sz="4" w:space="0" w:color="auto"/>
              <w:bottom w:val="single" w:sz="4" w:space="0" w:color="auto"/>
            </w:tcBorders>
          </w:tcPr>
          <w:p w14:paraId="304233A8" w14:textId="77777777" w:rsidR="003D25CA" w:rsidRPr="00495D3E" w:rsidRDefault="003D25CA" w:rsidP="00F95399">
            <w:pPr>
              <w:tabs>
                <w:tab w:val="left" w:pos="1313"/>
              </w:tabs>
              <w:jc w:val="center"/>
              <w:rPr>
                <w:b/>
                <w:sz w:val="20"/>
                <w:szCs w:val="20"/>
              </w:rPr>
            </w:pPr>
            <w:r w:rsidRPr="00495D3E">
              <w:rPr>
                <w:b/>
                <w:sz w:val="20"/>
                <w:szCs w:val="20"/>
              </w:rPr>
              <w:t>Consistency Ratio</w:t>
            </w:r>
          </w:p>
        </w:tc>
        <w:tc>
          <w:tcPr>
            <w:tcW w:w="0" w:type="auto"/>
            <w:tcBorders>
              <w:top w:val="single" w:sz="4" w:space="0" w:color="auto"/>
              <w:bottom w:val="single" w:sz="4" w:space="0" w:color="auto"/>
            </w:tcBorders>
          </w:tcPr>
          <w:p w14:paraId="76C4748B" w14:textId="77777777" w:rsidR="003D25CA" w:rsidRPr="00495D3E" w:rsidRDefault="003D25CA" w:rsidP="00F95399">
            <w:pPr>
              <w:tabs>
                <w:tab w:val="left" w:pos="1313"/>
              </w:tabs>
              <w:jc w:val="center"/>
              <w:rPr>
                <w:b/>
                <w:sz w:val="20"/>
                <w:szCs w:val="20"/>
              </w:rPr>
            </w:pPr>
            <w:r w:rsidRPr="00495D3E">
              <w:rPr>
                <w:b/>
                <w:sz w:val="20"/>
                <w:szCs w:val="20"/>
              </w:rPr>
              <w:t>Change</w:t>
            </w:r>
          </w:p>
        </w:tc>
        <w:tc>
          <w:tcPr>
            <w:tcW w:w="0" w:type="auto"/>
            <w:tcBorders>
              <w:top w:val="single" w:sz="4" w:space="0" w:color="auto"/>
              <w:bottom w:val="single" w:sz="4" w:space="0" w:color="auto"/>
            </w:tcBorders>
          </w:tcPr>
          <w:p w14:paraId="69B7E165" w14:textId="77777777" w:rsidR="003D25CA" w:rsidRPr="00495D3E" w:rsidRDefault="003D25CA" w:rsidP="00F95399">
            <w:pPr>
              <w:tabs>
                <w:tab w:val="left" w:pos="1313"/>
              </w:tabs>
              <w:jc w:val="center"/>
              <w:rPr>
                <w:b/>
                <w:sz w:val="20"/>
                <w:szCs w:val="20"/>
              </w:rPr>
            </w:pPr>
            <w:r w:rsidRPr="00495D3E">
              <w:rPr>
                <w:b/>
                <w:sz w:val="20"/>
                <w:szCs w:val="20"/>
              </w:rPr>
              <w:t>Gap Filled</w:t>
            </w:r>
          </w:p>
        </w:tc>
        <w:tc>
          <w:tcPr>
            <w:tcW w:w="0" w:type="auto"/>
            <w:tcBorders>
              <w:top w:val="single" w:sz="4" w:space="0" w:color="auto"/>
              <w:bottom w:val="single" w:sz="4" w:space="0" w:color="auto"/>
            </w:tcBorders>
          </w:tcPr>
          <w:p w14:paraId="4E4EC4EB" w14:textId="77777777" w:rsidR="003D25CA" w:rsidRPr="00495D3E" w:rsidRDefault="003D25CA" w:rsidP="00F95399">
            <w:pPr>
              <w:tabs>
                <w:tab w:val="left" w:pos="575"/>
                <w:tab w:val="left" w:pos="1313"/>
              </w:tabs>
              <w:jc w:val="center"/>
              <w:rPr>
                <w:b/>
                <w:sz w:val="20"/>
                <w:szCs w:val="20"/>
              </w:rPr>
            </w:pPr>
            <w:r w:rsidRPr="00495D3E">
              <w:rPr>
                <w:b/>
                <w:sz w:val="20"/>
                <w:szCs w:val="20"/>
              </w:rPr>
              <w:t xml:space="preserve">d </w:t>
            </w:r>
            <w:proofErr w:type="spellStart"/>
            <w:r w:rsidRPr="00495D3E">
              <w:rPr>
                <w:b/>
                <w:sz w:val="20"/>
                <w:szCs w:val="20"/>
                <w:vertAlign w:val="subscript"/>
              </w:rPr>
              <w:t>i</w:t>
            </w:r>
            <w:proofErr w:type="spellEnd"/>
          </w:p>
        </w:tc>
      </w:tr>
      <w:tr w:rsidR="003D25CA" w:rsidRPr="00495D3E" w14:paraId="5C46548D" w14:textId="77777777" w:rsidTr="00F95399">
        <w:tc>
          <w:tcPr>
            <w:tcW w:w="0" w:type="auto"/>
          </w:tcPr>
          <w:p w14:paraId="7EE48008" w14:textId="77777777" w:rsidR="003D25CA" w:rsidRPr="00495D3E" w:rsidRDefault="003D25CA" w:rsidP="00F95399">
            <w:pPr>
              <w:rPr>
                <w:b/>
                <w:sz w:val="20"/>
                <w:szCs w:val="20"/>
              </w:rPr>
            </w:pPr>
            <w:r w:rsidRPr="00495D3E">
              <w:rPr>
                <w:b/>
                <w:sz w:val="20"/>
                <w:szCs w:val="20"/>
              </w:rPr>
              <w:t>Dimensions</w:t>
            </w:r>
          </w:p>
        </w:tc>
        <w:tc>
          <w:tcPr>
            <w:tcW w:w="0" w:type="auto"/>
            <w:tcBorders>
              <w:top w:val="single" w:sz="4" w:space="0" w:color="auto"/>
            </w:tcBorders>
          </w:tcPr>
          <w:p w14:paraId="1F10BA14" w14:textId="77777777" w:rsidR="003D25CA" w:rsidRPr="00495D3E" w:rsidRDefault="003D25CA" w:rsidP="00F95399">
            <w:pPr>
              <w:jc w:val="center"/>
              <w:rPr>
                <w:sz w:val="20"/>
                <w:szCs w:val="20"/>
              </w:rPr>
            </w:pPr>
            <w:r w:rsidRPr="00495D3E">
              <w:rPr>
                <w:rFonts w:cs="Calibri"/>
                <w:color w:val="000000"/>
                <w:sz w:val="20"/>
                <w:szCs w:val="20"/>
              </w:rPr>
              <w:t>0.22</w:t>
            </w:r>
          </w:p>
        </w:tc>
        <w:tc>
          <w:tcPr>
            <w:tcW w:w="0" w:type="auto"/>
            <w:gridSpan w:val="2"/>
            <w:tcBorders>
              <w:top w:val="single" w:sz="4" w:space="0" w:color="auto"/>
            </w:tcBorders>
          </w:tcPr>
          <w:p w14:paraId="5FBF5ED1" w14:textId="77777777" w:rsidR="003D25CA" w:rsidRPr="00495D3E" w:rsidRDefault="003D25CA" w:rsidP="00F95399">
            <w:pPr>
              <w:jc w:val="center"/>
              <w:rPr>
                <w:sz w:val="20"/>
                <w:szCs w:val="20"/>
              </w:rPr>
            </w:pPr>
            <w:r w:rsidRPr="00495D3E">
              <w:rPr>
                <w:sz w:val="20"/>
                <w:szCs w:val="20"/>
              </w:rPr>
              <w:t>0.03</w:t>
            </w:r>
          </w:p>
        </w:tc>
        <w:tc>
          <w:tcPr>
            <w:tcW w:w="0" w:type="auto"/>
            <w:tcBorders>
              <w:top w:val="single" w:sz="4" w:space="0" w:color="auto"/>
            </w:tcBorders>
          </w:tcPr>
          <w:p w14:paraId="4BA551B1" w14:textId="77777777" w:rsidR="003D25CA" w:rsidRPr="00495D3E" w:rsidRDefault="003D25CA" w:rsidP="00F95399">
            <w:pPr>
              <w:jc w:val="center"/>
              <w:rPr>
                <w:rFonts w:cs="Calibri"/>
                <w:color w:val="000000"/>
                <w:sz w:val="20"/>
                <w:szCs w:val="20"/>
              </w:rPr>
            </w:pPr>
            <w:r w:rsidRPr="00495D3E">
              <w:rPr>
                <w:rFonts w:cs="Calibri"/>
                <w:color w:val="000000"/>
                <w:sz w:val="20"/>
                <w:szCs w:val="20"/>
              </w:rPr>
              <w:t>0.29</w:t>
            </w:r>
          </w:p>
        </w:tc>
        <w:tc>
          <w:tcPr>
            <w:tcW w:w="0" w:type="auto"/>
            <w:tcBorders>
              <w:top w:val="single" w:sz="4" w:space="0" w:color="auto"/>
            </w:tcBorders>
          </w:tcPr>
          <w:p w14:paraId="203BBE02" w14:textId="77777777" w:rsidR="003D25CA" w:rsidRPr="00495D3E" w:rsidRDefault="003D25CA" w:rsidP="00F95399">
            <w:pPr>
              <w:ind w:left="-127" w:firstLine="127"/>
              <w:jc w:val="center"/>
              <w:rPr>
                <w:sz w:val="20"/>
                <w:szCs w:val="20"/>
              </w:rPr>
            </w:pPr>
            <w:r w:rsidRPr="00495D3E">
              <w:rPr>
                <w:sz w:val="20"/>
                <w:szCs w:val="20"/>
              </w:rPr>
              <w:t>0.05</w:t>
            </w:r>
          </w:p>
        </w:tc>
        <w:tc>
          <w:tcPr>
            <w:tcW w:w="0" w:type="auto"/>
            <w:tcBorders>
              <w:top w:val="single" w:sz="4" w:space="0" w:color="auto"/>
            </w:tcBorders>
          </w:tcPr>
          <w:p w14:paraId="2EF509E0" w14:textId="77777777" w:rsidR="003D25CA" w:rsidRPr="00495D3E" w:rsidRDefault="003D25CA" w:rsidP="00F95399">
            <w:pPr>
              <w:jc w:val="center"/>
              <w:rPr>
                <w:sz w:val="20"/>
                <w:szCs w:val="20"/>
              </w:rPr>
            </w:pPr>
            <w:r w:rsidRPr="00495D3E">
              <w:rPr>
                <w:sz w:val="20"/>
                <w:szCs w:val="20"/>
              </w:rPr>
              <w:t>0.07</w:t>
            </w:r>
          </w:p>
        </w:tc>
        <w:tc>
          <w:tcPr>
            <w:tcW w:w="0" w:type="auto"/>
            <w:tcBorders>
              <w:top w:val="single" w:sz="4" w:space="0" w:color="auto"/>
            </w:tcBorders>
          </w:tcPr>
          <w:p w14:paraId="0988A43B" w14:textId="77777777" w:rsidR="003D25CA" w:rsidRPr="00495D3E" w:rsidRDefault="003D25CA" w:rsidP="00F95399">
            <w:pPr>
              <w:jc w:val="center"/>
              <w:rPr>
                <w:sz w:val="20"/>
                <w:szCs w:val="20"/>
              </w:rPr>
            </w:pPr>
            <w:r w:rsidRPr="00495D3E">
              <w:rPr>
                <w:sz w:val="20"/>
                <w:szCs w:val="20"/>
              </w:rPr>
              <w:t>9%</w:t>
            </w:r>
          </w:p>
        </w:tc>
        <w:tc>
          <w:tcPr>
            <w:tcW w:w="0" w:type="auto"/>
            <w:tcBorders>
              <w:top w:val="single" w:sz="4" w:space="0" w:color="auto"/>
            </w:tcBorders>
          </w:tcPr>
          <w:p w14:paraId="5A111458" w14:textId="77777777" w:rsidR="003D25CA" w:rsidRPr="00495D3E" w:rsidRDefault="003D25CA" w:rsidP="00F95399">
            <w:pPr>
              <w:jc w:val="center"/>
              <w:rPr>
                <w:sz w:val="20"/>
                <w:szCs w:val="20"/>
              </w:rPr>
            </w:pPr>
            <w:r w:rsidRPr="00495D3E">
              <w:rPr>
                <w:sz w:val="20"/>
                <w:szCs w:val="20"/>
              </w:rPr>
              <w:t>0.01</w:t>
            </w:r>
          </w:p>
        </w:tc>
      </w:tr>
      <w:tr w:rsidR="003D25CA" w:rsidRPr="00495D3E" w14:paraId="6015DD47" w14:textId="77777777" w:rsidTr="00F95399">
        <w:tc>
          <w:tcPr>
            <w:tcW w:w="0" w:type="auto"/>
          </w:tcPr>
          <w:p w14:paraId="1126843C" w14:textId="77777777" w:rsidR="003D25CA" w:rsidRPr="00495D3E" w:rsidRDefault="003D25CA" w:rsidP="00F95399">
            <w:pPr>
              <w:rPr>
                <w:b/>
                <w:sz w:val="20"/>
                <w:szCs w:val="20"/>
              </w:rPr>
            </w:pPr>
            <w:r w:rsidRPr="00495D3E">
              <w:rPr>
                <w:b/>
                <w:sz w:val="20"/>
                <w:szCs w:val="20"/>
              </w:rPr>
              <w:t>Economy</w:t>
            </w:r>
          </w:p>
        </w:tc>
        <w:tc>
          <w:tcPr>
            <w:tcW w:w="0" w:type="auto"/>
          </w:tcPr>
          <w:p w14:paraId="0DABB190" w14:textId="77777777" w:rsidR="003D25CA" w:rsidRPr="00495D3E" w:rsidRDefault="003D25CA" w:rsidP="00F95399">
            <w:pPr>
              <w:jc w:val="center"/>
              <w:rPr>
                <w:sz w:val="20"/>
                <w:szCs w:val="20"/>
              </w:rPr>
            </w:pPr>
            <w:r w:rsidRPr="00495D3E">
              <w:rPr>
                <w:sz w:val="20"/>
                <w:szCs w:val="20"/>
              </w:rPr>
              <w:t>0.03</w:t>
            </w:r>
          </w:p>
        </w:tc>
        <w:tc>
          <w:tcPr>
            <w:tcW w:w="0" w:type="auto"/>
            <w:gridSpan w:val="2"/>
          </w:tcPr>
          <w:p w14:paraId="0EC7AAE5" w14:textId="77777777" w:rsidR="003D25CA" w:rsidRPr="00495D3E" w:rsidRDefault="003D25CA" w:rsidP="00F95399">
            <w:pPr>
              <w:jc w:val="center"/>
              <w:rPr>
                <w:sz w:val="20"/>
                <w:szCs w:val="20"/>
              </w:rPr>
            </w:pPr>
            <w:r w:rsidRPr="00495D3E">
              <w:rPr>
                <w:sz w:val="20"/>
                <w:szCs w:val="20"/>
              </w:rPr>
              <w:t>0.01</w:t>
            </w:r>
          </w:p>
        </w:tc>
        <w:tc>
          <w:tcPr>
            <w:tcW w:w="0" w:type="auto"/>
          </w:tcPr>
          <w:p w14:paraId="1CF3D4E8" w14:textId="77777777" w:rsidR="003D25CA" w:rsidRPr="00495D3E" w:rsidRDefault="003D25CA" w:rsidP="00F95399">
            <w:pPr>
              <w:jc w:val="center"/>
              <w:rPr>
                <w:rFonts w:cs="Calibri"/>
                <w:color w:val="000000"/>
                <w:sz w:val="20"/>
                <w:szCs w:val="20"/>
              </w:rPr>
            </w:pPr>
            <w:r w:rsidRPr="00495D3E">
              <w:rPr>
                <w:rFonts w:cs="Calibri"/>
                <w:color w:val="000000"/>
                <w:sz w:val="20"/>
                <w:szCs w:val="20"/>
              </w:rPr>
              <w:t>0.17</w:t>
            </w:r>
          </w:p>
        </w:tc>
        <w:tc>
          <w:tcPr>
            <w:tcW w:w="0" w:type="auto"/>
          </w:tcPr>
          <w:p w14:paraId="513B8738" w14:textId="77777777" w:rsidR="003D25CA" w:rsidRPr="00495D3E" w:rsidRDefault="003D25CA" w:rsidP="00F95399">
            <w:pPr>
              <w:jc w:val="center"/>
              <w:rPr>
                <w:sz w:val="20"/>
                <w:szCs w:val="20"/>
              </w:rPr>
            </w:pPr>
            <w:r w:rsidRPr="00495D3E">
              <w:rPr>
                <w:sz w:val="20"/>
                <w:szCs w:val="20"/>
              </w:rPr>
              <w:t>0.01</w:t>
            </w:r>
          </w:p>
        </w:tc>
        <w:tc>
          <w:tcPr>
            <w:tcW w:w="0" w:type="auto"/>
          </w:tcPr>
          <w:p w14:paraId="73BF5F5C" w14:textId="77777777" w:rsidR="003D25CA" w:rsidRPr="00495D3E" w:rsidRDefault="003D25CA" w:rsidP="00F95399">
            <w:pPr>
              <w:jc w:val="center"/>
              <w:rPr>
                <w:sz w:val="20"/>
                <w:szCs w:val="20"/>
              </w:rPr>
            </w:pPr>
            <w:r w:rsidRPr="00495D3E">
              <w:rPr>
                <w:sz w:val="20"/>
                <w:szCs w:val="20"/>
              </w:rPr>
              <w:t>0.13</w:t>
            </w:r>
          </w:p>
        </w:tc>
        <w:tc>
          <w:tcPr>
            <w:tcW w:w="0" w:type="auto"/>
          </w:tcPr>
          <w:p w14:paraId="0FBA3B78" w14:textId="77777777" w:rsidR="003D25CA" w:rsidRPr="00495D3E" w:rsidRDefault="003D25CA" w:rsidP="00F95399">
            <w:pPr>
              <w:jc w:val="center"/>
              <w:rPr>
                <w:sz w:val="20"/>
                <w:szCs w:val="20"/>
              </w:rPr>
            </w:pPr>
            <w:r w:rsidRPr="00495D3E">
              <w:rPr>
                <w:sz w:val="20"/>
                <w:szCs w:val="20"/>
              </w:rPr>
              <w:t>14%</w:t>
            </w:r>
          </w:p>
        </w:tc>
        <w:tc>
          <w:tcPr>
            <w:tcW w:w="0" w:type="auto"/>
          </w:tcPr>
          <w:p w14:paraId="7688258F" w14:textId="77777777" w:rsidR="003D25CA" w:rsidRPr="00495D3E" w:rsidRDefault="003D25CA" w:rsidP="00F95399">
            <w:pPr>
              <w:jc w:val="center"/>
              <w:rPr>
                <w:sz w:val="20"/>
                <w:szCs w:val="20"/>
              </w:rPr>
            </w:pPr>
            <w:r w:rsidRPr="00495D3E">
              <w:rPr>
                <w:sz w:val="20"/>
                <w:szCs w:val="20"/>
              </w:rPr>
              <w:t>0.047</w:t>
            </w:r>
          </w:p>
        </w:tc>
      </w:tr>
      <w:tr w:rsidR="003D25CA" w:rsidRPr="00495D3E" w14:paraId="45081A5C" w14:textId="77777777" w:rsidTr="00F95399">
        <w:tc>
          <w:tcPr>
            <w:tcW w:w="0" w:type="auto"/>
          </w:tcPr>
          <w:p w14:paraId="41D6D039" w14:textId="77777777" w:rsidR="003D25CA" w:rsidRPr="00495D3E" w:rsidRDefault="003D25CA" w:rsidP="00F95399">
            <w:pPr>
              <w:rPr>
                <w:b/>
                <w:sz w:val="20"/>
                <w:szCs w:val="20"/>
              </w:rPr>
            </w:pPr>
            <w:r w:rsidRPr="00495D3E">
              <w:rPr>
                <w:b/>
                <w:sz w:val="20"/>
                <w:szCs w:val="20"/>
              </w:rPr>
              <w:t>Society</w:t>
            </w:r>
          </w:p>
        </w:tc>
        <w:tc>
          <w:tcPr>
            <w:tcW w:w="0" w:type="auto"/>
          </w:tcPr>
          <w:p w14:paraId="68FEF5F8" w14:textId="77777777" w:rsidR="003D25CA" w:rsidRPr="00495D3E" w:rsidRDefault="003D25CA" w:rsidP="00F95399">
            <w:pPr>
              <w:jc w:val="center"/>
              <w:rPr>
                <w:sz w:val="20"/>
                <w:szCs w:val="20"/>
              </w:rPr>
            </w:pPr>
            <w:r w:rsidRPr="00495D3E">
              <w:rPr>
                <w:sz w:val="20"/>
                <w:szCs w:val="20"/>
              </w:rPr>
              <w:t>0.11</w:t>
            </w:r>
          </w:p>
        </w:tc>
        <w:tc>
          <w:tcPr>
            <w:tcW w:w="0" w:type="auto"/>
            <w:gridSpan w:val="2"/>
          </w:tcPr>
          <w:p w14:paraId="182F0E14" w14:textId="77777777" w:rsidR="003D25CA" w:rsidRPr="00495D3E" w:rsidRDefault="003D25CA" w:rsidP="00F95399">
            <w:pPr>
              <w:jc w:val="center"/>
              <w:rPr>
                <w:sz w:val="20"/>
                <w:szCs w:val="20"/>
              </w:rPr>
            </w:pPr>
            <w:r w:rsidRPr="00495D3E">
              <w:rPr>
                <w:sz w:val="20"/>
                <w:szCs w:val="20"/>
              </w:rPr>
              <w:t>0.04</w:t>
            </w:r>
          </w:p>
        </w:tc>
        <w:tc>
          <w:tcPr>
            <w:tcW w:w="0" w:type="auto"/>
          </w:tcPr>
          <w:p w14:paraId="603BC6B7" w14:textId="77777777" w:rsidR="003D25CA" w:rsidRPr="00495D3E" w:rsidRDefault="003D25CA" w:rsidP="00F95399">
            <w:pPr>
              <w:jc w:val="center"/>
              <w:rPr>
                <w:sz w:val="20"/>
                <w:szCs w:val="20"/>
              </w:rPr>
            </w:pPr>
            <w:r w:rsidRPr="00495D3E">
              <w:rPr>
                <w:sz w:val="20"/>
                <w:szCs w:val="20"/>
              </w:rPr>
              <w:t>0.18</w:t>
            </w:r>
          </w:p>
        </w:tc>
        <w:tc>
          <w:tcPr>
            <w:tcW w:w="0" w:type="auto"/>
          </w:tcPr>
          <w:p w14:paraId="7043562F" w14:textId="77777777" w:rsidR="003D25CA" w:rsidRPr="00495D3E" w:rsidRDefault="003D25CA" w:rsidP="00F95399">
            <w:pPr>
              <w:jc w:val="center"/>
              <w:rPr>
                <w:sz w:val="20"/>
                <w:szCs w:val="20"/>
              </w:rPr>
            </w:pPr>
            <w:r w:rsidRPr="00495D3E">
              <w:rPr>
                <w:sz w:val="20"/>
                <w:szCs w:val="20"/>
              </w:rPr>
              <w:t>0.03</w:t>
            </w:r>
          </w:p>
        </w:tc>
        <w:tc>
          <w:tcPr>
            <w:tcW w:w="0" w:type="auto"/>
          </w:tcPr>
          <w:p w14:paraId="624E4501" w14:textId="77777777" w:rsidR="003D25CA" w:rsidRPr="00495D3E" w:rsidRDefault="003D25CA" w:rsidP="00F95399">
            <w:pPr>
              <w:jc w:val="center"/>
              <w:rPr>
                <w:sz w:val="20"/>
                <w:szCs w:val="20"/>
              </w:rPr>
            </w:pPr>
            <w:r w:rsidRPr="00495D3E">
              <w:rPr>
                <w:sz w:val="20"/>
                <w:szCs w:val="20"/>
              </w:rPr>
              <w:t>0.07</w:t>
            </w:r>
          </w:p>
        </w:tc>
        <w:tc>
          <w:tcPr>
            <w:tcW w:w="0" w:type="auto"/>
          </w:tcPr>
          <w:p w14:paraId="6FBA21FC" w14:textId="77777777" w:rsidR="003D25CA" w:rsidRPr="00495D3E" w:rsidRDefault="003D25CA" w:rsidP="00F95399">
            <w:pPr>
              <w:jc w:val="center"/>
              <w:rPr>
                <w:sz w:val="20"/>
                <w:szCs w:val="20"/>
              </w:rPr>
            </w:pPr>
            <w:r w:rsidRPr="00495D3E">
              <w:rPr>
                <w:sz w:val="20"/>
                <w:szCs w:val="20"/>
              </w:rPr>
              <w:t>8%</w:t>
            </w:r>
          </w:p>
        </w:tc>
        <w:tc>
          <w:tcPr>
            <w:tcW w:w="0" w:type="auto"/>
          </w:tcPr>
          <w:p w14:paraId="52B6AC98" w14:textId="77777777" w:rsidR="003D25CA" w:rsidRPr="00495D3E" w:rsidRDefault="003D25CA" w:rsidP="00F95399">
            <w:pPr>
              <w:jc w:val="center"/>
              <w:rPr>
                <w:sz w:val="20"/>
                <w:szCs w:val="20"/>
              </w:rPr>
            </w:pPr>
            <w:r w:rsidRPr="00495D3E">
              <w:rPr>
                <w:sz w:val="20"/>
                <w:szCs w:val="20"/>
              </w:rPr>
              <w:t>0.01</w:t>
            </w:r>
          </w:p>
        </w:tc>
      </w:tr>
      <w:tr w:rsidR="003D25CA" w:rsidRPr="00495D3E" w14:paraId="0B51ABE4" w14:textId="77777777" w:rsidTr="00F95399">
        <w:tc>
          <w:tcPr>
            <w:tcW w:w="0" w:type="auto"/>
            <w:tcBorders>
              <w:bottom w:val="single" w:sz="4" w:space="0" w:color="auto"/>
            </w:tcBorders>
          </w:tcPr>
          <w:p w14:paraId="62E81EC6" w14:textId="77777777" w:rsidR="003D25CA" w:rsidRPr="00495D3E" w:rsidRDefault="003D25CA" w:rsidP="00F95399">
            <w:pPr>
              <w:rPr>
                <w:b/>
                <w:sz w:val="20"/>
                <w:szCs w:val="20"/>
              </w:rPr>
            </w:pPr>
            <w:r w:rsidRPr="00495D3E">
              <w:rPr>
                <w:b/>
                <w:sz w:val="20"/>
                <w:szCs w:val="20"/>
              </w:rPr>
              <w:t>Environment</w:t>
            </w:r>
          </w:p>
        </w:tc>
        <w:tc>
          <w:tcPr>
            <w:tcW w:w="0" w:type="auto"/>
            <w:tcBorders>
              <w:bottom w:val="single" w:sz="4" w:space="0" w:color="auto"/>
            </w:tcBorders>
          </w:tcPr>
          <w:p w14:paraId="7DF18C95" w14:textId="77777777" w:rsidR="003D25CA" w:rsidRPr="00495D3E" w:rsidRDefault="003D25CA" w:rsidP="00F95399">
            <w:pPr>
              <w:jc w:val="center"/>
              <w:rPr>
                <w:sz w:val="20"/>
                <w:szCs w:val="20"/>
              </w:rPr>
            </w:pPr>
            <w:r w:rsidRPr="00495D3E">
              <w:rPr>
                <w:sz w:val="20"/>
                <w:szCs w:val="20"/>
              </w:rPr>
              <w:t>0.23</w:t>
            </w:r>
          </w:p>
        </w:tc>
        <w:tc>
          <w:tcPr>
            <w:tcW w:w="0" w:type="auto"/>
            <w:gridSpan w:val="2"/>
            <w:tcBorders>
              <w:bottom w:val="single" w:sz="4" w:space="0" w:color="auto"/>
            </w:tcBorders>
          </w:tcPr>
          <w:p w14:paraId="36AB3D98" w14:textId="77777777" w:rsidR="003D25CA" w:rsidRPr="00495D3E" w:rsidRDefault="003D25CA" w:rsidP="00F95399">
            <w:pPr>
              <w:jc w:val="center"/>
              <w:rPr>
                <w:sz w:val="20"/>
                <w:szCs w:val="20"/>
              </w:rPr>
            </w:pPr>
            <w:r w:rsidRPr="00495D3E">
              <w:rPr>
                <w:sz w:val="20"/>
                <w:szCs w:val="20"/>
              </w:rPr>
              <w:t>0.01</w:t>
            </w:r>
          </w:p>
        </w:tc>
        <w:tc>
          <w:tcPr>
            <w:tcW w:w="0" w:type="auto"/>
            <w:tcBorders>
              <w:bottom w:val="single" w:sz="4" w:space="0" w:color="auto"/>
            </w:tcBorders>
          </w:tcPr>
          <w:p w14:paraId="6266C7A9" w14:textId="77777777" w:rsidR="003D25CA" w:rsidRPr="00495D3E" w:rsidRDefault="003D25CA" w:rsidP="00F95399">
            <w:pPr>
              <w:jc w:val="center"/>
              <w:rPr>
                <w:sz w:val="20"/>
                <w:szCs w:val="20"/>
              </w:rPr>
            </w:pPr>
            <w:r w:rsidRPr="00495D3E">
              <w:rPr>
                <w:sz w:val="20"/>
                <w:szCs w:val="20"/>
              </w:rPr>
              <w:t>0.35</w:t>
            </w:r>
          </w:p>
        </w:tc>
        <w:tc>
          <w:tcPr>
            <w:tcW w:w="0" w:type="auto"/>
            <w:tcBorders>
              <w:bottom w:val="single" w:sz="4" w:space="0" w:color="auto"/>
            </w:tcBorders>
          </w:tcPr>
          <w:p w14:paraId="1C067743" w14:textId="77777777" w:rsidR="003D25CA" w:rsidRPr="00495D3E" w:rsidRDefault="003D25CA" w:rsidP="00F95399">
            <w:pPr>
              <w:jc w:val="center"/>
              <w:rPr>
                <w:sz w:val="20"/>
                <w:szCs w:val="20"/>
              </w:rPr>
            </w:pPr>
            <w:r w:rsidRPr="00495D3E">
              <w:rPr>
                <w:sz w:val="20"/>
                <w:szCs w:val="20"/>
              </w:rPr>
              <w:t>0.003</w:t>
            </w:r>
          </w:p>
        </w:tc>
        <w:tc>
          <w:tcPr>
            <w:tcW w:w="0" w:type="auto"/>
            <w:tcBorders>
              <w:bottom w:val="single" w:sz="4" w:space="0" w:color="auto"/>
            </w:tcBorders>
          </w:tcPr>
          <w:p w14:paraId="3F1A0926" w14:textId="77777777" w:rsidR="003D25CA" w:rsidRPr="00495D3E" w:rsidRDefault="003D25CA" w:rsidP="00F95399">
            <w:pPr>
              <w:jc w:val="center"/>
              <w:rPr>
                <w:sz w:val="20"/>
                <w:szCs w:val="20"/>
              </w:rPr>
            </w:pPr>
            <w:r w:rsidRPr="00495D3E">
              <w:rPr>
                <w:sz w:val="20"/>
                <w:szCs w:val="20"/>
              </w:rPr>
              <w:t>0.12</w:t>
            </w:r>
          </w:p>
        </w:tc>
        <w:tc>
          <w:tcPr>
            <w:tcW w:w="0" w:type="auto"/>
            <w:tcBorders>
              <w:bottom w:val="single" w:sz="4" w:space="0" w:color="auto"/>
            </w:tcBorders>
          </w:tcPr>
          <w:p w14:paraId="64DDDF67" w14:textId="77777777" w:rsidR="003D25CA" w:rsidRPr="00495D3E" w:rsidRDefault="003D25CA" w:rsidP="00F95399">
            <w:pPr>
              <w:jc w:val="center"/>
              <w:rPr>
                <w:sz w:val="20"/>
                <w:szCs w:val="20"/>
              </w:rPr>
            </w:pPr>
            <w:r w:rsidRPr="00495D3E">
              <w:rPr>
                <w:sz w:val="20"/>
                <w:szCs w:val="20"/>
              </w:rPr>
              <w:t>15%</w:t>
            </w:r>
          </w:p>
        </w:tc>
        <w:tc>
          <w:tcPr>
            <w:tcW w:w="0" w:type="auto"/>
            <w:tcBorders>
              <w:bottom w:val="single" w:sz="4" w:space="0" w:color="auto"/>
            </w:tcBorders>
          </w:tcPr>
          <w:p w14:paraId="2ED06223" w14:textId="77777777" w:rsidR="003D25CA" w:rsidRPr="00495D3E" w:rsidRDefault="003D25CA" w:rsidP="00F95399">
            <w:pPr>
              <w:jc w:val="center"/>
              <w:rPr>
                <w:sz w:val="20"/>
                <w:szCs w:val="20"/>
              </w:rPr>
            </w:pPr>
            <w:r w:rsidRPr="00495D3E">
              <w:rPr>
                <w:sz w:val="20"/>
                <w:szCs w:val="20"/>
              </w:rPr>
              <w:t>0.02</w:t>
            </w:r>
          </w:p>
        </w:tc>
      </w:tr>
    </w:tbl>
    <w:p w14:paraId="573BEEC4" w14:textId="77777777" w:rsidR="003D25CA" w:rsidRDefault="003D25CA" w:rsidP="003D25CA"/>
    <w:p w14:paraId="3143C419" w14:textId="77777777" w:rsidR="003D25CA" w:rsidRDefault="003D25CA" w:rsidP="003D25CA">
      <w:pPr>
        <w:pStyle w:val="Heading2"/>
        <w:numPr>
          <w:ilvl w:val="0"/>
          <w:numId w:val="0"/>
        </w:numPr>
        <w:rPr>
          <w:rFonts w:ascii="Calibri" w:eastAsia="Calibri" w:hAnsi="Calibri" w:cs="Calibri"/>
          <w:color w:val="00B0F0"/>
        </w:rPr>
      </w:pPr>
      <w:r>
        <w:t>Description of the LCA assumptions and the LCI</w:t>
      </w:r>
      <w:r w:rsidRPr="5E6EDCA1">
        <w:rPr>
          <w:rFonts w:ascii="Calibri" w:eastAsia="Calibri" w:hAnsi="Calibri" w:cs="Calibri"/>
          <w:color w:val="00B0F0"/>
        </w:rPr>
        <w:t xml:space="preserve"> </w:t>
      </w:r>
    </w:p>
    <w:p w14:paraId="0FC6C655" w14:textId="77777777" w:rsidR="003D25CA" w:rsidRPr="00593D82" w:rsidRDefault="003D25CA" w:rsidP="003D25CA">
      <w:pPr>
        <w:rPr>
          <w:rFonts w:ascii="Calibri" w:eastAsia="Calibri" w:hAnsi="Calibri" w:cs="Calibri"/>
        </w:rPr>
      </w:pPr>
      <w:r w:rsidRPr="00593D82">
        <w:rPr>
          <w:rFonts w:ascii="Calibri" w:eastAsia="Calibri" w:hAnsi="Calibri" w:cs="Calibri"/>
        </w:rPr>
        <w:t xml:space="preserve">The assumption made for the LCA, the material inputs, and the life cycle inventory (LCI) are described in Table 14.  Numbers with a negative (-) sign indicate that environmental gains were made through material substitution or recycling. </w:t>
      </w:r>
    </w:p>
    <w:p w14:paraId="57B356C9" w14:textId="77777777" w:rsidR="003D25CA" w:rsidRPr="00593D82" w:rsidRDefault="003D25CA" w:rsidP="003D25CA">
      <w:pPr>
        <w:pStyle w:val="Caption"/>
        <w:keepNext/>
        <w:spacing w:after="0"/>
        <w:rPr>
          <w:color w:val="auto"/>
        </w:rPr>
      </w:pPr>
      <w:r w:rsidRPr="00593D82">
        <w:rPr>
          <w:color w:val="auto"/>
        </w:rPr>
        <w:t xml:space="preserve">Table </w:t>
      </w:r>
      <w:r w:rsidR="001A1B21" w:rsidRPr="001A1B21">
        <w:rPr>
          <w:color w:val="auto"/>
        </w:rPr>
        <w:t>14</w:t>
      </w:r>
      <w:r w:rsidRPr="00593D82">
        <w:rPr>
          <w:color w:val="auto"/>
        </w:rPr>
        <w:t>: Life Cycle Inventory for LCA data of five scenarios</w:t>
      </w:r>
    </w:p>
    <w:tbl>
      <w:tblPr>
        <w:tblStyle w:val="TableGrid"/>
        <w:tblW w:w="0" w:type="auto"/>
        <w:tblLayout w:type="fixed"/>
        <w:tblLook w:val="04A0" w:firstRow="1" w:lastRow="0" w:firstColumn="1" w:lastColumn="0" w:noHBand="0" w:noVBand="1"/>
      </w:tblPr>
      <w:tblGrid>
        <w:gridCol w:w="1324"/>
        <w:gridCol w:w="7721"/>
      </w:tblGrid>
      <w:tr w:rsidR="00593D82" w:rsidRPr="00593D82" w14:paraId="6A4A86E5" w14:textId="77777777" w:rsidTr="00F95399">
        <w:tc>
          <w:tcPr>
            <w:tcW w:w="1324" w:type="dxa"/>
            <w:tcBorders>
              <w:top w:val="single" w:sz="8" w:space="0" w:color="auto"/>
              <w:left w:val="single" w:sz="8" w:space="0" w:color="auto"/>
              <w:bottom w:val="single" w:sz="8" w:space="0" w:color="auto"/>
              <w:right w:val="single" w:sz="8" w:space="0" w:color="auto"/>
            </w:tcBorders>
          </w:tcPr>
          <w:p w14:paraId="161547CC" w14:textId="77777777" w:rsidR="003D25CA" w:rsidRPr="00593D82" w:rsidRDefault="003D25CA" w:rsidP="00F95399">
            <w:r w:rsidRPr="00593D82">
              <w:rPr>
                <w:rFonts w:ascii="Calibri" w:eastAsia="Calibri" w:hAnsi="Calibri" w:cs="Calibri"/>
              </w:rPr>
              <w:t>Scenario</w:t>
            </w:r>
          </w:p>
        </w:tc>
        <w:tc>
          <w:tcPr>
            <w:tcW w:w="7721" w:type="dxa"/>
            <w:tcBorders>
              <w:top w:val="single" w:sz="8" w:space="0" w:color="auto"/>
              <w:left w:val="single" w:sz="8" w:space="0" w:color="auto"/>
              <w:bottom w:val="single" w:sz="8" w:space="0" w:color="auto"/>
              <w:right w:val="single" w:sz="8" w:space="0" w:color="auto"/>
            </w:tcBorders>
          </w:tcPr>
          <w:p w14:paraId="49700A5E" w14:textId="77777777" w:rsidR="003D25CA" w:rsidRPr="00593D82" w:rsidRDefault="003D25CA" w:rsidP="00F95399">
            <w:pPr>
              <w:rPr>
                <w:rFonts w:ascii="Calibri" w:eastAsia="Calibri" w:hAnsi="Calibri" w:cs="Calibri"/>
              </w:rPr>
            </w:pPr>
            <w:r w:rsidRPr="00593D82">
              <w:rPr>
                <w:rFonts w:ascii="Calibri" w:eastAsia="Calibri" w:hAnsi="Calibri" w:cs="Calibri"/>
              </w:rPr>
              <w:t>Inputs and Life Cycle Inventories</w:t>
            </w:r>
          </w:p>
        </w:tc>
      </w:tr>
      <w:tr w:rsidR="00593D82" w:rsidRPr="00593D82" w14:paraId="73185F88" w14:textId="77777777" w:rsidTr="00F95399">
        <w:tc>
          <w:tcPr>
            <w:tcW w:w="1324" w:type="dxa"/>
            <w:tcBorders>
              <w:top w:val="single" w:sz="8" w:space="0" w:color="auto"/>
              <w:left w:val="single" w:sz="8" w:space="0" w:color="auto"/>
              <w:bottom w:val="single" w:sz="8" w:space="0" w:color="auto"/>
              <w:right w:val="single" w:sz="8" w:space="0" w:color="auto"/>
            </w:tcBorders>
          </w:tcPr>
          <w:p w14:paraId="4825FBB9" w14:textId="77777777" w:rsidR="003D25CA" w:rsidRPr="00593D82" w:rsidRDefault="003D25CA" w:rsidP="00F95399">
            <w:r w:rsidRPr="00593D82">
              <w:rPr>
                <w:rFonts w:ascii="Calibri" w:eastAsia="Calibri" w:hAnsi="Calibri" w:cs="Calibri"/>
              </w:rPr>
              <w:t>Landfill</w:t>
            </w:r>
          </w:p>
        </w:tc>
        <w:tc>
          <w:tcPr>
            <w:tcW w:w="7721" w:type="dxa"/>
            <w:tcBorders>
              <w:top w:val="single" w:sz="8" w:space="0" w:color="auto"/>
              <w:left w:val="single" w:sz="8" w:space="0" w:color="auto"/>
              <w:bottom w:val="single" w:sz="8" w:space="0" w:color="auto"/>
              <w:right w:val="single" w:sz="8" w:space="0" w:color="auto"/>
            </w:tcBorders>
          </w:tcPr>
          <w:p w14:paraId="7436BDB3" w14:textId="77777777" w:rsidR="003D25CA" w:rsidRPr="00593D82" w:rsidRDefault="003D25CA" w:rsidP="00F95399">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Inert Waste, Europe without Switzerland</w:t>
            </w:r>
          </w:p>
        </w:tc>
      </w:tr>
      <w:tr w:rsidR="00593D82" w:rsidRPr="00593D82" w14:paraId="03AA82BE" w14:textId="77777777" w:rsidTr="00F95399">
        <w:tc>
          <w:tcPr>
            <w:tcW w:w="1324" w:type="dxa"/>
            <w:tcBorders>
              <w:top w:val="single" w:sz="8" w:space="0" w:color="auto"/>
              <w:left w:val="single" w:sz="8" w:space="0" w:color="auto"/>
              <w:bottom w:val="single" w:sz="8" w:space="0" w:color="auto"/>
              <w:right w:val="single" w:sz="8" w:space="0" w:color="auto"/>
            </w:tcBorders>
          </w:tcPr>
          <w:p w14:paraId="0915C6A4" w14:textId="77777777" w:rsidR="003D25CA" w:rsidRPr="00593D82" w:rsidRDefault="003D25CA" w:rsidP="00F95399">
            <w:r w:rsidRPr="00593D82">
              <w:rPr>
                <w:rFonts w:ascii="Calibri" w:eastAsia="Calibri" w:hAnsi="Calibri" w:cs="Calibri"/>
              </w:rPr>
              <w:t>Incineration</w:t>
            </w:r>
          </w:p>
        </w:tc>
        <w:tc>
          <w:tcPr>
            <w:tcW w:w="7721" w:type="dxa"/>
            <w:tcBorders>
              <w:top w:val="single" w:sz="8" w:space="0" w:color="auto"/>
              <w:left w:val="single" w:sz="8" w:space="0" w:color="auto"/>
              <w:bottom w:val="single" w:sz="8" w:space="0" w:color="auto"/>
              <w:right w:val="single" w:sz="8" w:space="0" w:color="auto"/>
            </w:tcBorders>
          </w:tcPr>
          <w:p w14:paraId="23723A27" w14:textId="77777777" w:rsidR="003D25CA" w:rsidRPr="00593D82" w:rsidRDefault="003D25CA" w:rsidP="00F95399">
            <w:r w:rsidRPr="00593D82">
              <w:rPr>
                <w:rFonts w:ascii="Calibri" w:eastAsia="Calibri" w:hAnsi="Calibri" w:cs="Calibri"/>
              </w:rPr>
              <w:t>-4.16 GJ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Electricity, high voltage, Ireland) (Liu, Meng and Barlow, 2019) </w:t>
            </w:r>
          </w:p>
          <w:p w14:paraId="702DA2F6" w14:textId="77777777" w:rsidR="003D25CA" w:rsidRPr="00593D82" w:rsidRDefault="003D25CA" w:rsidP="00F95399">
            <w:r w:rsidRPr="00593D82">
              <w:rPr>
                <w:rFonts w:ascii="Calibri" w:eastAsia="Calibri" w:hAnsi="Calibri" w:cs="Calibri"/>
              </w:rPr>
              <w:t>559 kg inert waste goes to landfill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Inert Waste, Europe without Switzerland)</w:t>
            </w:r>
          </w:p>
          <w:p w14:paraId="21D1AB6F" w14:textId="77777777" w:rsidR="003D25CA" w:rsidRPr="00593D82" w:rsidRDefault="003D25CA" w:rsidP="00F95399">
            <w:r w:rsidRPr="00593D82">
              <w:rPr>
                <w:rFonts w:ascii="Calibri" w:eastAsia="Calibri" w:hAnsi="Calibri" w:cs="Calibri"/>
              </w:rPr>
              <w:t>171 MJ of electricity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Electricity, high voltage, Ireland) is used to shred the blade waste</w:t>
            </w:r>
          </w:p>
        </w:tc>
      </w:tr>
      <w:tr w:rsidR="00593D82" w:rsidRPr="00593D82" w14:paraId="7DF39CFE" w14:textId="77777777" w:rsidTr="00F95399">
        <w:tc>
          <w:tcPr>
            <w:tcW w:w="1324" w:type="dxa"/>
            <w:tcBorders>
              <w:top w:val="single" w:sz="8" w:space="0" w:color="auto"/>
              <w:left w:val="single" w:sz="8" w:space="0" w:color="auto"/>
              <w:bottom w:val="single" w:sz="8" w:space="0" w:color="auto"/>
              <w:right w:val="single" w:sz="8" w:space="0" w:color="auto"/>
            </w:tcBorders>
          </w:tcPr>
          <w:p w14:paraId="3F665617" w14:textId="77777777" w:rsidR="003D25CA" w:rsidRPr="00593D82" w:rsidRDefault="003D25CA" w:rsidP="00F95399">
            <w:r w:rsidRPr="00593D82">
              <w:rPr>
                <w:rFonts w:ascii="Calibri" w:eastAsia="Calibri" w:hAnsi="Calibri" w:cs="Calibri"/>
              </w:rPr>
              <w:t>Co-Processing</w:t>
            </w:r>
          </w:p>
        </w:tc>
        <w:tc>
          <w:tcPr>
            <w:tcW w:w="7721" w:type="dxa"/>
            <w:tcBorders>
              <w:top w:val="single" w:sz="8" w:space="0" w:color="auto"/>
              <w:left w:val="single" w:sz="8" w:space="0" w:color="auto"/>
              <w:bottom w:val="single" w:sz="8" w:space="0" w:color="auto"/>
              <w:right w:val="single" w:sz="8" w:space="0" w:color="auto"/>
            </w:tcBorders>
          </w:tcPr>
          <w:p w14:paraId="54018A7E" w14:textId="77777777" w:rsidR="003D25CA" w:rsidRPr="00593D82" w:rsidRDefault="003D25CA" w:rsidP="00F95399">
            <w:r w:rsidRPr="00593D82">
              <w:rPr>
                <w:rFonts w:ascii="Calibri" w:eastAsia="Calibri" w:hAnsi="Calibri" w:cs="Calibri"/>
              </w:rPr>
              <w:t>-271 kg silica sand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Silica Sand, Germany, production), -27 kg Aluminium Oxide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Aluminium oxide, metallurgical, Europe) </w:t>
            </w:r>
          </w:p>
          <w:p w14:paraId="5A2AF151" w14:textId="77777777" w:rsidR="003D25CA" w:rsidRPr="00593D82" w:rsidRDefault="003D25CA" w:rsidP="00F95399">
            <w:r w:rsidRPr="00593D82">
              <w:rPr>
                <w:rFonts w:ascii="Calibri" w:eastAsia="Calibri" w:hAnsi="Calibri" w:cs="Calibri"/>
              </w:rPr>
              <w:t>-291 kg bituminous coal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Bituminous coal, in industrial boiler, US).  </w:t>
            </w:r>
          </w:p>
          <w:p w14:paraId="3C789FB2" w14:textId="77777777" w:rsidR="003D25CA" w:rsidRPr="00593D82" w:rsidRDefault="003D25CA" w:rsidP="00F95399">
            <w:r w:rsidRPr="00593D82">
              <w:rPr>
                <w:rFonts w:ascii="Calibri" w:eastAsia="Calibri" w:hAnsi="Calibri" w:cs="Calibri"/>
              </w:rPr>
              <w:t>-48 kg steel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Steel and Iron, waste treatment, Global) was recycled</w:t>
            </w:r>
          </w:p>
          <w:p w14:paraId="7A933F62" w14:textId="77777777" w:rsidR="003D25CA" w:rsidRPr="00593D82" w:rsidRDefault="003D25CA" w:rsidP="00F95399">
            <w:r w:rsidRPr="00593D82">
              <w:rPr>
                <w:rFonts w:ascii="Calibri" w:eastAsia="Calibri" w:hAnsi="Calibri" w:cs="Calibri"/>
              </w:rPr>
              <w:t>171 MJ of Irish energy was used to shred the blade material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Electricity, high voltage, Ireland)</w:t>
            </w:r>
          </w:p>
        </w:tc>
      </w:tr>
      <w:tr w:rsidR="00593D82" w:rsidRPr="00593D82" w14:paraId="7EF9CD96" w14:textId="77777777" w:rsidTr="00F95399">
        <w:tc>
          <w:tcPr>
            <w:tcW w:w="1324" w:type="dxa"/>
            <w:tcBorders>
              <w:top w:val="single" w:sz="8" w:space="0" w:color="auto"/>
              <w:left w:val="single" w:sz="8" w:space="0" w:color="auto"/>
              <w:bottom w:val="single" w:sz="8" w:space="0" w:color="auto"/>
              <w:right w:val="single" w:sz="8" w:space="0" w:color="auto"/>
            </w:tcBorders>
          </w:tcPr>
          <w:p w14:paraId="05DAA900" w14:textId="77777777" w:rsidR="003D25CA" w:rsidRPr="00593D82" w:rsidRDefault="003D25CA" w:rsidP="00F95399">
            <w:r w:rsidRPr="00593D82">
              <w:rPr>
                <w:rFonts w:ascii="Calibri" w:eastAsia="Calibri" w:hAnsi="Calibri" w:cs="Calibri"/>
              </w:rPr>
              <w:t>Furniture</w:t>
            </w:r>
          </w:p>
        </w:tc>
        <w:tc>
          <w:tcPr>
            <w:tcW w:w="7721" w:type="dxa"/>
            <w:tcBorders>
              <w:top w:val="single" w:sz="8" w:space="0" w:color="auto"/>
              <w:left w:val="single" w:sz="8" w:space="0" w:color="auto"/>
              <w:bottom w:val="single" w:sz="8" w:space="0" w:color="auto"/>
              <w:right w:val="single" w:sz="8" w:space="0" w:color="auto"/>
            </w:tcBorders>
          </w:tcPr>
          <w:p w14:paraId="309207B1" w14:textId="77777777" w:rsidR="003D25CA" w:rsidRPr="00593D82" w:rsidRDefault="003D25CA" w:rsidP="00F95399">
            <w:r w:rsidRPr="00593D82">
              <w:rPr>
                <w:rFonts w:ascii="Calibri" w:eastAsia="Calibri" w:hAnsi="Calibri" w:cs="Calibri"/>
              </w:rPr>
              <w:t xml:space="preserve">Half of the blade waste was assumed to be converted into outdoor garden furniture, and half as indoor furniture.  The outdoor furniture use would </w:t>
            </w:r>
            <w:proofErr w:type="spellStart"/>
            <w:r w:rsidRPr="00593D82">
              <w:rPr>
                <w:rFonts w:ascii="Calibri" w:eastAsia="Calibri" w:hAnsi="Calibri" w:cs="Calibri"/>
              </w:rPr>
              <w:t>substite</w:t>
            </w:r>
            <w:proofErr w:type="spellEnd"/>
            <w:r w:rsidRPr="00593D82">
              <w:rPr>
                <w:rFonts w:ascii="Calibri" w:eastAsia="Calibri" w:hAnsi="Calibri" w:cs="Calibri"/>
              </w:rPr>
              <w:t xml:space="preserve"> an amount of Eucalyptus based on a common material utilized in IKEA outdoor tables, and the indoor furniture would substitute an amount of fibreboard based on a common material used in indoor IKEA furniture.  </w:t>
            </w:r>
          </w:p>
          <w:p w14:paraId="6D3DEEF5" w14:textId="77777777" w:rsidR="003D25CA" w:rsidRPr="00593D82" w:rsidRDefault="003D25CA" w:rsidP="00F95399">
            <w:r w:rsidRPr="00593D82">
              <w:rPr>
                <w:rFonts w:ascii="Calibri" w:eastAsia="Calibri" w:hAnsi="Calibri" w:cs="Calibri"/>
              </w:rPr>
              <w:t>-0.925 m</w:t>
            </w:r>
            <w:r w:rsidRPr="00593D82">
              <w:rPr>
                <w:rFonts w:ascii="Calibri" w:eastAsia="Calibri" w:hAnsi="Calibri" w:cs="Calibri"/>
                <w:sz w:val="17"/>
                <w:szCs w:val="17"/>
                <w:vertAlign w:val="superscript"/>
              </w:rPr>
              <w:t>3</w:t>
            </w:r>
            <w:r w:rsidRPr="00593D82">
              <w:rPr>
                <w:rFonts w:ascii="Calibri" w:eastAsia="Calibri" w:hAnsi="Calibri" w:cs="Calibri"/>
              </w:rPr>
              <w:t xml:space="preserve"> of Eucalyptus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w:t>
            </w:r>
            <w:proofErr w:type="spellStart"/>
            <w:r w:rsidRPr="00593D82">
              <w:rPr>
                <w:rFonts w:ascii="Calibri" w:eastAsia="Calibri" w:hAnsi="Calibri" w:cs="Calibri"/>
              </w:rPr>
              <w:t>Roundwood</w:t>
            </w:r>
            <w:proofErr w:type="spellEnd"/>
            <w:r w:rsidRPr="00593D82">
              <w:rPr>
                <w:rFonts w:ascii="Calibri" w:eastAsia="Calibri" w:hAnsi="Calibri" w:cs="Calibri"/>
              </w:rPr>
              <w:t>, eucalyptus from sustainable forest management, under bark, Global Production)</w:t>
            </w:r>
          </w:p>
          <w:p w14:paraId="7C052F27" w14:textId="77777777" w:rsidR="003D25CA" w:rsidRPr="00593D82" w:rsidRDefault="003D25CA" w:rsidP="00F95399">
            <w:r w:rsidRPr="00593D82">
              <w:rPr>
                <w:rFonts w:ascii="Calibri" w:eastAsia="Calibri" w:hAnsi="Calibri" w:cs="Calibri"/>
              </w:rPr>
              <w:t>-0.925 m</w:t>
            </w:r>
            <w:r w:rsidRPr="00593D82">
              <w:rPr>
                <w:rFonts w:ascii="Calibri" w:eastAsia="Calibri" w:hAnsi="Calibri" w:cs="Calibri"/>
                <w:sz w:val="17"/>
                <w:szCs w:val="17"/>
                <w:vertAlign w:val="superscript"/>
              </w:rPr>
              <w:t>3</w:t>
            </w:r>
            <w:r w:rsidRPr="00593D82">
              <w:rPr>
                <w:rFonts w:ascii="Calibri" w:eastAsia="Calibri" w:hAnsi="Calibri" w:cs="Calibri"/>
              </w:rPr>
              <w:t xml:space="preserve"> of fibreboard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medium density fibre board production, uncoated).  </w:t>
            </w:r>
          </w:p>
          <w:p w14:paraId="6DEED8A3" w14:textId="77777777" w:rsidR="003D25CA" w:rsidRPr="00593D82" w:rsidRDefault="003D25CA" w:rsidP="00F95399">
            <w:r w:rsidRPr="00593D82">
              <w:rPr>
                <w:rFonts w:ascii="Calibri" w:eastAsia="Calibri" w:hAnsi="Calibri" w:cs="Calibri"/>
              </w:rPr>
              <w:t>End of life disposal of furniture into landfill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Inert Waste, Europe without Switzerland)</w:t>
            </w:r>
          </w:p>
        </w:tc>
      </w:tr>
      <w:tr w:rsidR="00593D82" w:rsidRPr="00593D82" w14:paraId="7C7BA8CC" w14:textId="77777777" w:rsidTr="00F95399">
        <w:tc>
          <w:tcPr>
            <w:tcW w:w="1324" w:type="dxa"/>
            <w:tcBorders>
              <w:top w:val="single" w:sz="8" w:space="0" w:color="auto"/>
              <w:left w:val="single" w:sz="8" w:space="0" w:color="auto"/>
              <w:bottom w:val="single" w:sz="8" w:space="0" w:color="auto"/>
              <w:right w:val="single" w:sz="8" w:space="0" w:color="auto"/>
            </w:tcBorders>
          </w:tcPr>
          <w:p w14:paraId="5050F4BE" w14:textId="77777777" w:rsidR="003D25CA" w:rsidRPr="00593D82" w:rsidRDefault="003D25CA" w:rsidP="00F95399">
            <w:r w:rsidRPr="00593D82">
              <w:rPr>
                <w:rFonts w:ascii="Calibri" w:eastAsia="Calibri" w:hAnsi="Calibri" w:cs="Calibri"/>
              </w:rPr>
              <w:t>Bridge</w:t>
            </w:r>
          </w:p>
        </w:tc>
        <w:tc>
          <w:tcPr>
            <w:tcW w:w="7721" w:type="dxa"/>
            <w:tcBorders>
              <w:top w:val="single" w:sz="8" w:space="0" w:color="auto"/>
              <w:left w:val="single" w:sz="8" w:space="0" w:color="auto"/>
              <w:bottom w:val="single" w:sz="8" w:space="0" w:color="auto"/>
              <w:right w:val="single" w:sz="8" w:space="0" w:color="auto"/>
            </w:tcBorders>
          </w:tcPr>
          <w:p w14:paraId="4CCA039A" w14:textId="77777777" w:rsidR="003D25CA" w:rsidRPr="00593D82" w:rsidRDefault="003D25CA" w:rsidP="00F95399">
            <w:r w:rsidRPr="00593D82">
              <w:rPr>
                <w:rFonts w:ascii="Calibri" w:eastAsia="Calibri" w:hAnsi="Calibri" w:cs="Calibri"/>
              </w:rPr>
              <w:t>One tonne of blade waste was assumed to replace the steel girders, including transport, for a short span pedestrian bridge</w:t>
            </w:r>
          </w:p>
          <w:p w14:paraId="7CF8F7F8" w14:textId="77777777" w:rsidR="003D25CA" w:rsidRPr="00593D82" w:rsidRDefault="003D25CA" w:rsidP="00F95399">
            <w:r w:rsidRPr="00593D82">
              <w:rPr>
                <w:rFonts w:ascii="Calibri" w:eastAsia="Calibri" w:hAnsi="Calibri" w:cs="Calibri"/>
              </w:rPr>
              <w:t>-430 kg of steel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hot dip galvanized, including recycling, blast furnace route, production mix, Global Production)</w:t>
            </w:r>
          </w:p>
          <w:p w14:paraId="764DDACE" w14:textId="77777777" w:rsidR="003D25CA" w:rsidRPr="00593D82" w:rsidRDefault="003D25CA" w:rsidP="00F95399">
            <w:r w:rsidRPr="00593D82">
              <w:rPr>
                <w:rFonts w:ascii="Calibri" w:eastAsia="Calibri" w:hAnsi="Calibri" w:cs="Calibri"/>
              </w:rPr>
              <w:t>-173 ton</w:t>
            </w:r>
            <w:r w:rsidR="00FA3A0C">
              <w:rPr>
                <w:rFonts w:ascii="Calibri" w:eastAsia="Calibri" w:hAnsi="Calibri" w:cs="Calibri"/>
              </w:rPr>
              <w:t>ne</w:t>
            </w:r>
            <w:r w:rsidRPr="00593D82">
              <w:rPr>
                <w:rFonts w:ascii="Calibri" w:eastAsia="Calibri" w:hAnsi="Calibri" w:cs="Calibri"/>
              </w:rPr>
              <w:t>-</w:t>
            </w:r>
            <w:r w:rsidR="00FA3A0C">
              <w:rPr>
                <w:rFonts w:ascii="Calibri" w:eastAsia="Calibri" w:hAnsi="Calibri" w:cs="Calibri"/>
              </w:rPr>
              <w:t>k</w:t>
            </w:r>
            <w:r w:rsidRPr="00593D82">
              <w:rPr>
                <w:rFonts w:ascii="Calibri" w:eastAsia="Calibri" w:hAnsi="Calibri" w:cs="Calibri"/>
              </w:rPr>
              <w:t>m of transport (</w:t>
            </w:r>
            <w:proofErr w:type="spellStart"/>
            <w:r w:rsidRPr="00593D82">
              <w:rPr>
                <w:rFonts w:ascii="Calibri" w:eastAsia="Calibri" w:hAnsi="Calibri" w:cs="Calibri"/>
              </w:rPr>
              <w:t>EcoInvent</w:t>
            </w:r>
            <w:proofErr w:type="spellEnd"/>
            <w:r w:rsidRPr="00593D82">
              <w:rPr>
                <w:rFonts w:ascii="Calibri" w:eastAsia="Calibri" w:hAnsi="Calibri" w:cs="Calibri"/>
              </w:rPr>
              <w:t xml:space="preserve"> 3.6 LCI: Container ship ocean, technology mix, 27.5 dry weight tonne pay load capacity, European Region).  </w:t>
            </w:r>
          </w:p>
          <w:p w14:paraId="23CFF877" w14:textId="77777777" w:rsidR="003D25CA" w:rsidRPr="00593D82" w:rsidRDefault="003D25CA" w:rsidP="00F95399">
            <w:pPr>
              <w:rPr>
                <w:rFonts w:ascii="Calibri" w:eastAsia="Calibri" w:hAnsi="Calibri" w:cs="Calibri"/>
              </w:rPr>
            </w:pPr>
            <w:r w:rsidRPr="00593D82">
              <w:rPr>
                <w:rFonts w:ascii="Calibri" w:eastAsia="Calibri" w:hAnsi="Calibri" w:cs="Calibri"/>
              </w:rPr>
              <w:t>No end of life disposal was considered.</w:t>
            </w:r>
          </w:p>
        </w:tc>
      </w:tr>
    </w:tbl>
    <w:p w14:paraId="2F078376" w14:textId="0879FE36" w:rsidR="003D25CA" w:rsidRDefault="003D25CA" w:rsidP="003D25CA">
      <w:pPr>
        <w:rPr>
          <w:rFonts w:ascii="Calibri" w:eastAsia="Calibri" w:hAnsi="Calibri" w:cs="Calibri"/>
        </w:rPr>
      </w:pPr>
    </w:p>
    <w:p w14:paraId="4B1A1DAE" w14:textId="7F80DA55" w:rsidR="00145FE8" w:rsidRPr="00593D82" w:rsidRDefault="00145FE8" w:rsidP="00145FE8">
      <w:pPr>
        <w:pStyle w:val="Heading1"/>
        <w:numPr>
          <w:ilvl w:val="0"/>
          <w:numId w:val="0"/>
        </w:numPr>
        <w:rPr>
          <w:rFonts w:eastAsia="Calibri"/>
        </w:rPr>
      </w:pPr>
      <w:r>
        <w:rPr>
          <w:rFonts w:eastAsia="Calibri"/>
        </w:rPr>
        <w:lastRenderedPageBreak/>
        <w:t>Bibliography</w:t>
      </w:r>
      <w:bookmarkStart w:id="87" w:name="_GoBack"/>
      <w:bookmarkEnd w:id="87"/>
    </w:p>
    <w:p w14:paraId="7685E24D" w14:textId="727642AC" w:rsidR="008263FC" w:rsidRPr="008263FC" w:rsidRDefault="008263FC" w:rsidP="008263FC">
      <w:pPr>
        <w:widowControl w:val="0"/>
        <w:autoSpaceDE w:val="0"/>
        <w:autoSpaceDN w:val="0"/>
        <w:adjustRightInd w:val="0"/>
        <w:spacing w:line="240" w:lineRule="auto"/>
        <w:rPr>
          <w:rFonts w:ascii="Calibri" w:hAnsi="Calibri" w:cs="Calibri"/>
          <w:noProof/>
          <w:szCs w:val="24"/>
        </w:rPr>
      </w:pPr>
      <w:r>
        <w:fldChar w:fldCharType="begin" w:fldLock="1"/>
      </w:r>
      <w:r>
        <w:instrText xml:space="preserve">ADDIN Mendeley Bibliography CSL_BIBLIOGRAPHY </w:instrText>
      </w:r>
      <w:r>
        <w:fldChar w:fldCharType="separate"/>
      </w:r>
      <w:r w:rsidRPr="008263FC">
        <w:rPr>
          <w:rFonts w:ascii="Calibri" w:hAnsi="Calibri" w:cs="Calibri"/>
          <w:noProof/>
          <w:szCs w:val="24"/>
        </w:rPr>
        <w:t xml:space="preserve">Burchell, B. </w:t>
      </w:r>
      <w:r w:rsidRPr="008263FC">
        <w:rPr>
          <w:rFonts w:ascii="Calibri" w:hAnsi="Calibri" w:cs="Calibri"/>
          <w:i/>
          <w:iCs/>
          <w:noProof/>
          <w:szCs w:val="24"/>
        </w:rPr>
        <w:t>et al.</w:t>
      </w:r>
      <w:r w:rsidRPr="008263FC">
        <w:rPr>
          <w:rFonts w:ascii="Calibri" w:hAnsi="Calibri" w:cs="Calibri"/>
          <w:noProof/>
          <w:szCs w:val="24"/>
        </w:rPr>
        <w:t xml:space="preserve"> (2014) ‘The quality of employment and decent work: Definitions, Methodologies, and ongoing debates’, </w:t>
      </w:r>
      <w:r w:rsidRPr="008263FC">
        <w:rPr>
          <w:rFonts w:ascii="Calibri" w:hAnsi="Calibri" w:cs="Calibri"/>
          <w:i/>
          <w:iCs/>
          <w:noProof/>
          <w:szCs w:val="24"/>
        </w:rPr>
        <w:t>Cambridge Journal of Economics</w:t>
      </w:r>
      <w:r w:rsidRPr="008263FC">
        <w:rPr>
          <w:rFonts w:ascii="Calibri" w:hAnsi="Calibri" w:cs="Calibri"/>
          <w:noProof/>
          <w:szCs w:val="24"/>
        </w:rPr>
        <w:t>, 38(2), pp. 459–477. doi: 10.1093/cje/bet067.</w:t>
      </w:r>
    </w:p>
    <w:p w14:paraId="0947AC6C"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CSO (2020a) </w:t>
      </w:r>
      <w:r w:rsidRPr="008263FC">
        <w:rPr>
          <w:rFonts w:ascii="Calibri" w:hAnsi="Calibri" w:cs="Calibri"/>
          <w:i/>
          <w:iCs/>
          <w:noProof/>
          <w:szCs w:val="24"/>
        </w:rPr>
        <w:t>Earnings and Labour Costs Quarterly: Q4 2019 (Final) Q1 2020 (Preliminary Estimates)</w:t>
      </w:r>
      <w:r w:rsidRPr="008263FC">
        <w:rPr>
          <w:rFonts w:ascii="Calibri" w:hAnsi="Calibri" w:cs="Calibri"/>
          <w:noProof/>
          <w:szCs w:val="24"/>
        </w:rPr>
        <w:t xml:space="preserve">, </w:t>
      </w:r>
      <w:r w:rsidRPr="008263FC">
        <w:rPr>
          <w:rFonts w:ascii="Calibri" w:hAnsi="Calibri" w:cs="Calibri"/>
          <w:i/>
          <w:iCs/>
          <w:noProof/>
          <w:szCs w:val="24"/>
        </w:rPr>
        <w:t>Central Statistics Office (Ireland)</w:t>
      </w:r>
      <w:r w:rsidRPr="008263FC">
        <w:rPr>
          <w:rFonts w:ascii="Calibri" w:hAnsi="Calibri" w:cs="Calibri"/>
          <w:noProof/>
          <w:szCs w:val="24"/>
        </w:rPr>
        <w:t>. Available at: https://www.cso.ie/en/releasesandpublications/er/elcq/earningsandlabourcostsq42019finalq12020preliminaryestimates/ (Accessed: 1 June 2020).</w:t>
      </w:r>
    </w:p>
    <w:p w14:paraId="1DAE55DF"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CSO (2020b) </w:t>
      </w:r>
      <w:r w:rsidRPr="008263FC">
        <w:rPr>
          <w:rFonts w:ascii="Calibri" w:hAnsi="Calibri" w:cs="Calibri"/>
          <w:i/>
          <w:iCs/>
          <w:noProof/>
          <w:szCs w:val="24"/>
        </w:rPr>
        <w:t>EB049: Population Aged 15 Years and Over in the Labour Force 2011 to 2016 by County and City, Detailed Occupational Group and CensusYear</w:t>
      </w:r>
      <w:r w:rsidRPr="008263FC">
        <w:rPr>
          <w:rFonts w:ascii="Calibri" w:hAnsi="Calibri" w:cs="Calibri"/>
          <w:noProof/>
          <w:szCs w:val="24"/>
        </w:rPr>
        <w:t xml:space="preserve">, </w:t>
      </w:r>
      <w:r w:rsidRPr="008263FC">
        <w:rPr>
          <w:rFonts w:ascii="Calibri" w:hAnsi="Calibri" w:cs="Calibri"/>
          <w:i/>
          <w:iCs/>
          <w:noProof/>
          <w:szCs w:val="24"/>
        </w:rPr>
        <w:t>Central Statistics Office (Ireland)</w:t>
      </w:r>
      <w:r w:rsidRPr="008263FC">
        <w:rPr>
          <w:rFonts w:ascii="Calibri" w:hAnsi="Calibri" w:cs="Calibri"/>
          <w:noProof/>
          <w:szCs w:val="24"/>
        </w:rPr>
        <w:t>. Available at: https://statbank.cso.ie/px/pxeirestat/Statire/SelectVarVal/Define.asp?maintable=EB049&amp;PLanguage=0 (Accessed: 1 June 2020).</w:t>
      </w:r>
    </w:p>
    <w:p w14:paraId="44210D0D"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Deeney, P. </w:t>
      </w:r>
      <w:r w:rsidRPr="008263FC">
        <w:rPr>
          <w:rFonts w:ascii="Calibri" w:hAnsi="Calibri" w:cs="Calibri"/>
          <w:i/>
          <w:iCs/>
          <w:noProof/>
          <w:szCs w:val="24"/>
        </w:rPr>
        <w:t>et al.</w:t>
      </w:r>
      <w:r w:rsidRPr="008263FC">
        <w:rPr>
          <w:rFonts w:ascii="Calibri" w:hAnsi="Calibri" w:cs="Calibri"/>
          <w:noProof/>
          <w:szCs w:val="24"/>
        </w:rPr>
        <w:t xml:space="preserve"> (2021) ‘A real options based decision support tool for R&amp;D investment: Application to CO2 recycling technology’, </w:t>
      </w:r>
      <w:r w:rsidRPr="008263FC">
        <w:rPr>
          <w:rFonts w:ascii="Calibri" w:hAnsi="Calibri" w:cs="Calibri"/>
          <w:i/>
          <w:iCs/>
          <w:noProof/>
          <w:szCs w:val="24"/>
        </w:rPr>
        <w:t>European Journal of Operational Research</w:t>
      </w:r>
      <w:r w:rsidRPr="008263FC">
        <w:rPr>
          <w:rFonts w:ascii="Calibri" w:hAnsi="Calibri" w:cs="Calibri"/>
          <w:noProof/>
          <w:szCs w:val="24"/>
        </w:rPr>
        <w:t>, 289(2), pp. 696–711. doi: 10.1016/j.ejor.2020.07.015.</w:t>
      </w:r>
    </w:p>
    <w:p w14:paraId="42FE78AD"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Diamond, I. R. </w:t>
      </w:r>
      <w:r w:rsidRPr="008263FC">
        <w:rPr>
          <w:rFonts w:ascii="Calibri" w:hAnsi="Calibri" w:cs="Calibri"/>
          <w:i/>
          <w:iCs/>
          <w:noProof/>
          <w:szCs w:val="24"/>
        </w:rPr>
        <w:t>et al.</w:t>
      </w:r>
      <w:r w:rsidRPr="008263FC">
        <w:rPr>
          <w:rFonts w:ascii="Calibri" w:hAnsi="Calibri" w:cs="Calibri"/>
          <w:noProof/>
          <w:szCs w:val="24"/>
        </w:rPr>
        <w:t xml:space="preserve"> (2014) ‘Defining consensus: A systematic review recommends methodologic criteria for reporting of Delphi studies’, </w:t>
      </w:r>
      <w:r w:rsidRPr="008263FC">
        <w:rPr>
          <w:rFonts w:ascii="Calibri" w:hAnsi="Calibri" w:cs="Calibri"/>
          <w:i/>
          <w:iCs/>
          <w:noProof/>
          <w:szCs w:val="24"/>
        </w:rPr>
        <w:t>Journal of Clinical Epidemiology</w:t>
      </w:r>
      <w:r w:rsidRPr="008263FC">
        <w:rPr>
          <w:rFonts w:ascii="Calibri" w:hAnsi="Calibri" w:cs="Calibri"/>
          <w:noProof/>
          <w:szCs w:val="24"/>
        </w:rPr>
        <w:t>, 67(4), pp. 401–409. doi: 10.1016/j.jclinepi.2013.12.002.</w:t>
      </w:r>
    </w:p>
    <w:p w14:paraId="37684D3B"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Hall, S. (2016) ‘End-of-life recycling options for glass fibre reinforced polymers’, </w:t>
      </w:r>
      <w:r w:rsidRPr="008263FC">
        <w:rPr>
          <w:rFonts w:ascii="Calibri" w:hAnsi="Calibri" w:cs="Calibri"/>
          <w:i/>
          <w:iCs/>
          <w:noProof/>
          <w:szCs w:val="24"/>
        </w:rPr>
        <w:t>The Plymouth Student Scientist</w:t>
      </w:r>
      <w:r w:rsidRPr="008263FC">
        <w:rPr>
          <w:rFonts w:ascii="Calibri" w:hAnsi="Calibri" w:cs="Calibri"/>
          <w:noProof/>
          <w:szCs w:val="24"/>
        </w:rPr>
        <w:t>, 9(2), pp. 68–94.</w:t>
      </w:r>
    </w:p>
    <w:p w14:paraId="376795BE"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IAEG-SDGs (2016) ‘Final list of proposed Sustainable Development Goal indicators’, </w:t>
      </w:r>
      <w:r w:rsidRPr="008263FC">
        <w:rPr>
          <w:rFonts w:ascii="Calibri" w:hAnsi="Calibri" w:cs="Calibri"/>
          <w:i/>
          <w:iCs/>
          <w:noProof/>
          <w:szCs w:val="24"/>
        </w:rPr>
        <w:t>Report of the Inter-Agency and Expert Group on Sustainable Development Goal Indicators</w:t>
      </w:r>
      <w:r w:rsidRPr="008263FC">
        <w:rPr>
          <w:rFonts w:ascii="Calibri" w:hAnsi="Calibri" w:cs="Calibri"/>
          <w:noProof/>
          <w:szCs w:val="24"/>
        </w:rPr>
        <w:t>, p. Annex IV. doi: ISBN 978 92 4 150848 3.</w:t>
      </w:r>
    </w:p>
    <w:p w14:paraId="1BE8748A"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ILO (2020) </w:t>
      </w:r>
      <w:r w:rsidRPr="008263FC">
        <w:rPr>
          <w:rFonts w:ascii="Calibri" w:hAnsi="Calibri" w:cs="Calibri"/>
          <w:i/>
          <w:iCs/>
          <w:noProof/>
          <w:szCs w:val="24"/>
        </w:rPr>
        <w:t>Decent Work</w:t>
      </w:r>
      <w:r w:rsidRPr="008263FC">
        <w:rPr>
          <w:rFonts w:ascii="Calibri" w:hAnsi="Calibri" w:cs="Calibri"/>
          <w:noProof/>
          <w:szCs w:val="24"/>
        </w:rPr>
        <w:t xml:space="preserve">, </w:t>
      </w:r>
      <w:r w:rsidRPr="008263FC">
        <w:rPr>
          <w:rFonts w:ascii="Calibri" w:hAnsi="Calibri" w:cs="Calibri"/>
          <w:i/>
          <w:iCs/>
          <w:noProof/>
          <w:szCs w:val="24"/>
        </w:rPr>
        <w:t>International Labour Organization</w:t>
      </w:r>
      <w:r w:rsidRPr="008263FC">
        <w:rPr>
          <w:rFonts w:ascii="Calibri" w:hAnsi="Calibri" w:cs="Calibri"/>
          <w:noProof/>
          <w:szCs w:val="24"/>
        </w:rPr>
        <w:t>. Available at: https://www.ilo.org/global/topics/decent-work/lang--en/index.htm (Accessed: 8 June 2020).</w:t>
      </w:r>
    </w:p>
    <w:p w14:paraId="3FCB95CB"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Job, S. </w:t>
      </w:r>
      <w:r w:rsidRPr="008263FC">
        <w:rPr>
          <w:rFonts w:ascii="Calibri" w:hAnsi="Calibri" w:cs="Calibri"/>
          <w:i/>
          <w:iCs/>
          <w:noProof/>
          <w:szCs w:val="24"/>
        </w:rPr>
        <w:t>et al.</w:t>
      </w:r>
      <w:r w:rsidRPr="008263FC">
        <w:rPr>
          <w:rFonts w:ascii="Calibri" w:hAnsi="Calibri" w:cs="Calibri"/>
          <w:noProof/>
          <w:szCs w:val="24"/>
        </w:rPr>
        <w:t xml:space="preserve"> (2016) </w:t>
      </w:r>
      <w:r w:rsidRPr="008263FC">
        <w:rPr>
          <w:rFonts w:ascii="Calibri" w:hAnsi="Calibri" w:cs="Calibri"/>
          <w:i/>
          <w:iCs/>
          <w:noProof/>
          <w:szCs w:val="24"/>
        </w:rPr>
        <w:t>Composites Recycling, Where are we now?</w:t>
      </w:r>
      <w:r w:rsidRPr="008263FC">
        <w:rPr>
          <w:rFonts w:ascii="Calibri" w:hAnsi="Calibri" w:cs="Calibri"/>
          <w:noProof/>
          <w:szCs w:val="24"/>
        </w:rPr>
        <w:t xml:space="preserve"> Composites UK.</w:t>
      </w:r>
    </w:p>
    <w:p w14:paraId="003E676A"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Ken-Ichiroh Kawasaki, Y. Y. and K. Y. (2005) ‘On Viviani’s Theorem in Three Dimensions’, </w:t>
      </w:r>
      <w:r w:rsidRPr="008263FC">
        <w:rPr>
          <w:rFonts w:ascii="Calibri" w:hAnsi="Calibri" w:cs="Calibri"/>
          <w:i/>
          <w:iCs/>
          <w:noProof/>
          <w:szCs w:val="24"/>
        </w:rPr>
        <w:t>The Mathematical Gazette</w:t>
      </w:r>
      <w:r w:rsidRPr="008263FC">
        <w:rPr>
          <w:rFonts w:ascii="Calibri" w:hAnsi="Calibri" w:cs="Calibri"/>
          <w:noProof/>
          <w:szCs w:val="24"/>
        </w:rPr>
        <w:t>, 89(515), pp. 283–287.</w:t>
      </w:r>
    </w:p>
    <w:p w14:paraId="7511F8BD"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Oliveux, G., Dandy, L. O. and Leeke, G. A. (2015) ‘Current status of recycling of fibre reinforced polymers: Review of technologies, reuse and resulting properties’, </w:t>
      </w:r>
      <w:r w:rsidRPr="008263FC">
        <w:rPr>
          <w:rFonts w:ascii="Calibri" w:hAnsi="Calibri" w:cs="Calibri"/>
          <w:i/>
          <w:iCs/>
          <w:noProof/>
          <w:szCs w:val="24"/>
        </w:rPr>
        <w:t>Progress in Materials Science</w:t>
      </w:r>
      <w:r w:rsidRPr="008263FC">
        <w:rPr>
          <w:rFonts w:ascii="Calibri" w:hAnsi="Calibri" w:cs="Calibri"/>
          <w:noProof/>
          <w:szCs w:val="24"/>
        </w:rPr>
        <w:t>. Pergamon, 72, pp. 61–99. doi: 10.1016/J.PMATSCI.2015.01.004.</w:t>
      </w:r>
    </w:p>
    <w:p w14:paraId="4D806372"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Revez, A. </w:t>
      </w:r>
      <w:r w:rsidRPr="008263FC">
        <w:rPr>
          <w:rFonts w:ascii="Calibri" w:hAnsi="Calibri" w:cs="Calibri"/>
          <w:i/>
          <w:iCs/>
          <w:noProof/>
          <w:szCs w:val="24"/>
        </w:rPr>
        <w:t>et al.</w:t>
      </w:r>
      <w:r w:rsidRPr="008263FC">
        <w:rPr>
          <w:rFonts w:ascii="Calibri" w:hAnsi="Calibri" w:cs="Calibri"/>
          <w:noProof/>
          <w:szCs w:val="24"/>
        </w:rPr>
        <w:t xml:space="preserve"> (2020) ‘Beyond Forecasting: Using a Modified Delphi Method to Build Upon Participatory Action Research in Developing Principles for a Just and Inclusive Energy Transition’, </w:t>
      </w:r>
      <w:r w:rsidRPr="008263FC">
        <w:rPr>
          <w:rFonts w:ascii="Calibri" w:hAnsi="Calibri" w:cs="Calibri"/>
          <w:i/>
          <w:iCs/>
          <w:noProof/>
          <w:szCs w:val="24"/>
        </w:rPr>
        <w:t>International Journal of Qualitative Methods</w:t>
      </w:r>
      <w:r w:rsidRPr="008263FC">
        <w:rPr>
          <w:rFonts w:ascii="Calibri" w:hAnsi="Calibri" w:cs="Calibri"/>
          <w:noProof/>
          <w:szCs w:val="24"/>
        </w:rPr>
        <w:t>, 19, pp. 1–12. doi: 10.1177/1609406920903218.</w:t>
      </w:r>
    </w:p>
    <w:p w14:paraId="5173ED25"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Schmidl, E. and Hinrichs, S. (2010) ‘Geocycle Provides Sustainable Recycling of Rotor Blades in Wenn es darauf ankommt . Werbung’, </w:t>
      </w:r>
      <w:r w:rsidRPr="008263FC">
        <w:rPr>
          <w:rFonts w:ascii="Calibri" w:hAnsi="Calibri" w:cs="Calibri"/>
          <w:i/>
          <w:iCs/>
          <w:noProof/>
          <w:szCs w:val="24"/>
        </w:rPr>
        <w:t>DEWI Magazin</w:t>
      </w:r>
      <w:r w:rsidRPr="008263FC">
        <w:rPr>
          <w:rFonts w:ascii="Calibri" w:hAnsi="Calibri" w:cs="Calibri"/>
          <w:noProof/>
          <w:szCs w:val="24"/>
        </w:rPr>
        <w:t>. Holcim (Deutschland), 36(February), pp. 6–14.</w:t>
      </w:r>
    </w:p>
    <w:p w14:paraId="675D9163" w14:textId="77777777" w:rsidR="008263FC" w:rsidRPr="008263FC" w:rsidRDefault="008263FC" w:rsidP="008263FC">
      <w:pPr>
        <w:widowControl w:val="0"/>
        <w:autoSpaceDE w:val="0"/>
        <w:autoSpaceDN w:val="0"/>
        <w:adjustRightInd w:val="0"/>
        <w:spacing w:line="240" w:lineRule="auto"/>
        <w:rPr>
          <w:rFonts w:ascii="Calibri" w:hAnsi="Calibri" w:cs="Calibri"/>
          <w:noProof/>
          <w:szCs w:val="24"/>
        </w:rPr>
      </w:pPr>
      <w:r w:rsidRPr="008263FC">
        <w:rPr>
          <w:rFonts w:ascii="Calibri" w:hAnsi="Calibri" w:cs="Calibri"/>
          <w:noProof/>
          <w:szCs w:val="24"/>
        </w:rPr>
        <w:t xml:space="preserve">Van Schoubroeck, S. </w:t>
      </w:r>
      <w:r w:rsidRPr="008263FC">
        <w:rPr>
          <w:rFonts w:ascii="Calibri" w:hAnsi="Calibri" w:cs="Calibri"/>
          <w:i/>
          <w:iCs/>
          <w:noProof/>
          <w:szCs w:val="24"/>
        </w:rPr>
        <w:t>et al.</w:t>
      </w:r>
      <w:r w:rsidRPr="008263FC">
        <w:rPr>
          <w:rFonts w:ascii="Calibri" w:hAnsi="Calibri" w:cs="Calibri"/>
          <w:noProof/>
          <w:szCs w:val="24"/>
        </w:rPr>
        <w:t xml:space="preserve"> (2019) ‘Sustainability indicators for biobased chemicals: A Delphi study using Multi-Criteria Decision Analysis’, </w:t>
      </w:r>
      <w:r w:rsidRPr="008263FC">
        <w:rPr>
          <w:rFonts w:ascii="Calibri" w:hAnsi="Calibri" w:cs="Calibri"/>
          <w:i/>
          <w:iCs/>
          <w:noProof/>
          <w:szCs w:val="24"/>
        </w:rPr>
        <w:t>Resources, Conservation and Recycling</w:t>
      </w:r>
      <w:r w:rsidRPr="008263FC">
        <w:rPr>
          <w:rFonts w:ascii="Calibri" w:hAnsi="Calibri" w:cs="Calibri"/>
          <w:noProof/>
          <w:szCs w:val="24"/>
        </w:rPr>
        <w:t>. Elsevier, 144(December 2018), pp. 198–208. doi: 10.1016/j.resconrec.2018.12.024.</w:t>
      </w:r>
    </w:p>
    <w:p w14:paraId="0B9F60DB" w14:textId="77777777" w:rsidR="008263FC" w:rsidRPr="008263FC" w:rsidRDefault="008263FC" w:rsidP="008263FC">
      <w:pPr>
        <w:widowControl w:val="0"/>
        <w:autoSpaceDE w:val="0"/>
        <w:autoSpaceDN w:val="0"/>
        <w:adjustRightInd w:val="0"/>
        <w:spacing w:line="240" w:lineRule="auto"/>
        <w:rPr>
          <w:rFonts w:ascii="Calibri" w:hAnsi="Calibri" w:cs="Calibri"/>
          <w:noProof/>
        </w:rPr>
      </w:pPr>
      <w:r w:rsidRPr="008263FC">
        <w:rPr>
          <w:rFonts w:ascii="Calibri" w:hAnsi="Calibri" w:cs="Calibri"/>
          <w:noProof/>
          <w:szCs w:val="24"/>
        </w:rPr>
        <w:t xml:space="preserve">Zeug, W. ;, Bezama, A. ; and Thrän, D. (2020) </w:t>
      </w:r>
      <w:r w:rsidRPr="008263FC">
        <w:rPr>
          <w:rFonts w:ascii="Calibri" w:hAnsi="Calibri" w:cs="Calibri"/>
          <w:i/>
          <w:iCs/>
          <w:noProof/>
          <w:szCs w:val="24"/>
        </w:rPr>
        <w:t>Towards a Holistic and Integrated Life Cycle Sustainability Assessment of the Bioeconomy-Background on Concepts, Visions and Measurements</w:t>
      </w:r>
      <w:r w:rsidRPr="008263FC">
        <w:rPr>
          <w:rFonts w:ascii="Calibri" w:hAnsi="Calibri" w:cs="Calibri"/>
          <w:noProof/>
          <w:szCs w:val="24"/>
        </w:rPr>
        <w:t xml:space="preserve">, </w:t>
      </w:r>
      <w:r w:rsidRPr="008263FC">
        <w:rPr>
          <w:rFonts w:ascii="Calibri" w:hAnsi="Calibri" w:cs="Calibri"/>
          <w:i/>
          <w:iCs/>
          <w:noProof/>
          <w:szCs w:val="24"/>
        </w:rPr>
        <w:t>UFZ Discussion Papers</w:t>
      </w:r>
      <w:r w:rsidRPr="008263FC">
        <w:rPr>
          <w:rFonts w:ascii="Calibri" w:hAnsi="Calibri" w:cs="Calibri"/>
          <w:noProof/>
          <w:szCs w:val="24"/>
        </w:rPr>
        <w:t>. doi: 10.13140/RG.2.2.16912.02564.</w:t>
      </w:r>
    </w:p>
    <w:p w14:paraId="4E4B0854" w14:textId="68ADE6A5" w:rsidR="00B44BE2" w:rsidRPr="00593D82" w:rsidRDefault="008263FC">
      <w:r>
        <w:lastRenderedPageBreak/>
        <w:fldChar w:fldCharType="end"/>
      </w:r>
    </w:p>
    <w:sectPr w:rsidR="00B44BE2" w:rsidRPr="00593D82" w:rsidSect="00145FE8">
      <w:headerReference w:type="default" r:id="rId45"/>
      <w:footerReference w:type="default" r:id="rId46"/>
      <w:pgSz w:w="11906" w:h="16838"/>
      <w:pgMar w:top="1440" w:right="141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3BC83" w14:textId="77777777" w:rsidR="00774C08" w:rsidRDefault="00774C08" w:rsidP="003D25CA">
      <w:pPr>
        <w:spacing w:after="0" w:line="240" w:lineRule="auto"/>
      </w:pPr>
      <w:r>
        <w:separator/>
      </w:r>
    </w:p>
  </w:endnote>
  <w:endnote w:type="continuationSeparator" w:id="0">
    <w:p w14:paraId="5D82EB83" w14:textId="77777777" w:rsidR="00774C08" w:rsidRDefault="00774C08" w:rsidP="003D2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1"/>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9"/>
      <w:gridCol w:w="3009"/>
      <w:gridCol w:w="3009"/>
    </w:tblGrid>
    <w:tr w:rsidR="00111864" w14:paraId="6750FA32" w14:textId="77777777" w:rsidTr="53097294">
      <w:tc>
        <w:tcPr>
          <w:tcW w:w="3009" w:type="dxa"/>
        </w:tcPr>
        <w:p w14:paraId="485D0796" w14:textId="77777777" w:rsidR="00111864" w:rsidRDefault="00774C08" w:rsidP="53097294">
          <w:pPr>
            <w:pStyle w:val="Header"/>
            <w:ind w:left="-115"/>
          </w:pPr>
        </w:p>
      </w:tc>
      <w:tc>
        <w:tcPr>
          <w:tcW w:w="3009" w:type="dxa"/>
        </w:tcPr>
        <w:p w14:paraId="33F8E9E6" w14:textId="77777777" w:rsidR="00111864" w:rsidRDefault="00774C08" w:rsidP="53097294">
          <w:pPr>
            <w:pStyle w:val="Header"/>
            <w:jc w:val="center"/>
          </w:pPr>
        </w:p>
      </w:tc>
      <w:tc>
        <w:tcPr>
          <w:tcW w:w="3009" w:type="dxa"/>
        </w:tcPr>
        <w:p w14:paraId="6F31DF50" w14:textId="77777777" w:rsidR="00111864" w:rsidRDefault="00774C08" w:rsidP="53097294">
          <w:pPr>
            <w:pStyle w:val="Header"/>
            <w:ind w:right="-115"/>
            <w:jc w:val="right"/>
          </w:pPr>
        </w:p>
      </w:tc>
    </w:tr>
  </w:tbl>
  <w:p w14:paraId="289B2D01" w14:textId="77777777" w:rsidR="00111864" w:rsidRDefault="00774C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30809" w14:textId="77777777" w:rsidR="00774C08" w:rsidRDefault="00774C08" w:rsidP="003D25CA">
      <w:pPr>
        <w:spacing w:after="0" w:line="240" w:lineRule="auto"/>
      </w:pPr>
      <w:r>
        <w:separator/>
      </w:r>
    </w:p>
  </w:footnote>
  <w:footnote w:type="continuationSeparator" w:id="0">
    <w:p w14:paraId="5185C133" w14:textId="77777777" w:rsidR="00774C08" w:rsidRDefault="00774C08" w:rsidP="003D25CA">
      <w:pPr>
        <w:spacing w:after="0" w:line="240" w:lineRule="auto"/>
      </w:pPr>
      <w:r>
        <w:continuationSeparator/>
      </w:r>
    </w:p>
  </w:footnote>
  <w:footnote w:id="1">
    <w:p w14:paraId="08C55DBC" w14:textId="77777777" w:rsidR="003D25CA" w:rsidRPr="007B6268" w:rsidRDefault="003D25CA" w:rsidP="003D25CA">
      <w:pPr>
        <w:pStyle w:val="FootnoteText"/>
        <w:rPr>
          <w:lang w:val="en-IE"/>
        </w:rPr>
      </w:pPr>
      <w:r w:rsidRPr="00AD2F96">
        <w:rPr>
          <w:rStyle w:val="FootnoteReference"/>
        </w:rPr>
        <w:footnoteRef/>
      </w:r>
      <w:r>
        <w:t xml:space="preserve"> </w:t>
      </w:r>
      <w:r>
        <w:rPr>
          <w:lang w:val="en-IE"/>
        </w:rPr>
        <w:t xml:space="preserve">Commercial prices ex VAT: £165 from </w:t>
      </w:r>
      <w:hyperlink r:id="rId1" w:history="1">
        <w:r>
          <w:rPr>
            <w:rStyle w:val="Hyperlink"/>
          </w:rPr>
          <w:t>http://www.strataireland.com/pages/view/bulk-coal-bagged---trade</w:t>
        </w:r>
      </w:hyperlink>
      <w:r>
        <w:t xml:space="preserve">   based on a delivery of at 30 tonnes, loose</w:t>
      </w:r>
    </w:p>
  </w:footnote>
  <w:footnote w:id="2">
    <w:p w14:paraId="16A9A747" w14:textId="77777777" w:rsidR="003D25CA" w:rsidRPr="0050012C" w:rsidRDefault="003D25CA" w:rsidP="003D25CA">
      <w:pPr>
        <w:pStyle w:val="FootnoteText"/>
        <w:rPr>
          <w:lang w:val="en-IE"/>
        </w:rPr>
      </w:pPr>
      <w:r>
        <w:rPr>
          <w:rStyle w:val="FootnoteReference"/>
        </w:rPr>
        <w:footnoteRef/>
      </w:r>
      <w:r>
        <w:t xml:space="preserve"> </w:t>
      </w:r>
      <w:r>
        <w:rPr>
          <w:lang w:val="en-IE"/>
        </w:rPr>
        <w:t xml:space="preserve">Based on a local supplier to the university </w:t>
      </w:r>
      <w:hyperlink r:id="rId2" w:history="1">
        <w:r>
          <w:rPr>
            <w:rStyle w:val="Hyperlink"/>
          </w:rPr>
          <w:t>https://www.mdoshea.ie/irish-cement-per-tonne-cork-kerry-killarney-ballincollig</w:t>
        </w:r>
      </w:hyperlink>
      <w:r>
        <w:t>.</w:t>
      </w:r>
    </w:p>
  </w:footnote>
  <w:footnote w:id="3">
    <w:p w14:paraId="05830831" w14:textId="77777777" w:rsidR="003D25CA" w:rsidRPr="006D2E90" w:rsidRDefault="003D25CA" w:rsidP="003D25CA">
      <w:pPr>
        <w:pStyle w:val="FootnoteText"/>
        <w:rPr>
          <w:lang w:val="en-IE"/>
        </w:rPr>
      </w:pPr>
      <w:r>
        <w:rPr>
          <w:rStyle w:val="FootnoteReference"/>
        </w:rPr>
        <w:footnoteRef/>
      </w:r>
      <w:r>
        <w:t xml:space="preserve"> </w:t>
      </w:r>
      <w:r>
        <w:rPr>
          <w:lang w:val="en-IE"/>
        </w:rPr>
        <w:t>This is based on an estimate by Lawrence C. Bank.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9"/>
      <w:gridCol w:w="3009"/>
      <w:gridCol w:w="3009"/>
    </w:tblGrid>
    <w:tr w:rsidR="00111864" w14:paraId="2213FE4C" w14:textId="77777777" w:rsidTr="53097294">
      <w:tc>
        <w:tcPr>
          <w:tcW w:w="3009" w:type="dxa"/>
        </w:tcPr>
        <w:p w14:paraId="52AEF077" w14:textId="77777777" w:rsidR="00111864" w:rsidRDefault="00774C08" w:rsidP="53097294">
          <w:pPr>
            <w:pStyle w:val="Header"/>
            <w:ind w:left="-115"/>
          </w:pPr>
        </w:p>
      </w:tc>
      <w:tc>
        <w:tcPr>
          <w:tcW w:w="3009" w:type="dxa"/>
        </w:tcPr>
        <w:p w14:paraId="1C4BEB36" w14:textId="77777777" w:rsidR="00111864" w:rsidRDefault="00774C08" w:rsidP="53097294">
          <w:pPr>
            <w:pStyle w:val="Header"/>
            <w:jc w:val="center"/>
          </w:pPr>
        </w:p>
      </w:tc>
      <w:tc>
        <w:tcPr>
          <w:tcW w:w="3009" w:type="dxa"/>
        </w:tcPr>
        <w:p w14:paraId="278B3243" w14:textId="77777777" w:rsidR="00111864" w:rsidRDefault="00774C08" w:rsidP="53097294">
          <w:pPr>
            <w:pStyle w:val="Header"/>
            <w:ind w:right="-115"/>
            <w:jc w:val="right"/>
          </w:pPr>
        </w:p>
      </w:tc>
    </w:tr>
  </w:tbl>
  <w:p w14:paraId="740F67CC" w14:textId="77777777" w:rsidR="00111864" w:rsidRDefault="00774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06523"/>
    <w:multiLevelType w:val="hybridMultilevel"/>
    <w:tmpl w:val="F12EFF72"/>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6D3ACB"/>
    <w:multiLevelType w:val="hybridMultilevel"/>
    <w:tmpl w:val="67244A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0B4001F"/>
    <w:multiLevelType w:val="hybridMultilevel"/>
    <w:tmpl w:val="C7CC5E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E14E6B"/>
    <w:multiLevelType w:val="hybridMultilevel"/>
    <w:tmpl w:val="4CAE4056"/>
    <w:lvl w:ilvl="0" w:tplc="02002518">
      <w:start w:val="2031"/>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DC9549A"/>
    <w:multiLevelType w:val="multilevel"/>
    <w:tmpl w:val="AB0A258E"/>
    <w:lvl w:ilvl="0">
      <w:start w:val="1"/>
      <w:numFmt w:val="decimal"/>
      <w:pStyle w:val="Heading1"/>
      <w:lvlText w:val="%1"/>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lvl>
    <w:lvl w:ilvl="2">
      <w:start w:val="1"/>
      <w:numFmt w:val="decimal"/>
      <w:pStyle w:val="Heading3"/>
      <w:lvlText w:val="%1.%2.%3"/>
      <w:lvlJc w:val="left"/>
      <w:pPr>
        <w:ind w:left="862" w:hanging="720"/>
      </w:pPr>
      <w:rPr>
        <w:b w:val="0"/>
      </w:rPr>
    </w:lvl>
    <w:lvl w:ilvl="3">
      <w:start w:val="1"/>
      <w:numFmt w:val="decimal"/>
      <w:pStyle w:val="Heading4"/>
      <w:lvlText w:val="%1.%2.%3.%4"/>
      <w:lvlJc w:val="left"/>
      <w:pPr>
        <w:ind w:left="1290"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FBB71A5"/>
    <w:multiLevelType w:val="hybridMultilevel"/>
    <w:tmpl w:val="1182FFF2"/>
    <w:lvl w:ilvl="0" w:tplc="74D0C90C">
      <w:start w:val="1"/>
      <w:numFmt w:val="decimal"/>
      <w:lvlText w:val="%1."/>
      <w:lvlJc w:val="left"/>
      <w:pPr>
        <w:tabs>
          <w:tab w:val="num" w:pos="720"/>
        </w:tabs>
        <w:ind w:left="720" w:hanging="360"/>
      </w:pPr>
    </w:lvl>
    <w:lvl w:ilvl="1" w:tplc="6B56344C" w:tentative="1">
      <w:start w:val="1"/>
      <w:numFmt w:val="decimal"/>
      <w:lvlText w:val="%2."/>
      <w:lvlJc w:val="left"/>
      <w:pPr>
        <w:tabs>
          <w:tab w:val="num" w:pos="1440"/>
        </w:tabs>
        <w:ind w:left="1440" w:hanging="360"/>
      </w:pPr>
    </w:lvl>
    <w:lvl w:ilvl="2" w:tplc="9BA0F45A" w:tentative="1">
      <w:start w:val="1"/>
      <w:numFmt w:val="decimal"/>
      <w:lvlText w:val="%3."/>
      <w:lvlJc w:val="left"/>
      <w:pPr>
        <w:tabs>
          <w:tab w:val="num" w:pos="2160"/>
        </w:tabs>
        <w:ind w:left="2160" w:hanging="360"/>
      </w:pPr>
    </w:lvl>
    <w:lvl w:ilvl="3" w:tplc="AE660D06" w:tentative="1">
      <w:start w:val="1"/>
      <w:numFmt w:val="decimal"/>
      <w:lvlText w:val="%4."/>
      <w:lvlJc w:val="left"/>
      <w:pPr>
        <w:tabs>
          <w:tab w:val="num" w:pos="2880"/>
        </w:tabs>
        <w:ind w:left="2880" w:hanging="360"/>
      </w:pPr>
    </w:lvl>
    <w:lvl w:ilvl="4" w:tplc="12BCFC96" w:tentative="1">
      <w:start w:val="1"/>
      <w:numFmt w:val="decimal"/>
      <w:lvlText w:val="%5."/>
      <w:lvlJc w:val="left"/>
      <w:pPr>
        <w:tabs>
          <w:tab w:val="num" w:pos="3600"/>
        </w:tabs>
        <w:ind w:left="3600" w:hanging="360"/>
      </w:pPr>
    </w:lvl>
    <w:lvl w:ilvl="5" w:tplc="AB682CB0" w:tentative="1">
      <w:start w:val="1"/>
      <w:numFmt w:val="decimal"/>
      <w:lvlText w:val="%6."/>
      <w:lvlJc w:val="left"/>
      <w:pPr>
        <w:tabs>
          <w:tab w:val="num" w:pos="4320"/>
        </w:tabs>
        <w:ind w:left="4320" w:hanging="360"/>
      </w:pPr>
    </w:lvl>
    <w:lvl w:ilvl="6" w:tplc="A47CDCE6" w:tentative="1">
      <w:start w:val="1"/>
      <w:numFmt w:val="decimal"/>
      <w:lvlText w:val="%7."/>
      <w:lvlJc w:val="left"/>
      <w:pPr>
        <w:tabs>
          <w:tab w:val="num" w:pos="5040"/>
        </w:tabs>
        <w:ind w:left="5040" w:hanging="360"/>
      </w:pPr>
    </w:lvl>
    <w:lvl w:ilvl="7" w:tplc="265AD36E" w:tentative="1">
      <w:start w:val="1"/>
      <w:numFmt w:val="decimal"/>
      <w:lvlText w:val="%8."/>
      <w:lvlJc w:val="left"/>
      <w:pPr>
        <w:tabs>
          <w:tab w:val="num" w:pos="5760"/>
        </w:tabs>
        <w:ind w:left="5760" w:hanging="360"/>
      </w:pPr>
    </w:lvl>
    <w:lvl w:ilvl="8" w:tplc="B388D624" w:tentative="1">
      <w:start w:val="1"/>
      <w:numFmt w:val="decimal"/>
      <w:lvlText w:val="%9."/>
      <w:lvlJc w:val="left"/>
      <w:pPr>
        <w:tabs>
          <w:tab w:val="num" w:pos="6480"/>
        </w:tabs>
        <w:ind w:left="6480" w:hanging="360"/>
      </w:pPr>
    </w:lvl>
  </w:abstractNum>
  <w:abstractNum w:abstractNumId="6" w15:restartNumberingAfterBreak="0">
    <w:nsid w:val="21172A9A"/>
    <w:multiLevelType w:val="hybridMultilevel"/>
    <w:tmpl w:val="FE164AB2"/>
    <w:lvl w:ilvl="0" w:tplc="EACAEA5C">
      <w:start w:val="1"/>
      <w:numFmt w:val="bullet"/>
      <w:lvlText w:val=""/>
      <w:lvlJc w:val="left"/>
      <w:pPr>
        <w:ind w:left="720" w:hanging="360"/>
      </w:pPr>
      <w:rPr>
        <w:rFonts w:ascii="Symbol" w:hAnsi="Symbol" w:hint="default"/>
      </w:rPr>
    </w:lvl>
    <w:lvl w:ilvl="1" w:tplc="8758AB2A">
      <w:start w:val="1"/>
      <w:numFmt w:val="bullet"/>
      <w:lvlText w:val="o"/>
      <w:lvlJc w:val="left"/>
      <w:pPr>
        <w:ind w:left="1440" w:hanging="360"/>
      </w:pPr>
      <w:rPr>
        <w:rFonts w:ascii="Courier New" w:hAnsi="Courier New" w:hint="default"/>
      </w:rPr>
    </w:lvl>
    <w:lvl w:ilvl="2" w:tplc="FEE68BEC">
      <w:start w:val="1"/>
      <w:numFmt w:val="bullet"/>
      <w:lvlText w:val=""/>
      <w:lvlJc w:val="left"/>
      <w:pPr>
        <w:ind w:left="2160" w:hanging="360"/>
      </w:pPr>
      <w:rPr>
        <w:rFonts w:ascii="Wingdings" w:hAnsi="Wingdings" w:hint="default"/>
      </w:rPr>
    </w:lvl>
    <w:lvl w:ilvl="3" w:tplc="8938B018">
      <w:start w:val="1"/>
      <w:numFmt w:val="bullet"/>
      <w:lvlText w:val=""/>
      <w:lvlJc w:val="left"/>
      <w:pPr>
        <w:ind w:left="2880" w:hanging="360"/>
      </w:pPr>
      <w:rPr>
        <w:rFonts w:ascii="Symbol" w:hAnsi="Symbol" w:hint="default"/>
      </w:rPr>
    </w:lvl>
    <w:lvl w:ilvl="4" w:tplc="0EBA3E22">
      <w:start w:val="1"/>
      <w:numFmt w:val="bullet"/>
      <w:lvlText w:val="o"/>
      <w:lvlJc w:val="left"/>
      <w:pPr>
        <w:ind w:left="3600" w:hanging="360"/>
      </w:pPr>
      <w:rPr>
        <w:rFonts w:ascii="Courier New" w:hAnsi="Courier New" w:hint="default"/>
      </w:rPr>
    </w:lvl>
    <w:lvl w:ilvl="5" w:tplc="0B7E3B24">
      <w:start w:val="1"/>
      <w:numFmt w:val="bullet"/>
      <w:lvlText w:val=""/>
      <w:lvlJc w:val="left"/>
      <w:pPr>
        <w:ind w:left="4320" w:hanging="360"/>
      </w:pPr>
      <w:rPr>
        <w:rFonts w:ascii="Wingdings" w:hAnsi="Wingdings" w:hint="default"/>
      </w:rPr>
    </w:lvl>
    <w:lvl w:ilvl="6" w:tplc="4FFE1400">
      <w:start w:val="1"/>
      <w:numFmt w:val="bullet"/>
      <w:lvlText w:val=""/>
      <w:lvlJc w:val="left"/>
      <w:pPr>
        <w:ind w:left="5040" w:hanging="360"/>
      </w:pPr>
      <w:rPr>
        <w:rFonts w:ascii="Symbol" w:hAnsi="Symbol" w:hint="default"/>
      </w:rPr>
    </w:lvl>
    <w:lvl w:ilvl="7" w:tplc="C854B0EA">
      <w:start w:val="1"/>
      <w:numFmt w:val="bullet"/>
      <w:lvlText w:val="o"/>
      <w:lvlJc w:val="left"/>
      <w:pPr>
        <w:ind w:left="5760" w:hanging="360"/>
      </w:pPr>
      <w:rPr>
        <w:rFonts w:ascii="Courier New" w:hAnsi="Courier New" w:hint="default"/>
      </w:rPr>
    </w:lvl>
    <w:lvl w:ilvl="8" w:tplc="8CAAF1FC">
      <w:start w:val="1"/>
      <w:numFmt w:val="bullet"/>
      <w:lvlText w:val=""/>
      <w:lvlJc w:val="left"/>
      <w:pPr>
        <w:ind w:left="6480" w:hanging="360"/>
      </w:pPr>
      <w:rPr>
        <w:rFonts w:ascii="Wingdings" w:hAnsi="Wingdings" w:hint="default"/>
      </w:rPr>
    </w:lvl>
  </w:abstractNum>
  <w:abstractNum w:abstractNumId="7" w15:restartNumberingAfterBreak="0">
    <w:nsid w:val="29BC5F18"/>
    <w:multiLevelType w:val="hybridMultilevel"/>
    <w:tmpl w:val="F2F646D4"/>
    <w:lvl w:ilvl="0" w:tplc="3F52A424">
      <w:start w:val="12"/>
      <w:numFmt w:val="decimal"/>
      <w:lvlText w:val="%1."/>
      <w:lvlJc w:val="left"/>
      <w:pPr>
        <w:tabs>
          <w:tab w:val="num" w:pos="720"/>
        </w:tabs>
        <w:ind w:left="720" w:hanging="360"/>
      </w:pPr>
    </w:lvl>
    <w:lvl w:ilvl="1" w:tplc="971ECA70" w:tentative="1">
      <w:start w:val="1"/>
      <w:numFmt w:val="decimal"/>
      <w:lvlText w:val="%2."/>
      <w:lvlJc w:val="left"/>
      <w:pPr>
        <w:tabs>
          <w:tab w:val="num" w:pos="1440"/>
        </w:tabs>
        <w:ind w:left="1440" w:hanging="360"/>
      </w:pPr>
    </w:lvl>
    <w:lvl w:ilvl="2" w:tplc="C31828BA" w:tentative="1">
      <w:start w:val="1"/>
      <w:numFmt w:val="decimal"/>
      <w:lvlText w:val="%3."/>
      <w:lvlJc w:val="left"/>
      <w:pPr>
        <w:tabs>
          <w:tab w:val="num" w:pos="2160"/>
        </w:tabs>
        <w:ind w:left="2160" w:hanging="360"/>
      </w:pPr>
    </w:lvl>
    <w:lvl w:ilvl="3" w:tplc="DE6A0208" w:tentative="1">
      <w:start w:val="1"/>
      <w:numFmt w:val="decimal"/>
      <w:lvlText w:val="%4."/>
      <w:lvlJc w:val="left"/>
      <w:pPr>
        <w:tabs>
          <w:tab w:val="num" w:pos="2880"/>
        </w:tabs>
        <w:ind w:left="2880" w:hanging="360"/>
      </w:pPr>
    </w:lvl>
    <w:lvl w:ilvl="4" w:tplc="67E416A6" w:tentative="1">
      <w:start w:val="1"/>
      <w:numFmt w:val="decimal"/>
      <w:lvlText w:val="%5."/>
      <w:lvlJc w:val="left"/>
      <w:pPr>
        <w:tabs>
          <w:tab w:val="num" w:pos="3600"/>
        </w:tabs>
        <w:ind w:left="3600" w:hanging="360"/>
      </w:pPr>
    </w:lvl>
    <w:lvl w:ilvl="5" w:tplc="410001EE" w:tentative="1">
      <w:start w:val="1"/>
      <w:numFmt w:val="decimal"/>
      <w:lvlText w:val="%6."/>
      <w:lvlJc w:val="left"/>
      <w:pPr>
        <w:tabs>
          <w:tab w:val="num" w:pos="4320"/>
        </w:tabs>
        <w:ind w:left="4320" w:hanging="360"/>
      </w:pPr>
    </w:lvl>
    <w:lvl w:ilvl="6" w:tplc="5B88CDA6" w:tentative="1">
      <w:start w:val="1"/>
      <w:numFmt w:val="decimal"/>
      <w:lvlText w:val="%7."/>
      <w:lvlJc w:val="left"/>
      <w:pPr>
        <w:tabs>
          <w:tab w:val="num" w:pos="5040"/>
        </w:tabs>
        <w:ind w:left="5040" w:hanging="360"/>
      </w:pPr>
    </w:lvl>
    <w:lvl w:ilvl="7" w:tplc="D2AA6118" w:tentative="1">
      <w:start w:val="1"/>
      <w:numFmt w:val="decimal"/>
      <w:lvlText w:val="%8."/>
      <w:lvlJc w:val="left"/>
      <w:pPr>
        <w:tabs>
          <w:tab w:val="num" w:pos="5760"/>
        </w:tabs>
        <w:ind w:left="5760" w:hanging="360"/>
      </w:pPr>
    </w:lvl>
    <w:lvl w:ilvl="8" w:tplc="4ADE8E08" w:tentative="1">
      <w:start w:val="1"/>
      <w:numFmt w:val="decimal"/>
      <w:lvlText w:val="%9."/>
      <w:lvlJc w:val="left"/>
      <w:pPr>
        <w:tabs>
          <w:tab w:val="num" w:pos="6480"/>
        </w:tabs>
        <w:ind w:left="6480" w:hanging="360"/>
      </w:pPr>
    </w:lvl>
  </w:abstractNum>
  <w:abstractNum w:abstractNumId="8" w15:restartNumberingAfterBreak="0">
    <w:nsid w:val="2C590544"/>
    <w:multiLevelType w:val="hybridMultilevel"/>
    <w:tmpl w:val="54BC3A0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2B78C1"/>
    <w:multiLevelType w:val="hybridMultilevel"/>
    <w:tmpl w:val="8FAE961E"/>
    <w:lvl w:ilvl="0" w:tplc="B7B426A8">
      <w:start w:val="11"/>
      <w:numFmt w:val="decimal"/>
      <w:lvlText w:val="%1."/>
      <w:lvlJc w:val="left"/>
      <w:pPr>
        <w:tabs>
          <w:tab w:val="num" w:pos="720"/>
        </w:tabs>
        <w:ind w:left="720" w:hanging="360"/>
      </w:pPr>
    </w:lvl>
    <w:lvl w:ilvl="1" w:tplc="6E38C002" w:tentative="1">
      <w:start w:val="1"/>
      <w:numFmt w:val="decimal"/>
      <w:lvlText w:val="%2."/>
      <w:lvlJc w:val="left"/>
      <w:pPr>
        <w:tabs>
          <w:tab w:val="num" w:pos="1440"/>
        </w:tabs>
        <w:ind w:left="1440" w:hanging="360"/>
      </w:pPr>
    </w:lvl>
    <w:lvl w:ilvl="2" w:tplc="C7F6B56A" w:tentative="1">
      <w:start w:val="1"/>
      <w:numFmt w:val="decimal"/>
      <w:lvlText w:val="%3."/>
      <w:lvlJc w:val="left"/>
      <w:pPr>
        <w:tabs>
          <w:tab w:val="num" w:pos="2160"/>
        </w:tabs>
        <w:ind w:left="2160" w:hanging="360"/>
      </w:pPr>
    </w:lvl>
    <w:lvl w:ilvl="3" w:tplc="4A700EA6" w:tentative="1">
      <w:start w:val="1"/>
      <w:numFmt w:val="decimal"/>
      <w:lvlText w:val="%4."/>
      <w:lvlJc w:val="left"/>
      <w:pPr>
        <w:tabs>
          <w:tab w:val="num" w:pos="2880"/>
        </w:tabs>
        <w:ind w:left="2880" w:hanging="360"/>
      </w:pPr>
    </w:lvl>
    <w:lvl w:ilvl="4" w:tplc="79A41782" w:tentative="1">
      <w:start w:val="1"/>
      <w:numFmt w:val="decimal"/>
      <w:lvlText w:val="%5."/>
      <w:lvlJc w:val="left"/>
      <w:pPr>
        <w:tabs>
          <w:tab w:val="num" w:pos="3600"/>
        </w:tabs>
        <w:ind w:left="3600" w:hanging="360"/>
      </w:pPr>
    </w:lvl>
    <w:lvl w:ilvl="5" w:tplc="2CECD7C8" w:tentative="1">
      <w:start w:val="1"/>
      <w:numFmt w:val="decimal"/>
      <w:lvlText w:val="%6."/>
      <w:lvlJc w:val="left"/>
      <w:pPr>
        <w:tabs>
          <w:tab w:val="num" w:pos="4320"/>
        </w:tabs>
        <w:ind w:left="4320" w:hanging="360"/>
      </w:pPr>
    </w:lvl>
    <w:lvl w:ilvl="6" w:tplc="8E2EEAF0" w:tentative="1">
      <w:start w:val="1"/>
      <w:numFmt w:val="decimal"/>
      <w:lvlText w:val="%7."/>
      <w:lvlJc w:val="left"/>
      <w:pPr>
        <w:tabs>
          <w:tab w:val="num" w:pos="5040"/>
        </w:tabs>
        <w:ind w:left="5040" w:hanging="360"/>
      </w:pPr>
    </w:lvl>
    <w:lvl w:ilvl="7" w:tplc="A5509B46" w:tentative="1">
      <w:start w:val="1"/>
      <w:numFmt w:val="decimal"/>
      <w:lvlText w:val="%8."/>
      <w:lvlJc w:val="left"/>
      <w:pPr>
        <w:tabs>
          <w:tab w:val="num" w:pos="5760"/>
        </w:tabs>
        <w:ind w:left="5760" w:hanging="360"/>
      </w:pPr>
    </w:lvl>
    <w:lvl w:ilvl="8" w:tplc="4B3CBBFC" w:tentative="1">
      <w:start w:val="1"/>
      <w:numFmt w:val="decimal"/>
      <w:lvlText w:val="%9."/>
      <w:lvlJc w:val="left"/>
      <w:pPr>
        <w:tabs>
          <w:tab w:val="num" w:pos="6480"/>
        </w:tabs>
        <w:ind w:left="6480" w:hanging="360"/>
      </w:pPr>
    </w:lvl>
  </w:abstractNum>
  <w:abstractNum w:abstractNumId="10" w15:restartNumberingAfterBreak="0">
    <w:nsid w:val="2D875234"/>
    <w:multiLevelType w:val="hybridMultilevel"/>
    <w:tmpl w:val="C70457B0"/>
    <w:lvl w:ilvl="0" w:tplc="561E3296">
      <w:start w:val="9"/>
      <w:numFmt w:val="decimal"/>
      <w:lvlText w:val="%1."/>
      <w:lvlJc w:val="left"/>
      <w:pPr>
        <w:tabs>
          <w:tab w:val="num" w:pos="720"/>
        </w:tabs>
        <w:ind w:left="720" w:hanging="360"/>
      </w:pPr>
    </w:lvl>
    <w:lvl w:ilvl="1" w:tplc="F4F4FC08" w:tentative="1">
      <w:start w:val="1"/>
      <w:numFmt w:val="decimal"/>
      <w:lvlText w:val="%2."/>
      <w:lvlJc w:val="left"/>
      <w:pPr>
        <w:tabs>
          <w:tab w:val="num" w:pos="1440"/>
        </w:tabs>
        <w:ind w:left="1440" w:hanging="360"/>
      </w:pPr>
    </w:lvl>
    <w:lvl w:ilvl="2" w:tplc="51EE8254" w:tentative="1">
      <w:start w:val="1"/>
      <w:numFmt w:val="decimal"/>
      <w:lvlText w:val="%3."/>
      <w:lvlJc w:val="left"/>
      <w:pPr>
        <w:tabs>
          <w:tab w:val="num" w:pos="2160"/>
        </w:tabs>
        <w:ind w:left="2160" w:hanging="360"/>
      </w:pPr>
    </w:lvl>
    <w:lvl w:ilvl="3" w:tplc="74EACBB6" w:tentative="1">
      <w:start w:val="1"/>
      <w:numFmt w:val="decimal"/>
      <w:lvlText w:val="%4."/>
      <w:lvlJc w:val="left"/>
      <w:pPr>
        <w:tabs>
          <w:tab w:val="num" w:pos="2880"/>
        </w:tabs>
        <w:ind w:left="2880" w:hanging="360"/>
      </w:pPr>
    </w:lvl>
    <w:lvl w:ilvl="4" w:tplc="8514E7BA" w:tentative="1">
      <w:start w:val="1"/>
      <w:numFmt w:val="decimal"/>
      <w:lvlText w:val="%5."/>
      <w:lvlJc w:val="left"/>
      <w:pPr>
        <w:tabs>
          <w:tab w:val="num" w:pos="3600"/>
        </w:tabs>
        <w:ind w:left="3600" w:hanging="360"/>
      </w:pPr>
    </w:lvl>
    <w:lvl w:ilvl="5" w:tplc="85FEF808" w:tentative="1">
      <w:start w:val="1"/>
      <w:numFmt w:val="decimal"/>
      <w:lvlText w:val="%6."/>
      <w:lvlJc w:val="left"/>
      <w:pPr>
        <w:tabs>
          <w:tab w:val="num" w:pos="4320"/>
        </w:tabs>
        <w:ind w:left="4320" w:hanging="360"/>
      </w:pPr>
    </w:lvl>
    <w:lvl w:ilvl="6" w:tplc="16E83022" w:tentative="1">
      <w:start w:val="1"/>
      <w:numFmt w:val="decimal"/>
      <w:lvlText w:val="%7."/>
      <w:lvlJc w:val="left"/>
      <w:pPr>
        <w:tabs>
          <w:tab w:val="num" w:pos="5040"/>
        </w:tabs>
        <w:ind w:left="5040" w:hanging="360"/>
      </w:pPr>
    </w:lvl>
    <w:lvl w:ilvl="7" w:tplc="FCC0FB98" w:tentative="1">
      <w:start w:val="1"/>
      <w:numFmt w:val="decimal"/>
      <w:lvlText w:val="%8."/>
      <w:lvlJc w:val="left"/>
      <w:pPr>
        <w:tabs>
          <w:tab w:val="num" w:pos="5760"/>
        </w:tabs>
        <w:ind w:left="5760" w:hanging="360"/>
      </w:pPr>
    </w:lvl>
    <w:lvl w:ilvl="8" w:tplc="A308F23E" w:tentative="1">
      <w:start w:val="1"/>
      <w:numFmt w:val="decimal"/>
      <w:lvlText w:val="%9."/>
      <w:lvlJc w:val="left"/>
      <w:pPr>
        <w:tabs>
          <w:tab w:val="num" w:pos="6480"/>
        </w:tabs>
        <w:ind w:left="6480" w:hanging="360"/>
      </w:pPr>
    </w:lvl>
  </w:abstractNum>
  <w:abstractNum w:abstractNumId="11" w15:restartNumberingAfterBreak="0">
    <w:nsid w:val="2E885E03"/>
    <w:multiLevelType w:val="multilevel"/>
    <w:tmpl w:val="01C089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22A27EC"/>
    <w:multiLevelType w:val="hybridMultilevel"/>
    <w:tmpl w:val="978086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7AD31C4"/>
    <w:multiLevelType w:val="hybridMultilevel"/>
    <w:tmpl w:val="F18655DE"/>
    <w:lvl w:ilvl="0" w:tplc="5D1083C2">
      <w:start w:val="10"/>
      <w:numFmt w:val="decimal"/>
      <w:lvlText w:val="%1."/>
      <w:lvlJc w:val="left"/>
      <w:pPr>
        <w:tabs>
          <w:tab w:val="num" w:pos="720"/>
        </w:tabs>
        <w:ind w:left="720" w:hanging="360"/>
      </w:pPr>
    </w:lvl>
    <w:lvl w:ilvl="1" w:tplc="1D1887BA" w:tentative="1">
      <w:start w:val="1"/>
      <w:numFmt w:val="decimal"/>
      <w:lvlText w:val="%2."/>
      <w:lvlJc w:val="left"/>
      <w:pPr>
        <w:tabs>
          <w:tab w:val="num" w:pos="1440"/>
        </w:tabs>
        <w:ind w:left="1440" w:hanging="360"/>
      </w:pPr>
    </w:lvl>
    <w:lvl w:ilvl="2" w:tplc="5DE467DE" w:tentative="1">
      <w:start w:val="1"/>
      <w:numFmt w:val="decimal"/>
      <w:lvlText w:val="%3."/>
      <w:lvlJc w:val="left"/>
      <w:pPr>
        <w:tabs>
          <w:tab w:val="num" w:pos="2160"/>
        </w:tabs>
        <w:ind w:left="2160" w:hanging="360"/>
      </w:pPr>
    </w:lvl>
    <w:lvl w:ilvl="3" w:tplc="24AC4108" w:tentative="1">
      <w:start w:val="1"/>
      <w:numFmt w:val="decimal"/>
      <w:lvlText w:val="%4."/>
      <w:lvlJc w:val="left"/>
      <w:pPr>
        <w:tabs>
          <w:tab w:val="num" w:pos="2880"/>
        </w:tabs>
        <w:ind w:left="2880" w:hanging="360"/>
      </w:pPr>
    </w:lvl>
    <w:lvl w:ilvl="4" w:tplc="348E8B66" w:tentative="1">
      <w:start w:val="1"/>
      <w:numFmt w:val="decimal"/>
      <w:lvlText w:val="%5."/>
      <w:lvlJc w:val="left"/>
      <w:pPr>
        <w:tabs>
          <w:tab w:val="num" w:pos="3600"/>
        </w:tabs>
        <w:ind w:left="3600" w:hanging="360"/>
      </w:pPr>
    </w:lvl>
    <w:lvl w:ilvl="5" w:tplc="59C8D732" w:tentative="1">
      <w:start w:val="1"/>
      <w:numFmt w:val="decimal"/>
      <w:lvlText w:val="%6."/>
      <w:lvlJc w:val="left"/>
      <w:pPr>
        <w:tabs>
          <w:tab w:val="num" w:pos="4320"/>
        </w:tabs>
        <w:ind w:left="4320" w:hanging="360"/>
      </w:pPr>
    </w:lvl>
    <w:lvl w:ilvl="6" w:tplc="1CF66E44" w:tentative="1">
      <w:start w:val="1"/>
      <w:numFmt w:val="decimal"/>
      <w:lvlText w:val="%7."/>
      <w:lvlJc w:val="left"/>
      <w:pPr>
        <w:tabs>
          <w:tab w:val="num" w:pos="5040"/>
        </w:tabs>
        <w:ind w:left="5040" w:hanging="360"/>
      </w:pPr>
    </w:lvl>
    <w:lvl w:ilvl="7" w:tplc="AC5A840E" w:tentative="1">
      <w:start w:val="1"/>
      <w:numFmt w:val="decimal"/>
      <w:lvlText w:val="%8."/>
      <w:lvlJc w:val="left"/>
      <w:pPr>
        <w:tabs>
          <w:tab w:val="num" w:pos="5760"/>
        </w:tabs>
        <w:ind w:left="5760" w:hanging="360"/>
      </w:pPr>
    </w:lvl>
    <w:lvl w:ilvl="8" w:tplc="A1F84BF4" w:tentative="1">
      <w:start w:val="1"/>
      <w:numFmt w:val="decimal"/>
      <w:lvlText w:val="%9."/>
      <w:lvlJc w:val="left"/>
      <w:pPr>
        <w:tabs>
          <w:tab w:val="num" w:pos="6480"/>
        </w:tabs>
        <w:ind w:left="6480" w:hanging="360"/>
      </w:pPr>
    </w:lvl>
  </w:abstractNum>
  <w:abstractNum w:abstractNumId="14" w15:restartNumberingAfterBreak="0">
    <w:nsid w:val="3B7D7411"/>
    <w:multiLevelType w:val="hybridMultilevel"/>
    <w:tmpl w:val="D11CB75C"/>
    <w:lvl w:ilvl="0" w:tplc="3C38B46A">
      <w:start w:val="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1370DFA"/>
    <w:multiLevelType w:val="hybridMultilevel"/>
    <w:tmpl w:val="AB2AF3FC"/>
    <w:lvl w:ilvl="0" w:tplc="4C06EB54">
      <w:start w:val="19"/>
      <w:numFmt w:val="bullet"/>
      <w:lvlText w:val="•"/>
      <w:lvlJc w:val="left"/>
      <w:pPr>
        <w:ind w:left="720" w:hanging="360"/>
      </w:pPr>
      <w:rPr>
        <w:rFonts w:asciiTheme="minorHAnsi" w:eastAsiaTheme="minorHAnsi" w:hAnsiTheme="minorHAns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83446F4"/>
    <w:multiLevelType w:val="hybridMultilevel"/>
    <w:tmpl w:val="6FFA54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AF01D37"/>
    <w:multiLevelType w:val="hybridMultilevel"/>
    <w:tmpl w:val="CE5A0B92"/>
    <w:lvl w:ilvl="0" w:tplc="B5422A44">
      <w:start w:val="73"/>
      <w:numFmt w:val="bullet"/>
      <w:lvlText w:val=""/>
      <w:lvlJc w:val="left"/>
      <w:pPr>
        <w:ind w:left="720" w:hanging="360"/>
      </w:pPr>
      <w:rPr>
        <w:rFonts w:ascii="Symbol" w:eastAsiaTheme="minorHAnsi" w:hAnsi="Symbol"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06D2456"/>
    <w:multiLevelType w:val="hybridMultilevel"/>
    <w:tmpl w:val="540811A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1520489"/>
    <w:multiLevelType w:val="hybridMultilevel"/>
    <w:tmpl w:val="D5DCEF1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1903A05"/>
    <w:multiLevelType w:val="hybridMultilevel"/>
    <w:tmpl w:val="3F36498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68033D7"/>
    <w:multiLevelType w:val="hybridMultilevel"/>
    <w:tmpl w:val="E8CEAEB2"/>
    <w:lvl w:ilvl="0" w:tplc="60889D2A">
      <w:start w:val="1"/>
      <w:numFmt w:val="bullet"/>
      <w:lvlText w:val=""/>
      <w:lvlJc w:val="left"/>
      <w:pPr>
        <w:ind w:left="720" w:hanging="360"/>
      </w:pPr>
      <w:rPr>
        <w:rFonts w:ascii="Wingdings" w:eastAsiaTheme="minorHAnsi" w:hAnsi="Wingdings"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8237937"/>
    <w:multiLevelType w:val="hybridMultilevel"/>
    <w:tmpl w:val="E8C208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96E22A7"/>
    <w:multiLevelType w:val="hybridMultilevel"/>
    <w:tmpl w:val="208275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AF81734"/>
    <w:multiLevelType w:val="hybridMultilevel"/>
    <w:tmpl w:val="C2188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3FF7F8A"/>
    <w:multiLevelType w:val="hybridMultilevel"/>
    <w:tmpl w:val="1408C8C6"/>
    <w:lvl w:ilvl="0" w:tplc="DF3E0A88">
      <w:numFmt w:val="none"/>
      <w:lvlText w:val=""/>
      <w:lvlJc w:val="left"/>
      <w:pPr>
        <w:tabs>
          <w:tab w:val="num" w:pos="360"/>
        </w:tabs>
      </w:pPr>
    </w:lvl>
    <w:lvl w:ilvl="1" w:tplc="87EABA9A">
      <w:start w:val="1"/>
      <w:numFmt w:val="lowerLetter"/>
      <w:lvlText w:val="%2."/>
      <w:lvlJc w:val="left"/>
      <w:pPr>
        <w:ind w:left="1440" w:hanging="360"/>
      </w:pPr>
    </w:lvl>
    <w:lvl w:ilvl="2" w:tplc="5C686ABE">
      <w:start w:val="1"/>
      <w:numFmt w:val="lowerRoman"/>
      <w:lvlText w:val="%3."/>
      <w:lvlJc w:val="right"/>
      <w:pPr>
        <w:ind w:left="2160" w:hanging="180"/>
      </w:pPr>
    </w:lvl>
    <w:lvl w:ilvl="3" w:tplc="605AEE88">
      <w:start w:val="1"/>
      <w:numFmt w:val="decimal"/>
      <w:lvlText w:val="%4."/>
      <w:lvlJc w:val="left"/>
      <w:pPr>
        <w:ind w:left="2880" w:hanging="360"/>
      </w:pPr>
    </w:lvl>
    <w:lvl w:ilvl="4" w:tplc="9FD66F44">
      <w:start w:val="1"/>
      <w:numFmt w:val="lowerLetter"/>
      <w:lvlText w:val="%5."/>
      <w:lvlJc w:val="left"/>
      <w:pPr>
        <w:ind w:left="3600" w:hanging="360"/>
      </w:pPr>
    </w:lvl>
    <w:lvl w:ilvl="5" w:tplc="16C4D2CE">
      <w:start w:val="1"/>
      <w:numFmt w:val="lowerRoman"/>
      <w:lvlText w:val="%6."/>
      <w:lvlJc w:val="right"/>
      <w:pPr>
        <w:ind w:left="4320" w:hanging="180"/>
      </w:pPr>
    </w:lvl>
    <w:lvl w:ilvl="6" w:tplc="CD7CA2F8">
      <w:start w:val="1"/>
      <w:numFmt w:val="decimal"/>
      <w:lvlText w:val="%7."/>
      <w:lvlJc w:val="left"/>
      <w:pPr>
        <w:ind w:left="5040" w:hanging="360"/>
      </w:pPr>
    </w:lvl>
    <w:lvl w:ilvl="7" w:tplc="9BB4B91C">
      <w:start w:val="1"/>
      <w:numFmt w:val="lowerLetter"/>
      <w:lvlText w:val="%8."/>
      <w:lvlJc w:val="left"/>
      <w:pPr>
        <w:ind w:left="5760" w:hanging="360"/>
      </w:pPr>
    </w:lvl>
    <w:lvl w:ilvl="8" w:tplc="12022738">
      <w:start w:val="1"/>
      <w:numFmt w:val="lowerRoman"/>
      <w:lvlText w:val="%9."/>
      <w:lvlJc w:val="right"/>
      <w:pPr>
        <w:ind w:left="6480" w:hanging="180"/>
      </w:pPr>
    </w:lvl>
  </w:abstractNum>
  <w:abstractNum w:abstractNumId="26" w15:restartNumberingAfterBreak="0">
    <w:nsid w:val="66B91020"/>
    <w:multiLevelType w:val="hybridMultilevel"/>
    <w:tmpl w:val="69D8E8D8"/>
    <w:lvl w:ilvl="0" w:tplc="02002518">
      <w:start w:val="2031"/>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83055EE"/>
    <w:multiLevelType w:val="hybridMultilevel"/>
    <w:tmpl w:val="9FDC49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8891DD8"/>
    <w:multiLevelType w:val="hybridMultilevel"/>
    <w:tmpl w:val="1C9256E8"/>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BA0338D"/>
    <w:multiLevelType w:val="hybridMultilevel"/>
    <w:tmpl w:val="27DA3E8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F6B31E9"/>
    <w:multiLevelType w:val="hybridMultilevel"/>
    <w:tmpl w:val="3D02CD18"/>
    <w:lvl w:ilvl="0" w:tplc="A69090BC">
      <w:start w:val="1"/>
      <w:numFmt w:val="lowerRoman"/>
      <w:lvlText w:val="%1."/>
      <w:lvlJc w:val="righ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B3E5A54"/>
    <w:multiLevelType w:val="hybridMultilevel"/>
    <w:tmpl w:val="2340CCA6"/>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2" w15:restartNumberingAfterBreak="0">
    <w:nsid w:val="7B734651"/>
    <w:multiLevelType w:val="hybridMultilevel"/>
    <w:tmpl w:val="144AE1C4"/>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F466E99"/>
    <w:multiLevelType w:val="hybridMultilevel"/>
    <w:tmpl w:val="8454F6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1"/>
  </w:num>
  <w:num w:numId="4">
    <w:abstractNumId w:val="16"/>
  </w:num>
  <w:num w:numId="5">
    <w:abstractNumId w:val="11"/>
  </w:num>
  <w:num w:numId="6">
    <w:abstractNumId w:val="4"/>
  </w:num>
  <w:num w:numId="7">
    <w:abstractNumId w:val="2"/>
  </w:num>
  <w:num w:numId="8">
    <w:abstractNumId w:val="33"/>
  </w:num>
  <w:num w:numId="9">
    <w:abstractNumId w:val="24"/>
  </w:num>
  <w:num w:numId="10">
    <w:abstractNumId w:val="14"/>
  </w:num>
  <w:num w:numId="11">
    <w:abstractNumId w:val="21"/>
  </w:num>
  <w:num w:numId="12">
    <w:abstractNumId w:val="27"/>
  </w:num>
  <w:num w:numId="13">
    <w:abstractNumId w:val="18"/>
  </w:num>
  <w:num w:numId="14">
    <w:abstractNumId w:val="12"/>
  </w:num>
  <w:num w:numId="15">
    <w:abstractNumId w:val="0"/>
  </w:num>
  <w:num w:numId="16">
    <w:abstractNumId w:val="20"/>
  </w:num>
  <w:num w:numId="17">
    <w:abstractNumId w:val="23"/>
  </w:num>
  <w:num w:numId="18">
    <w:abstractNumId w:val="5"/>
  </w:num>
  <w:num w:numId="19">
    <w:abstractNumId w:val="10"/>
  </w:num>
  <w:num w:numId="20">
    <w:abstractNumId w:val="13"/>
  </w:num>
  <w:num w:numId="21">
    <w:abstractNumId w:val="9"/>
  </w:num>
  <w:num w:numId="22">
    <w:abstractNumId w:val="7"/>
  </w:num>
  <w:num w:numId="23">
    <w:abstractNumId w:val="26"/>
  </w:num>
  <w:num w:numId="24">
    <w:abstractNumId w:val="3"/>
  </w:num>
  <w:num w:numId="25">
    <w:abstractNumId w:val="15"/>
  </w:num>
  <w:num w:numId="26">
    <w:abstractNumId w:val="19"/>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17"/>
  </w:num>
  <w:num w:numId="35">
    <w:abstractNumId w:val="29"/>
  </w:num>
  <w:num w:numId="36">
    <w:abstractNumId w:val="22"/>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num>
  <w:num w:numId="39">
    <w:abstractNumId w:val="8"/>
  </w:num>
  <w:num w:numId="40">
    <w:abstractNumId w:val="31"/>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5CA"/>
    <w:rsid w:val="000005BE"/>
    <w:rsid w:val="00145FE8"/>
    <w:rsid w:val="001A1B21"/>
    <w:rsid w:val="003D25CA"/>
    <w:rsid w:val="00593D82"/>
    <w:rsid w:val="00774C08"/>
    <w:rsid w:val="007E3E82"/>
    <w:rsid w:val="008263FC"/>
    <w:rsid w:val="00A72F87"/>
    <w:rsid w:val="00B71B0F"/>
    <w:rsid w:val="00BD4276"/>
    <w:rsid w:val="00F77F02"/>
    <w:rsid w:val="00FA3A0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DEEF7"/>
  <w15:chartTrackingRefBased/>
  <w15:docId w15:val="{5204D520-4410-4652-90C7-61974B025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rsid w:val="003D25CA"/>
    <w:rPr>
      <w:lang w:val="en-GB"/>
    </w:rPr>
  </w:style>
  <w:style w:type="paragraph" w:styleId="Heading1">
    <w:name w:val="heading 1"/>
    <w:basedOn w:val="Normal"/>
    <w:next w:val="Normal"/>
    <w:link w:val="Heading1Char"/>
    <w:uiPriority w:val="9"/>
    <w:qFormat/>
    <w:rsid w:val="003D25CA"/>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D25CA"/>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D25CA"/>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D25CA"/>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3D25CA"/>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3D25CA"/>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rsid w:val="003D25CA"/>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D25CA"/>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25CA"/>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5CA"/>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3D25CA"/>
    <w:rPr>
      <w:rFonts w:asciiTheme="majorHAnsi" w:eastAsiaTheme="majorEastAsia" w:hAnsiTheme="majorHAnsi" w:cstheme="majorBidi"/>
      <w:color w:val="2E74B5" w:themeColor="accent1" w:themeShade="BF"/>
      <w:sz w:val="26"/>
      <w:szCs w:val="26"/>
      <w:lang w:val="en-GB"/>
    </w:rPr>
  </w:style>
  <w:style w:type="character" w:customStyle="1" w:styleId="Heading3Char">
    <w:name w:val="Heading 3 Char"/>
    <w:basedOn w:val="DefaultParagraphFont"/>
    <w:link w:val="Heading3"/>
    <w:uiPriority w:val="9"/>
    <w:rsid w:val="003D25CA"/>
    <w:rPr>
      <w:rFonts w:asciiTheme="majorHAnsi" w:eastAsiaTheme="majorEastAsia" w:hAnsiTheme="majorHAnsi" w:cstheme="majorBidi"/>
      <w:color w:val="1F4D78" w:themeColor="accent1" w:themeShade="7F"/>
      <w:sz w:val="24"/>
      <w:szCs w:val="24"/>
      <w:lang w:val="en-GB"/>
    </w:rPr>
  </w:style>
  <w:style w:type="character" w:customStyle="1" w:styleId="Heading4Char">
    <w:name w:val="Heading 4 Char"/>
    <w:basedOn w:val="DefaultParagraphFont"/>
    <w:link w:val="Heading4"/>
    <w:uiPriority w:val="9"/>
    <w:rsid w:val="003D25CA"/>
    <w:rPr>
      <w:rFonts w:asciiTheme="majorHAnsi" w:eastAsiaTheme="majorEastAsia" w:hAnsiTheme="majorHAnsi" w:cstheme="majorBidi"/>
      <w:i/>
      <w:iCs/>
      <w:color w:val="2E74B5" w:themeColor="accent1" w:themeShade="BF"/>
      <w:lang w:val="en-GB"/>
    </w:rPr>
  </w:style>
  <w:style w:type="character" w:customStyle="1" w:styleId="Heading5Char">
    <w:name w:val="Heading 5 Char"/>
    <w:basedOn w:val="DefaultParagraphFont"/>
    <w:link w:val="Heading5"/>
    <w:uiPriority w:val="9"/>
    <w:rsid w:val="003D25CA"/>
    <w:rPr>
      <w:rFonts w:asciiTheme="majorHAnsi" w:eastAsiaTheme="majorEastAsia" w:hAnsiTheme="majorHAnsi" w:cstheme="majorBidi"/>
      <w:color w:val="2E74B5" w:themeColor="accent1" w:themeShade="BF"/>
      <w:lang w:val="en-GB"/>
    </w:rPr>
  </w:style>
  <w:style w:type="character" w:customStyle="1" w:styleId="Heading6Char">
    <w:name w:val="Heading 6 Char"/>
    <w:basedOn w:val="DefaultParagraphFont"/>
    <w:link w:val="Heading6"/>
    <w:uiPriority w:val="9"/>
    <w:rsid w:val="003D25CA"/>
    <w:rPr>
      <w:rFonts w:asciiTheme="majorHAnsi" w:eastAsiaTheme="majorEastAsia" w:hAnsiTheme="majorHAnsi" w:cstheme="majorBidi"/>
      <w:color w:val="1F4D78" w:themeColor="accent1" w:themeShade="7F"/>
      <w:lang w:val="en-GB"/>
    </w:rPr>
  </w:style>
  <w:style w:type="character" w:customStyle="1" w:styleId="Heading7Char">
    <w:name w:val="Heading 7 Char"/>
    <w:basedOn w:val="DefaultParagraphFont"/>
    <w:link w:val="Heading7"/>
    <w:uiPriority w:val="9"/>
    <w:semiHidden/>
    <w:rsid w:val="003D25CA"/>
    <w:rPr>
      <w:rFonts w:asciiTheme="majorHAnsi" w:eastAsiaTheme="majorEastAsia" w:hAnsiTheme="majorHAnsi" w:cstheme="majorBidi"/>
      <w:i/>
      <w:iCs/>
      <w:color w:val="1F4D78" w:themeColor="accent1" w:themeShade="7F"/>
      <w:lang w:val="en-GB"/>
    </w:rPr>
  </w:style>
  <w:style w:type="character" w:customStyle="1" w:styleId="Heading8Char">
    <w:name w:val="Heading 8 Char"/>
    <w:basedOn w:val="DefaultParagraphFont"/>
    <w:link w:val="Heading8"/>
    <w:uiPriority w:val="9"/>
    <w:semiHidden/>
    <w:rsid w:val="003D25CA"/>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3D25CA"/>
    <w:rPr>
      <w:rFonts w:asciiTheme="majorHAnsi" w:eastAsiaTheme="majorEastAsia" w:hAnsiTheme="majorHAnsi" w:cstheme="majorBidi"/>
      <w:i/>
      <w:iCs/>
      <w:color w:val="272727" w:themeColor="text1" w:themeTint="D8"/>
      <w:sz w:val="21"/>
      <w:szCs w:val="21"/>
      <w:lang w:val="en-GB"/>
    </w:rPr>
  </w:style>
  <w:style w:type="character" w:customStyle="1" w:styleId="TitleChar">
    <w:name w:val="Title Char"/>
    <w:basedOn w:val="DefaultParagraphFont"/>
    <w:link w:val="Title"/>
    <w:uiPriority w:val="10"/>
    <w:rsid w:val="003D25CA"/>
    <w:rPr>
      <w:rFonts w:asciiTheme="majorHAnsi" w:eastAsiaTheme="majorEastAsia" w:hAnsiTheme="majorHAnsi" w:cstheme="majorBidi"/>
      <w:spacing w:val="-10"/>
      <w:kern w:val="28"/>
      <w:sz w:val="56"/>
      <w:szCs w:val="56"/>
    </w:rPr>
  </w:style>
  <w:style w:type="paragraph" w:styleId="Title">
    <w:name w:val="Title"/>
    <w:basedOn w:val="BalloonText"/>
    <w:next w:val="Normal"/>
    <w:link w:val="TitleChar"/>
    <w:uiPriority w:val="10"/>
    <w:qFormat/>
    <w:rsid w:val="003D25CA"/>
    <w:pPr>
      <w:contextualSpacing/>
    </w:pPr>
    <w:rPr>
      <w:rFonts w:asciiTheme="majorHAnsi" w:eastAsiaTheme="majorEastAsia" w:hAnsiTheme="majorHAnsi" w:cstheme="majorBidi"/>
      <w:spacing w:val="-10"/>
      <w:kern w:val="28"/>
      <w:sz w:val="56"/>
      <w:szCs w:val="56"/>
      <w:lang w:val="en-IE"/>
    </w:rPr>
  </w:style>
  <w:style w:type="character" w:customStyle="1" w:styleId="TitleChar1">
    <w:name w:val="Title Char1"/>
    <w:basedOn w:val="DefaultParagraphFont"/>
    <w:uiPriority w:val="10"/>
    <w:rsid w:val="003D25CA"/>
    <w:rPr>
      <w:rFonts w:asciiTheme="majorHAnsi" w:eastAsiaTheme="majorEastAsia" w:hAnsiTheme="majorHAnsi" w:cstheme="majorBidi"/>
      <w:spacing w:val="-10"/>
      <w:kern w:val="28"/>
      <w:sz w:val="56"/>
      <w:szCs w:val="56"/>
      <w:lang w:val="en-GB"/>
    </w:rPr>
  </w:style>
  <w:style w:type="paragraph" w:styleId="TOCHeading">
    <w:name w:val="TOC Heading"/>
    <w:basedOn w:val="Heading1"/>
    <w:next w:val="Normal"/>
    <w:uiPriority w:val="39"/>
    <w:unhideWhenUsed/>
    <w:qFormat/>
    <w:rsid w:val="003D25CA"/>
    <w:pPr>
      <w:outlineLvl w:val="9"/>
    </w:pPr>
    <w:rPr>
      <w:lang w:val="en-US"/>
    </w:rPr>
  </w:style>
  <w:style w:type="paragraph" w:styleId="TOC1">
    <w:name w:val="toc 1"/>
    <w:basedOn w:val="Normal"/>
    <w:next w:val="Normal"/>
    <w:autoRedefine/>
    <w:uiPriority w:val="39"/>
    <w:unhideWhenUsed/>
    <w:rsid w:val="003D25CA"/>
    <w:pPr>
      <w:tabs>
        <w:tab w:val="right" w:leader="dot" w:pos="9016"/>
      </w:tabs>
      <w:spacing w:after="100"/>
    </w:pPr>
  </w:style>
  <w:style w:type="paragraph" w:styleId="TOC2">
    <w:name w:val="toc 2"/>
    <w:basedOn w:val="Normal"/>
    <w:next w:val="Normal"/>
    <w:autoRedefine/>
    <w:uiPriority w:val="39"/>
    <w:unhideWhenUsed/>
    <w:rsid w:val="003D25CA"/>
    <w:pPr>
      <w:spacing w:after="100"/>
      <w:ind w:left="220"/>
    </w:pPr>
  </w:style>
  <w:style w:type="paragraph" w:styleId="TOC3">
    <w:name w:val="toc 3"/>
    <w:basedOn w:val="Normal"/>
    <w:next w:val="Normal"/>
    <w:autoRedefine/>
    <w:uiPriority w:val="39"/>
    <w:unhideWhenUsed/>
    <w:rsid w:val="003D25CA"/>
    <w:pPr>
      <w:spacing w:after="100"/>
      <w:ind w:left="440"/>
    </w:pPr>
  </w:style>
  <w:style w:type="character" w:styleId="Hyperlink">
    <w:name w:val="Hyperlink"/>
    <w:basedOn w:val="DefaultParagraphFont"/>
    <w:uiPriority w:val="99"/>
    <w:unhideWhenUsed/>
    <w:rsid w:val="003D25CA"/>
    <w:rPr>
      <w:color w:val="0563C1" w:themeColor="hyperlink"/>
      <w:u w:val="single"/>
    </w:rPr>
  </w:style>
  <w:style w:type="table" w:styleId="TableGrid">
    <w:name w:val="Table Grid"/>
    <w:basedOn w:val="TableNormal"/>
    <w:uiPriority w:val="59"/>
    <w:rsid w:val="003D25CA"/>
    <w:pPr>
      <w:spacing w:after="0" w:line="240" w:lineRule="auto"/>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D25CA"/>
    <w:pPr>
      <w:ind w:left="720"/>
      <w:contextualSpacing/>
    </w:pPr>
  </w:style>
  <w:style w:type="paragraph" w:styleId="CommentText">
    <w:name w:val="annotation text"/>
    <w:basedOn w:val="Normal"/>
    <w:link w:val="CommentTextChar"/>
    <w:uiPriority w:val="99"/>
    <w:semiHidden/>
    <w:unhideWhenUsed/>
    <w:rsid w:val="003D25CA"/>
    <w:pPr>
      <w:spacing w:line="240" w:lineRule="auto"/>
    </w:pPr>
    <w:rPr>
      <w:sz w:val="20"/>
      <w:szCs w:val="20"/>
    </w:rPr>
  </w:style>
  <w:style w:type="character" w:customStyle="1" w:styleId="CommentTextChar">
    <w:name w:val="Comment Text Char"/>
    <w:basedOn w:val="DefaultParagraphFont"/>
    <w:link w:val="CommentText"/>
    <w:uiPriority w:val="99"/>
    <w:semiHidden/>
    <w:rsid w:val="003D25CA"/>
    <w:rPr>
      <w:sz w:val="20"/>
      <w:szCs w:val="20"/>
      <w:lang w:val="en-GB"/>
    </w:rPr>
  </w:style>
  <w:style w:type="character" w:styleId="CommentReference">
    <w:name w:val="annotation reference"/>
    <w:basedOn w:val="DefaultParagraphFont"/>
    <w:uiPriority w:val="99"/>
    <w:semiHidden/>
    <w:unhideWhenUsed/>
    <w:rsid w:val="003D25CA"/>
    <w:rPr>
      <w:sz w:val="16"/>
      <w:szCs w:val="16"/>
    </w:rPr>
  </w:style>
  <w:style w:type="paragraph" w:styleId="CommentSubject">
    <w:name w:val="annotation subject"/>
    <w:basedOn w:val="CommentText"/>
    <w:next w:val="CommentText"/>
    <w:link w:val="CommentSubjectChar"/>
    <w:uiPriority w:val="99"/>
    <w:semiHidden/>
    <w:unhideWhenUsed/>
    <w:rsid w:val="003D25CA"/>
    <w:rPr>
      <w:b/>
      <w:bCs/>
    </w:rPr>
  </w:style>
  <w:style w:type="character" w:customStyle="1" w:styleId="CommentSubjectChar">
    <w:name w:val="Comment Subject Char"/>
    <w:basedOn w:val="CommentTextChar"/>
    <w:link w:val="CommentSubject"/>
    <w:uiPriority w:val="99"/>
    <w:semiHidden/>
    <w:rsid w:val="003D25CA"/>
    <w:rPr>
      <w:b/>
      <w:bCs/>
      <w:sz w:val="20"/>
      <w:szCs w:val="20"/>
      <w:lang w:val="en-GB"/>
    </w:rPr>
  </w:style>
  <w:style w:type="paragraph" w:styleId="Revision">
    <w:name w:val="Revision"/>
    <w:hidden/>
    <w:uiPriority w:val="99"/>
    <w:semiHidden/>
    <w:rsid w:val="003D25CA"/>
    <w:pPr>
      <w:spacing w:after="0" w:line="240" w:lineRule="auto"/>
    </w:pPr>
    <w:rPr>
      <w:lang w:val="en-GB"/>
    </w:rPr>
  </w:style>
  <w:style w:type="paragraph" w:styleId="BalloonText">
    <w:name w:val="Balloon Text"/>
    <w:basedOn w:val="Normal"/>
    <w:link w:val="BalloonTextChar"/>
    <w:uiPriority w:val="99"/>
    <w:semiHidden/>
    <w:unhideWhenUsed/>
    <w:rsid w:val="003D25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5CA"/>
    <w:rPr>
      <w:rFonts w:ascii="Segoe UI" w:hAnsi="Segoe UI" w:cs="Segoe UI"/>
      <w:sz w:val="18"/>
      <w:szCs w:val="18"/>
      <w:lang w:val="en-GB"/>
    </w:rPr>
  </w:style>
  <w:style w:type="character" w:styleId="FollowedHyperlink">
    <w:name w:val="FollowedHyperlink"/>
    <w:basedOn w:val="DefaultParagraphFont"/>
    <w:uiPriority w:val="99"/>
    <w:semiHidden/>
    <w:unhideWhenUsed/>
    <w:rsid w:val="003D25CA"/>
    <w:rPr>
      <w:color w:val="954F72" w:themeColor="followedHyperlink"/>
      <w:u w:val="single"/>
    </w:rPr>
  </w:style>
  <w:style w:type="paragraph" w:styleId="TOC4">
    <w:name w:val="toc 4"/>
    <w:basedOn w:val="Normal"/>
    <w:next w:val="Normal"/>
    <w:autoRedefine/>
    <w:uiPriority w:val="39"/>
    <w:unhideWhenUsed/>
    <w:rsid w:val="003D25CA"/>
    <w:pPr>
      <w:spacing w:after="100"/>
      <w:ind w:left="660"/>
    </w:pPr>
    <w:rPr>
      <w:rFonts w:eastAsiaTheme="minorEastAsia"/>
      <w:lang w:val="en-IE" w:eastAsia="en-IE"/>
    </w:rPr>
  </w:style>
  <w:style w:type="paragraph" w:styleId="TOC5">
    <w:name w:val="toc 5"/>
    <w:basedOn w:val="Normal"/>
    <w:next w:val="Normal"/>
    <w:autoRedefine/>
    <w:uiPriority w:val="39"/>
    <w:unhideWhenUsed/>
    <w:rsid w:val="003D25CA"/>
    <w:pPr>
      <w:spacing w:after="100"/>
      <w:ind w:left="880"/>
    </w:pPr>
    <w:rPr>
      <w:rFonts w:eastAsiaTheme="minorEastAsia"/>
      <w:lang w:val="en-IE" w:eastAsia="en-IE"/>
    </w:rPr>
  </w:style>
  <w:style w:type="paragraph" w:styleId="TOC6">
    <w:name w:val="toc 6"/>
    <w:basedOn w:val="Normal"/>
    <w:next w:val="Normal"/>
    <w:autoRedefine/>
    <w:uiPriority w:val="39"/>
    <w:unhideWhenUsed/>
    <w:rsid w:val="003D25CA"/>
    <w:pPr>
      <w:spacing w:after="100"/>
      <w:ind w:left="1100"/>
    </w:pPr>
    <w:rPr>
      <w:rFonts w:eastAsiaTheme="minorEastAsia"/>
      <w:lang w:val="en-IE" w:eastAsia="en-IE"/>
    </w:rPr>
  </w:style>
  <w:style w:type="paragraph" w:styleId="TOC7">
    <w:name w:val="toc 7"/>
    <w:basedOn w:val="Normal"/>
    <w:next w:val="Normal"/>
    <w:autoRedefine/>
    <w:uiPriority w:val="39"/>
    <w:unhideWhenUsed/>
    <w:rsid w:val="003D25CA"/>
    <w:pPr>
      <w:spacing w:after="100"/>
      <w:ind w:left="1320"/>
    </w:pPr>
    <w:rPr>
      <w:rFonts w:eastAsiaTheme="minorEastAsia"/>
      <w:lang w:val="en-IE" w:eastAsia="en-IE"/>
    </w:rPr>
  </w:style>
  <w:style w:type="paragraph" w:styleId="TOC8">
    <w:name w:val="toc 8"/>
    <w:basedOn w:val="Normal"/>
    <w:next w:val="Normal"/>
    <w:autoRedefine/>
    <w:uiPriority w:val="39"/>
    <w:unhideWhenUsed/>
    <w:rsid w:val="003D25CA"/>
    <w:pPr>
      <w:spacing w:after="100"/>
      <w:ind w:left="1540"/>
    </w:pPr>
    <w:rPr>
      <w:rFonts w:eastAsiaTheme="minorEastAsia"/>
      <w:lang w:val="en-IE" w:eastAsia="en-IE"/>
    </w:rPr>
  </w:style>
  <w:style w:type="paragraph" w:styleId="TOC9">
    <w:name w:val="toc 9"/>
    <w:basedOn w:val="Normal"/>
    <w:next w:val="Normal"/>
    <w:autoRedefine/>
    <w:uiPriority w:val="39"/>
    <w:unhideWhenUsed/>
    <w:rsid w:val="003D25CA"/>
    <w:pPr>
      <w:spacing w:after="100"/>
      <w:ind w:left="1760"/>
    </w:pPr>
    <w:rPr>
      <w:rFonts w:eastAsiaTheme="minorEastAsia"/>
      <w:lang w:val="en-IE" w:eastAsia="en-IE"/>
    </w:rPr>
  </w:style>
  <w:style w:type="paragraph" w:styleId="Header">
    <w:name w:val="header"/>
    <w:basedOn w:val="Normal"/>
    <w:link w:val="HeaderChar"/>
    <w:uiPriority w:val="99"/>
    <w:unhideWhenUsed/>
    <w:rsid w:val="003D25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25CA"/>
    <w:rPr>
      <w:lang w:val="en-GB"/>
    </w:rPr>
  </w:style>
  <w:style w:type="paragraph" w:styleId="Footer">
    <w:name w:val="footer"/>
    <w:basedOn w:val="Normal"/>
    <w:link w:val="FooterChar"/>
    <w:uiPriority w:val="99"/>
    <w:unhideWhenUsed/>
    <w:rsid w:val="003D25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5CA"/>
    <w:rPr>
      <w:lang w:val="en-GB"/>
    </w:rPr>
  </w:style>
  <w:style w:type="character" w:styleId="PlaceholderText">
    <w:name w:val="Placeholder Text"/>
    <w:basedOn w:val="DefaultParagraphFont"/>
    <w:uiPriority w:val="99"/>
    <w:semiHidden/>
    <w:rsid w:val="003D25CA"/>
    <w:rPr>
      <w:color w:val="808080"/>
    </w:rPr>
  </w:style>
  <w:style w:type="paragraph" w:styleId="Caption">
    <w:name w:val="caption"/>
    <w:basedOn w:val="Normal"/>
    <w:next w:val="Normal"/>
    <w:uiPriority w:val="35"/>
    <w:unhideWhenUsed/>
    <w:qFormat/>
    <w:rsid w:val="003D25CA"/>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D25CA"/>
    <w:pPr>
      <w:spacing w:after="0"/>
    </w:pPr>
  </w:style>
  <w:style w:type="paragraph" w:styleId="FootnoteText">
    <w:name w:val="footnote text"/>
    <w:basedOn w:val="Normal"/>
    <w:link w:val="FootnoteTextChar"/>
    <w:uiPriority w:val="99"/>
    <w:semiHidden/>
    <w:unhideWhenUsed/>
    <w:rsid w:val="003D25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25CA"/>
    <w:rPr>
      <w:sz w:val="20"/>
      <w:szCs w:val="20"/>
      <w:lang w:val="en-GB"/>
    </w:rPr>
  </w:style>
  <w:style w:type="character" w:styleId="FootnoteReference">
    <w:name w:val="footnote reference"/>
    <w:basedOn w:val="DefaultParagraphFont"/>
    <w:uiPriority w:val="99"/>
    <w:semiHidden/>
    <w:unhideWhenUsed/>
    <w:rsid w:val="003D25CA"/>
    <w:rPr>
      <w:vertAlign w:val="superscript"/>
    </w:rPr>
  </w:style>
  <w:style w:type="character" w:styleId="EndnoteReference">
    <w:name w:val="endnote reference"/>
    <w:basedOn w:val="DefaultParagraphFont"/>
    <w:uiPriority w:val="99"/>
    <w:semiHidden/>
    <w:unhideWhenUsed/>
    <w:rsid w:val="003D25CA"/>
    <w:rPr>
      <w:vertAlign w:val="superscript"/>
    </w:rPr>
  </w:style>
  <w:style w:type="table" w:styleId="GridTable1Light-Accent1">
    <w:name w:val="Grid Table 1 Light Accent 1"/>
    <w:basedOn w:val="TableNormal"/>
    <w:uiPriority w:val="46"/>
    <w:rsid w:val="003D25CA"/>
    <w:pPr>
      <w:spacing w:after="0" w:line="240" w:lineRule="auto"/>
    </w:pPr>
    <w:rPr>
      <w:lang w:val="en-GB"/>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3D25CA"/>
    <w:pPr>
      <w:spacing w:after="0" w:line="240" w:lineRule="auto"/>
    </w:pPr>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D25CA"/>
    <w:pPr>
      <w:spacing w:after="0" w:line="240"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3D25CA"/>
    <w:pPr>
      <w:spacing w:after="0" w:line="240" w:lineRule="auto"/>
    </w:pPr>
    <w:rPr>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D25CA"/>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rsid w:val="003D25CA"/>
    <w:pPr>
      <w:spacing w:after="0" w:line="240" w:lineRule="auto"/>
    </w:pPr>
    <w:rPr>
      <w:lang w:val="en-GB"/>
    </w:rPr>
  </w:style>
  <w:style w:type="paragraph" w:customStyle="1" w:styleId="paragraph">
    <w:name w:val="paragraph"/>
    <w:basedOn w:val="Normal"/>
    <w:rsid w:val="003D25CA"/>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3D25CA"/>
  </w:style>
  <w:style w:type="character" w:customStyle="1" w:styleId="eop">
    <w:name w:val="eop"/>
    <w:basedOn w:val="DefaultParagraphFont"/>
    <w:rsid w:val="003D25CA"/>
  </w:style>
  <w:style w:type="table" w:styleId="TableGridLight">
    <w:name w:val="Grid Table Light"/>
    <w:basedOn w:val="TableNormal"/>
    <w:uiPriority w:val="40"/>
    <w:rsid w:val="003D25CA"/>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
    <w:name w:val="Unresolved Mention1"/>
    <w:basedOn w:val="DefaultParagraphFont"/>
    <w:uiPriority w:val="99"/>
    <w:semiHidden/>
    <w:unhideWhenUsed/>
    <w:rsid w:val="003D25CA"/>
    <w:rPr>
      <w:color w:val="605E5C"/>
      <w:shd w:val="clear" w:color="auto" w:fill="E1DFDD"/>
    </w:rPr>
  </w:style>
  <w:style w:type="character" w:customStyle="1" w:styleId="Mention1">
    <w:name w:val="Mention1"/>
    <w:basedOn w:val="DefaultParagraphFont"/>
    <w:uiPriority w:val="99"/>
    <w:unhideWhenUsed/>
    <w:rsid w:val="003D25CA"/>
    <w:rPr>
      <w:color w:val="2B579A"/>
      <w:shd w:val="clear" w:color="auto" w:fill="E6E6E6"/>
    </w:rPr>
  </w:style>
  <w:style w:type="table" w:styleId="GridTable1Light">
    <w:name w:val="Grid Table 1 Light"/>
    <w:basedOn w:val="TableNormal"/>
    <w:uiPriority w:val="46"/>
    <w:rsid w:val="003D25CA"/>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LineNumber">
    <w:name w:val="line number"/>
    <w:basedOn w:val="DefaultParagraphFont"/>
    <w:uiPriority w:val="99"/>
    <w:semiHidden/>
    <w:unhideWhenUsed/>
    <w:rsid w:val="003D25CA"/>
  </w:style>
  <w:style w:type="character" w:styleId="BookTitle">
    <w:name w:val="Book Title"/>
    <w:basedOn w:val="DefaultParagraphFont"/>
    <w:uiPriority w:val="33"/>
    <w:qFormat/>
    <w:rsid w:val="003D25CA"/>
    <w:rPr>
      <w:b/>
      <w:bCs/>
      <w:i/>
      <w:iCs/>
      <w:spacing w:val="5"/>
    </w:rPr>
  </w:style>
  <w:style w:type="paragraph" w:styleId="BodyText">
    <w:name w:val="Body Text"/>
    <w:basedOn w:val="Normal"/>
    <w:link w:val="BodyTextChar"/>
    <w:uiPriority w:val="99"/>
    <w:semiHidden/>
    <w:unhideWhenUsed/>
    <w:rsid w:val="003D25CA"/>
    <w:pPr>
      <w:spacing w:after="120"/>
    </w:pPr>
  </w:style>
  <w:style w:type="character" w:customStyle="1" w:styleId="BodyTextChar">
    <w:name w:val="Body Text Char"/>
    <w:basedOn w:val="DefaultParagraphFont"/>
    <w:link w:val="BodyText"/>
    <w:uiPriority w:val="99"/>
    <w:semiHidden/>
    <w:rsid w:val="003D25CA"/>
    <w:rPr>
      <w:lang w:val="en-GB"/>
    </w:rPr>
  </w:style>
  <w:style w:type="character" w:styleId="IntenseReference">
    <w:name w:val="Intense Reference"/>
    <w:basedOn w:val="DefaultParagraphFont"/>
    <w:uiPriority w:val="32"/>
    <w:qFormat/>
    <w:rsid w:val="003D25CA"/>
    <w:rPr>
      <w:b/>
      <w:bCs/>
      <w:smallCaps/>
      <w:color w:val="5B9BD5" w:themeColor="accent1"/>
      <w:spacing w:val="5"/>
    </w:rPr>
  </w:style>
  <w:style w:type="paragraph" w:styleId="Quote">
    <w:name w:val="Quote"/>
    <w:basedOn w:val="Normal"/>
    <w:next w:val="Normal"/>
    <w:link w:val="QuoteChar"/>
    <w:uiPriority w:val="29"/>
    <w:qFormat/>
    <w:rsid w:val="003D25C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D25CA"/>
    <w:rPr>
      <w:i/>
      <w:iCs/>
      <w:color w:val="404040" w:themeColor="text1" w:themeTint="BF"/>
      <w:lang w:val="en-GB"/>
    </w:rPr>
  </w:style>
  <w:style w:type="character" w:styleId="Strong">
    <w:name w:val="Strong"/>
    <w:basedOn w:val="DefaultParagraphFont"/>
    <w:uiPriority w:val="22"/>
    <w:qFormat/>
    <w:rsid w:val="003D25CA"/>
    <w:rPr>
      <w:b/>
      <w:bCs/>
    </w:rPr>
  </w:style>
  <w:style w:type="paragraph" w:styleId="Subtitle">
    <w:name w:val="Subtitle"/>
    <w:basedOn w:val="Normal"/>
    <w:next w:val="Normal"/>
    <w:link w:val="SubtitleChar"/>
    <w:uiPriority w:val="11"/>
    <w:qFormat/>
    <w:rsid w:val="003D25C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D25CA"/>
    <w:rPr>
      <w:rFonts w:eastAsiaTheme="minorEastAsia"/>
      <w:color w:val="5A5A5A" w:themeColor="text1" w:themeTint="A5"/>
      <w:spacing w:val="15"/>
      <w:lang w:val="en-GB"/>
    </w:rPr>
  </w:style>
  <w:style w:type="character" w:styleId="SubtleEmphasis">
    <w:name w:val="Subtle Emphasis"/>
    <w:basedOn w:val="DefaultParagraphFont"/>
    <w:uiPriority w:val="19"/>
    <w:qFormat/>
    <w:rsid w:val="003D25CA"/>
    <w:rPr>
      <w:i/>
      <w:iCs/>
      <w:color w:val="404040" w:themeColor="text1" w:themeTint="BF"/>
    </w:rPr>
  </w:style>
  <w:style w:type="character" w:styleId="Emphasis">
    <w:name w:val="Emphasis"/>
    <w:basedOn w:val="DefaultParagraphFont"/>
    <w:uiPriority w:val="20"/>
    <w:qFormat/>
    <w:rsid w:val="003D25CA"/>
    <w:rPr>
      <w:i/>
      <w:iCs/>
    </w:rPr>
  </w:style>
  <w:style w:type="paragraph" w:customStyle="1" w:styleId="Style1">
    <w:name w:val="Style1"/>
    <w:basedOn w:val="Title"/>
    <w:link w:val="Style1Char"/>
    <w:qFormat/>
    <w:rsid w:val="003D25CA"/>
  </w:style>
  <w:style w:type="character" w:styleId="SubtleReference">
    <w:name w:val="Subtle Reference"/>
    <w:basedOn w:val="DefaultParagraphFont"/>
    <w:uiPriority w:val="31"/>
    <w:qFormat/>
    <w:rsid w:val="003D25CA"/>
    <w:rPr>
      <w:smallCaps/>
      <w:color w:val="5A5A5A" w:themeColor="text1" w:themeTint="A5"/>
    </w:rPr>
  </w:style>
  <w:style w:type="character" w:customStyle="1" w:styleId="Style1Char">
    <w:name w:val="Style1 Char"/>
    <w:basedOn w:val="TitleChar"/>
    <w:link w:val="Style1"/>
    <w:rsid w:val="003D25CA"/>
    <w:rPr>
      <w:rFonts w:asciiTheme="majorHAnsi" w:eastAsiaTheme="majorEastAsia" w:hAnsiTheme="majorHAnsi" w:cstheme="majorBidi"/>
      <w:spacing w:val="-10"/>
      <w:kern w:val="28"/>
      <w:sz w:val="56"/>
      <w:szCs w:val="56"/>
    </w:rPr>
  </w:style>
  <w:style w:type="character" w:customStyle="1" w:styleId="Mention2">
    <w:name w:val="Mention2"/>
    <w:basedOn w:val="DefaultParagraphFont"/>
    <w:uiPriority w:val="99"/>
    <w:unhideWhenUsed/>
    <w:rsid w:val="003D25C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oleObject" Target="embeddings/oleObject16.bin"/><Relationship Id="rId3" Type="http://schemas.openxmlformats.org/officeDocument/2006/relationships/styles" Target="styles.xml"/><Relationship Id="rId21" Type="http://schemas.openxmlformats.org/officeDocument/2006/relationships/oleObject" Target="embeddings/oleObject7.bin"/><Relationship Id="rId34" Type="http://schemas.openxmlformats.org/officeDocument/2006/relationships/image" Target="media/image14.png"/><Relationship Id="rId42" Type="http://schemas.openxmlformats.org/officeDocument/2006/relationships/image" Target="media/image18.jp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pn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oleObject" Target="embeddings/oleObject11.bin"/><Relationship Id="rId41" Type="http://schemas.openxmlformats.org/officeDocument/2006/relationships/oleObject" Target="embeddings/oleObject17.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oleObject" Target="embeddings/oleObject15.bin"/><Relationship Id="rId40" Type="http://schemas.openxmlformats.org/officeDocument/2006/relationships/image" Target="media/image17.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png"/><Relationship Id="rId36"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image" Target="media/image20.jp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oleObject" Target="embeddings/oleObject10.bin"/><Relationship Id="rId30" Type="http://schemas.openxmlformats.org/officeDocument/2006/relationships/image" Target="media/image12.png"/><Relationship Id="rId35" Type="http://schemas.openxmlformats.org/officeDocument/2006/relationships/oleObject" Target="embeddings/oleObject14.bin"/><Relationship Id="rId43" Type="http://schemas.openxmlformats.org/officeDocument/2006/relationships/image" Target="media/image19.jpg"/><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mdoshea.ie/irish-cement-per-tonne-cork-kerry-killarney-ballincollig" TargetMode="External"/><Relationship Id="rId1" Type="http://schemas.openxmlformats.org/officeDocument/2006/relationships/hyperlink" Target="http://www.strataireland.com/pages/view/bulk-coal-bagged---t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38FA1-76BF-4B53-B840-D0FC8E4D6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10197</Words>
  <Characters>58125</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DCU</Company>
  <LinksUpToDate>false</LinksUpToDate>
  <CharactersWithSpaces>68186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Deeney, Peter</dc:creator>
  <cp:keywords/>
  <dc:description/>
  <cp:lastModifiedBy>Deeney, Peter</cp:lastModifiedBy>
  <cp:revision>3</cp:revision>
  <dcterms:created xsi:type="dcterms:W3CDTF">2021-05-04T12:57:00Z</dcterms:created>
  <dcterms:modified xsi:type="dcterms:W3CDTF">2021-05-04T13:49:00Z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7f15c105-a5a6-317c-aaa0-43528f21eb6b</vt:lpwstr>
  </property>
  <property fmtid="{D5CDD505-2E9C-101B-9397-08002B2CF9AE}" pid="24" name="Mendeley Citation Style_1">
    <vt:lpwstr>http://www.zotero.org/styles/harvard-cite-them-right</vt:lpwstr>
  </property>
</Properties>
</file>