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6C44" w:rsidP="6DCD397E" w:rsidRDefault="00BD45EA" w14:paraId="538D5D2C" w14:textId="6A908602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6DCD397E" w:rsidR="770F30C0">
        <w:rPr>
          <w:b w:val="1"/>
          <w:bCs w:val="1"/>
          <w:color w:val="000000" w:themeColor="text1" w:themeTint="FF" w:themeShade="FF"/>
          <w:sz w:val="22"/>
          <w:szCs w:val="22"/>
        </w:rPr>
        <w:t xml:space="preserve">Supplementary </w:t>
      </w:r>
      <w:r w:rsidRPr="6DCD397E" w:rsidR="3434D27E">
        <w:rPr>
          <w:b w:val="1"/>
          <w:bCs w:val="1"/>
          <w:color w:val="000000" w:themeColor="text1" w:themeTint="FF" w:themeShade="FF"/>
          <w:sz w:val="22"/>
          <w:szCs w:val="22"/>
        </w:rPr>
        <w:t>Table</w:t>
      </w:r>
      <w:r w:rsidRPr="6DCD397E" w:rsidR="25B178C6">
        <w:rPr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6DCD397E" w:rsidR="288F2CD2">
        <w:rPr>
          <w:b w:val="1"/>
          <w:bCs w:val="1"/>
          <w:color w:val="000000" w:themeColor="text1" w:themeTint="FF" w:themeShade="FF"/>
          <w:sz w:val="22"/>
          <w:szCs w:val="22"/>
        </w:rPr>
        <w:t>3</w:t>
      </w:r>
      <w:r w:rsidRPr="6DCD397E" w:rsidR="3434D27E">
        <w:rPr>
          <w:b w:val="1"/>
          <w:bCs w:val="1"/>
          <w:color w:val="000000" w:themeColor="text1" w:themeTint="FF" w:themeShade="FF"/>
          <w:sz w:val="22"/>
          <w:szCs w:val="22"/>
        </w:rPr>
        <w:t>. Shapiro-Wilk Normality Tests for Continuous Variables</w:t>
      </w:r>
    </w:p>
    <w:tbl>
      <w:tblPr>
        <w:tblW w:w="129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800"/>
        <w:gridCol w:w="1800"/>
        <w:gridCol w:w="1800"/>
        <w:gridCol w:w="1800"/>
        <w:gridCol w:w="2560"/>
      </w:tblGrid>
      <w:tr w:rsidR="00586C44" w:rsidTr="4BD917D1" w14:paraId="7C7ED60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 w:themeFill="accent5" w:themeFillShade="8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713C49F5" w14:textId="77777777">
            <w:pPr>
              <w:jc w:val="center"/>
            </w:pPr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 w:themeFill="accent5" w:themeFillShade="8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30EE2834" w14:textId="77777777">
            <w:pPr>
              <w:jc w:val="center"/>
            </w:pPr>
            <w:r>
              <w:rPr>
                <w:b/>
                <w:bCs/>
                <w:color w:val="FFFFFF"/>
              </w:rPr>
              <w:t>Analysis Context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 w:themeFill="accent5" w:themeFillShade="8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3B891175" w14:textId="57EA3AC0">
            <w:pPr>
              <w:jc w:val="center"/>
            </w:pPr>
            <w:r w:rsidRPr="4BD917D1" w:rsidR="06582090">
              <w:rPr>
                <w:b w:val="1"/>
                <w:bCs w:val="1"/>
                <w:color w:val="FFFFFF" w:themeColor="background1" w:themeTint="FF" w:themeShade="FF"/>
              </w:rPr>
              <w:t xml:space="preserve">Normality </w:t>
            </w:r>
            <w:r w:rsidRPr="4BD917D1" w:rsidR="1A5ED624">
              <w:rPr>
                <w:b w:val="1"/>
                <w:bCs w:val="1"/>
                <w:color w:val="FFFFFF" w:themeColor="background1" w:themeTint="FF" w:themeShade="FF"/>
              </w:rPr>
              <w:t>Test Applied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 w:themeFill="accent5" w:themeFillShade="8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146F82AF" w14:textId="77777777">
            <w:pPr>
              <w:jc w:val="center"/>
            </w:pPr>
            <w:r>
              <w:rPr>
                <w:b/>
                <w:bCs/>
                <w:color w:val="FFFFFF"/>
              </w:rPr>
              <w:t>Shapiro-Wilk W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 w:themeFill="accent5" w:themeFillShade="8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14F52A80" w14:textId="77777777">
            <w:pPr>
              <w:jc w:val="center"/>
            </w:pPr>
            <w:r>
              <w:rPr>
                <w:b/>
                <w:bCs/>
                <w:color w:val="FFFFFF"/>
              </w:rPr>
              <w:t>p-value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 w:themeFill="accent5" w:themeFillShade="8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1C6C2973" w14:textId="77777777">
            <w:pPr>
              <w:jc w:val="center"/>
            </w:pPr>
            <w:r>
              <w:rPr>
                <w:b/>
                <w:bCs/>
                <w:color w:val="FFFFFF"/>
              </w:rPr>
              <w:t>Distribution</w:t>
            </w:r>
          </w:p>
        </w:tc>
      </w:tr>
      <w:tr w:rsidR="00586C44" w:rsidTr="4BD917D1" w14:paraId="579C61B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28E6902F" w14:textId="77777777">
            <w:r>
              <w:rPr>
                <w:color w:val="000000"/>
              </w:rPr>
              <w:t>FACT-Hep total score (baseline)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30361E70" w14:textId="77777777">
            <w:r>
              <w:rPr>
                <w:color w:val="000000"/>
              </w:rPr>
              <w:t>Comparison of baseline scores between responders and non-responders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273A6D7B" w14:textId="77777777">
            <w:pPr>
              <w:jc w:val="center"/>
            </w:pPr>
            <w:r>
              <w:rPr>
                <w:color w:val="000000"/>
              </w:rPr>
              <w:t>Shapiro-Wilk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0786C368" w14:textId="35A1FCD7">
            <w:pPr>
              <w:jc w:val="center"/>
            </w:pPr>
            <w:r w:rsidRPr="6DCD397E" w:rsidR="3434D27E">
              <w:rPr>
                <w:color w:val="000000" w:themeColor="text1" w:themeTint="FF" w:themeShade="FF"/>
              </w:rPr>
              <w:t>0.92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58031757" w14:textId="77777777">
            <w:pPr>
              <w:jc w:val="center"/>
            </w:pPr>
            <w:r>
              <w:rPr>
                <w:color w:val="000000"/>
              </w:rPr>
              <w:t>0.005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09A3450B" w14:textId="77777777">
            <w:pPr>
              <w:jc w:val="center"/>
            </w:pPr>
            <w:r>
              <w:rPr>
                <w:b/>
                <w:bCs/>
                <w:color w:val="C00000"/>
              </w:rPr>
              <w:t>Non-normal</w:t>
            </w:r>
          </w:p>
        </w:tc>
      </w:tr>
      <w:tr w:rsidR="00586C44" w:rsidTr="4BD917D1" w14:paraId="3D33065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255D24C3" w14:textId="77777777">
            <w:r>
              <w:rPr>
                <w:color w:val="000000"/>
              </w:rPr>
              <w:t>FACT-G total score (baseline)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015815AD" w14:textId="77777777">
            <w:r>
              <w:rPr>
                <w:color w:val="000000"/>
              </w:rPr>
              <w:t>Comparison of baseline scores between responders and non-responders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2B44303E" w14:textId="77777777">
            <w:pPr>
              <w:jc w:val="center"/>
            </w:pPr>
            <w:r>
              <w:rPr>
                <w:color w:val="000000"/>
              </w:rPr>
              <w:t>Shapiro-Wilk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71FB7C4F" w14:textId="5EA426BB">
            <w:pPr>
              <w:jc w:val="center"/>
            </w:pPr>
            <w:r w:rsidRPr="6DCD397E" w:rsidR="3434D27E">
              <w:rPr>
                <w:color w:val="000000" w:themeColor="text1" w:themeTint="FF" w:themeShade="FF"/>
              </w:rPr>
              <w:t>0.92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57DCDA79" w14:textId="77777777">
            <w:pPr>
              <w:jc w:val="center"/>
            </w:pPr>
            <w:r>
              <w:rPr>
                <w:color w:val="000000"/>
              </w:rPr>
              <w:t>0.003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4EB62840" w14:textId="77777777">
            <w:pPr>
              <w:jc w:val="center"/>
            </w:pPr>
            <w:r>
              <w:rPr>
                <w:b/>
                <w:bCs/>
                <w:color w:val="C00000"/>
              </w:rPr>
              <w:t>Non-normal</w:t>
            </w:r>
          </w:p>
        </w:tc>
      </w:tr>
      <w:tr w:rsidR="00586C44" w:rsidTr="4BD917D1" w14:paraId="3A5344A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69878222" w14:textId="77777777">
            <w:r>
              <w:rPr>
                <w:color w:val="000000"/>
              </w:rPr>
              <w:t>Physical Well-Being (PWB) subscale (baseline)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0E985195" w14:textId="77777777">
            <w:r>
              <w:rPr>
                <w:color w:val="000000"/>
              </w:rPr>
              <w:t>Comparison of baseline subscale scores between responders and non-responders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047E84F1" w14:textId="77777777">
            <w:pPr>
              <w:jc w:val="center"/>
            </w:pPr>
            <w:r>
              <w:rPr>
                <w:color w:val="000000"/>
              </w:rPr>
              <w:t>Shapiro-Wilk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04BED3CB" w14:textId="42FBCBBA">
            <w:pPr>
              <w:jc w:val="center"/>
            </w:pPr>
            <w:r w:rsidRPr="6DCD397E" w:rsidR="3434D27E">
              <w:rPr>
                <w:color w:val="000000" w:themeColor="text1" w:themeTint="FF" w:themeShade="FF"/>
              </w:rPr>
              <w:t>0.95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27CFB5BD" w14:textId="77777777">
            <w:pPr>
              <w:jc w:val="center"/>
            </w:pPr>
            <w:r>
              <w:rPr>
                <w:color w:val="000000"/>
              </w:rPr>
              <w:t>0.067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667BE6D4" w14:textId="77777777">
            <w:pPr>
              <w:jc w:val="center"/>
            </w:pPr>
            <w:r>
              <w:rPr>
                <w:b/>
                <w:bCs/>
                <w:color w:val="375623"/>
              </w:rPr>
              <w:t>Normal</w:t>
            </w:r>
          </w:p>
        </w:tc>
      </w:tr>
      <w:tr w:rsidR="00586C44" w:rsidTr="4BD917D1" w14:paraId="0B9354E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277EB61B" w14:textId="77777777">
            <w:r>
              <w:rPr>
                <w:color w:val="000000"/>
              </w:rPr>
              <w:t>Social/Family Well-Being (SWB) subscale (baseline)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431CFD0E" w14:textId="77777777">
            <w:r>
              <w:rPr>
                <w:color w:val="000000"/>
              </w:rPr>
              <w:t>Comparison of baseline subscale scores between responders and non-responders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4A24D45B" w14:textId="77777777">
            <w:pPr>
              <w:jc w:val="center"/>
            </w:pPr>
            <w:r>
              <w:rPr>
                <w:color w:val="000000"/>
              </w:rPr>
              <w:t>Shapiro-Wilk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01F391D6" w14:textId="01E21E56">
            <w:pPr>
              <w:jc w:val="center"/>
            </w:pPr>
            <w:r w:rsidRPr="6DCD397E" w:rsidR="3434D27E">
              <w:rPr>
                <w:color w:val="000000" w:themeColor="text1" w:themeTint="FF" w:themeShade="FF"/>
              </w:rPr>
              <w:t>0.94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782E6BFF" w14:textId="77777777">
            <w:pPr>
              <w:jc w:val="center"/>
            </w:pPr>
            <w:r>
              <w:rPr>
                <w:color w:val="000000"/>
              </w:rPr>
              <w:t>0.024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27F20AC1" w14:textId="77777777">
            <w:pPr>
              <w:jc w:val="center"/>
            </w:pPr>
            <w:r>
              <w:rPr>
                <w:b/>
                <w:bCs/>
                <w:color w:val="C00000"/>
              </w:rPr>
              <w:t>Non-normal</w:t>
            </w:r>
          </w:p>
        </w:tc>
      </w:tr>
      <w:tr w:rsidR="00586C44" w:rsidTr="4BD917D1" w14:paraId="5E8E6DF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2E2DAE2A" w14:textId="77777777">
            <w:r>
              <w:rPr>
                <w:color w:val="000000"/>
              </w:rPr>
              <w:t>Emotional Well-Being (EWB) subscale (baseline)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297F3F3A" w14:textId="77777777">
            <w:r>
              <w:rPr>
                <w:color w:val="000000"/>
              </w:rPr>
              <w:t>Comparison of baseline subscale scores between responders and non-responders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11A94FDE" w14:textId="77777777">
            <w:pPr>
              <w:jc w:val="center"/>
            </w:pPr>
            <w:r>
              <w:rPr>
                <w:color w:val="000000"/>
              </w:rPr>
              <w:t>Shapiro-Wilk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2769A92E" w14:textId="5053E93D">
            <w:pPr>
              <w:jc w:val="center"/>
            </w:pPr>
            <w:r w:rsidR="48833D79">
              <w:rPr/>
              <w:t>0.93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1B8BFFA9" w14:textId="06BA5787">
            <w:pPr>
              <w:jc w:val="center"/>
            </w:pPr>
            <w:r w:rsidR="48833D79">
              <w:rPr/>
              <w:t>0.006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64DBC7D7" w14:textId="2E9A1231">
            <w:pPr>
              <w:jc w:val="center"/>
            </w:pPr>
            <w:r w:rsidRPr="6DCD397E" w:rsidR="48833D79">
              <w:rPr>
                <w:b w:val="1"/>
                <w:bCs w:val="1"/>
                <w:color w:val="C00000"/>
              </w:rPr>
              <w:t>Non-normal</w:t>
            </w:r>
          </w:p>
        </w:tc>
      </w:tr>
      <w:tr w:rsidR="00586C44" w:rsidTr="4BD917D1" w14:paraId="5432D0C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191D043B" w14:textId="77777777">
            <w:r>
              <w:rPr>
                <w:color w:val="000000"/>
              </w:rPr>
              <w:t>Functional Well-Being (FWB) subscale (baseline)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09381611" w14:textId="77777777">
            <w:r>
              <w:rPr>
                <w:color w:val="000000"/>
              </w:rPr>
              <w:t>Comparison of baseline subscale scores between responders and non-responders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47B33A5B" w14:textId="77777777">
            <w:pPr>
              <w:jc w:val="center"/>
            </w:pPr>
            <w:r>
              <w:rPr>
                <w:color w:val="000000"/>
              </w:rPr>
              <w:t>Shapiro-Wilk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41D28708" w14:textId="2CC72AC7">
            <w:pPr>
              <w:jc w:val="center"/>
            </w:pPr>
            <w:r w:rsidR="0D248E76">
              <w:rPr/>
              <w:t>0.97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44930CCE" w14:textId="7CC7B8DC">
            <w:pPr>
              <w:jc w:val="center"/>
            </w:pPr>
            <w:r w:rsidR="0D248E76">
              <w:rPr/>
              <w:t>0.26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585F1EF0" w14:textId="16BE8B7B">
            <w:pPr>
              <w:jc w:val="center"/>
            </w:pPr>
            <w:r w:rsidRPr="6DCD397E" w:rsidR="0D248E76">
              <w:rPr>
                <w:b w:val="1"/>
                <w:bCs w:val="1"/>
                <w:color w:val="375623"/>
              </w:rPr>
              <w:t>Normal</w:t>
            </w:r>
          </w:p>
        </w:tc>
      </w:tr>
      <w:tr w:rsidR="00586C44" w:rsidTr="4BD917D1" w14:paraId="6824B78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3C812CBA" w14:textId="77777777">
            <w:r>
              <w:rPr>
                <w:color w:val="000000"/>
              </w:rPr>
              <w:t>Hepatobiliary Cancer Subscale (HCS) (baseline)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429DB6C2" w14:textId="77777777">
            <w:r>
              <w:rPr>
                <w:color w:val="000000"/>
              </w:rPr>
              <w:t>Comparison of baseline subscale scores between responders and non-responders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37790C7D" w14:textId="77777777">
            <w:pPr>
              <w:jc w:val="center"/>
            </w:pPr>
            <w:r>
              <w:rPr>
                <w:color w:val="000000"/>
              </w:rPr>
              <w:t>Shapiro-Wilk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39E0F359" w14:textId="583FDBFD">
            <w:pPr>
              <w:jc w:val="center"/>
            </w:pPr>
            <w:r w:rsidR="51B1F878">
              <w:rPr/>
              <w:t>0.97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05E4724E" w14:textId="77F0EF22">
            <w:pPr>
              <w:jc w:val="center"/>
            </w:pPr>
            <w:r w:rsidR="51B1F878">
              <w:rPr/>
              <w:t>0.31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2801CD10" w14:textId="6D2BEA9E">
            <w:pPr>
              <w:jc w:val="center"/>
            </w:pPr>
            <w:r w:rsidRPr="6DCD397E" w:rsidR="51B1F878">
              <w:rPr>
                <w:b w:val="1"/>
                <w:bCs w:val="1"/>
                <w:color w:val="375623"/>
              </w:rPr>
              <w:t>Normal</w:t>
            </w:r>
          </w:p>
        </w:tc>
      </w:tr>
      <w:tr w:rsidR="00586C44" w:rsidTr="4BD917D1" w14:paraId="6683BA4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63A19247" w14:textId="77777777">
            <w:r>
              <w:rPr>
                <w:color w:val="000000"/>
              </w:rPr>
              <w:t>Trial Outcome Index (TOI) (baseline)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48759EA3" w14:textId="77777777">
            <w:r>
              <w:rPr>
                <w:color w:val="000000"/>
              </w:rPr>
              <w:t>Comparison of baseline scores between responders and non-responders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63539BD2" w14:textId="77777777">
            <w:pPr>
              <w:jc w:val="center"/>
            </w:pPr>
            <w:r>
              <w:rPr>
                <w:color w:val="000000"/>
              </w:rPr>
              <w:t>Shapiro-Wilk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198DA181" w14:textId="678D0683">
            <w:pPr>
              <w:jc w:val="center"/>
            </w:pPr>
            <w:r w:rsidR="4538BB18">
              <w:rPr/>
              <w:t>0.94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6979A003" w14:textId="5910B9F0">
            <w:pPr>
              <w:jc w:val="center"/>
            </w:pPr>
            <w:r w:rsidR="4538BB18">
              <w:rPr/>
              <w:t>0.02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79FC7E3C" w14:textId="1BF10793">
            <w:pPr>
              <w:jc w:val="center"/>
            </w:pPr>
            <w:r w:rsidRPr="6DCD397E" w:rsidR="4538BB18">
              <w:rPr>
                <w:b w:val="1"/>
                <w:bCs w:val="1"/>
                <w:color w:val="C00000"/>
              </w:rPr>
              <w:t>Non-normal</w:t>
            </w:r>
          </w:p>
        </w:tc>
      </w:tr>
      <w:tr w:rsidR="00586C44" w:rsidTr="4BD917D1" w14:paraId="495D116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668D568F" w14:textId="77777777">
            <w:r>
              <w:rPr>
                <w:color w:val="000000"/>
              </w:rPr>
              <w:t>FACT-Hep change score at 3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573E8AF5" w14:textId="77777777">
            <w:r>
              <w:rPr>
                <w:color w:val="000000"/>
              </w:rPr>
              <w:t>One-sample test of change from baseline at 3 weeks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1565BF22" w14:textId="77777777">
            <w:pPr>
              <w:jc w:val="center"/>
            </w:pPr>
            <w:r>
              <w:rPr>
                <w:color w:val="000000"/>
              </w:rPr>
              <w:t>Shapiro-Wilk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7B6244EE" w14:textId="2DDA5222">
            <w:pPr>
              <w:jc w:val="center"/>
            </w:pPr>
            <w:r w:rsidR="1395F4B2">
              <w:rPr/>
              <w:t>0.98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03FB468A" w14:textId="2C6B0442">
            <w:pPr>
              <w:jc w:val="center"/>
            </w:pPr>
            <w:r w:rsidR="1395F4B2">
              <w:rPr/>
              <w:t>0.58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59CDDB25" w14:textId="17F8C991">
            <w:pPr>
              <w:jc w:val="center"/>
            </w:pPr>
            <w:r w:rsidRPr="6DCD397E" w:rsidR="1395F4B2">
              <w:rPr>
                <w:b w:val="1"/>
                <w:bCs w:val="1"/>
                <w:color w:val="375623"/>
              </w:rPr>
              <w:t>Normal</w:t>
            </w:r>
          </w:p>
        </w:tc>
      </w:tr>
      <w:tr w:rsidR="00586C44" w:rsidTr="4BD917D1" w14:paraId="48C7124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12726D86" w14:textId="77777777">
            <w:r>
              <w:rPr>
                <w:color w:val="000000"/>
              </w:rPr>
              <w:t>FACT-Hep change score at 6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4AE068DF" w14:textId="77777777">
            <w:r>
              <w:rPr>
                <w:color w:val="000000"/>
              </w:rPr>
              <w:t>One-sample test of change from baseline at 6 weeks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1E241FE3" w14:textId="77777777">
            <w:pPr>
              <w:jc w:val="center"/>
            </w:pPr>
            <w:r>
              <w:rPr>
                <w:color w:val="000000"/>
              </w:rPr>
              <w:t>Shapiro-Wilk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6AE7F804" w14:textId="7273198A">
            <w:pPr>
              <w:jc w:val="center"/>
            </w:pPr>
            <w:r w:rsidR="43A505F7">
              <w:rPr/>
              <w:t>0.96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6022A644" w14:textId="7DCD180E">
            <w:pPr>
              <w:jc w:val="center"/>
            </w:pPr>
            <w:r w:rsidR="43A505F7">
              <w:rPr/>
              <w:t>0.21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2C515F70" w14:textId="6B6EF91B">
            <w:pPr>
              <w:jc w:val="center"/>
            </w:pPr>
            <w:r w:rsidRPr="6DCD397E" w:rsidR="43A505F7">
              <w:rPr>
                <w:b w:val="1"/>
                <w:bCs w:val="1"/>
                <w:color w:val="375623"/>
              </w:rPr>
              <w:t>Normal</w:t>
            </w:r>
          </w:p>
        </w:tc>
      </w:tr>
      <w:tr w:rsidR="00586C44" w:rsidTr="4BD917D1" w14:paraId="51EAA17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1814BEF4" w14:textId="77777777">
            <w:r>
              <w:rPr>
                <w:color w:val="000000"/>
              </w:rPr>
              <w:t>BPI average pain score (baseline)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6EEE60F8" w14:textId="77777777">
            <w:r>
              <w:rPr>
                <w:color w:val="000000"/>
              </w:rPr>
              <w:t>Comparison between responders and non-responders; regression covariate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4A0AEB20" w14:textId="77777777">
            <w:pPr>
              <w:jc w:val="center"/>
            </w:pPr>
            <w:r>
              <w:rPr>
                <w:color w:val="000000"/>
              </w:rPr>
              <w:t>Shapiro-Wilk*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1FEB0D28" w14:textId="7D043F52">
            <w:pPr>
              <w:jc w:val="center"/>
            </w:pPr>
            <w:r w:rsidR="0572990E">
              <w:rPr/>
              <w:t>0.91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17648BE7" w14:textId="2FCA0B99">
            <w:pPr>
              <w:jc w:val="center"/>
            </w:pPr>
            <w:r w:rsidR="0572990E">
              <w:rPr/>
              <w:t>0.001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687E862E" w:rsidRDefault="00586C44" w14:paraId="0757E4A1" w14:textId="775705EE">
            <w:pPr>
              <w:jc w:val="center"/>
            </w:pPr>
            <w:r w:rsidRPr="6E71A328" w:rsidR="0572990E">
              <w:rPr>
                <w:b w:val="1"/>
                <w:bCs w:val="1"/>
                <w:color w:val="C00000"/>
              </w:rPr>
              <w:t>Non-normal</w:t>
            </w:r>
          </w:p>
        </w:tc>
      </w:tr>
      <w:tr w:rsidR="00586C44" w:rsidTr="4BD917D1" w14:paraId="0431695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31406BA8" w14:textId="77777777">
            <w:r>
              <w:rPr>
                <w:color w:val="000000"/>
              </w:rPr>
              <w:t>BPI average pain score change at 3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0F6ECC53" w14:textId="77777777">
            <w:r>
              <w:rPr>
                <w:color w:val="000000"/>
              </w:rPr>
              <w:t>One-sample test of change from baseline at 3 weeks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6DCD397E" w:rsidRDefault="00BD45EA" w14:paraId="28A139C9" w14:textId="335CA029">
            <w:pPr>
              <w:jc w:val="center"/>
              <w:rPr>
                <w:color w:val="000000" w:themeColor="text1" w:themeTint="FF" w:themeShade="FF"/>
              </w:rPr>
            </w:pPr>
            <w:r w:rsidRPr="6DCD397E" w:rsidR="3434D27E">
              <w:rPr>
                <w:color w:val="000000" w:themeColor="text1" w:themeTint="FF" w:themeShade="FF"/>
              </w:rPr>
              <w:t>Shapiro-Wilk*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4C329F3F" w14:textId="75D1728F">
            <w:pPr>
              <w:jc w:val="center"/>
            </w:pPr>
            <w:r w:rsidR="7DD8495D">
              <w:rPr/>
              <w:t>0.96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4D141BD0" w14:textId="10C17C86">
            <w:pPr>
              <w:jc w:val="center"/>
            </w:pPr>
            <w:r w:rsidR="7DD8495D">
              <w:rPr/>
              <w:t>0.13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687E862E" w:rsidRDefault="00586C44" w14:paraId="177BD1EF" w14:textId="77682EAE">
            <w:pPr>
              <w:jc w:val="center"/>
            </w:pPr>
            <w:r w:rsidRPr="6E71A328" w:rsidR="7DD8495D">
              <w:rPr>
                <w:b w:val="1"/>
                <w:bCs w:val="1"/>
                <w:color w:val="375623"/>
              </w:rPr>
              <w:t>Normal</w:t>
            </w:r>
          </w:p>
        </w:tc>
      </w:tr>
      <w:tr w:rsidR="00586C44" w:rsidTr="4BD917D1" w14:paraId="00D2676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76A3B65A" w14:textId="77777777">
            <w:r>
              <w:rPr>
                <w:color w:val="000000"/>
              </w:rPr>
              <w:t>Opioid consumption, mg/day morphine equivalent (baseline)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019782ED" w14:textId="77777777">
            <w:r>
              <w:rPr>
                <w:color w:val="000000"/>
              </w:rPr>
              <w:t>Comparison between responders and non-responders; regression covariate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2C8664B0" w14:textId="77777777">
            <w:pPr>
              <w:jc w:val="center"/>
            </w:pPr>
            <w:r>
              <w:rPr>
                <w:color w:val="000000"/>
              </w:rPr>
              <w:t>Shapiro-Wilk*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3AD17C52" w14:textId="4FB79136">
            <w:pPr>
              <w:jc w:val="center"/>
            </w:pPr>
            <w:r w:rsidR="75C6CFD3">
              <w:rPr/>
              <w:t>0.77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119B269A" w14:textId="18F18597">
            <w:pPr>
              <w:jc w:val="center"/>
            </w:pPr>
            <w:r w:rsidR="75C6CFD3">
              <w:rPr/>
              <w:t>&lt;0.0001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687E862E" w:rsidRDefault="00586C44" w14:paraId="0824A4C9" w14:textId="05CDC5C1">
            <w:pPr>
              <w:jc w:val="center"/>
            </w:pPr>
            <w:r w:rsidRPr="6E71A328" w:rsidR="75C6CFD3">
              <w:rPr>
                <w:b w:val="1"/>
                <w:bCs w:val="1"/>
                <w:color w:val="C00000"/>
              </w:rPr>
              <w:t>Non-normal</w:t>
            </w:r>
          </w:p>
        </w:tc>
      </w:tr>
      <w:tr w:rsidR="00586C44" w:rsidTr="4BD917D1" w14:paraId="2F272D2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22D56642" w14:textId="77777777">
            <w:r>
              <w:rPr>
                <w:color w:val="000000"/>
              </w:rPr>
              <w:t>Overall survival (days)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6FC0C046" w14:textId="77777777">
            <w:r>
              <w:rPr>
                <w:color w:val="000000"/>
              </w:rPr>
              <w:t>Kaplan-Meier analysis and group comparison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509D4204" w14:textId="77777777">
            <w:pPr>
              <w:jc w:val="center"/>
            </w:pPr>
            <w:r>
              <w:rPr>
                <w:color w:val="000000"/>
              </w:rPr>
              <w:t>Shapiro-Wilk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3BFA69FF" w14:textId="2E457F0B">
            <w:pPr>
              <w:jc w:val="center"/>
            </w:pPr>
            <w:r w:rsidR="686548BA">
              <w:rPr/>
              <w:t>0.7</w:t>
            </w:r>
            <w:r w:rsidR="73768D80">
              <w:rPr/>
              <w:t>8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10C12D9D" w14:textId="342FE8FD">
            <w:pPr>
              <w:jc w:val="center"/>
            </w:pPr>
            <w:r w:rsidR="686548BA">
              <w:rPr/>
              <w:t>&lt;0.0001</w:t>
            </w:r>
          </w:p>
        </w:tc>
        <w:tc>
          <w:tcPr>
            <w:tcW w:w="25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5DFF8892" w14:textId="6B624AF1">
            <w:pPr>
              <w:jc w:val="center"/>
            </w:pPr>
            <w:r w:rsidRPr="6DCD397E" w:rsidR="686548BA">
              <w:rPr>
                <w:b w:val="1"/>
                <w:bCs w:val="1"/>
                <w:color w:val="C00000"/>
              </w:rPr>
              <w:t>Non-normal</w:t>
            </w:r>
          </w:p>
        </w:tc>
      </w:tr>
    </w:tbl>
    <w:p w:rsidR="00586C44" w:rsidRDefault="00586C44" w14:paraId="0405863C" w14:textId="77777777">
      <w:pPr>
        <w:spacing w:after="80"/>
      </w:pPr>
    </w:p>
    <w:p w:rsidR="00586C44" w:rsidRDefault="00BD45EA" w14:paraId="62FB61AB" w14:textId="77777777">
      <w:pPr>
        <w:spacing w:after="80"/>
      </w:pPr>
      <w:r>
        <w:rPr>
          <w:color w:val="000000"/>
          <w:sz w:val="14"/>
          <w:szCs w:val="14"/>
        </w:rPr>
        <w:t>Abbreviations: BPI = Brief Pain Inventory; EWB = Emotional Well-Being; FACT-G = Functional Assessment of Cancer Therapy – General; FACT-Hep = Functional Assessment of Cancer Therapy – Hepatobiliary; FWB = Functional Well-Being; HCS = Hepatobiliary Cancer Subscale; PWB = Physical Well-Being; SWB = Social/Family Well-Being; TOI = Trial Outcome Index.</w:t>
      </w:r>
    </w:p>
    <w:p w:rsidR="00586C44" w:rsidRDefault="00BD45EA" w14:paraId="60DECDF6" w14:textId="77777777">
      <w:pPr>
        <w:spacing w:after="80"/>
      </w:pPr>
      <w:r>
        <w:rPr>
          <w:color w:val="000000"/>
          <w:sz w:val="14"/>
          <w:szCs w:val="14"/>
        </w:rPr>
        <w:t>* Normality test results for these variables are not shown as they were specified a priori to follow a non-normal distribution based on known clinical characteristics (right-skewed); Wilcoxon rank-sum or signed-rank tests were applied throughout.</w:t>
      </w:r>
    </w:p>
    <w:p w:rsidR="00586C44" w:rsidRDefault="00BD45EA" w14:paraId="5E904556" w14:textId="77777777">
      <w:pPr>
        <w:spacing w:after="80"/>
      </w:pPr>
      <w:r>
        <w:rPr>
          <w:color w:val="000000"/>
          <w:sz w:val="14"/>
          <w:szCs w:val="14"/>
        </w:rPr>
        <w:t>† Confirmed non-normal distribution; Wilcoxon rank-sum or signed-rank test applied.</w:t>
      </w:r>
    </w:p>
    <w:sectPr w:rsidR="00586C44">
      <w:pgSz w:w="15840" w:h="12240" w:orient="landscape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">
    <w:nsid w:val="6b50c2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70194904"/>
    <w:multiLevelType w:val="hybridMultilevel"/>
    <w:tmpl w:val="B32AE624"/>
    <w:lvl w:ilvl="0" w:tplc="A6302E96">
      <w:start w:val="1"/>
      <w:numFmt w:val="bullet"/>
      <w:lvlText w:val="●"/>
      <w:lvlJc w:val="left"/>
      <w:pPr>
        <w:ind w:left="720" w:hanging="360"/>
      </w:pPr>
    </w:lvl>
    <w:lvl w:ilvl="1" w:tplc="B276088A">
      <w:start w:val="1"/>
      <w:numFmt w:val="bullet"/>
      <w:lvlText w:val="○"/>
      <w:lvlJc w:val="left"/>
      <w:pPr>
        <w:ind w:left="1440" w:hanging="360"/>
      </w:pPr>
    </w:lvl>
    <w:lvl w:ilvl="2" w:tplc="FB383074">
      <w:start w:val="1"/>
      <w:numFmt w:val="bullet"/>
      <w:lvlText w:val="■"/>
      <w:lvlJc w:val="left"/>
      <w:pPr>
        <w:ind w:left="2160" w:hanging="360"/>
      </w:pPr>
    </w:lvl>
    <w:lvl w:ilvl="3" w:tplc="447239DC">
      <w:start w:val="1"/>
      <w:numFmt w:val="bullet"/>
      <w:lvlText w:val="●"/>
      <w:lvlJc w:val="left"/>
      <w:pPr>
        <w:ind w:left="2880" w:hanging="360"/>
      </w:pPr>
    </w:lvl>
    <w:lvl w:ilvl="4" w:tplc="32125D8E">
      <w:start w:val="1"/>
      <w:numFmt w:val="bullet"/>
      <w:lvlText w:val="○"/>
      <w:lvlJc w:val="left"/>
      <w:pPr>
        <w:ind w:left="3600" w:hanging="360"/>
      </w:pPr>
    </w:lvl>
    <w:lvl w:ilvl="5" w:tplc="AAF2A870">
      <w:start w:val="1"/>
      <w:numFmt w:val="bullet"/>
      <w:lvlText w:val="■"/>
      <w:lvlJc w:val="left"/>
      <w:pPr>
        <w:ind w:left="4320" w:hanging="360"/>
      </w:pPr>
    </w:lvl>
    <w:lvl w:ilvl="6" w:tplc="64D6C2E6">
      <w:start w:val="1"/>
      <w:numFmt w:val="bullet"/>
      <w:lvlText w:val="●"/>
      <w:lvlJc w:val="left"/>
      <w:pPr>
        <w:ind w:left="5040" w:hanging="360"/>
      </w:pPr>
    </w:lvl>
    <w:lvl w:ilvl="7" w:tplc="AA449FA4">
      <w:start w:val="1"/>
      <w:numFmt w:val="bullet"/>
      <w:lvlText w:val="●"/>
      <w:lvlJc w:val="left"/>
      <w:pPr>
        <w:ind w:left="5760" w:hanging="360"/>
      </w:pPr>
    </w:lvl>
    <w:lvl w:ilvl="8" w:tplc="D960EC60">
      <w:start w:val="1"/>
      <w:numFmt w:val="bullet"/>
      <w:lvlText w:val="●"/>
      <w:lvlJc w:val="left"/>
      <w:pPr>
        <w:ind w:left="6480" w:hanging="360"/>
      </w:pPr>
    </w:lvl>
  </w:abstractNum>
  <w:num w:numId="2">
    <w:abstractNumId w:val="1"/>
  </w:num>
  <w:num w:numId="1" w16cid:durableId="20971644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C44"/>
    <w:rsid w:val="00204D6F"/>
    <w:rsid w:val="00586C44"/>
    <w:rsid w:val="00BD45EA"/>
    <w:rsid w:val="03A4D55E"/>
    <w:rsid w:val="04A56B4A"/>
    <w:rsid w:val="0572990E"/>
    <w:rsid w:val="06582090"/>
    <w:rsid w:val="0D248E76"/>
    <w:rsid w:val="117F1E2C"/>
    <w:rsid w:val="12E73F54"/>
    <w:rsid w:val="1395F4B2"/>
    <w:rsid w:val="1A5ED624"/>
    <w:rsid w:val="1C17CA5B"/>
    <w:rsid w:val="1E78D84C"/>
    <w:rsid w:val="2384247F"/>
    <w:rsid w:val="23A4AB93"/>
    <w:rsid w:val="24B08DE3"/>
    <w:rsid w:val="25B178C6"/>
    <w:rsid w:val="267B7363"/>
    <w:rsid w:val="26F46E1D"/>
    <w:rsid w:val="28123323"/>
    <w:rsid w:val="288F2CD2"/>
    <w:rsid w:val="290949A4"/>
    <w:rsid w:val="2CAF86E4"/>
    <w:rsid w:val="307EB573"/>
    <w:rsid w:val="311B5F7B"/>
    <w:rsid w:val="31BE6371"/>
    <w:rsid w:val="3434D27E"/>
    <w:rsid w:val="39AFD85D"/>
    <w:rsid w:val="3A194771"/>
    <w:rsid w:val="3A85A77F"/>
    <w:rsid w:val="3AE27B1B"/>
    <w:rsid w:val="415FCB0E"/>
    <w:rsid w:val="42AD2570"/>
    <w:rsid w:val="43A505F7"/>
    <w:rsid w:val="452FDF51"/>
    <w:rsid w:val="4538BB18"/>
    <w:rsid w:val="47D6F01A"/>
    <w:rsid w:val="48833D79"/>
    <w:rsid w:val="48D9B48F"/>
    <w:rsid w:val="4BD917D1"/>
    <w:rsid w:val="5006C07D"/>
    <w:rsid w:val="51A36C9C"/>
    <w:rsid w:val="51B1F878"/>
    <w:rsid w:val="52AB15C1"/>
    <w:rsid w:val="55DF31C6"/>
    <w:rsid w:val="5A2AC639"/>
    <w:rsid w:val="5A76DB72"/>
    <w:rsid w:val="686548BA"/>
    <w:rsid w:val="687E862E"/>
    <w:rsid w:val="6DCD397E"/>
    <w:rsid w:val="6E165F9D"/>
    <w:rsid w:val="6E71A328"/>
    <w:rsid w:val="73768D80"/>
    <w:rsid w:val="75C6CFD3"/>
    <w:rsid w:val="76828D7C"/>
    <w:rsid w:val="770F30C0"/>
    <w:rsid w:val="7B06EA9D"/>
    <w:rsid w:val="7C88DD6E"/>
    <w:rsid w:val="7DD8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325D316-AF2D-6148-AA65-EBDB6CB3E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sz w:val="16"/>
        <w:szCs w:val="16"/>
        <w:lang w:val="en-GB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Sheba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Aisling Barry</lastModifiedBy>
  <revision>5</revision>
  <dcterms:created xsi:type="dcterms:W3CDTF">2026-03-13T10:17:00.0000000Z</dcterms:created>
  <dcterms:modified xsi:type="dcterms:W3CDTF">2026-03-29T11:14:49.6557202Z</dcterms:modified>
</coreProperties>
</file>