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55BCE7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Supporting Information for</w:t>
      </w:r>
    </w:p>
    <w:p w14:paraId="682CF2A6" w14:textId="160A6533" w:rsidR="00FB7F1B" w:rsidRPr="00F75302" w:rsidRDefault="00FB7F1B" w:rsidP="00FB7F1B">
      <w:pPr>
        <w:spacing w:afterLines="60" w:after="144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75302">
        <w:rPr>
          <w:rFonts w:ascii="Times New Roman" w:hAnsi="Times New Roman" w:cs="Times New Roman"/>
          <w:sz w:val="28"/>
          <w:szCs w:val="24"/>
        </w:rPr>
        <w:t xml:space="preserve">Using chronoamperometry to rapidly measure and quantitatively analyse </w:t>
      </w:r>
      <w:r w:rsidR="00CE5C0D">
        <w:rPr>
          <w:rFonts w:ascii="Times New Roman" w:hAnsi="Times New Roman" w:cs="Times New Roman"/>
          <w:sz w:val="28"/>
          <w:szCs w:val="24"/>
        </w:rPr>
        <w:t>rate-performance</w:t>
      </w:r>
      <w:r w:rsidRPr="00F75302">
        <w:rPr>
          <w:rFonts w:ascii="Times New Roman" w:hAnsi="Times New Roman" w:cs="Times New Roman"/>
          <w:sz w:val="28"/>
          <w:szCs w:val="24"/>
        </w:rPr>
        <w:t xml:space="preserve"> in battery electrodes</w:t>
      </w:r>
    </w:p>
    <w:p w14:paraId="1F65AAE4" w14:textId="77777777" w:rsidR="00FB7F1B" w:rsidRPr="00F75302" w:rsidRDefault="00FB7F1B" w:rsidP="00FB7F1B">
      <w:pPr>
        <w:spacing w:afterLines="60" w:after="14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302">
        <w:rPr>
          <w:rFonts w:ascii="Times New Roman" w:hAnsi="Times New Roman" w:cs="Times New Roman"/>
          <w:sz w:val="24"/>
          <w:szCs w:val="24"/>
        </w:rPr>
        <w:t>Ruiyuan Tian,</w:t>
      </w:r>
      <w:r w:rsidRPr="00F7530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r w:rsidRPr="00F75302">
        <w:rPr>
          <w:rFonts w:ascii="Times New Roman" w:hAnsi="Times New Roman" w:cs="Times New Roman"/>
          <w:sz w:val="24"/>
          <w:szCs w:val="24"/>
        </w:rPr>
        <w:t xml:space="preserve"> </w:t>
      </w:r>
      <w:r w:rsidRPr="003F0EC3">
        <w:rPr>
          <w:rFonts w:ascii="Times New Roman" w:hAnsi="Times New Roman" w:cs="Times New Roman"/>
          <w:sz w:val="24"/>
          <w:szCs w:val="24"/>
        </w:rPr>
        <w:t>Paul J. King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5302">
        <w:rPr>
          <w:rFonts w:ascii="Times New Roman" w:hAnsi="Times New Roman" w:cs="Times New Roman"/>
          <w:sz w:val="24"/>
          <w:szCs w:val="24"/>
        </w:rPr>
        <w:t>Joao Coelho,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2,4</w:t>
      </w:r>
      <w:r w:rsidRPr="00F75302">
        <w:rPr>
          <w:rFonts w:ascii="Times New Roman" w:hAnsi="Times New Roman" w:cs="Times New Roman"/>
          <w:sz w:val="24"/>
          <w:szCs w:val="24"/>
        </w:rPr>
        <w:t xml:space="preserve"> Sang-Hoon Park,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2,4</w:t>
      </w:r>
      <w:r w:rsidRPr="00F75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Dominik V Horvath,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5302">
        <w:rPr>
          <w:rFonts w:ascii="Times New Roman" w:hAnsi="Times New Roman" w:cs="Times New Roman"/>
          <w:sz w:val="24"/>
          <w:szCs w:val="24"/>
        </w:rPr>
        <w:t>Valeria Nicolosi,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2,4</w:t>
      </w:r>
      <w:r w:rsidRPr="00F75302">
        <w:rPr>
          <w:rFonts w:ascii="Times New Roman" w:hAnsi="Times New Roman" w:cs="Times New Roman"/>
          <w:sz w:val="24"/>
          <w:szCs w:val="24"/>
        </w:rPr>
        <w:t xml:space="preserve"> Colm O’Dwyer,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2,5 </w:t>
      </w:r>
      <w:r w:rsidRPr="00F75302">
        <w:rPr>
          <w:rFonts w:ascii="Times New Roman" w:hAnsi="Times New Roman" w:cs="Times New Roman"/>
          <w:sz w:val="24"/>
          <w:szCs w:val="24"/>
        </w:rPr>
        <w:t>Jonathan N Coleman</w:t>
      </w:r>
      <w:r w:rsidRPr="00F7530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r w:rsidRPr="00F75302">
        <w:rPr>
          <w:rFonts w:ascii="Times New Roman" w:hAnsi="Times New Roman" w:cs="Times New Roman"/>
          <w:sz w:val="24"/>
          <w:szCs w:val="24"/>
        </w:rPr>
        <w:t>*</w:t>
      </w:r>
    </w:p>
    <w:p w14:paraId="1A59A57A" w14:textId="77777777" w:rsidR="00FB7F1B" w:rsidRDefault="00FB7F1B" w:rsidP="00FB7F1B">
      <w:pPr>
        <w:pStyle w:val="Paragraph"/>
        <w:spacing w:before="0" w:afterLines="60" w:after="144" w:line="360" w:lineRule="auto"/>
        <w:ind w:firstLine="0"/>
        <w:jc w:val="both"/>
        <w:rPr>
          <w:i/>
        </w:rPr>
      </w:pPr>
      <w:r w:rsidRPr="00F75302">
        <w:rPr>
          <w:i/>
          <w:vertAlign w:val="superscript"/>
        </w:rPr>
        <w:t>1</w:t>
      </w:r>
      <w:r w:rsidRPr="00DD6B2D">
        <w:rPr>
          <w:i/>
        </w:rPr>
        <w:t>School of Physics, Trinity College Dublin, Dublin 2, Ireland</w:t>
      </w:r>
    </w:p>
    <w:p w14:paraId="7C2DF915" w14:textId="77777777" w:rsidR="00FB7F1B" w:rsidRDefault="00FB7F1B" w:rsidP="00FB7F1B">
      <w:pPr>
        <w:pStyle w:val="Paragraph"/>
        <w:spacing w:before="0" w:afterLines="60" w:after="144" w:line="360" w:lineRule="auto"/>
        <w:ind w:firstLine="0"/>
        <w:jc w:val="both"/>
        <w:rPr>
          <w:i/>
        </w:rPr>
      </w:pPr>
      <w:r w:rsidRPr="004820D1">
        <w:rPr>
          <w:i/>
          <w:vertAlign w:val="superscript"/>
        </w:rPr>
        <w:t>2</w:t>
      </w:r>
      <w:r w:rsidRPr="00DD6B2D">
        <w:rPr>
          <w:i/>
        </w:rPr>
        <w:t>AMBER Research Center, Trinity College Dublin, Dublin 2, Ireland</w:t>
      </w:r>
    </w:p>
    <w:p w14:paraId="0AB98A93" w14:textId="77777777" w:rsidR="00FB7F1B" w:rsidRDefault="00FB7F1B" w:rsidP="00FB7F1B">
      <w:pPr>
        <w:pStyle w:val="Paragraph"/>
        <w:spacing w:afterLines="60" w:after="144" w:line="360" w:lineRule="auto"/>
        <w:ind w:firstLine="0"/>
        <w:jc w:val="both"/>
        <w:rPr>
          <w:i/>
        </w:rPr>
      </w:pPr>
      <w:r>
        <w:rPr>
          <w:i/>
          <w:vertAlign w:val="superscript"/>
        </w:rPr>
        <w:t>3</w:t>
      </w:r>
      <w:r w:rsidRPr="00A25475">
        <w:rPr>
          <w:i/>
        </w:rPr>
        <w:t>Efficient Energy Transfer Department, Bell Labs Research, Nokia, Blanchardstown</w:t>
      </w:r>
      <w:r>
        <w:rPr>
          <w:i/>
        </w:rPr>
        <w:t xml:space="preserve"> </w:t>
      </w:r>
      <w:r w:rsidRPr="00A25475">
        <w:rPr>
          <w:i/>
        </w:rPr>
        <w:t xml:space="preserve">Business &amp; Technology Park, </w:t>
      </w:r>
      <w:proofErr w:type="spellStart"/>
      <w:r w:rsidRPr="00A25475">
        <w:rPr>
          <w:i/>
        </w:rPr>
        <w:t>Snugborough</w:t>
      </w:r>
      <w:proofErr w:type="spellEnd"/>
      <w:r w:rsidRPr="00A25475">
        <w:rPr>
          <w:i/>
        </w:rPr>
        <w:t xml:space="preserve"> Road, Fingal, Dublin 15, Ireland</w:t>
      </w:r>
    </w:p>
    <w:p w14:paraId="0B05EB45" w14:textId="77777777" w:rsidR="00FB7F1B" w:rsidRDefault="00FB7F1B" w:rsidP="00FB7F1B">
      <w:pPr>
        <w:pStyle w:val="Paragraph"/>
        <w:spacing w:before="0" w:afterLines="60" w:after="144" w:line="360" w:lineRule="auto"/>
        <w:ind w:firstLine="0"/>
        <w:jc w:val="both"/>
        <w:rPr>
          <w:i/>
        </w:rPr>
      </w:pPr>
      <w:r>
        <w:rPr>
          <w:i/>
          <w:vertAlign w:val="superscript"/>
        </w:rPr>
        <w:t>4</w:t>
      </w:r>
      <w:r w:rsidRPr="00DD6B2D">
        <w:rPr>
          <w:i/>
        </w:rPr>
        <w:t xml:space="preserve">School of </w:t>
      </w:r>
      <w:r>
        <w:rPr>
          <w:i/>
        </w:rPr>
        <w:t>Chemistry</w:t>
      </w:r>
      <w:r w:rsidRPr="00DD6B2D">
        <w:rPr>
          <w:i/>
        </w:rPr>
        <w:t>, Trinity College Dublin, Dublin 2, Ireland</w:t>
      </w:r>
    </w:p>
    <w:p w14:paraId="7D1F5C93" w14:textId="77777777" w:rsidR="00FB7F1B" w:rsidRPr="00DD6B2D" w:rsidRDefault="00FB7F1B" w:rsidP="00FB7F1B">
      <w:pPr>
        <w:pStyle w:val="Paragraph"/>
        <w:spacing w:afterLines="60" w:after="144" w:line="360" w:lineRule="auto"/>
        <w:ind w:firstLine="0"/>
        <w:jc w:val="both"/>
        <w:rPr>
          <w:i/>
        </w:rPr>
      </w:pPr>
      <w:r>
        <w:rPr>
          <w:i/>
          <w:vertAlign w:val="superscript"/>
        </w:rPr>
        <w:t>5</w:t>
      </w:r>
      <w:r w:rsidRPr="00B3080E">
        <w:rPr>
          <w:i/>
        </w:rPr>
        <w:t xml:space="preserve"> </w:t>
      </w:r>
      <w:r w:rsidRPr="00F75302">
        <w:rPr>
          <w:i/>
        </w:rPr>
        <w:t>School of Chemistry, University College Cork</w:t>
      </w:r>
      <w:r>
        <w:rPr>
          <w:i/>
        </w:rPr>
        <w:t>, Tyndall National Institute, and Environmental Research Institute, Cork T12 YN60, Ireland</w:t>
      </w:r>
    </w:p>
    <w:p w14:paraId="372F818B" w14:textId="77777777" w:rsidR="00FB7F1B" w:rsidRPr="00DD6B2D" w:rsidRDefault="00FB7F1B" w:rsidP="00FB7F1B">
      <w:pPr>
        <w:pStyle w:val="Paragraph"/>
        <w:spacing w:before="0" w:afterLines="60" w:after="144" w:line="360" w:lineRule="auto"/>
        <w:ind w:firstLine="0"/>
        <w:jc w:val="both"/>
      </w:pPr>
      <w:r w:rsidRPr="00DD6B2D">
        <w:t>*colemaj@tcd.ie (Jonathan N. Coleman); Tel: +353 (0) 1 8963859.</w:t>
      </w:r>
    </w:p>
    <w:p w14:paraId="209C4253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A92D11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high rate approximations to capacity rate equations to ensure consistency between characteristic times.</w:t>
      </w:r>
    </w:p>
    <w:p w14:paraId="6632A084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equation has been reported by Tian et al.</w:t>
      </w:r>
    </w:p>
    <w:p w14:paraId="3F44E2C3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47785">
        <w:rPr>
          <w:rFonts w:ascii="Times New Roman" w:hAnsi="Times New Roman" w:cs="Times New Roman"/>
          <w:position w:val="-22"/>
          <w:sz w:val="24"/>
          <w:szCs w:val="24"/>
        </w:rPr>
        <w:object w:dxaOrig="3420" w:dyaOrig="560" w14:anchorId="0F9B0A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5pt;height:28.35pt" o:ole="">
            <v:imagedata r:id="rId8" o:title=""/>
          </v:shape>
          <o:OLEObject Type="Embed" ProgID="Equation.DSMT4" ShapeID="_x0000_i1025" DrawAspect="Content" ObjectID="_1648868604" r:id="rId9"/>
        </w:object>
      </w:r>
      <w:r w:rsidRPr="00947785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(16, </w:t>
      </w:r>
      <w:r w:rsidRPr="00947785">
        <w:rPr>
          <w:rFonts w:ascii="Times New Roman" w:hAnsi="Times New Roman" w:cs="Times New Roman"/>
          <w:sz w:val="24"/>
          <w:szCs w:val="24"/>
          <w:lang w:val="en-GB"/>
        </w:rPr>
        <w:t>Tian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et al)</w:t>
      </w:r>
    </w:p>
    <w:p w14:paraId="50BC2184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Taylor expanding this equation and taking the first 3 terms allows us to generate an approximate equation which described the high rate portion:</w:t>
      </w:r>
    </w:p>
    <w:p w14:paraId="5C5E9427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435">
        <w:rPr>
          <w:rFonts w:ascii="Times New Roman" w:hAnsi="Times New Roman" w:cs="Times New Roman"/>
          <w:position w:val="-32"/>
          <w:sz w:val="24"/>
          <w:szCs w:val="24"/>
        </w:rPr>
        <w:object w:dxaOrig="2140" w:dyaOrig="720" w14:anchorId="49E2CC85">
          <v:shape id="_x0000_i1026" type="#_x0000_t75" style="width:107.4pt;height:36.6pt" o:ole="">
            <v:imagedata r:id="rId10" o:title=""/>
          </v:shape>
          <o:OLEObject Type="Embed" ProgID="Equation.DSMT4" ShapeID="_x0000_i1026" DrawAspect="Content" ObjectID="_1648868605" r:id="rId11"/>
        </w:object>
      </w:r>
    </w:p>
    <w:p w14:paraId="336675C9" w14:textId="55F08B63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Tian et al used this equation to fit literature data to generate a database of ~200 </w:t>
      </w:r>
      <w:r>
        <w:rPr>
          <w:rFonts w:ascii="Times New Roman" w:hAnsi="Times New Roman" w:cs="Times New Roman"/>
          <w:sz w:val="24"/>
          <w:szCs w:val="24"/>
        </w:rPr>
        <w:sym w:font="Symbol" w:char="F074"/>
      </w:r>
      <w:r>
        <w:rPr>
          <w:rFonts w:ascii="Times New Roman" w:hAnsi="Times New Roman" w:cs="Times New Roman"/>
          <w:sz w:val="24"/>
          <w:szCs w:val="24"/>
        </w:rPr>
        <w:t>-values for a range of materials. Because this database is quite useful, we want to make sure that if other equations are used to fit Q/M v R data, they output fit constants that are consistent with Tian</w:t>
      </w:r>
      <w:r w:rsidR="000956DC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s. The simplest way to ensure this is to make sure that other equations are written in such a way that their high rate approximation matches that above.</w:t>
      </w:r>
    </w:p>
    <w:p w14:paraId="7CC15CC8" w14:textId="77777777" w:rsidR="00C37E4B" w:rsidRPr="00947785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Heubner et al proposed an equation for Q/M in terms of C-rate. However, in the main text, we show that this equation is more suited to fitting Q/M vs. R data. Thus, we reproduce the equation here in terms of R, rather than C-rate:</w:t>
      </w:r>
    </w:p>
    <w:p w14:paraId="211170C6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785">
        <w:rPr>
          <w:rFonts w:ascii="Times New Roman" w:hAnsi="Times New Roman" w:cs="Times New Roman"/>
          <w:position w:val="-22"/>
          <w:sz w:val="24"/>
          <w:szCs w:val="24"/>
        </w:rPr>
        <w:object w:dxaOrig="3120" w:dyaOrig="560" w14:anchorId="1CCCF88A">
          <v:shape id="_x0000_i1027" type="#_x0000_t75" style="width:158.15pt;height:28.35pt" o:ole="">
            <v:imagedata r:id="rId12" o:title=""/>
          </v:shape>
          <o:OLEObject Type="Embed" ProgID="Equation.DSMT4" ShapeID="_x0000_i1027" DrawAspect="Content" ObjectID="_1648868606" r:id="rId13"/>
        </w:object>
      </w:r>
      <w:r w:rsidRPr="009477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(17, </w:t>
      </w:r>
      <w:proofErr w:type="spellStart"/>
      <w:r w:rsidRPr="00947785">
        <w:rPr>
          <w:rFonts w:ascii="Times New Roman" w:hAnsi="Times New Roman" w:cs="Times New Roman"/>
          <w:sz w:val="24"/>
          <w:szCs w:val="24"/>
        </w:rPr>
        <w:t>Heubner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al)</w:t>
      </w:r>
    </w:p>
    <w:p w14:paraId="3520292F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Taylor expanding this equation and taking the first 2 terms yields the high rate approximation: </w:t>
      </w:r>
    </w:p>
    <w:p w14:paraId="2DD8ADF7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C48">
        <w:rPr>
          <w:rFonts w:ascii="Times New Roman" w:hAnsi="Times New Roman" w:cs="Times New Roman"/>
          <w:position w:val="-36"/>
          <w:sz w:val="24"/>
          <w:szCs w:val="24"/>
        </w:rPr>
        <w:object w:dxaOrig="2020" w:dyaOrig="760" w14:anchorId="7E678106">
          <v:shape id="_x0000_i1028" type="#_x0000_t75" style="width:100.35pt;height:35.4pt" o:ole="">
            <v:imagedata r:id="rId14" o:title=""/>
          </v:shape>
          <o:OLEObject Type="Embed" ProgID="Equation.DSMT4" ShapeID="_x0000_i1028" DrawAspect="Content" ObjectID="_1648868607" r:id="rId15"/>
        </w:object>
      </w:r>
    </w:p>
    <w:p w14:paraId="6C96B7EA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equation clearly does not match the high rate approximation to Tian’s equation and so will not output values of </w:t>
      </w:r>
      <w:r>
        <w:rPr>
          <w:rFonts w:ascii="Times New Roman" w:hAnsi="Times New Roman" w:cs="Times New Roman"/>
          <w:sz w:val="24"/>
          <w:szCs w:val="24"/>
        </w:rPr>
        <w:sym w:font="Symbol" w:char="F074"/>
      </w:r>
      <w:r>
        <w:rPr>
          <w:rFonts w:ascii="Times New Roman" w:hAnsi="Times New Roman" w:cs="Times New Roman"/>
          <w:sz w:val="24"/>
          <w:szCs w:val="24"/>
        </w:rPr>
        <w:t xml:space="preserve"> matching that of Tian.</w:t>
      </w:r>
    </w:p>
    <w:p w14:paraId="6D1A8E61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However, if we rewrite this equation very slightly, adding a factor of 0.5: </w:t>
      </w:r>
    </w:p>
    <w:p w14:paraId="2ED5218A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785">
        <w:rPr>
          <w:rFonts w:ascii="Times New Roman" w:hAnsi="Times New Roman" w:cs="Times New Roman"/>
          <w:position w:val="-22"/>
          <w:sz w:val="24"/>
          <w:szCs w:val="24"/>
        </w:rPr>
        <w:object w:dxaOrig="3400" w:dyaOrig="560" w14:anchorId="63CDBA8A">
          <v:shape id="_x0000_i1029" type="#_x0000_t75" style="width:172.35pt;height:28.35pt" o:ole="">
            <v:imagedata r:id="rId16" o:title=""/>
          </v:shape>
          <o:OLEObject Type="Embed" ProgID="Equation.DSMT4" ShapeID="_x0000_i1029" DrawAspect="Content" ObjectID="_1648868608" r:id="rId17"/>
        </w:object>
      </w:r>
    </w:p>
    <w:p w14:paraId="4174802D" w14:textId="25FC96EC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Taylor expansion gives the high rate approximation which matches Tian</w:t>
      </w:r>
      <w:r w:rsidR="000956DC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s:</w:t>
      </w:r>
    </w:p>
    <w:p w14:paraId="2D661E68" w14:textId="77777777" w:rsidR="00C37E4B" w:rsidRPr="00947785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435">
        <w:rPr>
          <w:rFonts w:ascii="Times New Roman" w:hAnsi="Times New Roman" w:cs="Times New Roman"/>
          <w:position w:val="-32"/>
          <w:sz w:val="24"/>
          <w:szCs w:val="24"/>
        </w:rPr>
        <w:object w:dxaOrig="2140" w:dyaOrig="720" w14:anchorId="667A279B">
          <v:shape id="_x0000_i1030" type="#_x0000_t75" style="width:107.4pt;height:36.6pt" o:ole="">
            <v:imagedata r:id="rId10" o:title=""/>
          </v:shape>
          <o:OLEObject Type="Embed" ProgID="Equation.DSMT4" ShapeID="_x0000_i1030" DrawAspect="Content" ObjectID="_1648868609" r:id="rId18"/>
        </w:object>
      </w:r>
    </w:p>
    <w:p w14:paraId="41A95060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Similarly, the equation derived by us (</w:t>
      </w:r>
      <w:proofErr w:type="spellStart"/>
      <w:r>
        <w:rPr>
          <w:rFonts w:ascii="Times New Roman" w:hAnsi="Times New Roman" w:cs="Times New Roman"/>
          <w:sz w:val="24"/>
          <w:szCs w:val="24"/>
        </w:rPr>
        <w:t>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12):</w:t>
      </w:r>
    </w:p>
    <w:p w14:paraId="177D4F7D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435">
        <w:rPr>
          <w:rFonts w:ascii="Times New Roman" w:hAnsi="Times New Roman" w:cs="Times New Roman"/>
          <w:position w:val="-32"/>
          <w:sz w:val="24"/>
          <w:szCs w:val="24"/>
        </w:rPr>
        <w:object w:dxaOrig="2040" w:dyaOrig="720" w14:anchorId="774E5F97">
          <v:shape id="_x0000_i1031" type="#_x0000_t75" style="width:100.35pt;height:36.6pt" o:ole="">
            <v:imagedata r:id="rId19" o:title=""/>
          </v:shape>
          <o:OLEObject Type="Embed" ProgID="Equation.DSMT4" ShapeID="_x0000_i1031" DrawAspect="Content" ObjectID="_1648868610" r:id="rId20"/>
        </w:object>
      </w:r>
    </w:p>
    <w:p w14:paraId="3D5F355E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a high rate approximation when R</w:t>
      </w:r>
      <w:r>
        <w:rPr>
          <w:rFonts w:ascii="Times New Roman" w:hAnsi="Times New Roman" w:cs="Times New Roman"/>
          <w:sz w:val="24"/>
          <w:szCs w:val="24"/>
        </w:rPr>
        <w:sym w:font="Symbol" w:char="F074"/>
      </w:r>
      <w:r>
        <w:rPr>
          <w:rFonts w:ascii="Times New Roman" w:hAnsi="Times New Roman" w:cs="Times New Roman"/>
          <w:sz w:val="24"/>
          <w:szCs w:val="24"/>
        </w:rPr>
        <w:t>&gt;&gt;1 and so:</w:t>
      </w:r>
    </w:p>
    <w:p w14:paraId="088F3184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0CC">
        <w:rPr>
          <w:position w:val="-32"/>
        </w:rPr>
        <w:object w:dxaOrig="1800" w:dyaOrig="720" w14:anchorId="14B60E7B">
          <v:shape id="_x0000_i1032" type="#_x0000_t75" style="width:86.15pt;height:36.6pt" o:ole="">
            <v:imagedata r:id="rId21" o:title=""/>
          </v:shape>
          <o:OLEObject Type="Embed" ProgID="Equation.DSMT4" ShapeID="_x0000_i1032" DrawAspect="Content" ObjectID="_1648868611" r:id="rId22"/>
        </w:object>
      </w:r>
    </w:p>
    <w:p w14:paraId="786B4AAC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Again, this doesn’t match Tian’s high-rate approximation. However, if we modify the equation:</w:t>
      </w:r>
    </w:p>
    <w:p w14:paraId="471CB1C1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F74">
        <w:rPr>
          <w:rFonts w:ascii="Times New Roman" w:hAnsi="Times New Roman" w:cs="Times New Roman"/>
          <w:position w:val="-28"/>
          <w:sz w:val="24"/>
          <w:szCs w:val="24"/>
        </w:rPr>
        <w:object w:dxaOrig="1579" w:dyaOrig="660" w14:anchorId="27564A72">
          <v:shape id="_x0000_i1033" type="#_x0000_t75" style="width:79.1pt;height:36.6pt" o:ole="">
            <v:imagedata r:id="rId23" o:title=""/>
          </v:shape>
          <o:OLEObject Type="Embed" ProgID="Equation.DSMT4" ShapeID="_x0000_i1033" DrawAspect="Content" ObjectID="_1648868612" r:id="rId24"/>
        </w:object>
      </w:r>
    </w:p>
    <w:p w14:paraId="32DC09F6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high-rate approximation becomes identical to Tian’s:</w:t>
      </w:r>
    </w:p>
    <w:p w14:paraId="3E76FBD5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C48">
        <w:rPr>
          <w:position w:val="-36"/>
        </w:rPr>
        <w:object w:dxaOrig="2180" w:dyaOrig="760" w14:anchorId="3472AF03">
          <v:shape id="_x0000_i1034" type="#_x0000_t75" style="width:108.6pt;height:35.4pt" o:ole="">
            <v:imagedata r:id="rId25" o:title=""/>
          </v:shape>
          <o:OLEObject Type="Embed" ProgID="Equation.DSMT4" ShapeID="_x0000_i1034" DrawAspect="Content" ObjectID="_1648868613" r:id="rId2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A7EF92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9EA209" w14:textId="77777777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BAFF9F" w14:textId="77777777" w:rsidR="00C37E4B" w:rsidRDefault="00C37E4B" w:rsidP="00C37E4B">
      <w:pPr>
        <w:spacing w:after="60" w:line="360" w:lineRule="auto"/>
        <w:jc w:val="both"/>
      </w:pPr>
      <w:r>
        <w:object w:dxaOrig="4090" w:dyaOrig="6144" w14:anchorId="2EB0D763">
          <v:shape id="_x0000_i1035" type="#_x0000_t75" style="width:266.75pt;height:403.65pt" o:ole="">
            <v:imagedata r:id="rId27" o:title=""/>
          </v:shape>
          <o:OLEObject Type="Embed" ProgID="Origin95.Graph" ShapeID="_x0000_i1035" DrawAspect="Content" ObjectID="_1648868614" r:id="rId28"/>
        </w:object>
      </w:r>
    </w:p>
    <w:p w14:paraId="76ED541F" w14:textId="6B4E66AE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8CB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E58C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Comparison of results obtained by fitting Q/M vs. R data obtained by GCD measurements (left column) versus CA measurements (right column). We performed fits using three different equations: equation </w:t>
      </w:r>
      <w:r w:rsidR="00BF555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13</w:t>
      </w:r>
      <w:r w:rsidR="00BF555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obtained in this work (top row), Tian</w:t>
      </w:r>
      <w:r w:rsidR="000956DC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equation (middle row)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Heubner</w:t>
      </w:r>
      <w:r w:rsidR="000956DC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equation (bottom row). Fit parameters and a goodness-of-fit parameter are given in each panel. </w:t>
      </w:r>
    </w:p>
    <w:p w14:paraId="09C10F8B" w14:textId="77777777" w:rsidR="00C37E4B" w:rsidRDefault="00C37E4B" w:rsidP="00C37E4B">
      <w:pPr>
        <w:spacing w:after="60" w:line="360" w:lineRule="auto"/>
        <w:jc w:val="both"/>
      </w:pPr>
      <w:r>
        <w:object w:dxaOrig="4545" w:dyaOrig="4551" w14:anchorId="5143CDE0">
          <v:shape id="_x0000_i1036" type="#_x0000_t75" style="width:266.75pt;height:266.75pt" o:ole="">
            <v:imagedata r:id="rId29" o:title=""/>
          </v:shape>
          <o:OLEObject Type="Embed" ProgID="Origin95.Graph" ShapeID="_x0000_i1036" DrawAspect="Content" ObjectID="_1648868615" r:id="rId30"/>
        </w:object>
      </w:r>
    </w:p>
    <w:p w14:paraId="4E7DF8B9" w14:textId="6BE2329D" w:rsidR="00C37E4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8CB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58C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Comparison of results obtained by fitting Q/M vs. C-rate data obtained by GCD measurements (left column) versus CA measurements (right column). We performed fits using two different equations: equation </w:t>
      </w:r>
      <w:r w:rsidR="00BF555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13</w:t>
      </w:r>
      <w:r w:rsidR="00BF555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obtained in this work (top row), and </w:t>
      </w:r>
      <w:r w:rsidR="000956DC">
        <w:rPr>
          <w:rFonts w:ascii="Times New Roman" w:hAnsi="Times New Roman" w:cs="Times New Roman"/>
          <w:sz w:val="24"/>
          <w:szCs w:val="24"/>
        </w:rPr>
        <w:t>Wong’s</w:t>
      </w:r>
      <w:r>
        <w:rPr>
          <w:rFonts w:ascii="Times New Roman" w:hAnsi="Times New Roman" w:cs="Times New Roman"/>
          <w:sz w:val="24"/>
          <w:szCs w:val="24"/>
        </w:rPr>
        <w:t xml:space="preserve"> equation (bottom row). Fit parameters and a goodness-of-fit parameter are given in each panel. </w:t>
      </w:r>
    </w:p>
    <w:p w14:paraId="51BBB802" w14:textId="77777777" w:rsidR="00C37E4B" w:rsidRPr="004E58CB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8F06A9" w14:textId="77777777" w:rsidR="00C37E4B" w:rsidRDefault="00C37E4B" w:rsidP="00C37E4B">
      <w:pPr>
        <w:spacing w:after="60" w:line="360" w:lineRule="auto"/>
        <w:jc w:val="both"/>
      </w:pPr>
      <w:r>
        <w:object w:dxaOrig="4545" w:dyaOrig="3413" w14:anchorId="313DED35">
          <v:shape id="_x0000_i1037" type="#_x0000_t75" style="width:345.85pt;height:259.65pt" o:ole="">
            <v:imagedata r:id="rId31" o:title=""/>
          </v:shape>
          <o:OLEObject Type="Embed" ProgID="Origin95.Graph" ShapeID="_x0000_i1037" DrawAspect="Content" ObjectID="_1648868616" r:id="rId32"/>
        </w:object>
      </w:r>
    </w:p>
    <w:p w14:paraId="6EFF4461" w14:textId="77777777" w:rsidR="00C37E4B" w:rsidRPr="00483E0A" w:rsidRDefault="00C37E4B" w:rsidP="00C37E4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E0A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83E0A">
        <w:rPr>
          <w:rFonts w:ascii="Times New Roman" w:hAnsi="Times New Roman" w:cs="Times New Roman"/>
          <w:sz w:val="24"/>
          <w:szCs w:val="24"/>
        </w:rPr>
        <w:t xml:space="preserve">: Comparison of </w:t>
      </w:r>
      <w:r w:rsidRPr="00483E0A">
        <w:rPr>
          <w:rFonts w:ascii="Times New Roman" w:hAnsi="Times New Roman" w:cs="Times New Roman"/>
          <w:sz w:val="24"/>
          <w:szCs w:val="24"/>
        </w:rPr>
        <w:sym w:font="Symbol" w:char="F074"/>
      </w:r>
      <w:r w:rsidRPr="00483E0A">
        <w:rPr>
          <w:rFonts w:ascii="Times New Roman" w:hAnsi="Times New Roman" w:cs="Times New Roman"/>
          <w:sz w:val="24"/>
          <w:szCs w:val="24"/>
        </w:rPr>
        <w:t xml:space="preserve"> and n fit parameters found 4 different ways: fitting Q/M versus either R or C-rate, with Q/M measured via GCD or CA measurements.</w:t>
      </w:r>
      <w:r>
        <w:rPr>
          <w:rFonts w:ascii="Times New Roman" w:hAnsi="Times New Roman" w:cs="Times New Roman"/>
          <w:sz w:val="24"/>
          <w:szCs w:val="24"/>
        </w:rPr>
        <w:t xml:space="preserve"> Each material is colour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coded as shown in the legend. Each measurement/fit type is coded via the symbol shape. In the ideal case, for a given material the fit parameter values would be very similar for each of the 4 sets of fit parameters and so data points </w:t>
      </w:r>
      <w:proofErr w:type="gramStart"/>
      <w:r>
        <w:rPr>
          <w:rFonts w:ascii="Times New Roman" w:hAnsi="Times New Roman" w:cs="Times New Roman"/>
          <w:sz w:val="24"/>
          <w:szCs w:val="24"/>
        </w:rPr>
        <w:t>of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given colour should be closely clustered. This is largely the case with the exception of the stars which are always separated from the other symbols of a given colour. This means the Q/M data measured by GCD and plotted versus C-rate fives fit parameters which are not perfectly consistent with the other values.</w:t>
      </w:r>
    </w:p>
    <w:p w14:paraId="51EF25EA" w14:textId="3EA7631A" w:rsidR="00C37E4B" w:rsidRDefault="00C37E4B" w:rsidP="00111AFE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4"/>
        <w:gridCol w:w="975"/>
        <w:gridCol w:w="996"/>
        <w:gridCol w:w="1043"/>
        <w:gridCol w:w="958"/>
        <w:gridCol w:w="952"/>
        <w:gridCol w:w="1043"/>
        <w:gridCol w:w="944"/>
        <w:gridCol w:w="941"/>
      </w:tblGrid>
      <w:tr w:rsidR="004E0393" w14:paraId="30D96977" w14:textId="77777777" w:rsidTr="004E0393">
        <w:tc>
          <w:tcPr>
            <w:tcW w:w="1164" w:type="dxa"/>
          </w:tcPr>
          <w:p w14:paraId="6F148336" w14:textId="77777777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F1B">
              <w:rPr>
                <w:rFonts w:ascii="Times New Roman" w:hAnsi="Times New Roman" w:cs="Times New Roman"/>
                <w:sz w:val="24"/>
                <w:szCs w:val="24"/>
              </w:rPr>
              <w:t>M/A</w:t>
            </w:r>
          </w:p>
          <w:p w14:paraId="7D04E1C7" w14:textId="6B9980F0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F1B">
              <w:rPr>
                <w:rFonts w:ascii="Times New Roman" w:hAnsi="Times New Roman" w:cs="Times New Roman"/>
                <w:sz w:val="24"/>
                <w:szCs w:val="24"/>
              </w:rPr>
              <w:t>(mg/cm2)</w:t>
            </w:r>
          </w:p>
        </w:tc>
        <w:tc>
          <w:tcPr>
            <w:tcW w:w="975" w:type="dxa"/>
          </w:tcPr>
          <w:p w14:paraId="789C1AF2" w14:textId="77777777" w:rsidR="004E0393" w:rsidRPr="00C60714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92B34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C6071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</w:p>
          <w:p w14:paraId="3F56908B" w14:textId="62DB447B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71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B7F1B">
              <w:rPr>
                <w:rFonts w:ascii="Times New Roman" w:hAnsi="Times New Roman" w:cs="Times New Roman"/>
                <w:sz w:val="24"/>
                <w:szCs w:val="24"/>
              </w:rPr>
              <w:sym w:font="Symbol" w:char="F06D"/>
            </w:r>
            <w:r w:rsidRPr="00FB7F1B">
              <w:rPr>
                <w:rFonts w:ascii="Times New Roman" w:hAnsi="Times New Roman" w:cs="Times New Roman"/>
                <w:sz w:val="24"/>
                <w:szCs w:val="24"/>
              </w:rPr>
              <w:t>m)</w:t>
            </w:r>
          </w:p>
        </w:tc>
        <w:tc>
          <w:tcPr>
            <w:tcW w:w="996" w:type="dxa"/>
          </w:tcPr>
          <w:p w14:paraId="515079DE" w14:textId="77777777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F1B">
              <w:rPr>
                <w:rFonts w:ascii="Times New Roman" w:hAnsi="Times New Roman" w:cs="Times New Roman"/>
                <w:sz w:val="24"/>
                <w:szCs w:val="24"/>
              </w:rPr>
              <w:sym w:font="Symbol" w:char="F072"/>
            </w:r>
            <w:r w:rsidRPr="00FB7F1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</w:p>
          <w:p w14:paraId="76F40B12" w14:textId="26FA3792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F1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455F5">
              <w:rPr>
                <w:rFonts w:ascii="Times New Roman" w:hAnsi="Times New Roman" w:cs="Times New Roman"/>
                <w:sz w:val="24"/>
                <w:szCs w:val="24"/>
              </w:rPr>
              <w:t>g/cm</w:t>
            </w:r>
            <w:r w:rsidRPr="006443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B7F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43" w:type="dxa"/>
          </w:tcPr>
          <w:p w14:paraId="74C5DE96" w14:textId="77777777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F1B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6443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M,1</w:t>
            </w:r>
          </w:p>
          <w:p w14:paraId="0B59A4EF" w14:textId="6D078A4E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F1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B7F1B">
              <w:rPr>
                <w:rFonts w:ascii="Times New Roman" w:hAnsi="Times New Roman" w:cs="Times New Roman"/>
                <w:sz w:val="24"/>
                <w:szCs w:val="24"/>
              </w:rPr>
              <w:t>mAh</w:t>
            </w:r>
            <w:proofErr w:type="spellEnd"/>
            <w:r w:rsidRPr="00FB7F1B">
              <w:rPr>
                <w:rFonts w:ascii="Times New Roman" w:hAnsi="Times New Roman" w:cs="Times New Roman"/>
                <w:sz w:val="24"/>
                <w:szCs w:val="24"/>
              </w:rPr>
              <w:t>/g)</w:t>
            </w:r>
          </w:p>
        </w:tc>
        <w:tc>
          <w:tcPr>
            <w:tcW w:w="958" w:type="dxa"/>
          </w:tcPr>
          <w:p w14:paraId="3CCA98D8" w14:textId="77777777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F1B">
              <w:rPr>
                <w:rFonts w:ascii="Times New Roman" w:hAnsi="Times New Roman" w:cs="Times New Roman"/>
                <w:sz w:val="24"/>
                <w:szCs w:val="24"/>
              </w:rPr>
              <w:sym w:font="Symbol" w:char="F074"/>
            </w:r>
            <w:r w:rsidRPr="00FB7F1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FB7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190DD0" w14:textId="35C9E3B1" w:rsidR="004E0393" w:rsidRPr="009437F7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B3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0714">
              <w:rPr>
                <w:rFonts w:ascii="Times New Roman" w:hAnsi="Times New Roman" w:cs="Times New Roman"/>
                <w:sz w:val="24"/>
                <w:szCs w:val="24"/>
              </w:rPr>
              <w:t>s)</w:t>
            </w:r>
          </w:p>
        </w:tc>
        <w:tc>
          <w:tcPr>
            <w:tcW w:w="952" w:type="dxa"/>
          </w:tcPr>
          <w:p w14:paraId="2133A5C1" w14:textId="64BB491E" w:rsidR="004E0393" w:rsidRPr="006443E2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437F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D2A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043" w:type="dxa"/>
          </w:tcPr>
          <w:p w14:paraId="1B02C7CE" w14:textId="17126E55" w:rsidR="004E0393" w:rsidRPr="00C455F5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F1B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FB7F1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M,2</w:t>
            </w:r>
          </w:p>
          <w:p w14:paraId="556A91A3" w14:textId="54B7F9EF" w:rsidR="004E0393" w:rsidRPr="00C60714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B3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92B34">
              <w:rPr>
                <w:rFonts w:ascii="Times New Roman" w:hAnsi="Times New Roman" w:cs="Times New Roman"/>
                <w:sz w:val="24"/>
                <w:szCs w:val="24"/>
              </w:rPr>
              <w:t>mAh</w:t>
            </w:r>
            <w:proofErr w:type="spellEnd"/>
            <w:r w:rsidRPr="00D92B34">
              <w:rPr>
                <w:rFonts w:ascii="Times New Roman" w:hAnsi="Times New Roman" w:cs="Times New Roman"/>
                <w:sz w:val="24"/>
                <w:szCs w:val="24"/>
              </w:rPr>
              <w:t>/g)</w:t>
            </w:r>
          </w:p>
        </w:tc>
        <w:tc>
          <w:tcPr>
            <w:tcW w:w="944" w:type="dxa"/>
          </w:tcPr>
          <w:p w14:paraId="30FC2655" w14:textId="03B50D99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F1B">
              <w:rPr>
                <w:rFonts w:ascii="Times New Roman" w:hAnsi="Times New Roman" w:cs="Times New Roman"/>
                <w:sz w:val="24"/>
                <w:szCs w:val="24"/>
              </w:rPr>
              <w:sym w:font="Symbol" w:char="F074"/>
            </w:r>
            <w:r w:rsidRPr="00FB7F1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B7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6200B7" w14:textId="787222B9" w:rsidR="004E0393" w:rsidRPr="009437F7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B3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0714">
              <w:rPr>
                <w:rFonts w:ascii="Times New Roman" w:hAnsi="Times New Roman" w:cs="Times New Roman"/>
                <w:sz w:val="24"/>
                <w:szCs w:val="24"/>
              </w:rPr>
              <w:t>s)</w:t>
            </w:r>
          </w:p>
        </w:tc>
        <w:tc>
          <w:tcPr>
            <w:tcW w:w="941" w:type="dxa"/>
          </w:tcPr>
          <w:p w14:paraId="6EC258E6" w14:textId="5974EA54" w:rsidR="004E0393" w:rsidRPr="009D2A7A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7F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D2A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4E0393" w14:paraId="1B19DF5E" w14:textId="77777777" w:rsidTr="004E0393">
        <w:tc>
          <w:tcPr>
            <w:tcW w:w="1164" w:type="dxa"/>
          </w:tcPr>
          <w:p w14:paraId="1FAFC217" w14:textId="22B56166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8.79</w:t>
            </w:r>
          </w:p>
        </w:tc>
        <w:tc>
          <w:tcPr>
            <w:tcW w:w="975" w:type="dxa"/>
          </w:tcPr>
          <w:p w14:paraId="34B5A740" w14:textId="2488219B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6" w:type="dxa"/>
          </w:tcPr>
          <w:p w14:paraId="37DE1340" w14:textId="5A860A67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043" w:type="dxa"/>
          </w:tcPr>
          <w:p w14:paraId="5D953F49" w14:textId="4AB959BF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192.1</w:t>
            </w:r>
          </w:p>
        </w:tc>
        <w:tc>
          <w:tcPr>
            <w:tcW w:w="958" w:type="dxa"/>
          </w:tcPr>
          <w:p w14:paraId="41A9C6D6" w14:textId="43B4C4C9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154.9</w:t>
            </w:r>
          </w:p>
        </w:tc>
        <w:tc>
          <w:tcPr>
            <w:tcW w:w="952" w:type="dxa"/>
          </w:tcPr>
          <w:p w14:paraId="293DC820" w14:textId="3E00EA67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1.04</w:t>
            </w:r>
          </w:p>
        </w:tc>
        <w:tc>
          <w:tcPr>
            <w:tcW w:w="1043" w:type="dxa"/>
          </w:tcPr>
          <w:p w14:paraId="423338EF" w14:textId="0BDCA300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3.46</w:t>
            </w:r>
          </w:p>
        </w:tc>
        <w:tc>
          <w:tcPr>
            <w:tcW w:w="944" w:type="dxa"/>
          </w:tcPr>
          <w:p w14:paraId="421C0356" w14:textId="2A65F38B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941" w:type="dxa"/>
          </w:tcPr>
          <w:p w14:paraId="47B8E444" w14:textId="243CEC59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1.11</w:t>
            </w:r>
          </w:p>
        </w:tc>
      </w:tr>
      <w:tr w:rsidR="004E0393" w14:paraId="3AACCE37" w14:textId="77777777" w:rsidTr="004E0393">
        <w:tc>
          <w:tcPr>
            <w:tcW w:w="1164" w:type="dxa"/>
          </w:tcPr>
          <w:p w14:paraId="4A9AEABF" w14:textId="236653E8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975" w:type="dxa"/>
          </w:tcPr>
          <w:p w14:paraId="342C73CF" w14:textId="157DEFA8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6" w:type="dxa"/>
          </w:tcPr>
          <w:p w14:paraId="28639E8C" w14:textId="634A051B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043" w:type="dxa"/>
          </w:tcPr>
          <w:p w14:paraId="10C62C3E" w14:textId="08EE290A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187.7</w:t>
            </w:r>
          </w:p>
        </w:tc>
        <w:tc>
          <w:tcPr>
            <w:tcW w:w="958" w:type="dxa"/>
          </w:tcPr>
          <w:p w14:paraId="1D9BEFA9" w14:textId="33A92C31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157.2</w:t>
            </w:r>
          </w:p>
        </w:tc>
        <w:tc>
          <w:tcPr>
            <w:tcW w:w="952" w:type="dxa"/>
          </w:tcPr>
          <w:p w14:paraId="0245F586" w14:textId="442D4F14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1043" w:type="dxa"/>
          </w:tcPr>
          <w:p w14:paraId="50E8C1F6" w14:textId="5043C56F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1.90</w:t>
            </w:r>
          </w:p>
        </w:tc>
        <w:tc>
          <w:tcPr>
            <w:tcW w:w="944" w:type="dxa"/>
          </w:tcPr>
          <w:p w14:paraId="0C65E1A0" w14:textId="52FA0884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941" w:type="dxa"/>
          </w:tcPr>
          <w:p w14:paraId="3B8D66C8" w14:textId="5D259DF2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1.08</w:t>
            </w:r>
          </w:p>
        </w:tc>
      </w:tr>
      <w:tr w:rsidR="004E0393" w14:paraId="4EA9155E" w14:textId="77777777" w:rsidTr="004E0393">
        <w:tc>
          <w:tcPr>
            <w:tcW w:w="1164" w:type="dxa"/>
          </w:tcPr>
          <w:p w14:paraId="126FD95E" w14:textId="27ADBA8F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975" w:type="dxa"/>
          </w:tcPr>
          <w:p w14:paraId="67F2A644" w14:textId="1B5FCA4A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6" w:type="dxa"/>
          </w:tcPr>
          <w:p w14:paraId="62E1649B" w14:textId="29B2C808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043" w:type="dxa"/>
          </w:tcPr>
          <w:p w14:paraId="7BDD6958" w14:textId="7C11192E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178.0</w:t>
            </w:r>
          </w:p>
        </w:tc>
        <w:tc>
          <w:tcPr>
            <w:tcW w:w="958" w:type="dxa"/>
          </w:tcPr>
          <w:p w14:paraId="781F4967" w14:textId="3700018F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140.0</w:t>
            </w:r>
          </w:p>
        </w:tc>
        <w:tc>
          <w:tcPr>
            <w:tcW w:w="952" w:type="dxa"/>
          </w:tcPr>
          <w:p w14:paraId="634FFF1C" w14:textId="193F8E0E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1043" w:type="dxa"/>
          </w:tcPr>
          <w:p w14:paraId="0EFAB768" w14:textId="07293FA2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7.20</w:t>
            </w:r>
          </w:p>
        </w:tc>
        <w:tc>
          <w:tcPr>
            <w:tcW w:w="944" w:type="dxa"/>
          </w:tcPr>
          <w:p w14:paraId="435AC947" w14:textId="547AE0D9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941" w:type="dxa"/>
          </w:tcPr>
          <w:p w14:paraId="0CE880FD" w14:textId="0910CB1D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1.05</w:t>
            </w:r>
          </w:p>
        </w:tc>
      </w:tr>
      <w:tr w:rsidR="004E0393" w14:paraId="6A7D87AC" w14:textId="77777777" w:rsidTr="004E0393">
        <w:tc>
          <w:tcPr>
            <w:tcW w:w="1164" w:type="dxa"/>
          </w:tcPr>
          <w:p w14:paraId="47A59E79" w14:textId="4EDABA2B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12.3</w:t>
            </w:r>
          </w:p>
        </w:tc>
        <w:tc>
          <w:tcPr>
            <w:tcW w:w="975" w:type="dxa"/>
          </w:tcPr>
          <w:p w14:paraId="37BD744E" w14:textId="44E02C95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6" w:type="dxa"/>
          </w:tcPr>
          <w:p w14:paraId="7A23A0D6" w14:textId="4AB0B1F9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043" w:type="dxa"/>
          </w:tcPr>
          <w:p w14:paraId="43DE1D0A" w14:textId="16488A91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161.8</w:t>
            </w:r>
          </w:p>
        </w:tc>
        <w:tc>
          <w:tcPr>
            <w:tcW w:w="958" w:type="dxa"/>
          </w:tcPr>
          <w:p w14:paraId="3B0CE6AB" w14:textId="77F89851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169.9</w:t>
            </w:r>
          </w:p>
        </w:tc>
        <w:tc>
          <w:tcPr>
            <w:tcW w:w="952" w:type="dxa"/>
          </w:tcPr>
          <w:p w14:paraId="78FA0662" w14:textId="3639761E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1043" w:type="dxa"/>
          </w:tcPr>
          <w:p w14:paraId="2AD3DCC2" w14:textId="644CC8B0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5.15</w:t>
            </w:r>
          </w:p>
        </w:tc>
        <w:tc>
          <w:tcPr>
            <w:tcW w:w="944" w:type="dxa"/>
          </w:tcPr>
          <w:p w14:paraId="1CC8BB65" w14:textId="70BBE7C5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1.38</w:t>
            </w:r>
          </w:p>
        </w:tc>
        <w:tc>
          <w:tcPr>
            <w:tcW w:w="941" w:type="dxa"/>
          </w:tcPr>
          <w:p w14:paraId="5BC9DF04" w14:textId="73B7569E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1.25</w:t>
            </w:r>
          </w:p>
        </w:tc>
      </w:tr>
      <w:tr w:rsidR="004E0393" w14:paraId="4C826DF3" w14:textId="77777777" w:rsidTr="004E0393">
        <w:tc>
          <w:tcPr>
            <w:tcW w:w="1164" w:type="dxa"/>
          </w:tcPr>
          <w:p w14:paraId="6CCACEE9" w14:textId="3824E2A2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16.3</w:t>
            </w:r>
          </w:p>
        </w:tc>
        <w:tc>
          <w:tcPr>
            <w:tcW w:w="975" w:type="dxa"/>
          </w:tcPr>
          <w:p w14:paraId="3B70C365" w14:textId="671B36B4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96" w:type="dxa"/>
          </w:tcPr>
          <w:p w14:paraId="7004D22E" w14:textId="77A879D7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043" w:type="dxa"/>
          </w:tcPr>
          <w:p w14:paraId="04001C69" w14:textId="16F84BBF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188.8</w:t>
            </w:r>
          </w:p>
        </w:tc>
        <w:tc>
          <w:tcPr>
            <w:tcW w:w="958" w:type="dxa"/>
          </w:tcPr>
          <w:p w14:paraId="134E98A0" w14:textId="4E7E9CA7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275.3</w:t>
            </w:r>
          </w:p>
        </w:tc>
        <w:tc>
          <w:tcPr>
            <w:tcW w:w="952" w:type="dxa"/>
          </w:tcPr>
          <w:p w14:paraId="4941F99B" w14:textId="55753E3B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1043" w:type="dxa"/>
          </w:tcPr>
          <w:p w14:paraId="03119417" w14:textId="5B82D485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1.75</w:t>
            </w:r>
          </w:p>
        </w:tc>
        <w:tc>
          <w:tcPr>
            <w:tcW w:w="944" w:type="dxa"/>
          </w:tcPr>
          <w:p w14:paraId="546AF598" w14:textId="451FEC86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0.51</w:t>
            </w:r>
          </w:p>
        </w:tc>
        <w:tc>
          <w:tcPr>
            <w:tcW w:w="941" w:type="dxa"/>
          </w:tcPr>
          <w:p w14:paraId="265CADC0" w14:textId="74C1B455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1.16</w:t>
            </w:r>
          </w:p>
        </w:tc>
      </w:tr>
      <w:tr w:rsidR="004E0393" w14:paraId="6635E5F1" w14:textId="77777777" w:rsidTr="004E0393">
        <w:tc>
          <w:tcPr>
            <w:tcW w:w="1164" w:type="dxa"/>
          </w:tcPr>
          <w:p w14:paraId="42C0DCE4" w14:textId="7A17209D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20.9</w:t>
            </w:r>
          </w:p>
        </w:tc>
        <w:tc>
          <w:tcPr>
            <w:tcW w:w="975" w:type="dxa"/>
          </w:tcPr>
          <w:p w14:paraId="7BE6F9F4" w14:textId="1A0E8AC8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96" w:type="dxa"/>
          </w:tcPr>
          <w:p w14:paraId="671011C1" w14:textId="15572BE3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043" w:type="dxa"/>
          </w:tcPr>
          <w:p w14:paraId="6E860CBA" w14:textId="6A4C8A55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186.5</w:t>
            </w:r>
          </w:p>
        </w:tc>
        <w:tc>
          <w:tcPr>
            <w:tcW w:w="958" w:type="dxa"/>
          </w:tcPr>
          <w:p w14:paraId="27A31FD4" w14:textId="1563CCA7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444.9</w:t>
            </w:r>
          </w:p>
        </w:tc>
        <w:tc>
          <w:tcPr>
            <w:tcW w:w="952" w:type="dxa"/>
          </w:tcPr>
          <w:p w14:paraId="3808BCFE" w14:textId="0DE13567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1.03</w:t>
            </w:r>
          </w:p>
        </w:tc>
        <w:tc>
          <w:tcPr>
            <w:tcW w:w="1043" w:type="dxa"/>
          </w:tcPr>
          <w:p w14:paraId="42471FDC" w14:textId="4630110C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6.04</w:t>
            </w:r>
          </w:p>
        </w:tc>
        <w:tc>
          <w:tcPr>
            <w:tcW w:w="944" w:type="dxa"/>
          </w:tcPr>
          <w:p w14:paraId="3D9E0E9E" w14:textId="3D0AD00D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2.87</w:t>
            </w:r>
          </w:p>
        </w:tc>
        <w:tc>
          <w:tcPr>
            <w:tcW w:w="941" w:type="dxa"/>
          </w:tcPr>
          <w:p w14:paraId="73A3991D" w14:textId="62DC62A1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0.99</w:t>
            </w:r>
          </w:p>
        </w:tc>
      </w:tr>
      <w:tr w:rsidR="004E0393" w14:paraId="73A3E3B1" w14:textId="77777777" w:rsidTr="004E0393">
        <w:tc>
          <w:tcPr>
            <w:tcW w:w="1164" w:type="dxa"/>
          </w:tcPr>
          <w:p w14:paraId="3CC34ADB" w14:textId="644B16FA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26.5</w:t>
            </w:r>
          </w:p>
        </w:tc>
        <w:tc>
          <w:tcPr>
            <w:tcW w:w="975" w:type="dxa"/>
          </w:tcPr>
          <w:p w14:paraId="2B1B9A83" w14:textId="3AEEEA02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996" w:type="dxa"/>
          </w:tcPr>
          <w:p w14:paraId="5D035D18" w14:textId="4C3B63D4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043" w:type="dxa"/>
          </w:tcPr>
          <w:p w14:paraId="651742D3" w14:textId="30AEDA1E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183.0</w:t>
            </w:r>
          </w:p>
        </w:tc>
        <w:tc>
          <w:tcPr>
            <w:tcW w:w="958" w:type="dxa"/>
          </w:tcPr>
          <w:p w14:paraId="486B8214" w14:textId="3EF27442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448.1</w:t>
            </w:r>
          </w:p>
        </w:tc>
        <w:tc>
          <w:tcPr>
            <w:tcW w:w="952" w:type="dxa"/>
          </w:tcPr>
          <w:p w14:paraId="5F6A028B" w14:textId="13CA6D56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1043" w:type="dxa"/>
          </w:tcPr>
          <w:p w14:paraId="00F08111" w14:textId="3BC0A782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2.36</w:t>
            </w:r>
          </w:p>
        </w:tc>
        <w:tc>
          <w:tcPr>
            <w:tcW w:w="944" w:type="dxa"/>
          </w:tcPr>
          <w:p w14:paraId="2594123D" w14:textId="68E70B14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1.69</w:t>
            </w:r>
          </w:p>
        </w:tc>
        <w:tc>
          <w:tcPr>
            <w:tcW w:w="941" w:type="dxa"/>
          </w:tcPr>
          <w:p w14:paraId="3C8C7651" w14:textId="02A0EAD7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1.01</w:t>
            </w:r>
          </w:p>
        </w:tc>
      </w:tr>
      <w:tr w:rsidR="004E0393" w14:paraId="09BB14E0" w14:textId="77777777" w:rsidTr="004E0393">
        <w:tc>
          <w:tcPr>
            <w:tcW w:w="1164" w:type="dxa"/>
          </w:tcPr>
          <w:p w14:paraId="7162F2C9" w14:textId="2FBD5D0C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30.4</w:t>
            </w:r>
          </w:p>
        </w:tc>
        <w:tc>
          <w:tcPr>
            <w:tcW w:w="975" w:type="dxa"/>
          </w:tcPr>
          <w:p w14:paraId="7C090206" w14:textId="7A940FE9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996" w:type="dxa"/>
          </w:tcPr>
          <w:p w14:paraId="009FADE0" w14:textId="1D7196FB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043" w:type="dxa"/>
          </w:tcPr>
          <w:p w14:paraId="08DE0A13" w14:textId="7662ED20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180.9</w:t>
            </w:r>
          </w:p>
        </w:tc>
        <w:tc>
          <w:tcPr>
            <w:tcW w:w="958" w:type="dxa"/>
          </w:tcPr>
          <w:p w14:paraId="49352803" w14:textId="4C2FED12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743.3</w:t>
            </w:r>
          </w:p>
        </w:tc>
        <w:tc>
          <w:tcPr>
            <w:tcW w:w="952" w:type="dxa"/>
          </w:tcPr>
          <w:p w14:paraId="174CC768" w14:textId="57D14991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1043" w:type="dxa"/>
          </w:tcPr>
          <w:p w14:paraId="778AA783" w14:textId="725DF525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2.69</w:t>
            </w:r>
          </w:p>
        </w:tc>
        <w:tc>
          <w:tcPr>
            <w:tcW w:w="944" w:type="dxa"/>
          </w:tcPr>
          <w:p w14:paraId="1D49386A" w14:textId="199291BE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1.47</w:t>
            </w:r>
          </w:p>
        </w:tc>
        <w:tc>
          <w:tcPr>
            <w:tcW w:w="941" w:type="dxa"/>
          </w:tcPr>
          <w:p w14:paraId="1D05FCAC" w14:textId="26EDF5D3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1.14</w:t>
            </w:r>
          </w:p>
        </w:tc>
      </w:tr>
      <w:tr w:rsidR="004E0393" w14:paraId="7C6C6B63" w14:textId="77777777" w:rsidTr="004E0393">
        <w:tc>
          <w:tcPr>
            <w:tcW w:w="1164" w:type="dxa"/>
          </w:tcPr>
          <w:p w14:paraId="691C864D" w14:textId="0EA7623D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39.6</w:t>
            </w:r>
          </w:p>
        </w:tc>
        <w:tc>
          <w:tcPr>
            <w:tcW w:w="975" w:type="dxa"/>
          </w:tcPr>
          <w:p w14:paraId="06592945" w14:textId="1D335EE6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996" w:type="dxa"/>
          </w:tcPr>
          <w:p w14:paraId="2590E1C2" w14:textId="29B9E24B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043" w:type="dxa"/>
          </w:tcPr>
          <w:p w14:paraId="423190F7" w14:textId="65A69C89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179.7</w:t>
            </w:r>
          </w:p>
        </w:tc>
        <w:tc>
          <w:tcPr>
            <w:tcW w:w="958" w:type="dxa"/>
          </w:tcPr>
          <w:p w14:paraId="02932422" w14:textId="43D01B2C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946.4</w:t>
            </w:r>
          </w:p>
        </w:tc>
        <w:tc>
          <w:tcPr>
            <w:tcW w:w="952" w:type="dxa"/>
          </w:tcPr>
          <w:p w14:paraId="61DDDC01" w14:textId="13002AE7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1043" w:type="dxa"/>
          </w:tcPr>
          <w:p w14:paraId="174E004A" w14:textId="11FC644A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3.88</w:t>
            </w:r>
          </w:p>
        </w:tc>
        <w:tc>
          <w:tcPr>
            <w:tcW w:w="944" w:type="dxa"/>
          </w:tcPr>
          <w:p w14:paraId="266DCCE8" w14:textId="1AA02D0C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4.05</w:t>
            </w:r>
          </w:p>
        </w:tc>
        <w:tc>
          <w:tcPr>
            <w:tcW w:w="941" w:type="dxa"/>
          </w:tcPr>
          <w:p w14:paraId="5D5AB8B2" w14:textId="0DECE7C0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1.00</w:t>
            </w:r>
          </w:p>
        </w:tc>
      </w:tr>
      <w:tr w:rsidR="004E0393" w14:paraId="1D9C1967" w14:textId="77777777" w:rsidTr="004E0393">
        <w:tc>
          <w:tcPr>
            <w:tcW w:w="1164" w:type="dxa"/>
          </w:tcPr>
          <w:p w14:paraId="6660B64A" w14:textId="46707F93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41.3</w:t>
            </w:r>
          </w:p>
        </w:tc>
        <w:tc>
          <w:tcPr>
            <w:tcW w:w="975" w:type="dxa"/>
          </w:tcPr>
          <w:p w14:paraId="273E2281" w14:textId="56CC5DC4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996" w:type="dxa"/>
          </w:tcPr>
          <w:p w14:paraId="15BE7EBD" w14:textId="5B2B192F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043" w:type="dxa"/>
          </w:tcPr>
          <w:p w14:paraId="4810E443" w14:textId="21AF33F0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189.3</w:t>
            </w:r>
          </w:p>
        </w:tc>
        <w:tc>
          <w:tcPr>
            <w:tcW w:w="958" w:type="dxa"/>
          </w:tcPr>
          <w:p w14:paraId="4B11C2BE" w14:textId="59684691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2001.6</w:t>
            </w:r>
          </w:p>
        </w:tc>
        <w:tc>
          <w:tcPr>
            <w:tcW w:w="952" w:type="dxa"/>
          </w:tcPr>
          <w:p w14:paraId="0368DC27" w14:textId="087A90A0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1043" w:type="dxa"/>
          </w:tcPr>
          <w:p w14:paraId="68D27193" w14:textId="548361AD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3.88</w:t>
            </w:r>
          </w:p>
        </w:tc>
        <w:tc>
          <w:tcPr>
            <w:tcW w:w="944" w:type="dxa"/>
          </w:tcPr>
          <w:p w14:paraId="6C5BF116" w14:textId="4F471B23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5.98</w:t>
            </w:r>
          </w:p>
        </w:tc>
        <w:tc>
          <w:tcPr>
            <w:tcW w:w="941" w:type="dxa"/>
          </w:tcPr>
          <w:p w14:paraId="1E3CCD49" w14:textId="75E90021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1.04</w:t>
            </w:r>
          </w:p>
        </w:tc>
      </w:tr>
      <w:tr w:rsidR="004E0393" w14:paraId="57F88C21" w14:textId="77777777" w:rsidTr="004E0393">
        <w:tc>
          <w:tcPr>
            <w:tcW w:w="1164" w:type="dxa"/>
          </w:tcPr>
          <w:p w14:paraId="08873A85" w14:textId="64DAF3D5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75" w:type="dxa"/>
          </w:tcPr>
          <w:p w14:paraId="46DCB956" w14:textId="79361B97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996" w:type="dxa"/>
          </w:tcPr>
          <w:p w14:paraId="1CBEFADA" w14:textId="1F71F3EC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043" w:type="dxa"/>
          </w:tcPr>
          <w:p w14:paraId="65AA322B" w14:textId="1068145A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186.4</w:t>
            </w:r>
          </w:p>
        </w:tc>
        <w:tc>
          <w:tcPr>
            <w:tcW w:w="958" w:type="dxa"/>
          </w:tcPr>
          <w:p w14:paraId="4D538592" w14:textId="03E174D9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1481.6</w:t>
            </w:r>
          </w:p>
        </w:tc>
        <w:tc>
          <w:tcPr>
            <w:tcW w:w="952" w:type="dxa"/>
          </w:tcPr>
          <w:p w14:paraId="183805BD" w14:textId="610B0026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1.02</w:t>
            </w:r>
          </w:p>
        </w:tc>
        <w:tc>
          <w:tcPr>
            <w:tcW w:w="1043" w:type="dxa"/>
          </w:tcPr>
          <w:p w14:paraId="3840D304" w14:textId="06B6D9D8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5.50</w:t>
            </w:r>
          </w:p>
        </w:tc>
        <w:tc>
          <w:tcPr>
            <w:tcW w:w="944" w:type="dxa"/>
          </w:tcPr>
          <w:p w14:paraId="29EC1280" w14:textId="2FCFDDA8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7.61</w:t>
            </w:r>
          </w:p>
        </w:tc>
        <w:tc>
          <w:tcPr>
            <w:tcW w:w="941" w:type="dxa"/>
          </w:tcPr>
          <w:p w14:paraId="608E8E5E" w14:textId="5477339F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1.00</w:t>
            </w:r>
          </w:p>
        </w:tc>
      </w:tr>
      <w:tr w:rsidR="004E0393" w14:paraId="1B7B9609" w14:textId="77777777" w:rsidTr="004E0393">
        <w:tc>
          <w:tcPr>
            <w:tcW w:w="1164" w:type="dxa"/>
          </w:tcPr>
          <w:p w14:paraId="7524C1F9" w14:textId="3EC90C85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43.5</w:t>
            </w:r>
          </w:p>
        </w:tc>
        <w:tc>
          <w:tcPr>
            <w:tcW w:w="975" w:type="dxa"/>
          </w:tcPr>
          <w:p w14:paraId="1E32748E" w14:textId="2BCD6592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96" w:type="dxa"/>
          </w:tcPr>
          <w:p w14:paraId="10AE323F" w14:textId="71A76206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043" w:type="dxa"/>
          </w:tcPr>
          <w:p w14:paraId="05CA5961" w14:textId="7B4C6C7D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188.8</w:t>
            </w:r>
          </w:p>
        </w:tc>
        <w:tc>
          <w:tcPr>
            <w:tcW w:w="958" w:type="dxa"/>
          </w:tcPr>
          <w:p w14:paraId="3ED3A472" w14:textId="3DEAF870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1882.8</w:t>
            </w:r>
          </w:p>
        </w:tc>
        <w:tc>
          <w:tcPr>
            <w:tcW w:w="952" w:type="dxa"/>
          </w:tcPr>
          <w:p w14:paraId="58588AD2" w14:textId="7E118A37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1.01</w:t>
            </w:r>
          </w:p>
        </w:tc>
        <w:tc>
          <w:tcPr>
            <w:tcW w:w="1043" w:type="dxa"/>
          </w:tcPr>
          <w:p w14:paraId="57D27939" w14:textId="7C044070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5.36</w:t>
            </w:r>
          </w:p>
        </w:tc>
        <w:tc>
          <w:tcPr>
            <w:tcW w:w="944" w:type="dxa"/>
          </w:tcPr>
          <w:p w14:paraId="40815EDE" w14:textId="4A28F52F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9.07</w:t>
            </w:r>
          </w:p>
        </w:tc>
        <w:tc>
          <w:tcPr>
            <w:tcW w:w="941" w:type="dxa"/>
          </w:tcPr>
          <w:p w14:paraId="3E213859" w14:textId="2052E684" w:rsidR="004E0393" w:rsidRPr="00FB7F1B" w:rsidRDefault="004E0393" w:rsidP="004E0393">
            <w:pPr>
              <w:spacing w:after="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E2">
              <w:rPr>
                <w:rFonts w:ascii="Times New Roman" w:hAnsi="Times New Roman" w:cs="Times New Roman"/>
              </w:rPr>
              <w:t>0.93</w:t>
            </w:r>
          </w:p>
        </w:tc>
      </w:tr>
    </w:tbl>
    <w:p w14:paraId="3691C51F" w14:textId="1481F033" w:rsidR="004E0393" w:rsidRDefault="004E0393" w:rsidP="00111AFE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1E5D4A" w14:textId="7C632C4D" w:rsidR="004E0393" w:rsidRDefault="004E0393" w:rsidP="004E0393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S1: Table 3: Electrode properties and fit parameters found by fitting the Q/M v R data for NCA/SWNT (0.5%) electrodes using equation 20.</w:t>
      </w:r>
    </w:p>
    <w:p w14:paraId="57E8950A" w14:textId="1CC04820" w:rsidR="004E0393" w:rsidRDefault="004E0393" w:rsidP="00111AFE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9BBFAE" w14:textId="2B428E30" w:rsidR="00444066" w:rsidRDefault="003C30F1" w:rsidP="00111AFE">
      <w:pPr>
        <w:spacing w:after="60" w:line="360" w:lineRule="auto"/>
        <w:jc w:val="both"/>
      </w:pPr>
      <w:r>
        <w:object w:dxaOrig="3408" w:dyaOrig="6827" w14:anchorId="1DA65307">
          <v:shape id="_x0000_i1038" type="#_x0000_t75" style="width:262.05pt;height:525.25pt" o:ole="">
            <v:imagedata r:id="rId33" o:title=""/>
          </v:shape>
          <o:OLEObject Type="Embed" ProgID="Origin95.Graph" ShapeID="_x0000_i1038" DrawAspect="Content" ObjectID="_1648868617" r:id="rId34"/>
        </w:object>
      </w:r>
    </w:p>
    <w:p w14:paraId="760162A9" w14:textId="2C4F7F8C" w:rsidR="00643546" w:rsidRDefault="00444066" w:rsidP="00111AFE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066">
        <w:rPr>
          <w:rFonts w:ascii="Times New Roman" w:hAnsi="Times New Roman" w:cs="Times New Roman"/>
          <w:sz w:val="24"/>
          <w:szCs w:val="24"/>
        </w:rPr>
        <w:t>Figure S4: Further analysis of CV data. A) Position of CV reduction peak as a function of scan rate</w:t>
      </w:r>
      <w:r>
        <w:rPr>
          <w:rFonts w:ascii="Times New Roman" w:hAnsi="Times New Roman" w:cs="Times New Roman"/>
          <w:sz w:val="24"/>
          <w:szCs w:val="24"/>
        </w:rPr>
        <w:t>. The line is a fit to</w:t>
      </w:r>
      <w:r w:rsidR="00643546">
        <w:rPr>
          <w:rFonts w:ascii="Times New Roman" w:hAnsi="Times New Roman" w:cs="Times New Roman"/>
          <w:sz w:val="24"/>
          <w:szCs w:val="24"/>
        </w:rPr>
        <w:t>:</w:t>
      </w:r>
      <w:r w:rsidR="00643546">
        <w:rPr>
          <w:rFonts w:ascii="Times New Roman" w:hAnsi="Times New Roman" w:cs="Times New Roman"/>
          <w:sz w:val="24"/>
          <w:szCs w:val="24"/>
        </w:rPr>
        <w:fldChar w:fldCharType="begin"/>
      </w:r>
      <w:r w:rsidR="0064354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&lt;EndNote&gt;&lt;Cite&gt;&lt;Author&gt;Bard&lt;/Author&gt;&lt;Year&gt;2001&lt;/Year&gt;&lt;RecNum&gt;1765&lt;/RecNum&gt;&lt;DisplayText&gt;&lt;style face="superscript"&gt;1&lt;/style&gt;&lt;/DisplayText&gt;&lt;record&gt;&lt;rec-number&gt;1765&lt;/rec-number&gt;&lt;foreign-keys&gt;&lt;key app="EN" db-id="xfs2f9p0s0p2dsevfd155zvur0atwz295ede" timestamp="1585040581"&gt;1765&lt;/key&gt;&lt;/foreign-keys&gt;&lt;ref-type name="Book"&gt;6&lt;/ref-type&gt;&lt;contributors&gt;&lt;authors&gt;&lt;author&gt;Bard, A.J.&lt;/author&gt;&lt;author&gt;Faulkner, L.R.&lt;/author&gt;&lt;/authors&gt;&lt;/contributors&gt;&lt;titles&gt;&lt;title&gt;Electrochemical methods: fundamentals and applications&lt;/title&gt;&lt;/titles&gt;&lt;dates&gt;&lt;year&gt;2001&lt;/year&gt;&lt;/dates&gt;&lt;pub-location&gt;New York&lt;/pub-location&gt;&lt;publisher&gt;John Wiley and sons&lt;/publisher&gt;&lt;urls&gt;&lt;/urls&gt;&lt;/record&gt;&lt;/Cite&gt;&lt;/EndNote&gt;</w:instrText>
      </w:r>
      <w:r w:rsidR="00643546">
        <w:rPr>
          <w:rFonts w:ascii="Times New Roman" w:hAnsi="Times New Roman" w:cs="Times New Roman"/>
          <w:sz w:val="24"/>
          <w:szCs w:val="24"/>
        </w:rPr>
        <w:fldChar w:fldCharType="separate"/>
      </w:r>
      <w:r w:rsidR="00643546" w:rsidRPr="00643546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643546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0DCEE90" w14:textId="2ECF81FC" w:rsidR="00643546" w:rsidRDefault="00643546" w:rsidP="00111AFE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546">
        <w:rPr>
          <w:rFonts w:ascii="Times New Roman" w:hAnsi="Times New Roman" w:cs="Times New Roman"/>
          <w:position w:val="-28"/>
          <w:sz w:val="24"/>
          <w:szCs w:val="24"/>
        </w:rPr>
        <w:object w:dxaOrig="3260" w:dyaOrig="740" w14:anchorId="18F28352">
          <v:shape id="_x0000_i1039" type="#_x0000_t75" style="width:162.9pt;height:36.6pt" o:ole="">
            <v:imagedata r:id="rId35" o:title=""/>
          </v:shape>
          <o:OLEObject Type="Embed" ProgID="Equation.DSMT4" ShapeID="_x0000_i1039" DrawAspect="Content" ObjectID="_1648868618" r:id="rId3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0168B2" w14:textId="77777777" w:rsidR="003C30F1" w:rsidRDefault="00643546" w:rsidP="00111AFE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where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61"/>
      </w:r>
      <w:r>
        <w:rPr>
          <w:rFonts w:ascii="Times New Roman" w:hAnsi="Times New Roman" w:cs="Times New Roman"/>
          <w:sz w:val="24"/>
          <w:szCs w:val="24"/>
        </w:rPr>
        <w:t xml:space="preserve"> is the charge transfer coefficient and </w:t>
      </w:r>
      <w:r>
        <w:rPr>
          <w:rFonts w:ascii="Times New Roman" w:hAnsi="Times New Roman" w:cs="Times New Roman"/>
          <w:sz w:val="24"/>
          <w:szCs w:val="24"/>
        </w:rPr>
        <w:sym w:font="Symbol" w:char="F06E"/>
      </w:r>
      <w:r>
        <w:rPr>
          <w:rFonts w:ascii="Times New Roman" w:hAnsi="Times New Roman" w:cs="Times New Roman"/>
          <w:sz w:val="24"/>
          <w:szCs w:val="24"/>
        </w:rPr>
        <w:t xml:space="preserve"> is the scan rate</w:t>
      </w:r>
      <w:r w:rsidR="003C30F1">
        <w:rPr>
          <w:rFonts w:ascii="Times New Roman" w:hAnsi="Times New Roman" w:cs="Times New Roman"/>
          <w:sz w:val="24"/>
          <w:szCs w:val="24"/>
        </w:rPr>
        <w:t xml:space="preserve">, and is consistent with </w:t>
      </w:r>
      <w:r w:rsidR="003C30F1">
        <w:rPr>
          <w:rFonts w:ascii="Times New Roman" w:hAnsi="Times New Roman" w:cs="Times New Roman"/>
          <w:sz w:val="24"/>
          <w:szCs w:val="24"/>
        </w:rPr>
        <w:sym w:font="Symbol" w:char="F061"/>
      </w:r>
      <w:r w:rsidR="003C30F1">
        <w:rPr>
          <w:rFonts w:ascii="Times New Roman" w:hAnsi="Times New Roman" w:cs="Times New Roman"/>
          <w:sz w:val="24"/>
          <w:szCs w:val="24"/>
        </w:rPr>
        <w:t>=0.35</w:t>
      </w:r>
      <w:r>
        <w:rPr>
          <w:rFonts w:ascii="Times New Roman" w:hAnsi="Times New Roman" w:cs="Times New Roman"/>
          <w:sz w:val="24"/>
          <w:szCs w:val="24"/>
        </w:rPr>
        <w:t>.</w:t>
      </w:r>
      <w:r w:rsidR="000800C3">
        <w:rPr>
          <w:rFonts w:ascii="Times New Roman" w:hAnsi="Times New Roman" w:cs="Times New Roman"/>
          <w:sz w:val="24"/>
          <w:szCs w:val="24"/>
        </w:rPr>
        <w:t xml:space="preserve"> This equation describe</w:t>
      </w:r>
      <w:r w:rsidR="003C30F1">
        <w:rPr>
          <w:rFonts w:ascii="Times New Roman" w:hAnsi="Times New Roman" w:cs="Times New Roman"/>
          <w:sz w:val="24"/>
          <w:szCs w:val="24"/>
        </w:rPr>
        <w:t>s</w:t>
      </w:r>
      <w:r w:rsidR="000800C3">
        <w:rPr>
          <w:rFonts w:ascii="Times New Roman" w:hAnsi="Times New Roman" w:cs="Times New Roman"/>
          <w:sz w:val="24"/>
          <w:szCs w:val="24"/>
        </w:rPr>
        <w:t xml:space="preserve"> the peak shift in irreversible systems. </w:t>
      </w:r>
      <w:r w:rsidR="003C30F1">
        <w:rPr>
          <w:rFonts w:ascii="Times New Roman" w:hAnsi="Times New Roman" w:cs="Times New Roman"/>
          <w:sz w:val="24"/>
          <w:szCs w:val="24"/>
        </w:rPr>
        <w:t xml:space="preserve">Behaviour consistent with this equation continues up until a scan rate of ~10 mV before transitioning to a new behaviour at </w:t>
      </w:r>
      <w:r w:rsidR="003C30F1">
        <w:rPr>
          <w:rFonts w:ascii="Times New Roman" w:hAnsi="Times New Roman" w:cs="Times New Roman"/>
          <w:sz w:val="24"/>
          <w:szCs w:val="24"/>
        </w:rPr>
        <w:lastRenderedPageBreak/>
        <w:t xml:space="preserve">higher potential. The transition point is very similar to the scan rate where the high rate feature in the capacity-rate curves appears. </w:t>
      </w:r>
      <w:r w:rsidR="00444066">
        <w:rPr>
          <w:rFonts w:ascii="Times New Roman" w:hAnsi="Times New Roman" w:cs="Times New Roman"/>
          <w:sz w:val="24"/>
          <w:szCs w:val="24"/>
        </w:rPr>
        <w:t xml:space="preserve">The inset reproduces figure 5A. </w:t>
      </w:r>
    </w:p>
    <w:p w14:paraId="3F33C7CF" w14:textId="41673FA5" w:rsidR="00643546" w:rsidRDefault="00444066" w:rsidP="00111AFE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Stored charge normalised to mass found by integrating under the CV curve (</w:t>
      </w:r>
      <w:r w:rsidR="003955C5" w:rsidRPr="003955C5">
        <w:rPr>
          <w:rFonts w:ascii="Times New Roman" w:hAnsi="Times New Roman" w:cs="Times New Roman"/>
          <w:position w:val="-16"/>
          <w:sz w:val="24"/>
          <w:szCs w:val="24"/>
        </w:rPr>
        <w:object w:dxaOrig="2079" w:dyaOrig="440" w14:anchorId="4022C377">
          <v:shape id="_x0000_i1040" type="#_x0000_t75" style="width:103.85pt;height:21.25pt" o:ole="">
            <v:imagedata r:id="rId37" o:title=""/>
          </v:shape>
          <o:OLEObject Type="Embed" ProgID="Equation.DSMT4" ShapeID="_x0000_i1040" DrawAspect="Content" ObjectID="_1648868619" r:id="rId38"/>
        </w:object>
      </w:r>
      <w:r w:rsidR="003955C5">
        <w:rPr>
          <w:rFonts w:ascii="Times New Roman" w:hAnsi="Times New Roman" w:cs="Times New Roman"/>
          <w:sz w:val="24"/>
          <w:szCs w:val="24"/>
        </w:rPr>
        <w:t xml:space="preserve"> where M is the electrode mass and </w:t>
      </w:r>
      <w:r w:rsidR="003955C5">
        <w:rPr>
          <w:rFonts w:ascii="Times New Roman" w:hAnsi="Times New Roman" w:cs="Times New Roman"/>
          <w:sz w:val="24"/>
          <w:szCs w:val="24"/>
        </w:rPr>
        <w:sym w:font="Symbol" w:char="F06E"/>
      </w:r>
      <w:r w:rsidR="003955C5">
        <w:rPr>
          <w:rFonts w:ascii="Times New Roman" w:hAnsi="Times New Roman" w:cs="Times New Roman"/>
          <w:sz w:val="24"/>
          <w:szCs w:val="24"/>
        </w:rPr>
        <w:t xml:space="preserve"> is the scan rate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44066">
        <w:rPr>
          <w:rFonts w:ascii="Times New Roman" w:hAnsi="Times New Roman" w:cs="Times New Roman"/>
          <w:sz w:val="24"/>
          <w:szCs w:val="24"/>
        </w:rPr>
        <w:t xml:space="preserve">. </w:t>
      </w:r>
      <w:r w:rsidR="00510670">
        <w:rPr>
          <w:rFonts w:ascii="Times New Roman" w:hAnsi="Times New Roman" w:cs="Times New Roman"/>
          <w:sz w:val="24"/>
          <w:szCs w:val="24"/>
        </w:rPr>
        <w:t xml:space="preserve">At just above 10 mV/s, the data transitions into </w:t>
      </w:r>
      <w:r w:rsidR="00510670" w:rsidRPr="00510670">
        <w:rPr>
          <w:rFonts w:ascii="Times New Roman" w:hAnsi="Times New Roman" w:cs="Times New Roman"/>
          <w:position w:val="-10"/>
          <w:sz w:val="24"/>
          <w:szCs w:val="24"/>
        </w:rPr>
        <w:object w:dxaOrig="1200" w:dyaOrig="360" w14:anchorId="6B2059E8">
          <v:shape id="_x0000_i1041" type="#_x0000_t75" style="width:60.2pt;height:17.7pt" o:ole="">
            <v:imagedata r:id="rId39" o:title=""/>
          </v:shape>
          <o:OLEObject Type="Embed" ProgID="Equation.DSMT4" ShapeID="_x0000_i1041" DrawAspect="Content" ObjectID="_1648868620" r:id="rId40"/>
        </w:object>
      </w:r>
      <w:r w:rsidR="00510670">
        <w:rPr>
          <w:rFonts w:ascii="Times New Roman" w:hAnsi="Times New Roman" w:cs="Times New Roman"/>
          <w:sz w:val="24"/>
          <w:szCs w:val="24"/>
        </w:rPr>
        <w:t xml:space="preserve"> dependence </w:t>
      </w:r>
      <w:r w:rsidR="00721BB5">
        <w:rPr>
          <w:rFonts w:ascii="Times New Roman" w:hAnsi="Times New Roman" w:cs="Times New Roman"/>
          <w:sz w:val="24"/>
          <w:szCs w:val="24"/>
        </w:rPr>
        <w:t xml:space="preserve">(line) </w:t>
      </w:r>
      <w:r w:rsidR="00510670">
        <w:rPr>
          <w:rFonts w:ascii="Times New Roman" w:hAnsi="Times New Roman" w:cs="Times New Roman"/>
          <w:sz w:val="24"/>
          <w:szCs w:val="24"/>
        </w:rPr>
        <w:t xml:space="preserve">which is consistent with electrically limited behaviour. This is consistent with the data described in the main text. </w:t>
      </w:r>
    </w:p>
    <w:p w14:paraId="4E15458A" w14:textId="77777777" w:rsidR="00643546" w:rsidRDefault="00643546" w:rsidP="00111AFE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910119" w14:textId="77777777" w:rsidR="00643546" w:rsidRPr="00643546" w:rsidRDefault="00643546" w:rsidP="00643546">
      <w:pPr>
        <w:pStyle w:val="EndNoteBibliography"/>
        <w:ind w:left="720" w:hanging="720"/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EN.REFLIST </w:instrText>
      </w:r>
      <w:r>
        <w:rPr>
          <w:sz w:val="24"/>
          <w:szCs w:val="24"/>
        </w:rPr>
        <w:fldChar w:fldCharType="separate"/>
      </w:r>
      <w:r w:rsidRPr="00643546">
        <w:t>1</w:t>
      </w:r>
      <w:r w:rsidRPr="00643546">
        <w:tab/>
        <w:t xml:space="preserve">Bard, A. J. &amp; Faulkner, L. R. </w:t>
      </w:r>
      <w:r w:rsidRPr="00643546">
        <w:rPr>
          <w:i/>
        </w:rPr>
        <w:t>Electrochemical methods: fundamentals and applications</w:t>
      </w:r>
      <w:r w:rsidRPr="00643546">
        <w:t>.  (John Wiley and sons, 2001).</w:t>
      </w:r>
    </w:p>
    <w:p w14:paraId="7A0A2E5C" w14:textId="2B9C7DC0" w:rsidR="00444066" w:rsidRPr="00444066" w:rsidRDefault="00643546" w:rsidP="00111AFE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bookmarkStart w:id="0" w:name="_GoBack"/>
      <w:bookmarkEnd w:id="0"/>
    </w:p>
    <w:sectPr w:rsidR="00444066" w:rsidRPr="00444066"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3172E" w14:textId="77777777" w:rsidR="00C65215" w:rsidRDefault="00C65215" w:rsidP="00FB0220">
      <w:pPr>
        <w:spacing w:after="0" w:line="240" w:lineRule="auto"/>
      </w:pPr>
      <w:r>
        <w:separator/>
      </w:r>
    </w:p>
  </w:endnote>
  <w:endnote w:type="continuationSeparator" w:id="0">
    <w:p w14:paraId="645BFB9B" w14:textId="77777777" w:rsidR="00C65215" w:rsidRDefault="00C65215" w:rsidP="00FB0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09576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55ECD5" w14:textId="212061D8" w:rsidR="00B27135" w:rsidRDefault="00B271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593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46B7023" w14:textId="77777777" w:rsidR="00B27135" w:rsidRDefault="00B271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318D2D" w14:textId="77777777" w:rsidR="00C65215" w:rsidRDefault="00C65215" w:rsidP="00FB0220">
      <w:pPr>
        <w:spacing w:after="0" w:line="240" w:lineRule="auto"/>
      </w:pPr>
      <w:r>
        <w:separator/>
      </w:r>
    </w:p>
  </w:footnote>
  <w:footnote w:type="continuationSeparator" w:id="0">
    <w:p w14:paraId="644D40EB" w14:textId="77777777" w:rsidR="00C65215" w:rsidRDefault="00C65215" w:rsidP="00FB0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0D195D"/>
    <w:multiLevelType w:val="hybridMultilevel"/>
    <w:tmpl w:val="1AB297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zMjU0tTQ1MbM0MTdT0lEKTi0uzszPAykwqgUAymNGx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fs2f9p0s0p2dsevfd155zvur0atwz295ede&quot;&gt;CAreferences&lt;record-ids&gt;&lt;item&gt;1765&lt;/item&gt;&lt;/record-ids&gt;&lt;/item&gt;&lt;/Libraries&gt;"/>
  </w:docVars>
  <w:rsids>
    <w:rsidRoot w:val="00BC0AA2"/>
    <w:rsid w:val="00006674"/>
    <w:rsid w:val="000159F2"/>
    <w:rsid w:val="00021B9D"/>
    <w:rsid w:val="00022BD7"/>
    <w:rsid w:val="000243E6"/>
    <w:rsid w:val="00034055"/>
    <w:rsid w:val="000343D3"/>
    <w:rsid w:val="00036951"/>
    <w:rsid w:val="000474A1"/>
    <w:rsid w:val="00050F04"/>
    <w:rsid w:val="000516D4"/>
    <w:rsid w:val="00052369"/>
    <w:rsid w:val="00054826"/>
    <w:rsid w:val="00071E8F"/>
    <w:rsid w:val="000800C3"/>
    <w:rsid w:val="000852CC"/>
    <w:rsid w:val="00085852"/>
    <w:rsid w:val="000932F0"/>
    <w:rsid w:val="000953D4"/>
    <w:rsid w:val="000956DC"/>
    <w:rsid w:val="000A4892"/>
    <w:rsid w:val="000B3324"/>
    <w:rsid w:val="000C0143"/>
    <w:rsid w:val="000C0DC2"/>
    <w:rsid w:val="000C15D6"/>
    <w:rsid w:val="000C6485"/>
    <w:rsid w:val="000C6C0E"/>
    <w:rsid w:val="000D33F6"/>
    <w:rsid w:val="000D4E96"/>
    <w:rsid w:val="000E76D1"/>
    <w:rsid w:val="000F35F5"/>
    <w:rsid w:val="001017D8"/>
    <w:rsid w:val="001076F6"/>
    <w:rsid w:val="00111AFE"/>
    <w:rsid w:val="001144E5"/>
    <w:rsid w:val="001172BF"/>
    <w:rsid w:val="00140A1A"/>
    <w:rsid w:val="00144B65"/>
    <w:rsid w:val="00145E86"/>
    <w:rsid w:val="001464EA"/>
    <w:rsid w:val="001554EB"/>
    <w:rsid w:val="00162900"/>
    <w:rsid w:val="00170708"/>
    <w:rsid w:val="001770B2"/>
    <w:rsid w:val="001772E6"/>
    <w:rsid w:val="00187DAB"/>
    <w:rsid w:val="0019060D"/>
    <w:rsid w:val="00194E50"/>
    <w:rsid w:val="00197063"/>
    <w:rsid w:val="00197289"/>
    <w:rsid w:val="001A653C"/>
    <w:rsid w:val="001A65EA"/>
    <w:rsid w:val="001B3019"/>
    <w:rsid w:val="001C0C42"/>
    <w:rsid w:val="001C3561"/>
    <w:rsid w:val="001C3BE2"/>
    <w:rsid w:val="001D74E2"/>
    <w:rsid w:val="001E0212"/>
    <w:rsid w:val="001E3FA5"/>
    <w:rsid w:val="001F2AA8"/>
    <w:rsid w:val="002058D8"/>
    <w:rsid w:val="0020716C"/>
    <w:rsid w:val="002117EC"/>
    <w:rsid w:val="00211902"/>
    <w:rsid w:val="00215435"/>
    <w:rsid w:val="002228A6"/>
    <w:rsid w:val="00224F0C"/>
    <w:rsid w:val="0022707C"/>
    <w:rsid w:val="0023297D"/>
    <w:rsid w:val="00236F59"/>
    <w:rsid w:val="00241A65"/>
    <w:rsid w:val="00245020"/>
    <w:rsid w:val="00250FB7"/>
    <w:rsid w:val="00252933"/>
    <w:rsid w:val="002545B4"/>
    <w:rsid w:val="00257F06"/>
    <w:rsid w:val="00273E0D"/>
    <w:rsid w:val="00276980"/>
    <w:rsid w:val="00292C08"/>
    <w:rsid w:val="0029630F"/>
    <w:rsid w:val="002A0713"/>
    <w:rsid w:val="002A1733"/>
    <w:rsid w:val="002A2409"/>
    <w:rsid w:val="002A6078"/>
    <w:rsid w:val="002A6F7E"/>
    <w:rsid w:val="002A78C0"/>
    <w:rsid w:val="002B4A38"/>
    <w:rsid w:val="002E3185"/>
    <w:rsid w:val="002E599C"/>
    <w:rsid w:val="003021E4"/>
    <w:rsid w:val="00303BC7"/>
    <w:rsid w:val="00305D25"/>
    <w:rsid w:val="0034147A"/>
    <w:rsid w:val="00346B10"/>
    <w:rsid w:val="00352749"/>
    <w:rsid w:val="00356E46"/>
    <w:rsid w:val="00365D1E"/>
    <w:rsid w:val="0036642B"/>
    <w:rsid w:val="00366707"/>
    <w:rsid w:val="0036753E"/>
    <w:rsid w:val="00372A3E"/>
    <w:rsid w:val="00375931"/>
    <w:rsid w:val="00376073"/>
    <w:rsid w:val="00386CDA"/>
    <w:rsid w:val="003955C5"/>
    <w:rsid w:val="003A03DA"/>
    <w:rsid w:val="003A2456"/>
    <w:rsid w:val="003A2C2F"/>
    <w:rsid w:val="003B0D9E"/>
    <w:rsid w:val="003B33AC"/>
    <w:rsid w:val="003B42E5"/>
    <w:rsid w:val="003C0EB8"/>
    <w:rsid w:val="003C30F1"/>
    <w:rsid w:val="003C3184"/>
    <w:rsid w:val="003C603D"/>
    <w:rsid w:val="003D22BF"/>
    <w:rsid w:val="003E1CDC"/>
    <w:rsid w:val="003F0EC3"/>
    <w:rsid w:val="003F4F86"/>
    <w:rsid w:val="003F714A"/>
    <w:rsid w:val="00411334"/>
    <w:rsid w:val="004344E8"/>
    <w:rsid w:val="00441BFD"/>
    <w:rsid w:val="00444066"/>
    <w:rsid w:val="00450BE2"/>
    <w:rsid w:val="00460472"/>
    <w:rsid w:val="004678EB"/>
    <w:rsid w:val="00480E37"/>
    <w:rsid w:val="0048222C"/>
    <w:rsid w:val="0048235C"/>
    <w:rsid w:val="00483E0A"/>
    <w:rsid w:val="00484EA4"/>
    <w:rsid w:val="0049537A"/>
    <w:rsid w:val="00497191"/>
    <w:rsid w:val="004A3919"/>
    <w:rsid w:val="004B2AE3"/>
    <w:rsid w:val="004B629C"/>
    <w:rsid w:val="004B7F96"/>
    <w:rsid w:val="004C0B60"/>
    <w:rsid w:val="004C31BD"/>
    <w:rsid w:val="004C5A4D"/>
    <w:rsid w:val="004D3922"/>
    <w:rsid w:val="004E0393"/>
    <w:rsid w:val="004E322E"/>
    <w:rsid w:val="004E58CB"/>
    <w:rsid w:val="004F5D1A"/>
    <w:rsid w:val="004F73AE"/>
    <w:rsid w:val="005072F3"/>
    <w:rsid w:val="00510670"/>
    <w:rsid w:val="0052521A"/>
    <w:rsid w:val="00551D68"/>
    <w:rsid w:val="005544E1"/>
    <w:rsid w:val="00554529"/>
    <w:rsid w:val="00563593"/>
    <w:rsid w:val="00567850"/>
    <w:rsid w:val="00571B06"/>
    <w:rsid w:val="0058535F"/>
    <w:rsid w:val="005918F6"/>
    <w:rsid w:val="005927B1"/>
    <w:rsid w:val="005934C8"/>
    <w:rsid w:val="0059542C"/>
    <w:rsid w:val="005A7ABE"/>
    <w:rsid w:val="005B00CC"/>
    <w:rsid w:val="005B1CD4"/>
    <w:rsid w:val="005B6653"/>
    <w:rsid w:val="005D4B59"/>
    <w:rsid w:val="005D608C"/>
    <w:rsid w:val="005E39C1"/>
    <w:rsid w:val="005F2B8C"/>
    <w:rsid w:val="005F6DDE"/>
    <w:rsid w:val="00606E18"/>
    <w:rsid w:val="00615BEF"/>
    <w:rsid w:val="00616E67"/>
    <w:rsid w:val="006257E3"/>
    <w:rsid w:val="0062593D"/>
    <w:rsid w:val="0063442A"/>
    <w:rsid w:val="00640446"/>
    <w:rsid w:val="00643546"/>
    <w:rsid w:val="00643BC8"/>
    <w:rsid w:val="006443E2"/>
    <w:rsid w:val="00651EB9"/>
    <w:rsid w:val="006524AD"/>
    <w:rsid w:val="00660A93"/>
    <w:rsid w:val="00662EEF"/>
    <w:rsid w:val="00670317"/>
    <w:rsid w:val="00675C48"/>
    <w:rsid w:val="00681572"/>
    <w:rsid w:val="00682A45"/>
    <w:rsid w:val="00686150"/>
    <w:rsid w:val="0068797E"/>
    <w:rsid w:val="00687DBA"/>
    <w:rsid w:val="00696CAF"/>
    <w:rsid w:val="00696DD1"/>
    <w:rsid w:val="006A0EAB"/>
    <w:rsid w:val="006A4C9F"/>
    <w:rsid w:val="006A655E"/>
    <w:rsid w:val="006B5E14"/>
    <w:rsid w:val="006C024D"/>
    <w:rsid w:val="006C2510"/>
    <w:rsid w:val="006C350B"/>
    <w:rsid w:val="006C7B1F"/>
    <w:rsid w:val="006D7959"/>
    <w:rsid w:val="006E736A"/>
    <w:rsid w:val="006F0ABD"/>
    <w:rsid w:val="006F389D"/>
    <w:rsid w:val="006F4A8A"/>
    <w:rsid w:val="006F66E6"/>
    <w:rsid w:val="007012B4"/>
    <w:rsid w:val="00720918"/>
    <w:rsid w:val="00721BB5"/>
    <w:rsid w:val="00725B3E"/>
    <w:rsid w:val="00726636"/>
    <w:rsid w:val="0072781A"/>
    <w:rsid w:val="00741B13"/>
    <w:rsid w:val="00741FB2"/>
    <w:rsid w:val="00745D2A"/>
    <w:rsid w:val="00756D55"/>
    <w:rsid w:val="00776C15"/>
    <w:rsid w:val="0078083D"/>
    <w:rsid w:val="00782B77"/>
    <w:rsid w:val="00794740"/>
    <w:rsid w:val="007A649C"/>
    <w:rsid w:val="007A6BA4"/>
    <w:rsid w:val="007B41C5"/>
    <w:rsid w:val="007C73B8"/>
    <w:rsid w:val="007D3EE7"/>
    <w:rsid w:val="007D5EDC"/>
    <w:rsid w:val="007D6D91"/>
    <w:rsid w:val="007F4506"/>
    <w:rsid w:val="0080327D"/>
    <w:rsid w:val="00804C1F"/>
    <w:rsid w:val="008215B2"/>
    <w:rsid w:val="008226E0"/>
    <w:rsid w:val="008236CD"/>
    <w:rsid w:val="00826DFB"/>
    <w:rsid w:val="00827A30"/>
    <w:rsid w:val="00831911"/>
    <w:rsid w:val="00835462"/>
    <w:rsid w:val="00836182"/>
    <w:rsid w:val="0084015E"/>
    <w:rsid w:val="00856DBC"/>
    <w:rsid w:val="00856FBF"/>
    <w:rsid w:val="00873AF3"/>
    <w:rsid w:val="008832B3"/>
    <w:rsid w:val="008854F8"/>
    <w:rsid w:val="008A02B8"/>
    <w:rsid w:val="008A63A3"/>
    <w:rsid w:val="008B198C"/>
    <w:rsid w:val="008B37C4"/>
    <w:rsid w:val="008C4072"/>
    <w:rsid w:val="008C786E"/>
    <w:rsid w:val="008C7E19"/>
    <w:rsid w:val="008D5A7A"/>
    <w:rsid w:val="008D6ADA"/>
    <w:rsid w:val="008D74BC"/>
    <w:rsid w:val="008E1413"/>
    <w:rsid w:val="008F2AFB"/>
    <w:rsid w:val="008F70E7"/>
    <w:rsid w:val="00905719"/>
    <w:rsid w:val="00910FC9"/>
    <w:rsid w:val="00911F64"/>
    <w:rsid w:val="00913FE4"/>
    <w:rsid w:val="0092769C"/>
    <w:rsid w:val="009332A6"/>
    <w:rsid w:val="0093549A"/>
    <w:rsid w:val="009405C2"/>
    <w:rsid w:val="009437F7"/>
    <w:rsid w:val="00947543"/>
    <w:rsid w:val="00947785"/>
    <w:rsid w:val="009512D7"/>
    <w:rsid w:val="0095381D"/>
    <w:rsid w:val="00964DD8"/>
    <w:rsid w:val="00967750"/>
    <w:rsid w:val="009746DA"/>
    <w:rsid w:val="00981869"/>
    <w:rsid w:val="00984772"/>
    <w:rsid w:val="00985AC4"/>
    <w:rsid w:val="00985EE0"/>
    <w:rsid w:val="009B02E1"/>
    <w:rsid w:val="009B5799"/>
    <w:rsid w:val="009B5A77"/>
    <w:rsid w:val="009B72D7"/>
    <w:rsid w:val="009C4CA0"/>
    <w:rsid w:val="009D06A8"/>
    <w:rsid w:val="009D1484"/>
    <w:rsid w:val="009D2A7A"/>
    <w:rsid w:val="009D32E6"/>
    <w:rsid w:val="009D788A"/>
    <w:rsid w:val="009E2149"/>
    <w:rsid w:val="009E7732"/>
    <w:rsid w:val="00A01E07"/>
    <w:rsid w:val="00A03C2C"/>
    <w:rsid w:val="00A053C4"/>
    <w:rsid w:val="00A1081B"/>
    <w:rsid w:val="00A12188"/>
    <w:rsid w:val="00A15008"/>
    <w:rsid w:val="00A15320"/>
    <w:rsid w:val="00A20B1D"/>
    <w:rsid w:val="00A25475"/>
    <w:rsid w:val="00A277AA"/>
    <w:rsid w:val="00A3052C"/>
    <w:rsid w:val="00A55116"/>
    <w:rsid w:val="00A57C4B"/>
    <w:rsid w:val="00A70290"/>
    <w:rsid w:val="00A72FD7"/>
    <w:rsid w:val="00A74CB8"/>
    <w:rsid w:val="00AA22C8"/>
    <w:rsid w:val="00AA53E0"/>
    <w:rsid w:val="00AA7004"/>
    <w:rsid w:val="00AC0502"/>
    <w:rsid w:val="00AC425A"/>
    <w:rsid w:val="00AD0B15"/>
    <w:rsid w:val="00AD5120"/>
    <w:rsid w:val="00AD72DD"/>
    <w:rsid w:val="00AE3EC5"/>
    <w:rsid w:val="00AF1C0E"/>
    <w:rsid w:val="00AF5288"/>
    <w:rsid w:val="00B04CAC"/>
    <w:rsid w:val="00B138EA"/>
    <w:rsid w:val="00B20D5F"/>
    <w:rsid w:val="00B218CC"/>
    <w:rsid w:val="00B21F2D"/>
    <w:rsid w:val="00B27135"/>
    <w:rsid w:val="00B27793"/>
    <w:rsid w:val="00B3080E"/>
    <w:rsid w:val="00B320DB"/>
    <w:rsid w:val="00B43AB7"/>
    <w:rsid w:val="00B47D0E"/>
    <w:rsid w:val="00B73350"/>
    <w:rsid w:val="00B76966"/>
    <w:rsid w:val="00B86829"/>
    <w:rsid w:val="00B9036F"/>
    <w:rsid w:val="00B90D44"/>
    <w:rsid w:val="00B92F5D"/>
    <w:rsid w:val="00B92F74"/>
    <w:rsid w:val="00BA437E"/>
    <w:rsid w:val="00BA6FD3"/>
    <w:rsid w:val="00BB6A3A"/>
    <w:rsid w:val="00BC0AA2"/>
    <w:rsid w:val="00BD47DF"/>
    <w:rsid w:val="00BE149C"/>
    <w:rsid w:val="00BE3C79"/>
    <w:rsid w:val="00BE73E9"/>
    <w:rsid w:val="00BF3791"/>
    <w:rsid w:val="00BF5555"/>
    <w:rsid w:val="00C02087"/>
    <w:rsid w:val="00C02304"/>
    <w:rsid w:val="00C0384B"/>
    <w:rsid w:val="00C10785"/>
    <w:rsid w:val="00C20E2A"/>
    <w:rsid w:val="00C21E52"/>
    <w:rsid w:val="00C27289"/>
    <w:rsid w:val="00C31F06"/>
    <w:rsid w:val="00C3343E"/>
    <w:rsid w:val="00C34A4A"/>
    <w:rsid w:val="00C37E4B"/>
    <w:rsid w:val="00C412C8"/>
    <w:rsid w:val="00C4480D"/>
    <w:rsid w:val="00C455F5"/>
    <w:rsid w:val="00C5683F"/>
    <w:rsid w:val="00C60714"/>
    <w:rsid w:val="00C65215"/>
    <w:rsid w:val="00C673AF"/>
    <w:rsid w:val="00C81D32"/>
    <w:rsid w:val="00C85824"/>
    <w:rsid w:val="00C861CD"/>
    <w:rsid w:val="00C86245"/>
    <w:rsid w:val="00CA4FB2"/>
    <w:rsid w:val="00CA579F"/>
    <w:rsid w:val="00CA5F8F"/>
    <w:rsid w:val="00CA6764"/>
    <w:rsid w:val="00CB0D78"/>
    <w:rsid w:val="00CB1763"/>
    <w:rsid w:val="00CC4A86"/>
    <w:rsid w:val="00CE5694"/>
    <w:rsid w:val="00CE5B0D"/>
    <w:rsid w:val="00CE5C0D"/>
    <w:rsid w:val="00CF2ADC"/>
    <w:rsid w:val="00D019C1"/>
    <w:rsid w:val="00D14E7F"/>
    <w:rsid w:val="00D16E1C"/>
    <w:rsid w:val="00D22303"/>
    <w:rsid w:val="00D41469"/>
    <w:rsid w:val="00D46CE8"/>
    <w:rsid w:val="00D538B9"/>
    <w:rsid w:val="00D6201E"/>
    <w:rsid w:val="00D645B2"/>
    <w:rsid w:val="00D7120A"/>
    <w:rsid w:val="00D746F4"/>
    <w:rsid w:val="00D8761B"/>
    <w:rsid w:val="00D87C80"/>
    <w:rsid w:val="00D92B34"/>
    <w:rsid w:val="00DA3E23"/>
    <w:rsid w:val="00DA7C15"/>
    <w:rsid w:val="00DB1728"/>
    <w:rsid w:val="00DB48D2"/>
    <w:rsid w:val="00DB5ECB"/>
    <w:rsid w:val="00DC3C49"/>
    <w:rsid w:val="00DD565B"/>
    <w:rsid w:val="00DD6B2D"/>
    <w:rsid w:val="00DE234C"/>
    <w:rsid w:val="00DE565A"/>
    <w:rsid w:val="00DF35F5"/>
    <w:rsid w:val="00DF5D70"/>
    <w:rsid w:val="00E052CC"/>
    <w:rsid w:val="00E13669"/>
    <w:rsid w:val="00E26005"/>
    <w:rsid w:val="00E2616F"/>
    <w:rsid w:val="00E3059F"/>
    <w:rsid w:val="00E47697"/>
    <w:rsid w:val="00E5198D"/>
    <w:rsid w:val="00E66BB2"/>
    <w:rsid w:val="00E71829"/>
    <w:rsid w:val="00E73419"/>
    <w:rsid w:val="00E769D4"/>
    <w:rsid w:val="00E854B7"/>
    <w:rsid w:val="00E855DD"/>
    <w:rsid w:val="00EA1624"/>
    <w:rsid w:val="00EA1C9B"/>
    <w:rsid w:val="00EA4154"/>
    <w:rsid w:val="00EA5E52"/>
    <w:rsid w:val="00EB60AD"/>
    <w:rsid w:val="00EC3003"/>
    <w:rsid w:val="00EE1F28"/>
    <w:rsid w:val="00EF408A"/>
    <w:rsid w:val="00EF6DEF"/>
    <w:rsid w:val="00F03B7B"/>
    <w:rsid w:val="00F056B9"/>
    <w:rsid w:val="00F073BE"/>
    <w:rsid w:val="00F33DA8"/>
    <w:rsid w:val="00F4116A"/>
    <w:rsid w:val="00F44A70"/>
    <w:rsid w:val="00F56B54"/>
    <w:rsid w:val="00F654BB"/>
    <w:rsid w:val="00F6716B"/>
    <w:rsid w:val="00F75302"/>
    <w:rsid w:val="00F77B18"/>
    <w:rsid w:val="00F8005A"/>
    <w:rsid w:val="00F81AE6"/>
    <w:rsid w:val="00F82195"/>
    <w:rsid w:val="00F9093D"/>
    <w:rsid w:val="00F95147"/>
    <w:rsid w:val="00FA040A"/>
    <w:rsid w:val="00FA6815"/>
    <w:rsid w:val="00FB0220"/>
    <w:rsid w:val="00FB7257"/>
    <w:rsid w:val="00FB7F1B"/>
    <w:rsid w:val="00FC2306"/>
    <w:rsid w:val="00FC4BD0"/>
    <w:rsid w:val="00FE145D"/>
    <w:rsid w:val="00FE214E"/>
    <w:rsid w:val="00FE34F7"/>
    <w:rsid w:val="00FF0D6E"/>
    <w:rsid w:val="00FF2E34"/>
    <w:rsid w:val="00FF5AE7"/>
    <w:rsid w:val="00FF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6854A"/>
  <w15:chartTrackingRefBased/>
  <w15:docId w15:val="{8F008DD3-4F15-478F-B122-EEAE110E2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0A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1B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B06"/>
    <w:rPr>
      <w:rFonts w:ascii="Segoe UI" w:hAnsi="Segoe UI" w:cs="Segoe UI"/>
      <w:sz w:val="18"/>
      <w:szCs w:val="18"/>
      <w:lang w:val="en-IE"/>
    </w:rPr>
  </w:style>
  <w:style w:type="paragraph" w:customStyle="1" w:styleId="Paragraph">
    <w:name w:val="Paragraph"/>
    <w:basedOn w:val="Normal"/>
    <w:rsid w:val="00571B06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A15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02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220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FB02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220"/>
    <w:rPr>
      <w:lang w:val="en-IE"/>
    </w:rPr>
  </w:style>
  <w:style w:type="paragraph" w:customStyle="1" w:styleId="EndNoteBibliographyTitle">
    <w:name w:val="EndNote Bibliography Title"/>
    <w:basedOn w:val="Normal"/>
    <w:link w:val="EndNoteBibliographyTitleChar"/>
    <w:rsid w:val="00211902"/>
    <w:pPr>
      <w:spacing w:after="0"/>
      <w:jc w:val="center"/>
    </w:pPr>
    <w:rPr>
      <w:rFonts w:ascii="Times New Roman" w:hAnsi="Times New Roman" w:cs="Times New Roman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11902"/>
    <w:rPr>
      <w:rFonts w:ascii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11902"/>
    <w:pPr>
      <w:spacing w:line="240" w:lineRule="auto"/>
      <w:jc w:val="both"/>
    </w:pPr>
    <w:rPr>
      <w:rFonts w:ascii="Times New Roman" w:hAnsi="Times New Roman" w:cs="Times New Roman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11902"/>
    <w:rPr>
      <w:rFonts w:ascii="Times New Roman" w:hAnsi="Times New Roman" w:cs="Times New Roman"/>
      <w:noProof/>
      <w:lang w:val="en-US"/>
    </w:rPr>
  </w:style>
  <w:style w:type="character" w:customStyle="1" w:styleId="bibliographic-informationvalue">
    <w:name w:val="bibliographic-information__value"/>
    <w:basedOn w:val="DefaultParagraphFont"/>
    <w:rsid w:val="00794740"/>
  </w:style>
  <w:style w:type="character" w:customStyle="1" w:styleId="reference-text">
    <w:name w:val="reference-text"/>
    <w:basedOn w:val="DefaultParagraphFont"/>
    <w:rsid w:val="00794740"/>
  </w:style>
  <w:style w:type="character" w:styleId="Hyperlink">
    <w:name w:val="Hyperlink"/>
    <w:basedOn w:val="DefaultParagraphFont"/>
    <w:uiPriority w:val="99"/>
    <w:semiHidden/>
    <w:unhideWhenUsed/>
    <w:rsid w:val="0079474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F0E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0E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0EC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E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EC3"/>
    <w:rPr>
      <w:b/>
      <w:bCs/>
      <w:sz w:val="20"/>
      <w:szCs w:val="20"/>
      <w:lang w:val="en-IE"/>
    </w:rPr>
  </w:style>
  <w:style w:type="table" w:customStyle="1" w:styleId="1">
    <w:name w:val="网格型1"/>
    <w:basedOn w:val="TableNormal"/>
    <w:next w:val="TableGrid"/>
    <w:uiPriority w:val="39"/>
    <w:rsid w:val="00241A65"/>
    <w:pPr>
      <w:spacing w:after="0" w:line="240" w:lineRule="auto"/>
    </w:pPr>
    <w:rPr>
      <w:rFonts w:eastAsiaTheme="minorEastAsia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92769C"/>
    <w:pPr>
      <w:spacing w:after="0" w:line="240" w:lineRule="auto"/>
    </w:pPr>
    <w:rPr>
      <w:rFonts w:eastAsiaTheme="minorEastAsia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0">
    <w:name w:val="p110"/>
    <w:basedOn w:val="Normal"/>
    <w:rsid w:val="008B1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0">
    <w:name w:val="c0"/>
    <w:basedOn w:val="DefaultParagraphFont"/>
    <w:rsid w:val="008B198C"/>
  </w:style>
  <w:style w:type="character" w:customStyle="1" w:styleId="c1">
    <w:name w:val="c1"/>
    <w:basedOn w:val="DefaultParagraphFont"/>
    <w:rsid w:val="008B198C"/>
  </w:style>
  <w:style w:type="character" w:customStyle="1" w:styleId="c2">
    <w:name w:val="c2"/>
    <w:basedOn w:val="DefaultParagraphFont"/>
    <w:rsid w:val="008B198C"/>
  </w:style>
  <w:style w:type="paragraph" w:customStyle="1" w:styleId="p111">
    <w:name w:val="p111"/>
    <w:basedOn w:val="Normal"/>
    <w:rsid w:val="008B1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330">
    <w:name w:val="p330"/>
    <w:basedOn w:val="Normal"/>
    <w:rsid w:val="00B47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331">
    <w:name w:val="p331"/>
    <w:basedOn w:val="Normal"/>
    <w:rsid w:val="00B47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8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oleObject" Target="embeddings/oleObject14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oleObject" Target="embeddings/oleObject7.bin"/><Relationship Id="rId29" Type="http://schemas.openxmlformats.org/officeDocument/2006/relationships/image" Target="media/image11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image" Target="media/image2.wmf"/><Relationship Id="rId19" Type="http://schemas.openxmlformats.org/officeDocument/2006/relationships/image" Target="media/image6.w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8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43" Type="http://schemas.openxmlformats.org/officeDocument/2006/relationships/theme" Target="theme/theme1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9.wmf"/><Relationship Id="rId33" Type="http://schemas.openxmlformats.org/officeDocument/2006/relationships/image" Target="media/image13.emf"/><Relationship Id="rId38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1204D-DDA8-4BA3-828A-40FD7AF97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1037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Coleman</dc:creator>
  <cp:keywords/>
  <dc:description/>
  <cp:lastModifiedBy>Komaladevi D</cp:lastModifiedBy>
  <cp:revision>10</cp:revision>
  <cp:lastPrinted>2019-11-26T12:07:00Z</cp:lastPrinted>
  <dcterms:created xsi:type="dcterms:W3CDTF">2019-12-05T09:46:00Z</dcterms:created>
  <dcterms:modified xsi:type="dcterms:W3CDTF">2020-04-20T00:47:00Z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