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95" w:rsidRPr="00B7534B" w:rsidRDefault="00B7534B" w:rsidP="00985695">
      <w:pPr>
        <w:pStyle w:val="Default"/>
        <w:rPr>
          <w:rFonts w:ascii="Times New Roman" w:hAnsi="Times New Roman" w:cs="Times New Roman"/>
          <w:b/>
          <w:bCs/>
          <w:sz w:val="28"/>
          <w:szCs w:val="28"/>
          <w:lang w:val="en-US"/>
        </w:rPr>
      </w:pPr>
      <w:r w:rsidRPr="00B7534B">
        <w:rPr>
          <w:rFonts w:ascii="Times New Roman" w:hAnsi="Times New Roman" w:cs="Times New Roman"/>
          <w:b/>
          <w:sz w:val="28"/>
          <w:szCs w:val="28"/>
          <w:lang w:val="en-US"/>
        </w:rPr>
        <w:t>Additional file</w:t>
      </w:r>
    </w:p>
    <w:p w:rsidR="00985695" w:rsidRPr="007C17BC" w:rsidRDefault="00985695" w:rsidP="00985695">
      <w:pPr>
        <w:pStyle w:val="Default"/>
        <w:rPr>
          <w:rFonts w:ascii="Arial" w:hAnsi="Arial"/>
          <w:b/>
          <w:bCs/>
          <w:lang w:val="en-US"/>
        </w:rPr>
      </w:pPr>
    </w:p>
    <w:p w:rsidR="00985695" w:rsidRPr="007C17BC" w:rsidRDefault="00985695" w:rsidP="00985695">
      <w:pPr>
        <w:pStyle w:val="Default"/>
        <w:spacing w:line="480" w:lineRule="auto"/>
        <w:rPr>
          <w:rFonts w:ascii="Arial" w:hAnsi="Arial" w:cs="Arial"/>
          <w:b/>
          <w:lang w:val="en-US"/>
        </w:rPr>
      </w:pPr>
      <w:r w:rsidRPr="007C17BC">
        <w:rPr>
          <w:rFonts w:ascii="Arial" w:hAnsi="Arial"/>
          <w:b/>
          <w:bCs/>
          <w:lang w:val="en-US"/>
        </w:rPr>
        <w:t xml:space="preserve">Age–dependent </w:t>
      </w:r>
      <w:r w:rsidR="00F0578B" w:rsidRPr="007C17BC">
        <w:rPr>
          <w:rFonts w:ascii="Arial" w:hAnsi="Arial"/>
          <w:b/>
          <w:bCs/>
          <w:lang w:val="en-US"/>
        </w:rPr>
        <w:t>D</w:t>
      </w:r>
      <w:r w:rsidRPr="007C17BC">
        <w:rPr>
          <w:rFonts w:ascii="Arial" w:hAnsi="Arial"/>
          <w:b/>
          <w:bCs/>
          <w:lang w:val="en-US"/>
        </w:rPr>
        <w:t>ifferences in Pulmonary Host Responses in ARDS – a prospective observational cohort study</w:t>
      </w:r>
    </w:p>
    <w:p w:rsidR="00985695" w:rsidRPr="007C17BC" w:rsidRDefault="00985695" w:rsidP="00985695">
      <w:pPr>
        <w:spacing w:after="0" w:line="480" w:lineRule="auto"/>
        <w:rPr>
          <w:rFonts w:ascii="Arial" w:eastAsia="TTE290D8C0t00" w:hAnsi="Arial" w:cs="Arial"/>
          <w:sz w:val="24"/>
          <w:szCs w:val="24"/>
          <w:lang w:val="en-US"/>
        </w:rPr>
      </w:pPr>
    </w:p>
    <w:p w:rsidR="00985695" w:rsidRPr="007C17BC" w:rsidRDefault="00985695" w:rsidP="00985695">
      <w:pPr>
        <w:spacing w:after="0" w:line="480" w:lineRule="auto"/>
        <w:rPr>
          <w:rFonts w:ascii="Arial" w:eastAsia="TTE290D8C0t00" w:hAnsi="Arial" w:cs="Arial"/>
          <w:sz w:val="24"/>
          <w:szCs w:val="24"/>
        </w:rPr>
      </w:pPr>
      <w:r w:rsidRPr="007C17BC">
        <w:rPr>
          <w:rFonts w:ascii="Arial" w:eastAsia="TTE290D8C0t00" w:hAnsi="Arial" w:cs="Arial"/>
          <w:sz w:val="24"/>
          <w:szCs w:val="24"/>
        </w:rPr>
        <w:t>Laura R. Schouten</w:t>
      </w:r>
      <w:r w:rsidRPr="007C17BC">
        <w:rPr>
          <w:rFonts w:ascii="Arial" w:eastAsia="TTE290D8C0t00" w:hAnsi="Arial" w:cs="Arial"/>
          <w:sz w:val="24"/>
          <w:szCs w:val="24"/>
          <w:vertAlign w:val="superscript"/>
        </w:rPr>
        <w:t>1,2,3</w:t>
      </w:r>
      <w:r w:rsidR="00E4673B" w:rsidRPr="007C17BC">
        <w:rPr>
          <w:rFonts w:ascii="Arial" w:eastAsia="TTE290D8C0t00" w:hAnsi="Arial" w:cs="Arial"/>
          <w:sz w:val="24"/>
          <w:szCs w:val="24"/>
        </w:rPr>
        <w:t>; Anton H. van Kaam</w:t>
      </w:r>
      <w:r w:rsidRPr="007C17BC">
        <w:rPr>
          <w:rFonts w:ascii="Arial" w:eastAsia="TTE290D8C0t00" w:hAnsi="Arial" w:cs="Arial"/>
          <w:sz w:val="24"/>
          <w:szCs w:val="24"/>
          <w:vertAlign w:val="superscript"/>
        </w:rPr>
        <w:t>4</w:t>
      </w:r>
      <w:r w:rsidR="00E4673B" w:rsidRPr="007C17BC">
        <w:rPr>
          <w:rFonts w:ascii="Arial" w:eastAsia="TTE290D8C0t00" w:hAnsi="Arial" w:cs="Arial"/>
          <w:sz w:val="24"/>
          <w:szCs w:val="24"/>
        </w:rPr>
        <w:t>,</w:t>
      </w:r>
      <w:r w:rsidRPr="007C17BC">
        <w:rPr>
          <w:rFonts w:ascii="Arial" w:eastAsia="TTE290D8C0t00" w:hAnsi="Arial" w:cs="Arial"/>
          <w:sz w:val="24"/>
          <w:szCs w:val="24"/>
        </w:rPr>
        <w:t xml:space="preserve"> </w:t>
      </w:r>
      <w:r w:rsidR="00886592" w:rsidRPr="007C17BC">
        <w:rPr>
          <w:rFonts w:ascii="Arial" w:hAnsi="Arial" w:cs="Arial"/>
          <w:sz w:val="24"/>
          <w:szCs w:val="24"/>
        </w:rPr>
        <w:t xml:space="preserve">Franziska </w:t>
      </w:r>
      <w:r w:rsidR="00886592" w:rsidRPr="007C17BC">
        <w:rPr>
          <w:rFonts w:ascii="Arial" w:eastAsia="TTE290D8C0t00" w:hAnsi="Arial" w:cs="Arial"/>
          <w:sz w:val="24"/>
          <w:szCs w:val="24"/>
        </w:rPr>
        <w:t>Kohse</w:t>
      </w:r>
      <w:r w:rsidR="00886592" w:rsidRPr="007C17BC">
        <w:rPr>
          <w:rFonts w:ascii="Arial" w:eastAsia="TTE290D8C0t00" w:hAnsi="Arial" w:cs="Arial"/>
          <w:sz w:val="24"/>
          <w:szCs w:val="24"/>
          <w:vertAlign w:val="superscript"/>
        </w:rPr>
        <w:t xml:space="preserve"> </w:t>
      </w:r>
      <w:r w:rsidR="00E4673B" w:rsidRPr="007C17BC">
        <w:rPr>
          <w:rFonts w:ascii="Arial" w:eastAsia="TTE290D8C0t00" w:hAnsi="Arial" w:cs="Arial"/>
          <w:sz w:val="24"/>
          <w:szCs w:val="24"/>
          <w:vertAlign w:val="superscript"/>
        </w:rPr>
        <w:t>5,6</w:t>
      </w:r>
      <w:r w:rsidR="00E4673B" w:rsidRPr="007C17BC">
        <w:rPr>
          <w:rFonts w:ascii="Arial" w:eastAsia="TTE290D8C0t00" w:hAnsi="Arial" w:cs="Arial"/>
          <w:sz w:val="24"/>
          <w:szCs w:val="24"/>
        </w:rPr>
        <w:t>,</w:t>
      </w:r>
      <w:r w:rsidR="00886592" w:rsidRPr="007C17BC">
        <w:rPr>
          <w:rFonts w:ascii="Arial" w:eastAsia="TTE290D8C0t00" w:hAnsi="Arial" w:cs="Arial"/>
          <w:sz w:val="24"/>
          <w:szCs w:val="24"/>
        </w:rPr>
        <w:t xml:space="preserve"> </w:t>
      </w:r>
      <w:r w:rsidRPr="007C17BC">
        <w:rPr>
          <w:rFonts w:ascii="Arial" w:eastAsia="TTE290D8C0t00" w:hAnsi="Arial" w:cs="Arial"/>
          <w:sz w:val="24"/>
          <w:szCs w:val="24"/>
        </w:rPr>
        <w:t>Floor Veltkamp</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rPr>
        <w:t>, Lieuwe D. Bos</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w:t>
      </w:r>
      <w:r w:rsidRPr="007C17BC">
        <w:rPr>
          <w:rFonts w:ascii="Arial" w:eastAsia="TTE290D8C0t00" w:hAnsi="Arial" w:cs="Arial"/>
          <w:sz w:val="24"/>
          <w:szCs w:val="24"/>
        </w:rPr>
        <w:t xml:space="preserve"> Friso</w:t>
      </w:r>
      <w:r w:rsidR="00E4673B" w:rsidRPr="007C17BC">
        <w:rPr>
          <w:rFonts w:ascii="Arial" w:eastAsia="TTE290D8C0t00" w:hAnsi="Arial" w:cs="Arial"/>
          <w:sz w:val="24"/>
          <w:szCs w:val="24"/>
        </w:rPr>
        <w:t xml:space="preserve"> M. de Beer</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w:t>
      </w:r>
      <w:r w:rsidRPr="007C17BC">
        <w:rPr>
          <w:rFonts w:ascii="Arial" w:eastAsia="TTE290D8C0t00" w:hAnsi="Arial" w:cs="Arial"/>
          <w:sz w:val="24"/>
          <w:szCs w:val="24"/>
        </w:rPr>
        <w:t xml:space="preserve"> Roos</w:t>
      </w:r>
      <w:r w:rsidR="00E4673B" w:rsidRPr="007C17BC">
        <w:rPr>
          <w:rFonts w:ascii="Arial" w:eastAsia="TTE290D8C0t00" w:hAnsi="Arial" w:cs="Arial"/>
          <w:sz w:val="24"/>
          <w:szCs w:val="24"/>
        </w:rPr>
        <w:t>marijn T. van Hooijdonk</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 Janneke Horn</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 Marleen Straat, MD</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w:t>
      </w:r>
      <w:r w:rsidRPr="007C17BC">
        <w:rPr>
          <w:rFonts w:ascii="Arial" w:eastAsia="TTE290D8C0t00" w:hAnsi="Arial" w:cs="Arial"/>
          <w:sz w:val="24"/>
          <w:szCs w:val="24"/>
        </w:rPr>
        <w:t xml:space="preserve"> Esther Witteveen</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 Gerie Glas</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 Luuk Wieske</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rPr>
        <w:t>, Lonneke A. van Vught</w:t>
      </w:r>
      <w:r w:rsidR="00E4673B" w:rsidRPr="007C17BC">
        <w:rPr>
          <w:rFonts w:ascii="Arial" w:eastAsia="TTE290D8C0t00" w:hAnsi="Arial" w:cs="Arial"/>
          <w:sz w:val="24"/>
          <w:szCs w:val="24"/>
          <w:vertAlign w:val="superscript"/>
        </w:rPr>
        <w:t>7</w:t>
      </w:r>
      <w:r w:rsidR="00E4673B" w:rsidRPr="007C17BC">
        <w:rPr>
          <w:rFonts w:ascii="Arial" w:eastAsia="TTE290D8C0t00" w:hAnsi="Arial" w:cs="Arial"/>
          <w:sz w:val="24"/>
          <w:szCs w:val="24"/>
        </w:rPr>
        <w:t>, Maryse A. Wiewel</w:t>
      </w:r>
      <w:r w:rsidR="00E4673B" w:rsidRPr="007C17BC">
        <w:rPr>
          <w:rFonts w:ascii="Arial" w:eastAsia="TTE290D8C0t00" w:hAnsi="Arial" w:cs="Arial"/>
          <w:sz w:val="24"/>
          <w:szCs w:val="24"/>
          <w:vertAlign w:val="superscript"/>
        </w:rPr>
        <w:t>7</w:t>
      </w:r>
      <w:r w:rsidR="00E4673B" w:rsidRPr="007C17BC">
        <w:rPr>
          <w:rFonts w:ascii="Arial" w:eastAsia="TTE290D8C0t00" w:hAnsi="Arial" w:cs="Arial"/>
          <w:sz w:val="24"/>
          <w:szCs w:val="24"/>
        </w:rPr>
        <w:t>,</w:t>
      </w:r>
      <w:r w:rsidRPr="007C17BC">
        <w:rPr>
          <w:rFonts w:ascii="Arial" w:eastAsia="TTE290D8C0t00" w:hAnsi="Arial" w:cs="Arial"/>
          <w:sz w:val="24"/>
          <w:szCs w:val="24"/>
        </w:rPr>
        <w:t xml:space="preserve"> Sarah</w:t>
      </w:r>
      <w:r w:rsidR="00E4673B" w:rsidRPr="007C17BC">
        <w:rPr>
          <w:rFonts w:ascii="Arial" w:eastAsia="TTE290D8C0t00" w:hAnsi="Arial" w:cs="Arial"/>
          <w:sz w:val="24"/>
          <w:szCs w:val="24"/>
        </w:rPr>
        <w:t xml:space="preserve"> A. Ingelse</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rPr>
        <w:t>, Bart Cortjens</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rPr>
        <w:t>, Job B. van Woensel</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rPr>
        <w:t>,  Albert P. Bos</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rPr>
        <w:t>, Thomas Walther</w:t>
      </w:r>
      <w:r w:rsidR="00E4673B" w:rsidRPr="007C17BC">
        <w:rPr>
          <w:rFonts w:ascii="Arial" w:eastAsia="TTE290D8C0t00" w:hAnsi="Arial" w:cs="Arial"/>
          <w:sz w:val="24"/>
          <w:szCs w:val="24"/>
          <w:vertAlign w:val="superscript"/>
        </w:rPr>
        <w:t>5,6</w:t>
      </w:r>
      <w:r w:rsidR="00E4673B" w:rsidRPr="007C17BC">
        <w:rPr>
          <w:rFonts w:ascii="Arial" w:eastAsia="TTE290D8C0t00" w:hAnsi="Arial" w:cs="Arial"/>
          <w:sz w:val="24"/>
          <w:szCs w:val="24"/>
        </w:rPr>
        <w:t>, Marcus J. Schultz</w:t>
      </w:r>
      <w:r w:rsidRPr="007C17BC">
        <w:rPr>
          <w:rFonts w:ascii="Arial" w:eastAsia="TTE290D8C0t00" w:hAnsi="Arial" w:cs="Arial"/>
          <w:sz w:val="24"/>
          <w:szCs w:val="24"/>
          <w:vertAlign w:val="superscript"/>
        </w:rPr>
        <w:t>2,3,</w:t>
      </w:r>
      <w:r w:rsidR="00E4673B" w:rsidRPr="007C17BC">
        <w:rPr>
          <w:rFonts w:ascii="Arial" w:eastAsia="TTE290D8C0t00" w:hAnsi="Arial" w:cs="Arial"/>
          <w:sz w:val="24"/>
          <w:szCs w:val="24"/>
          <w:vertAlign w:val="superscript"/>
        </w:rPr>
        <w:t>8</w:t>
      </w:r>
      <w:r w:rsidR="00E4673B" w:rsidRPr="007C17BC">
        <w:rPr>
          <w:rFonts w:ascii="Arial" w:eastAsia="TTE290D8C0t00" w:hAnsi="Arial" w:cs="Arial"/>
          <w:sz w:val="24"/>
          <w:szCs w:val="24"/>
        </w:rPr>
        <w:t xml:space="preserve">, </w:t>
      </w:r>
      <w:r w:rsidRPr="007C17BC">
        <w:rPr>
          <w:rFonts w:ascii="Arial" w:eastAsia="TTE290D8C0t00" w:hAnsi="Arial" w:cs="Arial"/>
          <w:sz w:val="24"/>
          <w:szCs w:val="24"/>
        </w:rPr>
        <w:t>Roeli</w:t>
      </w:r>
      <w:r w:rsidR="00E4673B" w:rsidRPr="007C17BC">
        <w:rPr>
          <w:rFonts w:ascii="Arial" w:eastAsia="TTE290D8C0t00" w:hAnsi="Arial" w:cs="Arial"/>
          <w:sz w:val="24"/>
          <w:szCs w:val="24"/>
        </w:rPr>
        <w:t>e M. Wösten-van-Asperen</w:t>
      </w:r>
      <w:r w:rsidRPr="007C17BC">
        <w:rPr>
          <w:rFonts w:ascii="Arial" w:eastAsia="TTE290D8C0t00" w:hAnsi="Arial" w:cs="Arial"/>
          <w:sz w:val="24"/>
          <w:szCs w:val="24"/>
          <w:vertAlign w:val="superscript"/>
        </w:rPr>
        <w:t>1,</w:t>
      </w:r>
      <w:r w:rsidR="00E4673B" w:rsidRPr="007C17BC">
        <w:rPr>
          <w:rFonts w:ascii="Arial" w:eastAsia="TTE290D8C0t00" w:hAnsi="Arial" w:cs="Arial"/>
          <w:sz w:val="24"/>
          <w:szCs w:val="24"/>
          <w:vertAlign w:val="superscript"/>
        </w:rPr>
        <w:t>9</w:t>
      </w:r>
      <w:r w:rsidRPr="007C17BC">
        <w:rPr>
          <w:rFonts w:ascii="Arial" w:eastAsia="TTE290D8C0t00" w:hAnsi="Arial" w:cs="Arial"/>
          <w:sz w:val="24"/>
          <w:szCs w:val="24"/>
        </w:rPr>
        <w:t>, for the MARS consortium*</w:t>
      </w:r>
    </w:p>
    <w:p w:rsidR="00985695" w:rsidRPr="007C17BC" w:rsidRDefault="00985695" w:rsidP="00985695">
      <w:pPr>
        <w:spacing w:after="0" w:line="480" w:lineRule="auto"/>
        <w:rPr>
          <w:rFonts w:ascii="Arial" w:eastAsia="TTE290D8C0t00" w:hAnsi="Arial" w:cs="Arial"/>
          <w:sz w:val="24"/>
          <w:szCs w:val="24"/>
        </w:rPr>
      </w:pP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1</w:t>
      </w:r>
      <w:r w:rsidRPr="007C17BC">
        <w:rPr>
          <w:rFonts w:ascii="Arial" w:eastAsia="TTE290D8C0t00" w:hAnsi="Arial" w:cs="Arial"/>
          <w:sz w:val="24"/>
          <w:szCs w:val="24"/>
          <w:lang w:val="en-US"/>
        </w:rPr>
        <w:t>Department of Pediatric Intensive Care, Amsterdam University Medical Centers, the Netherlands</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2</w:t>
      </w:r>
      <w:r w:rsidRPr="007C17BC">
        <w:rPr>
          <w:rFonts w:ascii="Arial" w:eastAsia="TTE290D8C0t00" w:hAnsi="Arial" w:cs="Arial"/>
          <w:sz w:val="24"/>
          <w:szCs w:val="24"/>
          <w:lang w:val="en-US"/>
        </w:rPr>
        <w:t>Department of Intensive Care, Amsterdam University Medical Centers, the Netherlands</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3</w:t>
      </w:r>
      <w:r w:rsidRPr="007C17BC">
        <w:rPr>
          <w:rFonts w:ascii="Arial" w:eastAsia="TTE290D8C0t00" w:hAnsi="Arial" w:cs="Arial"/>
          <w:sz w:val="24"/>
          <w:szCs w:val="24"/>
          <w:lang w:val="en-US"/>
        </w:rPr>
        <w:t>Laboratory of Experimental Intensive Care and Anesthesiology (L·E·I·C·A), Amsterdam University Medical Centers, the Netherlands</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4</w:t>
      </w:r>
      <w:r w:rsidRPr="007C17BC">
        <w:rPr>
          <w:rFonts w:ascii="Arial" w:eastAsia="TTE290D8C0t00" w:hAnsi="Arial" w:cs="Arial"/>
          <w:sz w:val="24"/>
          <w:szCs w:val="24"/>
          <w:lang w:val="en-US"/>
        </w:rPr>
        <w:t>Department of Neonatology, Amsterdam University Medical Centers, the Netherlands</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5</w:t>
      </w:r>
      <w:r w:rsidRPr="007C17BC">
        <w:rPr>
          <w:rFonts w:ascii="Arial" w:eastAsia="TTE290D8C0t00" w:hAnsi="Arial" w:cs="Arial"/>
          <w:sz w:val="24"/>
          <w:szCs w:val="24"/>
          <w:lang w:val="en-US"/>
        </w:rPr>
        <w:t>Institute of Medical Biochemistry and Molecular Biology, University Medicine Greifswald, Germany</w:t>
      </w:r>
      <w:r w:rsidRPr="007C17BC">
        <w:rPr>
          <w:rFonts w:ascii="Arial" w:eastAsia="TTE290D8C0t00" w:hAnsi="Arial" w:cs="Arial"/>
          <w:sz w:val="24"/>
          <w:szCs w:val="24"/>
          <w:lang w:val="en-GB"/>
        </w:rPr>
        <w:t xml:space="preserve"> </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6</w:t>
      </w:r>
      <w:r w:rsidRPr="007C17BC">
        <w:rPr>
          <w:rFonts w:ascii="Arial" w:eastAsia="TTE290D8C0t00" w:hAnsi="Arial" w:cs="Arial"/>
          <w:sz w:val="24"/>
          <w:szCs w:val="24"/>
          <w:lang w:val="en-US"/>
        </w:rPr>
        <w:t>Department of Pharmacology and Therapeutics, School of Medicine and School of Pharmacy, University College Cork, Cork, Ireland</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7</w:t>
      </w:r>
      <w:r w:rsidRPr="007C17BC">
        <w:rPr>
          <w:rFonts w:ascii="Arial" w:eastAsia="TTE290D8C0t00" w:hAnsi="Arial" w:cs="Arial"/>
          <w:sz w:val="24"/>
          <w:szCs w:val="24"/>
          <w:lang w:val="en-US"/>
        </w:rPr>
        <w:t>Center of Experimental Molecular Medicine (CEMM), Amsterdam University Medical Centers, the Netherlands</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lastRenderedPageBreak/>
        <w:t>8</w:t>
      </w:r>
      <w:r w:rsidRPr="007C17BC">
        <w:rPr>
          <w:rFonts w:ascii="Arial" w:eastAsia="TTE290D8C0t00" w:hAnsi="Arial" w:cs="Arial"/>
          <w:sz w:val="24"/>
          <w:szCs w:val="24"/>
          <w:lang w:val="en-US"/>
        </w:rPr>
        <w:t>Mahidol–Oxford Tropical Medicine Research Unit (MORU), Mahidol University, Bangkok, Thailand</w:t>
      </w:r>
    </w:p>
    <w:p w:rsidR="00E4673B" w:rsidRPr="007C17BC" w:rsidRDefault="00E4673B" w:rsidP="00E4673B">
      <w:pPr>
        <w:spacing w:after="0" w:line="480" w:lineRule="auto"/>
        <w:rPr>
          <w:rFonts w:ascii="Arial" w:eastAsia="TTE290D8C0t00" w:hAnsi="Arial" w:cs="Arial"/>
          <w:sz w:val="24"/>
          <w:szCs w:val="24"/>
          <w:lang w:val="en-US"/>
        </w:rPr>
      </w:pPr>
      <w:r w:rsidRPr="007C17BC">
        <w:rPr>
          <w:rFonts w:ascii="Arial" w:eastAsia="TTE290D8C0t00" w:hAnsi="Arial" w:cs="Arial"/>
          <w:sz w:val="24"/>
          <w:szCs w:val="24"/>
          <w:vertAlign w:val="superscript"/>
          <w:lang w:val="en-US"/>
        </w:rPr>
        <w:t>9</w:t>
      </w:r>
      <w:r w:rsidRPr="007C17BC">
        <w:rPr>
          <w:rFonts w:ascii="Arial" w:eastAsia="TTE290D8C0t00" w:hAnsi="Arial" w:cs="Arial"/>
          <w:sz w:val="24"/>
          <w:szCs w:val="24"/>
          <w:lang w:val="en-US"/>
        </w:rPr>
        <w:t xml:space="preserve">Department of Pediatric Intensive Care, Wilhelmina Children’s Hospital, University Medical Center Utrecht, </w:t>
      </w:r>
      <w:proofErr w:type="gramStart"/>
      <w:r w:rsidRPr="007C17BC">
        <w:rPr>
          <w:rFonts w:ascii="Arial" w:eastAsia="TTE290D8C0t00" w:hAnsi="Arial" w:cs="Arial"/>
          <w:sz w:val="24"/>
          <w:szCs w:val="24"/>
          <w:lang w:val="en-US"/>
        </w:rPr>
        <w:t>the</w:t>
      </w:r>
      <w:proofErr w:type="gramEnd"/>
      <w:r w:rsidRPr="007C17BC">
        <w:rPr>
          <w:rFonts w:ascii="Arial" w:eastAsia="TTE290D8C0t00" w:hAnsi="Arial" w:cs="Arial"/>
          <w:sz w:val="24"/>
          <w:szCs w:val="24"/>
          <w:lang w:val="en-US"/>
        </w:rPr>
        <w:t xml:space="preserve"> Netherlands </w:t>
      </w:r>
    </w:p>
    <w:p w:rsidR="00F0578B" w:rsidRPr="007C17BC" w:rsidRDefault="00F0578B" w:rsidP="00985695">
      <w:pPr>
        <w:spacing w:after="0" w:line="480" w:lineRule="auto"/>
        <w:rPr>
          <w:rFonts w:ascii="Arial" w:hAnsi="Arial"/>
          <w:b/>
          <w:bCs/>
          <w:sz w:val="24"/>
          <w:szCs w:val="24"/>
          <w:lang w:val="en-US"/>
        </w:rPr>
      </w:pPr>
    </w:p>
    <w:p w:rsidR="00985695" w:rsidRPr="007C17BC" w:rsidRDefault="00985695" w:rsidP="00985695">
      <w:pPr>
        <w:spacing w:after="0" w:line="480" w:lineRule="auto"/>
        <w:rPr>
          <w:rFonts w:ascii="Arial" w:eastAsia="Arial" w:hAnsi="Arial" w:cs="Arial"/>
          <w:b/>
          <w:bCs/>
          <w:sz w:val="24"/>
          <w:szCs w:val="24"/>
        </w:rPr>
      </w:pPr>
      <w:r w:rsidRPr="007C17BC">
        <w:rPr>
          <w:rFonts w:ascii="Arial" w:hAnsi="Arial"/>
          <w:b/>
          <w:bCs/>
          <w:sz w:val="24"/>
          <w:szCs w:val="24"/>
        </w:rPr>
        <w:t>MARS consortium members:</w:t>
      </w:r>
    </w:p>
    <w:p w:rsidR="00985695" w:rsidRPr="007C17BC" w:rsidRDefault="00985695" w:rsidP="00985695">
      <w:pPr>
        <w:spacing w:after="0" w:line="480" w:lineRule="auto"/>
        <w:jc w:val="both"/>
        <w:rPr>
          <w:rFonts w:ascii="Arial" w:hAnsi="Arial"/>
          <w:sz w:val="24"/>
          <w:szCs w:val="24"/>
        </w:rPr>
      </w:pPr>
      <w:r w:rsidRPr="007C17BC">
        <w:rPr>
          <w:rFonts w:ascii="Arial" w:hAnsi="Arial"/>
          <w:sz w:val="24"/>
          <w:szCs w:val="24"/>
        </w:rPr>
        <w:t>Academic Medical Center, Amsterdam, The Netherlands: Friso M. de Beer, Lieuwe D. Bos, Gerie J. Glas, Janneke Horn, Arie J. Hoogendijk, Roosmarijn T. van Hooijdonk, Mischa A. Huson, Tom van der Poll, Brendon Scicluna, Laura R. Schouten, Marcus J. Schultz, Marleen Straat, Lonneke A. van Vught, Luuk Wieske, Maryse A. Wiewel, and Esther Witteveen</w:t>
      </w:r>
    </w:p>
    <w:p w:rsidR="00985695" w:rsidRPr="007C17BC" w:rsidRDefault="00985695" w:rsidP="00985695">
      <w:pPr>
        <w:spacing w:after="0" w:line="480" w:lineRule="auto"/>
        <w:jc w:val="both"/>
        <w:rPr>
          <w:rFonts w:ascii="Arial" w:eastAsia="Arial" w:hAnsi="Arial" w:cs="Arial"/>
          <w:sz w:val="24"/>
          <w:szCs w:val="24"/>
        </w:rPr>
      </w:pPr>
      <w:r w:rsidRPr="007C17BC">
        <w:rPr>
          <w:rFonts w:ascii="Arial" w:hAnsi="Arial"/>
          <w:sz w:val="24"/>
          <w:szCs w:val="24"/>
        </w:rPr>
        <w:t>University Medical Center Utrecht, Utrecht, The Netherlands: Marc J. Bonten, Olaf L. Cremer, Jos F. Frencken, Kirsten van de Groep, Peter M. Klein Klouwenberg, Maria E. Koster–Brouwer, David S. Ong, and Diana M. Verboom</w:t>
      </w:r>
    </w:p>
    <w:p w:rsidR="00FE4499" w:rsidRPr="007C17BC" w:rsidRDefault="00985695">
      <w:pPr>
        <w:spacing w:after="160" w:line="259" w:lineRule="auto"/>
        <w:rPr>
          <w:rFonts w:ascii="Arial" w:hAnsi="Arial" w:cs="Arial"/>
          <w:sz w:val="24"/>
          <w:szCs w:val="24"/>
          <w:lang w:val="en-GB"/>
        </w:rPr>
      </w:pPr>
      <w:r w:rsidRPr="007C17BC">
        <w:rPr>
          <w:rFonts w:ascii="Arial" w:hAnsi="Arial" w:cs="Arial"/>
          <w:sz w:val="24"/>
          <w:szCs w:val="24"/>
          <w:lang w:val="en-US"/>
        </w:rPr>
        <w:br w:type="page"/>
      </w:r>
      <w:r w:rsidR="00FE4499" w:rsidRPr="007C17BC">
        <w:rPr>
          <w:rFonts w:ascii="Arial" w:hAnsi="Arial" w:cs="Arial"/>
          <w:sz w:val="24"/>
          <w:szCs w:val="24"/>
          <w:lang w:val="en-GB"/>
        </w:rPr>
        <w:lastRenderedPageBreak/>
        <w:t>ONLINE M</w:t>
      </w:r>
      <w:r w:rsidR="008350A0" w:rsidRPr="007C17BC">
        <w:rPr>
          <w:rFonts w:ascii="Arial" w:hAnsi="Arial" w:cs="Arial"/>
          <w:sz w:val="24"/>
          <w:szCs w:val="24"/>
          <w:lang w:val="en-GB"/>
        </w:rPr>
        <w:t>A</w:t>
      </w:r>
      <w:r w:rsidR="00FE4499" w:rsidRPr="007C17BC">
        <w:rPr>
          <w:rFonts w:ascii="Arial" w:hAnsi="Arial" w:cs="Arial"/>
          <w:sz w:val="24"/>
          <w:szCs w:val="24"/>
          <w:lang w:val="en-GB"/>
        </w:rPr>
        <w:t>TERIAL</w:t>
      </w:r>
    </w:p>
    <w:p w:rsidR="008350A0" w:rsidRPr="007C17BC" w:rsidRDefault="008350A0">
      <w:pPr>
        <w:spacing w:after="160" w:line="259" w:lineRule="auto"/>
        <w:rPr>
          <w:rFonts w:ascii="Arial" w:hAnsi="Arial" w:cs="Arial"/>
          <w:sz w:val="24"/>
          <w:szCs w:val="24"/>
          <w:lang w:val="en-GB"/>
        </w:rPr>
      </w:pPr>
    </w:p>
    <w:p w:rsidR="00FE4499" w:rsidRPr="007C17BC" w:rsidRDefault="00FE4499" w:rsidP="00FE4499">
      <w:pPr>
        <w:spacing w:after="0" w:line="240" w:lineRule="auto"/>
        <w:rPr>
          <w:rFonts w:ascii="Arial" w:hAnsi="Arial" w:cs="Arial"/>
          <w:sz w:val="24"/>
          <w:szCs w:val="24"/>
          <w:lang w:val="en-US"/>
        </w:rPr>
      </w:pPr>
      <w:r w:rsidRPr="007C17BC">
        <w:rPr>
          <w:rFonts w:ascii="Arial" w:hAnsi="Arial" w:cs="Arial"/>
          <w:b/>
          <w:sz w:val="24"/>
          <w:szCs w:val="24"/>
          <w:lang w:val="en-GB"/>
        </w:rPr>
        <w:t>Methods</w:t>
      </w:r>
      <w:r w:rsidRPr="007C17BC">
        <w:rPr>
          <w:rFonts w:ascii="Arial" w:hAnsi="Arial" w:cs="Arial"/>
          <w:sz w:val="24"/>
          <w:szCs w:val="24"/>
          <w:lang w:val="en-GB"/>
        </w:rPr>
        <w:t xml:space="preserve"> - </w:t>
      </w:r>
      <w:r w:rsidRPr="007C17BC">
        <w:rPr>
          <w:rFonts w:ascii="Arial" w:hAnsi="Arial" w:cs="Arial"/>
          <w:sz w:val="24"/>
          <w:szCs w:val="24"/>
          <w:lang w:val="en-US"/>
        </w:rPr>
        <w:t>Detailed description of the two study protocols</w:t>
      </w:r>
    </w:p>
    <w:p w:rsidR="00FE4499" w:rsidRPr="007C17BC" w:rsidRDefault="00FE4499" w:rsidP="00FE4499">
      <w:pPr>
        <w:spacing w:after="0" w:line="240" w:lineRule="auto"/>
        <w:rPr>
          <w:rFonts w:ascii="Arial" w:hAnsi="Arial" w:cs="Arial"/>
          <w:sz w:val="24"/>
          <w:szCs w:val="24"/>
          <w:lang w:val="en-US"/>
        </w:rPr>
      </w:pPr>
    </w:p>
    <w:p w:rsidR="00FE4499" w:rsidRPr="007C17BC" w:rsidRDefault="00FE4499" w:rsidP="00FE4499">
      <w:pPr>
        <w:spacing w:after="0" w:line="480" w:lineRule="auto"/>
        <w:jc w:val="both"/>
        <w:rPr>
          <w:rFonts w:ascii="Arial" w:hAnsi="Arial" w:cs="Arial"/>
          <w:sz w:val="24"/>
          <w:szCs w:val="24"/>
          <w:lang w:val="en-US"/>
        </w:rPr>
      </w:pPr>
      <w:r w:rsidRPr="007C17BC">
        <w:rPr>
          <w:rFonts w:ascii="Arial" w:hAnsi="Arial" w:cs="Arial"/>
          <w:b/>
          <w:sz w:val="24"/>
          <w:szCs w:val="24"/>
          <w:lang w:val="en-US"/>
        </w:rPr>
        <w:t xml:space="preserve">Methods </w:t>
      </w:r>
      <w:r w:rsidRPr="007C17BC">
        <w:rPr>
          <w:rFonts w:ascii="Arial" w:hAnsi="Arial" w:cs="Arial"/>
          <w:sz w:val="24"/>
          <w:szCs w:val="24"/>
          <w:lang w:val="en-US"/>
        </w:rPr>
        <w:t>- Collected data and definitions</w:t>
      </w:r>
    </w:p>
    <w:p w:rsidR="009671DE" w:rsidRPr="007C17BC" w:rsidRDefault="00FE4499" w:rsidP="009671DE">
      <w:pPr>
        <w:spacing w:after="0" w:line="480" w:lineRule="auto"/>
        <w:jc w:val="both"/>
        <w:rPr>
          <w:rFonts w:ascii="Arial" w:hAnsi="Arial" w:cs="Arial"/>
          <w:sz w:val="24"/>
          <w:szCs w:val="24"/>
          <w:lang w:val="en-US"/>
        </w:rPr>
      </w:pPr>
      <w:r w:rsidRPr="007C17BC">
        <w:rPr>
          <w:rFonts w:ascii="Arial" w:hAnsi="Arial" w:cs="Arial"/>
          <w:b/>
          <w:sz w:val="24"/>
          <w:szCs w:val="24"/>
          <w:lang w:val="en-US"/>
        </w:rPr>
        <w:t xml:space="preserve">Methods </w:t>
      </w:r>
      <w:r w:rsidRPr="007C17BC">
        <w:rPr>
          <w:rFonts w:ascii="Arial" w:hAnsi="Arial" w:cs="Arial"/>
          <w:sz w:val="24"/>
          <w:szCs w:val="24"/>
          <w:lang w:val="en-US"/>
        </w:rPr>
        <w:t xml:space="preserve">- </w:t>
      </w:r>
      <w:r w:rsidR="008350A0" w:rsidRPr="007C17BC">
        <w:rPr>
          <w:rFonts w:ascii="Arial" w:hAnsi="Arial" w:cs="Arial"/>
          <w:sz w:val="24"/>
          <w:szCs w:val="24"/>
          <w:lang w:val="en-US"/>
        </w:rPr>
        <w:t>Sample collection and assays</w:t>
      </w:r>
    </w:p>
    <w:p w:rsidR="008350A0" w:rsidRPr="007C17BC" w:rsidRDefault="008350A0" w:rsidP="009671DE">
      <w:pPr>
        <w:spacing w:after="0" w:line="480" w:lineRule="auto"/>
        <w:jc w:val="both"/>
        <w:rPr>
          <w:rFonts w:ascii="Arial" w:hAnsi="Arial" w:cs="Arial"/>
          <w:sz w:val="24"/>
          <w:szCs w:val="24"/>
          <w:lang w:val="en-US"/>
        </w:rPr>
      </w:pPr>
      <w:r w:rsidRPr="007C17BC">
        <w:rPr>
          <w:rFonts w:ascii="Arial" w:hAnsi="Arial" w:cs="Arial"/>
          <w:b/>
          <w:sz w:val="24"/>
          <w:szCs w:val="24"/>
          <w:lang w:val="en-GB"/>
        </w:rPr>
        <w:t>Table 1</w:t>
      </w:r>
      <w:r w:rsidRPr="007C17BC">
        <w:rPr>
          <w:rFonts w:ascii="Arial" w:hAnsi="Arial" w:cs="Arial"/>
          <w:sz w:val="24"/>
          <w:szCs w:val="24"/>
          <w:lang w:val="en-GB"/>
        </w:rPr>
        <w:t xml:space="preserve"> - Predisposing factors</w:t>
      </w:r>
    </w:p>
    <w:p w:rsidR="008350A0" w:rsidRPr="007C17BC" w:rsidRDefault="008350A0" w:rsidP="00A369C7">
      <w:pPr>
        <w:spacing w:after="0" w:line="480" w:lineRule="auto"/>
        <w:rPr>
          <w:rFonts w:ascii="Arial" w:hAnsi="Arial" w:cs="Arial"/>
          <w:sz w:val="24"/>
          <w:szCs w:val="24"/>
          <w:lang w:val="en-US"/>
        </w:rPr>
      </w:pPr>
      <w:r w:rsidRPr="007C17BC">
        <w:rPr>
          <w:rFonts w:ascii="Arial" w:hAnsi="Arial" w:cs="Arial"/>
          <w:b/>
          <w:sz w:val="24"/>
          <w:szCs w:val="24"/>
          <w:lang w:val="en-GB"/>
        </w:rPr>
        <w:t>Figure 1</w:t>
      </w:r>
      <w:r w:rsidRPr="007C17BC">
        <w:rPr>
          <w:rFonts w:ascii="Arial" w:hAnsi="Arial" w:cs="Arial"/>
          <w:sz w:val="24"/>
          <w:szCs w:val="24"/>
          <w:lang w:val="en-GB"/>
        </w:rPr>
        <w:t xml:space="preserve"> - </w:t>
      </w:r>
      <w:r w:rsidRPr="007C17BC">
        <w:rPr>
          <w:rFonts w:ascii="Arial" w:hAnsi="Arial" w:cs="Arial"/>
          <w:sz w:val="24"/>
          <w:szCs w:val="24"/>
          <w:lang w:val="en-US"/>
        </w:rPr>
        <w:t>Markers of inflammation, endothelial activation and epithelial activation in bronchoalveolar lavage fluid of ARDS patients</w:t>
      </w:r>
    </w:p>
    <w:p w:rsidR="008350A0" w:rsidRPr="007C17BC" w:rsidRDefault="008350A0" w:rsidP="008350A0">
      <w:pPr>
        <w:spacing w:after="0" w:line="480" w:lineRule="auto"/>
        <w:rPr>
          <w:rFonts w:ascii="Arial" w:hAnsi="Arial" w:cs="Arial"/>
          <w:sz w:val="24"/>
          <w:szCs w:val="24"/>
          <w:lang w:val="en-GB"/>
        </w:rPr>
      </w:pPr>
      <w:r w:rsidRPr="007C17BC">
        <w:rPr>
          <w:rFonts w:ascii="Arial" w:hAnsi="Arial" w:cs="Arial"/>
          <w:b/>
          <w:sz w:val="24"/>
          <w:szCs w:val="24"/>
          <w:lang w:val="en-GB"/>
        </w:rPr>
        <w:t>Table 2</w:t>
      </w:r>
      <w:r w:rsidR="00A369C7" w:rsidRPr="007C17BC">
        <w:rPr>
          <w:rFonts w:ascii="Arial" w:hAnsi="Arial" w:cs="Arial"/>
          <w:sz w:val="24"/>
          <w:szCs w:val="24"/>
          <w:lang w:val="en-GB"/>
        </w:rPr>
        <w:t xml:space="preserve"> - </w:t>
      </w:r>
      <w:r w:rsidR="002B1F0B" w:rsidRPr="007C17BC">
        <w:rPr>
          <w:rFonts w:ascii="Arial" w:hAnsi="Arial" w:cs="Arial"/>
          <w:sz w:val="24"/>
          <w:szCs w:val="24"/>
          <w:lang w:val="en-GB"/>
        </w:rPr>
        <w:t>Correlation between ACE, ACE2 activity, ACE2</w:t>
      </w:r>
      <w:proofErr w:type="gramStart"/>
      <w:r w:rsidR="002B1F0B" w:rsidRPr="007C17BC">
        <w:rPr>
          <w:rFonts w:ascii="Arial" w:hAnsi="Arial" w:cs="Arial"/>
          <w:sz w:val="24"/>
          <w:szCs w:val="24"/>
          <w:lang w:val="en-GB"/>
        </w:rPr>
        <w:t>:ACE</w:t>
      </w:r>
      <w:proofErr w:type="gramEnd"/>
      <w:r w:rsidR="002B1F0B" w:rsidRPr="007C17BC">
        <w:rPr>
          <w:rFonts w:ascii="Arial" w:hAnsi="Arial" w:cs="Arial"/>
          <w:sz w:val="24"/>
          <w:szCs w:val="24"/>
          <w:lang w:val="en-GB"/>
        </w:rPr>
        <w:t xml:space="preserve"> ratio and biomarkers of inflammation, endothelial activation and epithelial damage</w:t>
      </w:r>
    </w:p>
    <w:p w:rsidR="004B5799" w:rsidRPr="007C17BC" w:rsidRDefault="004B5799" w:rsidP="008350A0">
      <w:pPr>
        <w:spacing w:after="0" w:line="480" w:lineRule="auto"/>
        <w:rPr>
          <w:rFonts w:ascii="Arial" w:hAnsi="Arial" w:cs="Arial"/>
          <w:sz w:val="24"/>
          <w:szCs w:val="24"/>
          <w:lang w:val="en-US"/>
        </w:rPr>
      </w:pPr>
      <w:r w:rsidRPr="007C17BC">
        <w:rPr>
          <w:rFonts w:ascii="Arial" w:hAnsi="Arial" w:cs="Arial"/>
          <w:b/>
          <w:sz w:val="24"/>
          <w:szCs w:val="24"/>
          <w:lang w:val="en-US"/>
        </w:rPr>
        <w:t>Table 3</w:t>
      </w:r>
      <w:r w:rsidRPr="007C17BC">
        <w:rPr>
          <w:rFonts w:ascii="Arial" w:hAnsi="Arial" w:cs="Arial"/>
          <w:sz w:val="24"/>
          <w:szCs w:val="24"/>
          <w:lang w:val="en-US"/>
        </w:rPr>
        <w:t xml:space="preserve"> –</w:t>
      </w:r>
      <w:r w:rsidR="00575681" w:rsidRPr="007C17BC">
        <w:rPr>
          <w:rFonts w:ascii="Arial" w:hAnsi="Arial" w:cs="Arial"/>
          <w:sz w:val="24"/>
          <w:szCs w:val="24"/>
          <w:lang w:val="en-US"/>
        </w:rPr>
        <w:t xml:space="preserve"> Association between age-groups and biomarkers in bronchoalveolar lavage fluid of ARDS patients.</w:t>
      </w:r>
    </w:p>
    <w:p w:rsidR="00FE4499" w:rsidRPr="007C17BC" w:rsidRDefault="00FE4499">
      <w:pPr>
        <w:spacing w:after="160" w:line="259" w:lineRule="auto"/>
        <w:rPr>
          <w:rFonts w:ascii="Arial" w:hAnsi="Arial" w:cs="Arial"/>
          <w:b/>
          <w:sz w:val="24"/>
          <w:szCs w:val="24"/>
          <w:lang w:val="en-GB"/>
        </w:rPr>
      </w:pPr>
      <w:r w:rsidRPr="007C17BC">
        <w:rPr>
          <w:rFonts w:ascii="Arial" w:hAnsi="Arial" w:cs="Arial"/>
          <w:b/>
          <w:sz w:val="24"/>
          <w:szCs w:val="24"/>
          <w:lang w:val="en-GB"/>
        </w:rPr>
        <w:br w:type="page"/>
      </w:r>
    </w:p>
    <w:p w:rsidR="00985695" w:rsidRPr="007C17BC" w:rsidRDefault="00FE4499" w:rsidP="00985695">
      <w:pPr>
        <w:spacing w:after="0" w:line="480" w:lineRule="auto"/>
        <w:rPr>
          <w:rFonts w:ascii="Arial" w:hAnsi="Arial" w:cs="Arial"/>
          <w:b/>
          <w:sz w:val="24"/>
          <w:szCs w:val="24"/>
          <w:lang w:val="en-US"/>
        </w:rPr>
      </w:pPr>
      <w:r w:rsidRPr="007C17BC">
        <w:rPr>
          <w:rFonts w:ascii="Arial" w:hAnsi="Arial" w:cs="Arial"/>
          <w:b/>
          <w:sz w:val="24"/>
          <w:szCs w:val="24"/>
          <w:lang w:val="en-US"/>
        </w:rPr>
        <w:lastRenderedPageBreak/>
        <w:t>METHODS</w:t>
      </w:r>
    </w:p>
    <w:p w:rsidR="00985695" w:rsidRPr="007C17BC" w:rsidRDefault="00985695" w:rsidP="00FE4499">
      <w:pPr>
        <w:spacing w:after="0" w:line="480" w:lineRule="auto"/>
        <w:rPr>
          <w:rFonts w:ascii="Arial" w:hAnsi="Arial" w:cs="Arial"/>
          <w:sz w:val="24"/>
          <w:szCs w:val="24"/>
          <w:lang w:val="en-US"/>
        </w:rPr>
      </w:pPr>
    </w:p>
    <w:p w:rsidR="00985695" w:rsidRPr="007C17BC" w:rsidRDefault="00985695" w:rsidP="00FE4499">
      <w:pPr>
        <w:spacing w:after="0" w:line="480" w:lineRule="auto"/>
        <w:rPr>
          <w:rFonts w:ascii="Arial" w:hAnsi="Arial" w:cs="Arial"/>
          <w:sz w:val="24"/>
          <w:szCs w:val="24"/>
          <w:lang w:val="en-US"/>
        </w:rPr>
      </w:pPr>
      <w:r w:rsidRPr="007C17BC">
        <w:rPr>
          <w:rFonts w:ascii="Arial" w:hAnsi="Arial" w:cs="Arial"/>
          <w:sz w:val="24"/>
          <w:szCs w:val="24"/>
          <w:lang w:val="en-US"/>
        </w:rPr>
        <w:t xml:space="preserve">Detailed description of the two study protocols from which the present cohort is selected: </w:t>
      </w:r>
    </w:p>
    <w:p w:rsidR="00FE4499" w:rsidRPr="007C17BC" w:rsidRDefault="00FE4499" w:rsidP="00FE4499">
      <w:pPr>
        <w:spacing w:after="0" w:line="480" w:lineRule="auto"/>
        <w:rPr>
          <w:rFonts w:ascii="Arial" w:hAnsi="Arial" w:cs="Arial"/>
          <w:sz w:val="24"/>
          <w:szCs w:val="24"/>
          <w:lang w:val="en-US"/>
        </w:rPr>
      </w:pPr>
    </w:p>
    <w:p w:rsidR="00985695" w:rsidRPr="007C17BC" w:rsidRDefault="00985695" w:rsidP="00FE4499">
      <w:pPr>
        <w:spacing w:after="0" w:line="480" w:lineRule="auto"/>
        <w:rPr>
          <w:rFonts w:ascii="Arial" w:hAnsi="Arial" w:cs="Arial"/>
          <w:sz w:val="24"/>
          <w:szCs w:val="24"/>
          <w:lang w:val="en-US"/>
        </w:rPr>
      </w:pPr>
      <w:r w:rsidRPr="007C17BC">
        <w:rPr>
          <w:rFonts w:ascii="Arial" w:hAnsi="Arial" w:cs="Arial"/>
          <w:b/>
          <w:sz w:val="24"/>
          <w:szCs w:val="24"/>
          <w:lang w:val="en-US"/>
        </w:rPr>
        <w:t>Protocol no NL34294.018.10</w:t>
      </w:r>
      <w:r w:rsidR="00FE4499" w:rsidRPr="007C17BC">
        <w:rPr>
          <w:rFonts w:ascii="Arial" w:hAnsi="Arial" w:cs="Arial"/>
          <w:sz w:val="24"/>
          <w:szCs w:val="24"/>
          <w:lang w:val="en-US"/>
        </w:rPr>
        <w:t>:</w:t>
      </w:r>
      <w:r w:rsidRPr="007C17BC">
        <w:rPr>
          <w:rFonts w:ascii="Arial" w:hAnsi="Arial" w:cs="Arial"/>
          <w:sz w:val="24"/>
          <w:szCs w:val="24"/>
          <w:lang w:val="en-US"/>
        </w:rPr>
        <w:t xml:space="preserve"> </w:t>
      </w:r>
    </w:p>
    <w:p w:rsidR="00985695" w:rsidRPr="007C17BC" w:rsidRDefault="00985695" w:rsidP="00FE4499">
      <w:pPr>
        <w:spacing w:after="0" w:line="480" w:lineRule="auto"/>
        <w:rPr>
          <w:rFonts w:ascii="Arial" w:hAnsi="Arial" w:cs="Arial"/>
          <w:sz w:val="24"/>
          <w:szCs w:val="24"/>
          <w:lang w:val="en-US"/>
        </w:rPr>
      </w:pPr>
      <w:r w:rsidRPr="007C17BC">
        <w:rPr>
          <w:rFonts w:ascii="Arial" w:hAnsi="Arial" w:cs="Arial"/>
          <w:sz w:val="24"/>
          <w:szCs w:val="24"/>
          <w:u w:val="single"/>
          <w:lang w:val="en-US"/>
        </w:rPr>
        <w:t>Setting:</w:t>
      </w:r>
      <w:r w:rsidRPr="007C17BC">
        <w:rPr>
          <w:rFonts w:ascii="Arial" w:hAnsi="Arial" w:cs="Arial"/>
          <w:sz w:val="24"/>
          <w:szCs w:val="24"/>
          <w:lang w:val="en-US"/>
        </w:rPr>
        <w:t xml:space="preserve"> Adult intensive care unit (ICU), Academic Medical Center of Amsterdam.</w:t>
      </w:r>
    </w:p>
    <w:p w:rsidR="00985695" w:rsidRPr="007C17BC" w:rsidRDefault="00985695" w:rsidP="00FE4499">
      <w:pPr>
        <w:spacing w:after="0" w:line="480" w:lineRule="auto"/>
        <w:rPr>
          <w:rFonts w:ascii="Arial" w:hAnsi="Arial" w:cs="Arial"/>
          <w:sz w:val="24"/>
          <w:szCs w:val="24"/>
          <w:u w:val="single"/>
          <w:lang w:val="en-US"/>
        </w:rPr>
      </w:pPr>
      <w:r w:rsidRPr="007C17BC">
        <w:rPr>
          <w:rFonts w:ascii="Arial" w:hAnsi="Arial" w:cs="Arial"/>
          <w:sz w:val="24"/>
          <w:szCs w:val="24"/>
          <w:u w:val="single"/>
          <w:lang w:val="en-US"/>
        </w:rPr>
        <w:t>Inclusion criteria:</w:t>
      </w:r>
    </w:p>
    <w:p w:rsidR="00985695" w:rsidRPr="007C17BC" w:rsidRDefault="00985695" w:rsidP="00FE4499">
      <w:pPr>
        <w:pStyle w:val="ListParagraph"/>
        <w:numPr>
          <w:ilvl w:val="0"/>
          <w:numId w:val="3"/>
        </w:numPr>
        <w:spacing w:after="0" w:line="480" w:lineRule="auto"/>
        <w:rPr>
          <w:rFonts w:ascii="Arial" w:hAnsi="Arial" w:cs="Arial"/>
          <w:sz w:val="24"/>
          <w:szCs w:val="24"/>
          <w:lang w:val="en-US"/>
        </w:rPr>
      </w:pPr>
      <w:r w:rsidRPr="007C17BC">
        <w:rPr>
          <w:rFonts w:ascii="Arial" w:hAnsi="Arial" w:cs="Arial"/>
          <w:sz w:val="24"/>
          <w:szCs w:val="24"/>
          <w:lang w:val="en-US"/>
        </w:rPr>
        <w:t>Enrolment within 24 hours after admission.</w:t>
      </w:r>
    </w:p>
    <w:p w:rsidR="00985695" w:rsidRPr="007C17BC" w:rsidRDefault="00985695" w:rsidP="00FE4499">
      <w:pPr>
        <w:pStyle w:val="ListParagraph"/>
        <w:numPr>
          <w:ilvl w:val="0"/>
          <w:numId w:val="3"/>
        </w:numPr>
        <w:spacing w:after="0" w:line="480" w:lineRule="auto"/>
        <w:rPr>
          <w:rFonts w:ascii="Arial" w:hAnsi="Arial" w:cs="Arial"/>
          <w:sz w:val="24"/>
          <w:szCs w:val="24"/>
          <w:lang w:val="en-US"/>
        </w:rPr>
      </w:pPr>
      <w:r w:rsidRPr="007C17BC">
        <w:rPr>
          <w:rFonts w:ascii="Arial" w:hAnsi="Arial" w:cs="Arial"/>
          <w:sz w:val="24"/>
          <w:szCs w:val="24"/>
          <w:lang w:val="en-US"/>
        </w:rPr>
        <w:t xml:space="preserve">Expected </w:t>
      </w:r>
      <w:r w:rsidR="00A405E5" w:rsidRPr="007C17BC">
        <w:rPr>
          <w:rFonts w:ascii="Arial" w:hAnsi="Arial" w:cs="Arial"/>
          <w:sz w:val="24"/>
          <w:szCs w:val="24"/>
          <w:lang w:val="en-US"/>
        </w:rPr>
        <w:t xml:space="preserve">to </w:t>
      </w:r>
      <w:r w:rsidRPr="007C17BC">
        <w:rPr>
          <w:rFonts w:ascii="Arial" w:hAnsi="Arial" w:cs="Arial"/>
          <w:sz w:val="24"/>
          <w:szCs w:val="24"/>
          <w:lang w:val="en-US"/>
        </w:rPr>
        <w:t>stay more than 24 hours</w:t>
      </w:r>
    </w:p>
    <w:p w:rsidR="00985695" w:rsidRPr="007C17BC" w:rsidRDefault="00985695" w:rsidP="00FE4499">
      <w:pPr>
        <w:pStyle w:val="ListParagraph"/>
        <w:numPr>
          <w:ilvl w:val="0"/>
          <w:numId w:val="3"/>
        </w:numPr>
        <w:spacing w:after="0" w:line="480" w:lineRule="auto"/>
        <w:rPr>
          <w:rFonts w:ascii="Arial" w:hAnsi="Arial" w:cs="Arial"/>
          <w:sz w:val="24"/>
          <w:szCs w:val="24"/>
          <w:lang w:val="en-US"/>
        </w:rPr>
      </w:pPr>
      <w:r w:rsidRPr="007C17BC">
        <w:rPr>
          <w:rFonts w:ascii="Arial" w:hAnsi="Arial" w:cs="Arial"/>
          <w:sz w:val="24"/>
          <w:szCs w:val="24"/>
          <w:lang w:val="en-US"/>
        </w:rPr>
        <w:t xml:space="preserve">Two or more of the systemic inflammatory response syndrome (SIRS) criteria on the day of ICU admission </w:t>
      </w:r>
    </w:p>
    <w:p w:rsidR="00985695" w:rsidRPr="007C17BC" w:rsidRDefault="00985695" w:rsidP="00FE4499">
      <w:pPr>
        <w:pStyle w:val="ListParagraph"/>
        <w:numPr>
          <w:ilvl w:val="1"/>
          <w:numId w:val="3"/>
        </w:numPr>
        <w:spacing w:after="0" w:line="480" w:lineRule="auto"/>
        <w:rPr>
          <w:rFonts w:ascii="Arial" w:hAnsi="Arial" w:cs="Arial"/>
          <w:sz w:val="24"/>
          <w:szCs w:val="24"/>
          <w:lang w:val="en-US"/>
        </w:rPr>
      </w:pPr>
      <w:r w:rsidRPr="007C17BC">
        <w:rPr>
          <w:rFonts w:ascii="Arial" w:hAnsi="Arial" w:cs="Arial"/>
          <w:sz w:val="24"/>
          <w:szCs w:val="24"/>
          <w:lang w:val="en-US"/>
        </w:rPr>
        <w:t>Body temperature &lt;36°C or &gt;38°C</w:t>
      </w:r>
    </w:p>
    <w:p w:rsidR="00985695" w:rsidRPr="007C17BC" w:rsidRDefault="00985695" w:rsidP="00FE4499">
      <w:pPr>
        <w:pStyle w:val="ListParagraph"/>
        <w:numPr>
          <w:ilvl w:val="1"/>
          <w:numId w:val="3"/>
        </w:numPr>
        <w:spacing w:after="0" w:line="480" w:lineRule="auto"/>
        <w:rPr>
          <w:rFonts w:ascii="Arial" w:hAnsi="Arial" w:cs="Arial"/>
          <w:sz w:val="24"/>
          <w:szCs w:val="24"/>
          <w:lang w:val="en-US"/>
        </w:rPr>
      </w:pPr>
      <w:r w:rsidRPr="007C17BC">
        <w:rPr>
          <w:rFonts w:ascii="Arial" w:hAnsi="Arial" w:cs="Arial"/>
          <w:sz w:val="24"/>
          <w:szCs w:val="24"/>
          <w:lang w:val="en-US"/>
        </w:rPr>
        <w:t>Tachycardia &gt;90/min</w:t>
      </w:r>
    </w:p>
    <w:p w:rsidR="00985695" w:rsidRPr="007C17BC" w:rsidRDefault="00A405E5" w:rsidP="00FE4499">
      <w:pPr>
        <w:pStyle w:val="ListParagraph"/>
        <w:numPr>
          <w:ilvl w:val="1"/>
          <w:numId w:val="3"/>
        </w:numPr>
        <w:spacing w:after="0" w:line="480" w:lineRule="auto"/>
        <w:rPr>
          <w:rFonts w:ascii="Arial" w:hAnsi="Arial" w:cs="Arial"/>
          <w:sz w:val="24"/>
          <w:szCs w:val="24"/>
          <w:lang w:val="en-US"/>
        </w:rPr>
      </w:pPr>
      <w:r w:rsidRPr="007C17BC">
        <w:rPr>
          <w:rFonts w:ascii="Arial" w:hAnsi="Arial" w:cs="Arial"/>
          <w:sz w:val="24"/>
          <w:szCs w:val="24"/>
          <w:lang w:val="en-US"/>
        </w:rPr>
        <w:t>Tachypnea</w:t>
      </w:r>
      <w:r w:rsidR="00985695" w:rsidRPr="007C17BC">
        <w:rPr>
          <w:rFonts w:ascii="Arial" w:hAnsi="Arial" w:cs="Arial"/>
          <w:sz w:val="24"/>
          <w:szCs w:val="24"/>
          <w:lang w:val="en-US"/>
        </w:rPr>
        <w:t xml:space="preserve"> &gt;20/min or PO2 &lt;4. kP</w:t>
      </w:r>
      <w:r w:rsidR="00F0578B" w:rsidRPr="007C17BC">
        <w:rPr>
          <w:rFonts w:ascii="Arial" w:hAnsi="Arial" w:cs="Arial"/>
          <w:sz w:val="24"/>
          <w:szCs w:val="24"/>
          <w:lang w:val="en-US"/>
        </w:rPr>
        <w:t>a</w:t>
      </w:r>
    </w:p>
    <w:p w:rsidR="00985695" w:rsidRPr="007C17BC" w:rsidRDefault="00985695" w:rsidP="00FE4499">
      <w:pPr>
        <w:pStyle w:val="ListParagraph"/>
        <w:numPr>
          <w:ilvl w:val="1"/>
          <w:numId w:val="3"/>
        </w:numPr>
        <w:spacing w:after="0" w:line="480" w:lineRule="auto"/>
        <w:rPr>
          <w:rFonts w:ascii="Arial" w:hAnsi="Arial" w:cs="Arial"/>
          <w:sz w:val="24"/>
          <w:szCs w:val="24"/>
          <w:lang w:val="en-US"/>
        </w:rPr>
      </w:pPr>
      <w:r w:rsidRPr="007C17BC">
        <w:rPr>
          <w:rFonts w:ascii="Arial" w:hAnsi="Arial" w:cs="Arial"/>
          <w:sz w:val="24"/>
          <w:szCs w:val="24"/>
          <w:lang w:val="en-US"/>
        </w:rPr>
        <w:t>Leucocyte count &lt;4 x 109/L or &gt;12 x 109/L</w:t>
      </w:r>
    </w:p>
    <w:p w:rsidR="00985695" w:rsidRPr="007C17BC" w:rsidRDefault="00985695" w:rsidP="00FE4499">
      <w:pPr>
        <w:pStyle w:val="ListParagraph"/>
        <w:numPr>
          <w:ilvl w:val="0"/>
          <w:numId w:val="3"/>
        </w:numPr>
        <w:spacing w:after="0" w:line="480" w:lineRule="auto"/>
        <w:rPr>
          <w:rFonts w:ascii="Arial" w:hAnsi="Arial" w:cs="Arial"/>
          <w:sz w:val="24"/>
          <w:szCs w:val="24"/>
          <w:lang w:val="en-US"/>
        </w:rPr>
      </w:pPr>
      <w:r w:rsidRPr="007C17BC">
        <w:rPr>
          <w:rFonts w:ascii="Arial" w:hAnsi="Arial" w:cs="Arial"/>
          <w:sz w:val="24"/>
          <w:szCs w:val="24"/>
          <w:lang w:val="en-US"/>
        </w:rPr>
        <w:t>Signed informed consent</w:t>
      </w:r>
    </w:p>
    <w:p w:rsidR="00985695" w:rsidRPr="007C17BC" w:rsidRDefault="00985695" w:rsidP="00FE4499">
      <w:pPr>
        <w:spacing w:after="0" w:line="480" w:lineRule="auto"/>
        <w:rPr>
          <w:rFonts w:ascii="Arial" w:hAnsi="Arial" w:cs="Arial"/>
          <w:sz w:val="24"/>
          <w:szCs w:val="24"/>
          <w:u w:val="single"/>
          <w:lang w:val="en-US"/>
        </w:rPr>
      </w:pPr>
      <w:r w:rsidRPr="007C17BC">
        <w:rPr>
          <w:rFonts w:ascii="Arial" w:hAnsi="Arial" w:cs="Arial"/>
          <w:sz w:val="24"/>
          <w:szCs w:val="24"/>
          <w:u w:val="single"/>
          <w:lang w:val="en-US"/>
        </w:rPr>
        <w:t>Exclusion criteria:</w:t>
      </w:r>
    </w:p>
    <w:p w:rsidR="00985695" w:rsidRPr="007C17BC" w:rsidRDefault="00985695" w:rsidP="00FE4499">
      <w:pPr>
        <w:pStyle w:val="ListParagraph"/>
        <w:numPr>
          <w:ilvl w:val="0"/>
          <w:numId w:val="4"/>
        </w:numPr>
        <w:spacing w:after="0" w:line="480" w:lineRule="auto"/>
        <w:rPr>
          <w:rFonts w:ascii="Arial" w:hAnsi="Arial" w:cs="Arial"/>
          <w:sz w:val="24"/>
          <w:szCs w:val="24"/>
          <w:lang w:val="en-US"/>
        </w:rPr>
      </w:pPr>
      <w:r w:rsidRPr="007C17BC">
        <w:rPr>
          <w:rFonts w:ascii="Arial" w:hAnsi="Arial" w:cs="Arial"/>
          <w:sz w:val="24"/>
          <w:szCs w:val="24"/>
          <w:lang w:val="en-US"/>
        </w:rPr>
        <w:t xml:space="preserve">Readmissions or transfer from other ICUs </w:t>
      </w:r>
    </w:p>
    <w:p w:rsidR="00985695" w:rsidRPr="007C17BC" w:rsidRDefault="00985695" w:rsidP="00FE4499">
      <w:pPr>
        <w:pStyle w:val="ListParagraph"/>
        <w:numPr>
          <w:ilvl w:val="0"/>
          <w:numId w:val="4"/>
        </w:numPr>
        <w:spacing w:after="0" w:line="480" w:lineRule="auto"/>
        <w:rPr>
          <w:rFonts w:ascii="Arial" w:hAnsi="Arial" w:cs="Arial"/>
          <w:sz w:val="24"/>
          <w:szCs w:val="24"/>
          <w:lang w:val="en-US"/>
        </w:rPr>
      </w:pPr>
      <w:r w:rsidRPr="007C17BC">
        <w:rPr>
          <w:rFonts w:ascii="Arial" w:hAnsi="Arial" w:cs="Arial"/>
          <w:sz w:val="24"/>
          <w:szCs w:val="24"/>
          <w:lang w:val="en-US"/>
        </w:rPr>
        <w:t>Receiving antibiotics for more than 48 hours prior to admission</w:t>
      </w:r>
    </w:p>
    <w:p w:rsidR="00985695" w:rsidRPr="007C17BC" w:rsidRDefault="00985695" w:rsidP="00FE4499">
      <w:pPr>
        <w:pStyle w:val="ListParagraph"/>
        <w:numPr>
          <w:ilvl w:val="0"/>
          <w:numId w:val="4"/>
        </w:numPr>
        <w:spacing w:after="0" w:line="480" w:lineRule="auto"/>
        <w:rPr>
          <w:rFonts w:ascii="Arial" w:hAnsi="Arial" w:cs="Arial"/>
          <w:sz w:val="24"/>
          <w:szCs w:val="24"/>
          <w:lang w:val="en-US"/>
        </w:rPr>
      </w:pPr>
      <w:r w:rsidRPr="007C17BC">
        <w:rPr>
          <w:rFonts w:ascii="Arial" w:hAnsi="Arial" w:cs="Arial"/>
          <w:sz w:val="24"/>
          <w:szCs w:val="24"/>
          <w:lang w:val="en-US"/>
        </w:rPr>
        <w:t>The absence of an arterial line</w:t>
      </w:r>
    </w:p>
    <w:p w:rsidR="00985695" w:rsidRPr="007C17BC" w:rsidRDefault="00985695" w:rsidP="00FE4499">
      <w:pPr>
        <w:pStyle w:val="ListParagraph"/>
        <w:numPr>
          <w:ilvl w:val="0"/>
          <w:numId w:val="4"/>
        </w:numPr>
        <w:spacing w:after="0" w:line="480" w:lineRule="auto"/>
        <w:rPr>
          <w:rFonts w:ascii="Arial" w:hAnsi="Arial" w:cs="Arial"/>
          <w:sz w:val="24"/>
          <w:szCs w:val="24"/>
          <w:lang w:val="en-US"/>
        </w:rPr>
      </w:pPr>
      <w:r w:rsidRPr="007C17BC">
        <w:rPr>
          <w:rFonts w:ascii="Arial" w:hAnsi="Arial" w:cs="Arial"/>
          <w:sz w:val="24"/>
          <w:szCs w:val="24"/>
          <w:lang w:val="en-US"/>
        </w:rPr>
        <w:t>Inclusion in another study</w:t>
      </w:r>
    </w:p>
    <w:p w:rsidR="00985695" w:rsidRPr="007C17BC" w:rsidRDefault="00985695" w:rsidP="00FE4499">
      <w:pPr>
        <w:spacing w:after="0" w:line="480" w:lineRule="auto"/>
        <w:rPr>
          <w:rFonts w:ascii="Arial" w:hAnsi="Arial" w:cs="Arial"/>
          <w:sz w:val="24"/>
          <w:szCs w:val="24"/>
          <w:lang w:val="en-US"/>
        </w:rPr>
      </w:pPr>
    </w:p>
    <w:p w:rsidR="00FE4499" w:rsidRPr="007C17BC" w:rsidRDefault="00FE4499">
      <w:pPr>
        <w:spacing w:after="160" w:line="259" w:lineRule="auto"/>
        <w:rPr>
          <w:rFonts w:ascii="Arial" w:hAnsi="Arial" w:cs="Arial"/>
          <w:b/>
          <w:sz w:val="24"/>
          <w:szCs w:val="24"/>
          <w:lang w:val="en-US"/>
        </w:rPr>
      </w:pPr>
      <w:r w:rsidRPr="007C17BC">
        <w:rPr>
          <w:rFonts w:ascii="Arial" w:hAnsi="Arial" w:cs="Arial"/>
          <w:b/>
          <w:sz w:val="24"/>
          <w:szCs w:val="24"/>
          <w:lang w:val="en-US"/>
        </w:rPr>
        <w:br w:type="page"/>
      </w:r>
    </w:p>
    <w:p w:rsidR="00985695" w:rsidRPr="007C17BC" w:rsidRDefault="00985695" w:rsidP="00FE4499">
      <w:pPr>
        <w:spacing w:after="0" w:line="480" w:lineRule="auto"/>
        <w:rPr>
          <w:rFonts w:ascii="Arial" w:hAnsi="Arial" w:cs="Arial"/>
          <w:b/>
          <w:sz w:val="24"/>
          <w:szCs w:val="24"/>
          <w:lang w:val="en-US"/>
        </w:rPr>
      </w:pPr>
      <w:r w:rsidRPr="007C17BC">
        <w:rPr>
          <w:rFonts w:ascii="Arial" w:hAnsi="Arial" w:cs="Arial"/>
          <w:b/>
          <w:sz w:val="24"/>
          <w:szCs w:val="24"/>
          <w:lang w:val="en-US"/>
        </w:rPr>
        <w:lastRenderedPageBreak/>
        <w:t>Protocol no. NL42386.018.12</w:t>
      </w:r>
      <w:r w:rsidR="00FE4499" w:rsidRPr="007C17BC">
        <w:rPr>
          <w:rFonts w:ascii="Arial" w:hAnsi="Arial" w:cs="Arial"/>
          <w:b/>
          <w:sz w:val="24"/>
          <w:szCs w:val="24"/>
          <w:lang w:val="en-US"/>
        </w:rPr>
        <w:t>:</w:t>
      </w:r>
      <w:r w:rsidRPr="007C17BC">
        <w:rPr>
          <w:rFonts w:ascii="Arial" w:hAnsi="Arial" w:cs="Arial"/>
          <w:b/>
          <w:sz w:val="24"/>
          <w:szCs w:val="24"/>
          <w:lang w:val="en-US"/>
        </w:rPr>
        <w:t xml:space="preserve"> </w:t>
      </w:r>
    </w:p>
    <w:p w:rsidR="00985695" w:rsidRPr="007C17BC" w:rsidRDefault="00985695" w:rsidP="00FE4499">
      <w:pPr>
        <w:spacing w:after="0" w:line="480" w:lineRule="auto"/>
        <w:rPr>
          <w:rFonts w:ascii="Arial" w:hAnsi="Arial" w:cs="Arial"/>
          <w:sz w:val="24"/>
          <w:szCs w:val="24"/>
          <w:lang w:val="en-US"/>
        </w:rPr>
      </w:pPr>
      <w:r w:rsidRPr="007C17BC">
        <w:rPr>
          <w:rFonts w:ascii="Arial" w:hAnsi="Arial" w:cs="Arial"/>
          <w:sz w:val="24"/>
          <w:szCs w:val="24"/>
          <w:u w:val="single"/>
          <w:lang w:val="en-US"/>
        </w:rPr>
        <w:t>Setting:</w:t>
      </w:r>
      <w:r w:rsidRPr="007C17BC">
        <w:rPr>
          <w:rFonts w:ascii="Arial" w:hAnsi="Arial" w:cs="Arial"/>
          <w:sz w:val="24"/>
          <w:szCs w:val="24"/>
          <w:lang w:val="en-US"/>
        </w:rPr>
        <w:t xml:space="preserve"> Neonatal intensive care unit (NICU) or pediatric intensive care unit (PICU) of the Emma Children’s Hospital, Academic Medical Center of Amsterdam.</w:t>
      </w:r>
    </w:p>
    <w:p w:rsidR="00985695" w:rsidRPr="007C17BC" w:rsidRDefault="00985695" w:rsidP="00FE4499">
      <w:pPr>
        <w:spacing w:after="0" w:line="480" w:lineRule="auto"/>
        <w:rPr>
          <w:rFonts w:ascii="Arial" w:hAnsi="Arial" w:cs="Arial"/>
          <w:sz w:val="24"/>
          <w:szCs w:val="24"/>
          <w:u w:val="single"/>
          <w:lang w:val="en-US"/>
        </w:rPr>
      </w:pPr>
      <w:r w:rsidRPr="007C17BC">
        <w:rPr>
          <w:rFonts w:ascii="Arial" w:hAnsi="Arial" w:cs="Arial"/>
          <w:sz w:val="24"/>
          <w:szCs w:val="24"/>
          <w:u w:val="single"/>
          <w:lang w:val="en-US"/>
        </w:rPr>
        <w:t>Inclusion criteria:</w:t>
      </w:r>
    </w:p>
    <w:p w:rsidR="00985695" w:rsidRPr="007C17BC" w:rsidRDefault="00985695" w:rsidP="00FE4499">
      <w:pPr>
        <w:pStyle w:val="ListParagraph"/>
        <w:numPr>
          <w:ilvl w:val="0"/>
          <w:numId w:val="2"/>
        </w:numPr>
        <w:spacing w:after="0" w:line="480" w:lineRule="auto"/>
        <w:rPr>
          <w:rFonts w:ascii="Arial" w:hAnsi="Arial" w:cs="Arial"/>
          <w:sz w:val="24"/>
          <w:szCs w:val="24"/>
          <w:lang w:val="en-US"/>
        </w:rPr>
      </w:pPr>
      <w:r w:rsidRPr="007C17BC">
        <w:rPr>
          <w:rFonts w:ascii="Arial" w:hAnsi="Arial" w:cs="Arial"/>
          <w:sz w:val="24"/>
          <w:szCs w:val="24"/>
          <w:lang w:val="en-US"/>
        </w:rPr>
        <w:t>Intubated and mechanically ventilated, with an anticipated duration of mechanical ventilation of at least 24 hours at enrolment</w:t>
      </w:r>
    </w:p>
    <w:p w:rsidR="00985695" w:rsidRPr="007C17BC" w:rsidRDefault="00985695" w:rsidP="00FE4499">
      <w:pPr>
        <w:pStyle w:val="ListParagraph"/>
        <w:numPr>
          <w:ilvl w:val="0"/>
          <w:numId w:val="2"/>
        </w:numPr>
        <w:spacing w:after="0" w:line="480" w:lineRule="auto"/>
        <w:rPr>
          <w:rFonts w:ascii="Arial" w:hAnsi="Arial" w:cs="Arial"/>
          <w:sz w:val="24"/>
          <w:szCs w:val="24"/>
          <w:lang w:val="en-US"/>
        </w:rPr>
      </w:pPr>
      <w:r w:rsidRPr="007C17BC">
        <w:rPr>
          <w:rFonts w:ascii="Arial" w:hAnsi="Arial" w:cs="Arial"/>
          <w:sz w:val="24"/>
          <w:szCs w:val="24"/>
          <w:lang w:val="en-US"/>
        </w:rPr>
        <w:t>Two or more of the following criteria at the time of enrolment.</w:t>
      </w:r>
    </w:p>
    <w:p w:rsidR="00985695" w:rsidRPr="007C17BC" w:rsidRDefault="00985695" w:rsidP="00FE4499">
      <w:pPr>
        <w:pStyle w:val="ListParagraph"/>
        <w:numPr>
          <w:ilvl w:val="1"/>
          <w:numId w:val="2"/>
        </w:numPr>
        <w:spacing w:after="0" w:line="480" w:lineRule="auto"/>
        <w:rPr>
          <w:rFonts w:ascii="Arial" w:hAnsi="Arial" w:cs="Arial"/>
          <w:sz w:val="24"/>
          <w:szCs w:val="24"/>
          <w:lang w:val="en-US"/>
        </w:rPr>
      </w:pPr>
      <w:r w:rsidRPr="007C17BC">
        <w:rPr>
          <w:rFonts w:ascii="Arial" w:hAnsi="Arial" w:cs="Arial"/>
          <w:sz w:val="24"/>
          <w:szCs w:val="24"/>
          <w:lang w:val="en-US"/>
        </w:rPr>
        <w:t>Hypothermia (&lt; 36 °C), fever (&gt; 38.0 °C), or body temperature instability.</w:t>
      </w:r>
    </w:p>
    <w:p w:rsidR="00985695" w:rsidRPr="007C17BC" w:rsidRDefault="00985695" w:rsidP="00FE4499">
      <w:pPr>
        <w:pStyle w:val="ListParagraph"/>
        <w:numPr>
          <w:ilvl w:val="1"/>
          <w:numId w:val="2"/>
        </w:numPr>
        <w:spacing w:after="0" w:line="480" w:lineRule="auto"/>
        <w:rPr>
          <w:rFonts w:ascii="Arial" w:hAnsi="Arial" w:cs="Arial"/>
          <w:sz w:val="24"/>
          <w:szCs w:val="24"/>
          <w:lang w:val="en-US"/>
        </w:rPr>
      </w:pPr>
      <w:r w:rsidRPr="007C17BC">
        <w:rPr>
          <w:rFonts w:ascii="Arial" w:hAnsi="Arial" w:cs="Arial"/>
          <w:sz w:val="24"/>
          <w:szCs w:val="24"/>
          <w:lang w:val="en-US"/>
        </w:rPr>
        <w:t>Bradycardia or tachycardia, according to age, or a prolonged capillary refill time.</w:t>
      </w:r>
    </w:p>
    <w:p w:rsidR="00985695" w:rsidRPr="007C17BC" w:rsidRDefault="006834E7" w:rsidP="00FE4499">
      <w:pPr>
        <w:pStyle w:val="ListParagraph"/>
        <w:numPr>
          <w:ilvl w:val="1"/>
          <w:numId w:val="2"/>
        </w:numPr>
        <w:spacing w:after="0" w:line="480" w:lineRule="auto"/>
        <w:rPr>
          <w:rFonts w:ascii="Arial" w:hAnsi="Arial" w:cs="Arial"/>
          <w:sz w:val="24"/>
          <w:szCs w:val="24"/>
          <w:lang w:val="en-US"/>
        </w:rPr>
      </w:pPr>
      <w:r w:rsidRPr="007C17BC">
        <w:rPr>
          <w:rFonts w:ascii="Arial" w:hAnsi="Arial" w:cs="Arial"/>
          <w:sz w:val="24"/>
          <w:szCs w:val="24"/>
          <w:lang w:val="en-US"/>
        </w:rPr>
        <w:t>Tachypnea</w:t>
      </w:r>
      <w:r w:rsidR="00985695" w:rsidRPr="007C17BC">
        <w:rPr>
          <w:rFonts w:ascii="Arial" w:hAnsi="Arial" w:cs="Arial"/>
          <w:sz w:val="24"/>
          <w:szCs w:val="24"/>
          <w:lang w:val="en-US"/>
        </w:rPr>
        <w:t xml:space="preserve"> or </w:t>
      </w:r>
      <w:r w:rsidRPr="007C17BC">
        <w:rPr>
          <w:rFonts w:ascii="Arial" w:hAnsi="Arial" w:cs="Arial"/>
          <w:sz w:val="24"/>
          <w:szCs w:val="24"/>
          <w:lang w:val="en-US"/>
        </w:rPr>
        <w:t>apnea’s</w:t>
      </w:r>
      <w:r w:rsidR="00985695" w:rsidRPr="007C17BC">
        <w:rPr>
          <w:rFonts w:ascii="Arial" w:hAnsi="Arial" w:cs="Arial"/>
          <w:sz w:val="24"/>
          <w:szCs w:val="24"/>
          <w:lang w:val="en-US"/>
        </w:rPr>
        <w:t>, according to age, or cyanosis.</w:t>
      </w:r>
    </w:p>
    <w:p w:rsidR="00985695" w:rsidRPr="007C17BC" w:rsidRDefault="00985695" w:rsidP="00FE4499">
      <w:pPr>
        <w:pStyle w:val="ListParagraph"/>
        <w:numPr>
          <w:ilvl w:val="1"/>
          <w:numId w:val="2"/>
        </w:numPr>
        <w:spacing w:after="0" w:line="480" w:lineRule="auto"/>
        <w:rPr>
          <w:rFonts w:ascii="Arial" w:hAnsi="Arial" w:cs="Arial"/>
          <w:sz w:val="24"/>
          <w:szCs w:val="24"/>
          <w:lang w:val="en-US"/>
        </w:rPr>
      </w:pPr>
      <w:r w:rsidRPr="007C17BC">
        <w:rPr>
          <w:rFonts w:ascii="Arial" w:hAnsi="Arial" w:cs="Arial"/>
          <w:sz w:val="24"/>
          <w:szCs w:val="24"/>
          <w:lang w:val="en-US"/>
        </w:rPr>
        <w:t>Leu</w:t>
      </w:r>
      <w:r w:rsidR="00A405E5" w:rsidRPr="007C17BC">
        <w:rPr>
          <w:rFonts w:ascii="Arial" w:hAnsi="Arial" w:cs="Arial"/>
          <w:sz w:val="24"/>
          <w:szCs w:val="24"/>
          <w:lang w:val="en-US"/>
        </w:rPr>
        <w:t>c</w:t>
      </w:r>
      <w:r w:rsidRPr="007C17BC">
        <w:rPr>
          <w:rFonts w:ascii="Arial" w:hAnsi="Arial" w:cs="Arial"/>
          <w:sz w:val="24"/>
          <w:szCs w:val="24"/>
          <w:lang w:val="en-US"/>
        </w:rPr>
        <w:t>openia or leucocytosis, according to age, or more than 10 % banded neutrophils.</w:t>
      </w:r>
    </w:p>
    <w:p w:rsidR="00985695" w:rsidRPr="007C17BC" w:rsidRDefault="00985695" w:rsidP="00FE4499">
      <w:pPr>
        <w:pStyle w:val="ListParagraph"/>
        <w:numPr>
          <w:ilvl w:val="0"/>
          <w:numId w:val="2"/>
        </w:numPr>
        <w:spacing w:after="0" w:line="480" w:lineRule="auto"/>
        <w:rPr>
          <w:rFonts w:ascii="Arial" w:hAnsi="Arial" w:cs="Arial"/>
          <w:sz w:val="24"/>
          <w:szCs w:val="24"/>
          <w:lang w:val="en-US"/>
        </w:rPr>
      </w:pPr>
      <w:r w:rsidRPr="007C17BC">
        <w:rPr>
          <w:rFonts w:ascii="Arial" w:hAnsi="Arial" w:cs="Arial"/>
          <w:sz w:val="24"/>
          <w:szCs w:val="24"/>
          <w:lang w:val="en-US"/>
        </w:rPr>
        <w:t>Signed informed consent</w:t>
      </w:r>
    </w:p>
    <w:p w:rsidR="00985695" w:rsidRPr="007C17BC" w:rsidRDefault="00985695" w:rsidP="00FE4499">
      <w:pPr>
        <w:spacing w:after="0" w:line="480" w:lineRule="auto"/>
        <w:rPr>
          <w:rFonts w:ascii="Arial" w:hAnsi="Arial" w:cs="Arial"/>
          <w:sz w:val="24"/>
          <w:szCs w:val="24"/>
          <w:u w:val="single"/>
          <w:lang w:val="en-US"/>
        </w:rPr>
      </w:pPr>
      <w:r w:rsidRPr="007C17BC">
        <w:rPr>
          <w:rFonts w:ascii="Arial" w:hAnsi="Arial" w:cs="Arial"/>
          <w:sz w:val="24"/>
          <w:szCs w:val="24"/>
          <w:u w:val="single"/>
          <w:lang w:val="en-US"/>
        </w:rPr>
        <w:t>Exclusion criteria:</w:t>
      </w:r>
    </w:p>
    <w:p w:rsidR="00985695" w:rsidRPr="007C17BC" w:rsidRDefault="00985695" w:rsidP="00FE4499">
      <w:pPr>
        <w:pStyle w:val="ListParagraph"/>
        <w:numPr>
          <w:ilvl w:val="0"/>
          <w:numId w:val="1"/>
        </w:numPr>
        <w:spacing w:after="0" w:line="480" w:lineRule="auto"/>
        <w:rPr>
          <w:rFonts w:ascii="Arial" w:hAnsi="Arial" w:cs="Arial"/>
          <w:sz w:val="24"/>
          <w:szCs w:val="24"/>
          <w:lang w:val="en-US"/>
        </w:rPr>
      </w:pPr>
      <w:r w:rsidRPr="007C17BC">
        <w:rPr>
          <w:rFonts w:ascii="Arial" w:hAnsi="Arial" w:cs="Arial"/>
          <w:sz w:val="24"/>
          <w:szCs w:val="24"/>
          <w:lang w:val="en-US"/>
        </w:rPr>
        <w:t>Neonates with a postmenstrual age less than 32 weeks</w:t>
      </w:r>
      <w:r w:rsidR="001A7D23" w:rsidRPr="007C17BC">
        <w:rPr>
          <w:rFonts w:ascii="Arial" w:hAnsi="Arial" w:cs="Arial"/>
          <w:sz w:val="24"/>
          <w:szCs w:val="24"/>
          <w:lang w:val="en-US"/>
        </w:rPr>
        <w:t xml:space="preserve"> and a postnatal age less than 7 days.</w:t>
      </w:r>
    </w:p>
    <w:p w:rsidR="00FE4499" w:rsidRPr="007C17BC" w:rsidRDefault="00985695" w:rsidP="00FE4499">
      <w:pPr>
        <w:pStyle w:val="ListParagraph"/>
        <w:numPr>
          <w:ilvl w:val="0"/>
          <w:numId w:val="1"/>
        </w:numPr>
        <w:spacing w:after="0" w:line="480" w:lineRule="auto"/>
        <w:rPr>
          <w:rFonts w:ascii="Arial" w:hAnsi="Arial" w:cs="Arial"/>
          <w:sz w:val="24"/>
          <w:szCs w:val="24"/>
          <w:lang w:val="en-US"/>
        </w:rPr>
      </w:pPr>
      <w:r w:rsidRPr="007C17BC">
        <w:rPr>
          <w:rFonts w:ascii="Arial" w:hAnsi="Arial" w:cs="Arial"/>
          <w:sz w:val="24"/>
          <w:szCs w:val="24"/>
          <w:lang w:val="en-US"/>
        </w:rPr>
        <w:t xml:space="preserve">Immune compromised; chronic respiratory failure, neuromuscular diseases, cyanotic congenital heart disease or signs of cardiogenic pulmonary edema, severe congenital pulmonary abnormalities. </w:t>
      </w:r>
    </w:p>
    <w:p w:rsidR="00B11506" w:rsidRPr="007C17BC" w:rsidRDefault="00985695" w:rsidP="00FE4499">
      <w:pPr>
        <w:pStyle w:val="ListParagraph"/>
        <w:numPr>
          <w:ilvl w:val="0"/>
          <w:numId w:val="1"/>
        </w:numPr>
        <w:spacing w:after="0" w:line="480" w:lineRule="auto"/>
        <w:rPr>
          <w:rFonts w:ascii="Arial" w:hAnsi="Arial" w:cs="Arial"/>
          <w:sz w:val="24"/>
          <w:szCs w:val="24"/>
          <w:lang w:val="en-US"/>
        </w:rPr>
      </w:pPr>
      <w:r w:rsidRPr="007C17BC">
        <w:rPr>
          <w:rFonts w:ascii="Arial" w:hAnsi="Arial" w:cs="Arial"/>
          <w:sz w:val="24"/>
          <w:szCs w:val="24"/>
          <w:lang w:val="en-US"/>
        </w:rPr>
        <w:t>Receiving antibiotics for more than 48 hours prior to admission</w:t>
      </w:r>
      <w:r w:rsidRPr="007C17BC">
        <w:rPr>
          <w:rFonts w:ascii="Arial" w:hAnsi="Arial" w:cs="Arial"/>
          <w:sz w:val="24"/>
          <w:szCs w:val="24"/>
          <w:lang w:val="en-US"/>
        </w:rPr>
        <w:br w:type="page"/>
      </w:r>
    </w:p>
    <w:p w:rsidR="00856359" w:rsidRPr="007C17BC" w:rsidRDefault="00FE4499" w:rsidP="00856359">
      <w:pPr>
        <w:spacing w:after="0" w:line="480" w:lineRule="auto"/>
        <w:jc w:val="both"/>
        <w:rPr>
          <w:rFonts w:ascii="Arial" w:hAnsi="Arial" w:cs="Arial"/>
          <w:b/>
          <w:sz w:val="24"/>
          <w:szCs w:val="24"/>
          <w:lang w:val="en-US"/>
        </w:rPr>
      </w:pPr>
      <w:r w:rsidRPr="007C17BC">
        <w:rPr>
          <w:rFonts w:ascii="Arial" w:hAnsi="Arial" w:cs="Arial"/>
          <w:b/>
          <w:sz w:val="24"/>
          <w:szCs w:val="24"/>
          <w:lang w:val="en-US"/>
        </w:rPr>
        <w:lastRenderedPageBreak/>
        <w:t>Collected data and d</w:t>
      </w:r>
      <w:r w:rsidR="00856359" w:rsidRPr="007C17BC">
        <w:rPr>
          <w:rFonts w:ascii="Arial" w:hAnsi="Arial" w:cs="Arial"/>
          <w:b/>
          <w:sz w:val="24"/>
          <w:szCs w:val="24"/>
          <w:lang w:val="en-US"/>
        </w:rPr>
        <w:t>efinitions</w:t>
      </w:r>
    </w:p>
    <w:p w:rsidR="00856359" w:rsidRPr="007C17BC" w:rsidRDefault="00856359" w:rsidP="00856359">
      <w:pPr>
        <w:spacing w:after="0" w:line="480" w:lineRule="auto"/>
        <w:jc w:val="both"/>
        <w:rPr>
          <w:rFonts w:ascii="Arial" w:hAnsi="Arial" w:cs="Arial"/>
          <w:sz w:val="24"/>
          <w:szCs w:val="24"/>
          <w:lang w:val="en-US"/>
        </w:rPr>
      </w:pPr>
      <w:r w:rsidRPr="007C17BC">
        <w:rPr>
          <w:rFonts w:ascii="Arial" w:hAnsi="Arial" w:cs="Arial"/>
          <w:sz w:val="24"/>
          <w:szCs w:val="24"/>
          <w:lang w:val="en-US"/>
        </w:rPr>
        <w:t xml:space="preserve">Age-appropriate severity scores were collected. Neonatal Acute Physiology Score for neonates </w:t>
      </w:r>
      <w:r w:rsidR="00C906B3" w:rsidRPr="007C17BC">
        <w:rPr>
          <w:rFonts w:ascii="Arial" w:hAnsi="Arial" w:cs="Arial"/>
          <w:sz w:val="24"/>
          <w:szCs w:val="24"/>
          <w:lang w:val="en-US"/>
        </w:rPr>
        <w:fldChar w:fldCharType="begin" w:fldLock="1"/>
      </w:r>
      <w:r w:rsidR="00D81EE0" w:rsidRPr="007C17BC">
        <w:rPr>
          <w:rFonts w:ascii="Arial" w:hAnsi="Arial" w:cs="Arial"/>
          <w:sz w:val="24"/>
          <w:szCs w:val="24"/>
          <w:lang w:val="en-US"/>
        </w:rPr>
        <w:instrText>ADDIN CSL_CITATION {"citationItems":[{"id":"ITEM-1","itemData":{"ISSN":"0022-3476","PMID":"11148519","abstract":"OBJECTIVES Illness severity scores for newborns are complex and restricted by birth weight and have dated validations and calibrations. We developed and validated simplified neonatal illness severity and mortality risk scores. The primary outcome was in-hospital mortality. STUDY DESIGN Thirty neonatal intensive care units in Canada, California, and New England collected data on all admissions during the mid 1990s; patients moribund at birth or discharged to normal newborn care in &lt;24 hours were excluded. Starting with the 34 data elements of the Score for Neonatal Acute Physiology (SNAP), we derived the most parsimonious logistic model for in-hospital mortality using 10,819 randomly selected Canadian cases. SNAP-II includes 6 physiologic items; to this are added points for birth weight, low Apgar score, and small for gestational age to create a 9-item SNAP-Perinatal Extension-II (SNAPPE-II). We validated SNAPPE-II on the remaining 14,610 cases and optimized the calibration. RESULTS In all birth weights, SNAPPE-II had excellent discrimination and goodness of fit. Area under the receiver operator characteristic curve was .91 +/- 0.01. Goodness of fit (Hosmer-Lemeshow) was 0.90. CONCLUSIONS SNAP-II and SNAPPE-II are empirically validated illness severity and mortality risk scores for newborn intensive care. They are simple, accurate, and robust across populations.","author":[{"dropping-particle":"","family":"Richardson","given":"D K","non-dropping-particle":"","parse-names":false,"suffix":""},{"dropping-particle":"","family":"Corcoran","given":"J D","non-dropping-particle":"","parse-names":false,"suffix":""},{"dropping-particle":"","family":"Escobar","given":"G J","non-dropping-particle":"","parse-names":false,"suffix":""},{"dropping-particle":"","family":"Lee","given":"S K","non-dropping-particle":"","parse-names":false,"suffix":""}],"container-title":"The Journal of pediatrics","id":"ITEM-1","issue":"1","issued":{"date-parts":[["2001","1"]]},"page":"92-100","title":"SNAP-II and SNAPPE-II: Simplified newborn illness severity and mortality risk scores.","type":"article-journal","volume":"138"},"uris":["http://www.mendeley.com/documents/?uuid=dc9118ce-29a5-4e54-97cd-f8b4e7e3ab11"]}],"mendeley":{"formattedCitation":"(19)","manualFormatting":"(1)","plainTextFormattedCitation":"(19)","previouslyFormattedCitation":"(19)"},"properties":{"noteIndex":0},"schema":"https://github.com/citation-style-language/schema/raw/master/csl-citation.json"}</w:instrText>
      </w:r>
      <w:r w:rsidR="00C906B3" w:rsidRPr="007C17BC">
        <w:rPr>
          <w:rFonts w:ascii="Arial" w:hAnsi="Arial" w:cs="Arial"/>
          <w:sz w:val="24"/>
          <w:szCs w:val="24"/>
          <w:lang w:val="en-US"/>
        </w:rPr>
        <w:fldChar w:fldCharType="separate"/>
      </w:r>
      <w:r w:rsidR="00E4673B" w:rsidRPr="007C17BC">
        <w:rPr>
          <w:rFonts w:ascii="Arial" w:hAnsi="Arial" w:cs="Arial"/>
          <w:noProof/>
          <w:sz w:val="24"/>
          <w:szCs w:val="24"/>
          <w:lang w:val="en-US"/>
        </w:rPr>
        <w:t>[</w:t>
      </w:r>
      <w:r w:rsidRPr="007C17BC">
        <w:rPr>
          <w:rFonts w:ascii="Arial" w:hAnsi="Arial" w:cs="Arial"/>
          <w:noProof/>
          <w:sz w:val="24"/>
          <w:szCs w:val="24"/>
          <w:lang w:val="en-US"/>
        </w:rPr>
        <w:t>1</w:t>
      </w:r>
      <w:r w:rsidR="00C906B3" w:rsidRPr="007C17BC">
        <w:rPr>
          <w:rFonts w:ascii="Arial" w:hAnsi="Arial" w:cs="Arial"/>
          <w:sz w:val="24"/>
          <w:szCs w:val="24"/>
          <w:lang w:val="en-US"/>
        </w:rPr>
        <w:fldChar w:fldCharType="end"/>
      </w:r>
      <w:r w:rsidR="00E4673B" w:rsidRPr="007C17BC">
        <w:rPr>
          <w:rFonts w:ascii="Arial" w:hAnsi="Arial" w:cs="Arial"/>
          <w:sz w:val="24"/>
          <w:szCs w:val="24"/>
          <w:lang w:val="en-US"/>
        </w:rPr>
        <w:t>]</w:t>
      </w:r>
      <w:r w:rsidRPr="007C17BC">
        <w:rPr>
          <w:rFonts w:ascii="Arial" w:hAnsi="Arial" w:cs="Arial"/>
          <w:sz w:val="24"/>
          <w:szCs w:val="24"/>
          <w:lang w:val="en-US"/>
        </w:rPr>
        <w:t xml:space="preserve">, Pediatric Index of Mortality 2 for children </w:t>
      </w:r>
      <w:r w:rsidR="00C906B3" w:rsidRPr="007C17BC">
        <w:rPr>
          <w:rFonts w:ascii="Arial" w:hAnsi="Arial" w:cs="Arial"/>
          <w:sz w:val="24"/>
          <w:szCs w:val="24"/>
          <w:lang w:val="en-US"/>
        </w:rPr>
        <w:fldChar w:fldCharType="begin" w:fldLock="1"/>
      </w:r>
      <w:r w:rsidR="00D81EE0" w:rsidRPr="007C17BC">
        <w:rPr>
          <w:rFonts w:ascii="Arial" w:hAnsi="Arial" w:cs="Arial"/>
          <w:sz w:val="24"/>
          <w:szCs w:val="24"/>
          <w:lang w:val="en-US"/>
        </w:rPr>
        <w:instrText>ADDIN CSL_CITATION {"citationItems":[{"id":"ITEM-1","itemData":{"DOI":"10.1007/s00134-002-1601-2","ISSN":"0342-4642","PMID":"12541154","abstract":"OBJECTIVE To revise the Paediatric Index of Mortality (PIM) to adjust for improvement in the outcome of paediatric intensive care. DESIGN International, multi-centre, prospective, observational study. SETTING Twelve specialist paediatric intensive care units and two combined adult and paediatric units in Australia, New Zealand and the United Kingdom. PATIENTS All children admitted during the study period. In the analysis, 20787 patient admissions of children less than 16 years were included after 220 patients transferred to other ICUs and one patient still in ICU had been excluded. INTERVENTIONS None. MEASUREMENTS AND RESULTS A revised model was developed by forward and backward logistic regression. Variable selection was based on the effect of including or dropping variables on discrimination and fit. The addition of three variables, all derived from the main reason for ICU admission, improved the fit across diagnostic groups. Data from seven units were used to derive a learning model that was tested using data from seven other units. The model fitted the test data well (deciles of risk goodness-of-fit chi(2 )8.14, p=0.42) and discriminated between death and survival well [area under the receiver operating characteristic (ROC) plot 0.90 (0.89-0.92)]. The final PIM2 model, derived from the entire sample of 19638 survivors and 1104 children who died, also fitted and discriminated well [chi(2 )11.56, p=0.17; area 0.90 (0.89-0.91)]. CONCLUSIONS PIM2 has been re-calibrated to reflect the improvement that has occurred in intensive care outcome. PIM2 estimates mortality risk from data readily available at the time of ICU admission and is therefore suitable for continuous monitoring of the quality of paediatric intensive care.","author":[{"dropping-particle":"","family":"Slater","given":"Anthony","non-dropping-particle":"","parse-names":false,"suffix":""},{"dropping-particle":"","family":"Shann","given":"Frank","non-dropping-particle":"","parse-names":false,"suffix":""},{"dropping-particle":"","family":"Pearson","given":"Gale","non-dropping-particle":"","parse-names":false,"suffix":""},{"dropping-particle":"","family":"Paediatric Index of Mortality (PIM) Study Group","given":"","non-dropping-particle":"","parse-names":false,"suffix":""}],"container-title":"Intensive care medicine","id":"ITEM-1","issue":"2","issued":{"date-parts":[["2003","2"]]},"page":"278-85","title":"PIM2: a revised version of the Paediatric Index of Mortality.","type":"article-journal","volume":"29"},"uris":["http://www.mendeley.com/documents/?uuid=ac94ddd7-b17e-43e0-b32b-1ccf03d1c228"]}],"mendeley":{"formattedCitation":"(20)","manualFormatting":"(2)","plainTextFormattedCitation":"(20)","previouslyFormattedCitation":"(20)"},"properties":{"noteIndex":0},"schema":"https://github.com/citation-style-language/schema/raw/master/csl-citation.json"}</w:instrText>
      </w:r>
      <w:r w:rsidR="00C906B3" w:rsidRPr="007C17BC">
        <w:rPr>
          <w:rFonts w:ascii="Arial" w:hAnsi="Arial" w:cs="Arial"/>
          <w:sz w:val="24"/>
          <w:szCs w:val="24"/>
          <w:lang w:val="en-US"/>
        </w:rPr>
        <w:fldChar w:fldCharType="separate"/>
      </w:r>
      <w:r w:rsidR="00E4673B" w:rsidRPr="007C17BC">
        <w:rPr>
          <w:rFonts w:ascii="Arial" w:hAnsi="Arial" w:cs="Arial"/>
          <w:noProof/>
          <w:sz w:val="24"/>
          <w:szCs w:val="24"/>
          <w:lang w:val="en-US"/>
        </w:rPr>
        <w:t>[</w:t>
      </w:r>
      <w:r w:rsidRPr="007C17BC">
        <w:rPr>
          <w:rFonts w:ascii="Arial" w:hAnsi="Arial" w:cs="Arial"/>
          <w:noProof/>
          <w:sz w:val="24"/>
          <w:szCs w:val="24"/>
          <w:lang w:val="en-US"/>
        </w:rPr>
        <w:t>2</w:t>
      </w:r>
      <w:r w:rsidR="00C906B3" w:rsidRPr="007C17BC">
        <w:rPr>
          <w:rFonts w:ascii="Arial" w:hAnsi="Arial" w:cs="Arial"/>
          <w:sz w:val="24"/>
          <w:szCs w:val="24"/>
          <w:lang w:val="en-US"/>
        </w:rPr>
        <w:fldChar w:fldCharType="end"/>
      </w:r>
      <w:r w:rsidR="00E4673B" w:rsidRPr="007C17BC">
        <w:rPr>
          <w:rFonts w:ascii="Arial" w:hAnsi="Arial" w:cs="Arial"/>
          <w:sz w:val="24"/>
          <w:szCs w:val="24"/>
          <w:lang w:val="en-US"/>
        </w:rPr>
        <w:t>]</w:t>
      </w:r>
      <w:r w:rsidRPr="007C17BC">
        <w:rPr>
          <w:rFonts w:ascii="Arial" w:hAnsi="Arial" w:cs="Arial"/>
          <w:sz w:val="24"/>
          <w:szCs w:val="24"/>
          <w:lang w:val="en-US"/>
        </w:rPr>
        <w:t xml:space="preserve">, and Acute Physiology and Chronic Health Evaluation IV score for adults and </w:t>
      </w:r>
      <w:r w:rsidR="00136FA9" w:rsidRPr="007C17BC">
        <w:rPr>
          <w:rFonts w:ascii="Arial" w:hAnsi="Arial" w:cs="Arial"/>
          <w:sz w:val="24"/>
          <w:szCs w:val="24"/>
          <w:lang w:val="en-US"/>
        </w:rPr>
        <w:t>older adults</w:t>
      </w:r>
      <w:r w:rsidRPr="007C17BC">
        <w:rPr>
          <w:rFonts w:ascii="Arial" w:hAnsi="Arial" w:cs="Arial"/>
          <w:sz w:val="24"/>
          <w:szCs w:val="24"/>
          <w:lang w:val="en-US"/>
        </w:rPr>
        <w:t xml:space="preserve"> </w:t>
      </w:r>
      <w:r w:rsidR="00C906B3" w:rsidRPr="007C17BC">
        <w:rPr>
          <w:rFonts w:ascii="Arial" w:hAnsi="Arial" w:cs="Arial"/>
          <w:sz w:val="24"/>
          <w:szCs w:val="24"/>
          <w:lang w:val="en-US"/>
        </w:rPr>
        <w:fldChar w:fldCharType="begin" w:fldLock="1"/>
      </w:r>
      <w:r w:rsidRPr="007C17BC">
        <w:rPr>
          <w:rFonts w:ascii="Arial" w:hAnsi="Arial" w:cs="Arial"/>
          <w:sz w:val="24"/>
          <w:szCs w:val="24"/>
          <w:lang w:val="en-US"/>
        </w:rPr>
        <w:instrText>ADDIN CSL_CITATION { "citationItems" : [ { "id" : "ITEM-1", "itemData" : { "DOI" : "10.1097/01.CCM.0000215112.84523.F0", "ISSN" : "0090-3493", "PMID" : "16540951", "abstract" : "OBJECTIVE To improve the accuracy of the Acute Physiology and Chronic Health Evaluation (APACHE) method for predicting hospital mortality among critically ill adults and to evaluate changes in the accuracy of earlier APACHE models. DESIGN : Observational cohort study. SETTING A total of 104 intensive care units (ICUs) in 45 U.S. hospitals. PATIENTS A total of 131,618 consecutive ICU admissions during 2002 and 2003, of which 110,558 met inclusion criteria and had complete data. INTERVENTIONS None. MEASUREMENTS AND MAIN RESULTS We developed APACHE IV using ICU day 1 information and a multivariate logistic regression procedure to estimate the probability of hospital death for randomly selected patients who comprised 60% of the database. Predictor variables were similar to those in APACHE III, but new variables were added and different statistical modeling used. We assessed the accuracy of APACHE IV predictions by comparing observed and predicted hospital mortality for the excluded patients (validation set). We tested discrimination and used multiple tests of calibration in aggregate and for patient subgroups. APACHE IV had good discrimination (area under the receiver operating characteristic curve = 0.88) and calibration (Hosmer-Lemeshow C statistic = 16.9, p = .08). For 90% of 116 ICU admission diagnoses, the ratio of observed to predicted mortality was not significantly different from 1.0. We also used the validation data set to compare the accuracy of APACHE IV predictions to those using APACHE III versions developed 7 and 14 yrs previously. There was little change in discrimination, but aggregate mortality was systematically overestimated as model age increased. When examined across disease, predictive accuracy was maintained for some diagnoses but for others seemed to reflect changes in practice or therapy. CONCLUSIONS APACHE IV predictions of hospital mortality have good discrimination and calibration and should be useful for benchmarking performance in U.S. ICUs. The accuracy of predictive models is dynamic and should be periodically retested. When accuracy deteriorates they should be revised and updated.", "author" : [ { "dropping-particle" : "", "family" : "Zimmerman", "given" : "Jack E", "non-dropping-particle" : "", "parse-names" : false, "suffix" : "" }, { "dropping-particle" : "", "family" : "Kramer", "given" : "Andrew A", "non-dropping-particle" : "", "parse-names" : false, "suffix" : "" }, { "dropping-particle" : "", "family" : "McNair", "given" : "Douglas S", "non-dropping-particle" : "", "parse-names" : false, "suffix" : "" }, { "dropping-particle" : "", "family" : "Malila", "given" : "Fern M", "non-dropping-particle" : "", "parse-names" : false, "suffix" : "" } ], "container-title" : "Critical care medicine", "id" : "ITEM-1", "issue" : "5", "issued" : { "date-parts" : [ [ "2006", "5" ] ] }, "page" : "1297-310", "title" : "Acute Physiology and Chronic Health Evaluation (APACHE) IV: hospital mortality assessment for today's critically ill patients.", "type" : "article-journal", "volume" : "34" }, "uris" : [ "http://www.mendeley.com/documents/?uuid=7bd0785f-ea41-4392-9292-4c0e707dc6cb" ] } ], "mendeley" : { "formattedCitation" : "(21)", "plainTextFormattedCitation" : "(21)", "previouslyFormattedCitation" : "(21)" }, "properties" : {  }, "schema" : "https://github.com/citation-style-language/schema/raw/master/csl-citation.json" }</w:instrText>
      </w:r>
      <w:r w:rsidR="00C906B3" w:rsidRPr="007C17BC">
        <w:rPr>
          <w:rFonts w:ascii="Arial" w:hAnsi="Arial" w:cs="Arial"/>
          <w:sz w:val="24"/>
          <w:szCs w:val="24"/>
          <w:lang w:val="en-US"/>
        </w:rPr>
        <w:fldChar w:fldCharType="separate"/>
      </w:r>
      <w:r w:rsidR="00E4673B" w:rsidRPr="007C17BC">
        <w:rPr>
          <w:rFonts w:ascii="Arial" w:hAnsi="Arial" w:cs="Arial"/>
          <w:noProof/>
          <w:sz w:val="24"/>
          <w:szCs w:val="24"/>
          <w:lang w:val="en-US"/>
        </w:rPr>
        <w:t>[</w:t>
      </w:r>
      <w:r w:rsidR="00D81EE0" w:rsidRPr="007C17BC">
        <w:rPr>
          <w:rFonts w:ascii="Arial" w:hAnsi="Arial" w:cs="Arial"/>
          <w:noProof/>
          <w:sz w:val="24"/>
          <w:szCs w:val="24"/>
          <w:lang w:val="en-US"/>
        </w:rPr>
        <w:t>3</w:t>
      </w:r>
      <w:r w:rsidR="00C906B3" w:rsidRPr="007C17BC">
        <w:rPr>
          <w:rFonts w:ascii="Arial" w:hAnsi="Arial" w:cs="Arial"/>
          <w:sz w:val="24"/>
          <w:szCs w:val="24"/>
          <w:lang w:val="en-US"/>
        </w:rPr>
        <w:fldChar w:fldCharType="end"/>
      </w:r>
      <w:r w:rsidR="00E4673B" w:rsidRPr="007C17BC">
        <w:rPr>
          <w:rFonts w:ascii="Arial" w:hAnsi="Arial" w:cs="Arial"/>
          <w:sz w:val="24"/>
          <w:szCs w:val="24"/>
          <w:lang w:val="en-US"/>
        </w:rPr>
        <w:t>]</w:t>
      </w:r>
      <w:r w:rsidRPr="007C17BC">
        <w:rPr>
          <w:rFonts w:ascii="Arial" w:hAnsi="Arial" w:cs="Arial"/>
          <w:sz w:val="24"/>
          <w:szCs w:val="24"/>
          <w:lang w:val="en-US"/>
        </w:rPr>
        <w:t xml:space="preserve">. Predisposing factors for ARDS were dichotomized to either ‘direct’ (pneumonia, aspiration, meconium aspiration) or ‘indirect’ (sepsis, trauma, pancreatitis, asphyxia, necrotic enterocolitis) </w:t>
      </w:r>
      <w:r w:rsidR="00C906B3" w:rsidRPr="007C17BC">
        <w:rPr>
          <w:rFonts w:ascii="Arial" w:hAnsi="Arial" w:cs="Arial"/>
          <w:sz w:val="24"/>
          <w:szCs w:val="24"/>
          <w:lang w:val="en-US"/>
        </w:rPr>
        <w:fldChar w:fldCharType="begin" w:fldLock="1"/>
      </w:r>
      <w:r w:rsidR="00D81EE0" w:rsidRPr="007C17BC">
        <w:rPr>
          <w:rFonts w:ascii="Arial" w:hAnsi="Arial" w:cs="Arial"/>
          <w:sz w:val="24"/>
          <w:szCs w:val="24"/>
          <w:lang w:val="en-US"/>
        </w:rPr>
        <w:instrText>ADDIN CSL_CITATION {"citationItems":[{"id":"ITEM-1","itemData":{"DOI":"10.1378/chest.14-2454","ISBN":"0012-3692","ISSN":"19313543","PMID":"26033126","abstract":"BACKGROUND: ARDS is a heterogeneous syndrome that encompasses lung injury from both direct and indirect sources. Direct ARDS (pneumonia, aspiration) has been hypothesized to cause more severe lung epithelial injury than indirect ARDS (eg, nonpulmonary sepsis); however, this hypothesis has not been well studied in humans. METHODS: We measured plasma biomarkers of lung epithelial and endothelial injury and inflammation in a single-center study of 100 patients with ARDS and severe sepsis and in a secondary analysis of 853 patients with ARDS drawn from a multicenter randomized controlled trial. Biomarker levels in patients with direct vs indirect ARDS were compared in both cohorts. RESULTS: In both studies, patients with direct ARDS had significantly higher levels of a biomarker of lung epithelial injury (surfactant protein D) and significantly lower levels of a biomarker of endothelial injury (angiopoietin-2) than those with indirect ARDS. These associations were robust to adjustment for severity of illness and ARDS severity. In the multicenter study, patients with direct ARDS also had lower levels of von Willebrand factor antigen and IL-6 and IL-8, markers of endothelial injury and inflammation, respectively. The prognostic value of the biomarkers was similar in direct and indirect ARDS. CONCLUSIONS: Direct lung injury in humans is characterized by a molecular phenotype consistent with more severe lung epithelial injury and less severe endothelial injury. The opposite pattern was identified in indirect lung injury. Clinical trials of novel therapies targeted specifically at the lung epithelium or endothelium may benefit from preferentially enrolling patients with direct and indirect ARDS, respectively.","author":[{"dropping-particle":"","family":"Calfee","given":"Carolyn S.","non-dropping-particle":"","parse-names":false,"suffix":""},{"dropping-particle":"","family":"Janz","given":"David R.","non-dropping-particle":"","parse-names":false,"suffix":""},{"dropping-particle":"","family":"Bernard","given":"Gordon R.","non-dropping-particle":"","parse-names":false,"suffix":""},{"dropping-particle":"","family":"May","given":"Addison K.","non-dropping-particle":"","parse-names":false,"suffix":""},{"dropping-particle":"","family":"Kangelaris","given":"Kirsten N.","non-dropping-particle":"","parse-names":false,"suffix":""},{"dropping-particle":"","family":"Matthay","given":"Michael A.","non-dropping-particle":"","parse-names":false,"suffix":""},{"dropping-particle":"","family":"Ware","given":"Lorraine B.","non-dropping-particle":"","parse-names":false,"suffix":""}],"container-title":"Chest","id":"ITEM-1","issue":"6","issued":{"date-parts":[["2015"]]},"page":"1539-1548","title":"Distinct molecular phenotypes of direct vs indirect ARDS in single-center and multicenter studies","type":"article-journal","volume":"147"},"uris":["http://www.mendeley.com/documents/?uuid=147b9769-ea2a-4f5a-9e32-28b1c7faedf5"]}],"mendeley":{"formattedCitation":"(22)","manualFormatting":"(4, 5)","plainTextFormattedCitation":"(22)","previouslyFormattedCitation":"(22)"},"properties":{"noteIndex":0},"schema":"https://github.com/citation-style-language/schema/raw/master/csl-citation.json"}</w:instrText>
      </w:r>
      <w:r w:rsidR="00C906B3" w:rsidRPr="007C17BC">
        <w:rPr>
          <w:rFonts w:ascii="Arial" w:hAnsi="Arial" w:cs="Arial"/>
          <w:sz w:val="24"/>
          <w:szCs w:val="24"/>
          <w:lang w:val="en-US"/>
        </w:rPr>
        <w:fldChar w:fldCharType="separate"/>
      </w:r>
      <w:r w:rsidRPr="007C17BC">
        <w:rPr>
          <w:rFonts w:ascii="Arial" w:hAnsi="Arial" w:cs="Arial"/>
          <w:noProof/>
          <w:sz w:val="24"/>
          <w:szCs w:val="24"/>
          <w:lang w:val="en-US"/>
        </w:rPr>
        <w:t>(</w:t>
      </w:r>
      <w:r w:rsidR="00D81EE0" w:rsidRPr="007C17BC">
        <w:rPr>
          <w:rFonts w:ascii="Arial" w:hAnsi="Arial" w:cs="Arial"/>
          <w:noProof/>
          <w:sz w:val="24"/>
          <w:szCs w:val="24"/>
          <w:lang w:val="en-US"/>
        </w:rPr>
        <w:t>4-6</w:t>
      </w:r>
      <w:r w:rsidRPr="007C17BC">
        <w:rPr>
          <w:rFonts w:ascii="Arial" w:hAnsi="Arial" w:cs="Arial"/>
          <w:noProof/>
          <w:sz w:val="24"/>
          <w:szCs w:val="24"/>
          <w:lang w:val="en-US"/>
        </w:rPr>
        <w:t>)</w:t>
      </w:r>
      <w:r w:rsidR="00C906B3" w:rsidRPr="007C17BC">
        <w:rPr>
          <w:rFonts w:ascii="Arial" w:hAnsi="Arial" w:cs="Arial"/>
          <w:sz w:val="24"/>
          <w:szCs w:val="24"/>
          <w:lang w:val="en-US"/>
        </w:rPr>
        <w:fldChar w:fldCharType="end"/>
      </w:r>
      <w:r w:rsidRPr="007C17BC">
        <w:rPr>
          <w:rFonts w:ascii="Arial" w:hAnsi="Arial" w:cs="Arial"/>
          <w:sz w:val="24"/>
          <w:szCs w:val="24"/>
          <w:lang w:val="en-US"/>
        </w:rPr>
        <w:t xml:space="preserve">. The number of VFD–28 was defined as the number of days between successful weaning from invasive mechanical ventilation and day 28 after study enrolment. </w:t>
      </w:r>
      <w:r w:rsidRPr="007C17BC">
        <w:rPr>
          <w:rFonts w:ascii="Arial" w:hAnsi="Arial" w:cs="Arial"/>
          <w:sz w:val="24"/>
          <w:szCs w:val="24"/>
          <w:lang w:val="en-US" w:eastAsia="nl-NL"/>
        </w:rPr>
        <w:t>Patients who died before day 28 received zero VFD–28.</w:t>
      </w:r>
      <w:r w:rsidRPr="007C17BC">
        <w:rPr>
          <w:rFonts w:ascii="Arial" w:hAnsi="Arial" w:cs="Arial"/>
          <w:sz w:val="24"/>
          <w:szCs w:val="24"/>
          <w:lang w:val="en-US"/>
        </w:rPr>
        <w:t xml:space="preserve"> Non–invasive mechanical support was not considered as mechanical ventilation.</w:t>
      </w:r>
    </w:p>
    <w:p w:rsidR="00856359" w:rsidRPr="007C17BC" w:rsidRDefault="00856359" w:rsidP="00B11506">
      <w:pPr>
        <w:spacing w:after="0" w:line="480" w:lineRule="auto"/>
        <w:jc w:val="both"/>
        <w:rPr>
          <w:rFonts w:ascii="Arial" w:hAnsi="Arial" w:cs="Arial"/>
          <w:b/>
          <w:sz w:val="24"/>
          <w:szCs w:val="24"/>
          <w:lang w:val="en-US"/>
        </w:rPr>
      </w:pPr>
    </w:p>
    <w:p w:rsidR="00B11506" w:rsidRPr="007C17BC" w:rsidRDefault="00B11506" w:rsidP="00B11506">
      <w:pPr>
        <w:spacing w:after="0" w:line="480" w:lineRule="auto"/>
        <w:jc w:val="both"/>
        <w:rPr>
          <w:rFonts w:ascii="Arial" w:hAnsi="Arial" w:cs="Arial"/>
          <w:b/>
          <w:sz w:val="24"/>
          <w:szCs w:val="24"/>
          <w:lang w:val="en-US"/>
        </w:rPr>
      </w:pPr>
      <w:bookmarkStart w:id="0" w:name="_Hlk517655444"/>
      <w:r w:rsidRPr="007C17BC">
        <w:rPr>
          <w:rFonts w:ascii="Arial" w:hAnsi="Arial" w:cs="Arial"/>
          <w:b/>
          <w:sz w:val="24"/>
          <w:szCs w:val="24"/>
          <w:lang w:val="en-US"/>
        </w:rPr>
        <w:t>Sample collection and assays</w:t>
      </w:r>
    </w:p>
    <w:bookmarkEnd w:id="0"/>
    <w:p w:rsidR="00B11506" w:rsidRPr="007C17BC" w:rsidRDefault="00B11506" w:rsidP="00B11506">
      <w:pPr>
        <w:spacing w:after="0" w:line="480" w:lineRule="auto"/>
        <w:jc w:val="both"/>
        <w:rPr>
          <w:rFonts w:ascii="Arial" w:hAnsi="Arial" w:cs="Arial"/>
          <w:sz w:val="24"/>
          <w:szCs w:val="24"/>
          <w:lang w:val="en-US"/>
        </w:rPr>
      </w:pPr>
      <w:r w:rsidRPr="007C17BC">
        <w:rPr>
          <w:rFonts w:ascii="Arial" w:eastAsia="TTE290D8C0t00" w:hAnsi="Arial" w:cs="Arial"/>
          <w:sz w:val="24"/>
          <w:szCs w:val="24"/>
          <w:lang w:val="en-US"/>
        </w:rPr>
        <w:t xml:space="preserve">BAL fluid was immediately </w:t>
      </w:r>
      <w:r w:rsidRPr="007C17BC">
        <w:rPr>
          <w:rFonts w:ascii="Arial" w:hAnsi="Arial" w:cs="Arial"/>
          <w:sz w:val="24"/>
          <w:szCs w:val="24"/>
          <w:lang w:val="en-US"/>
        </w:rPr>
        <w:t>centrifuged (1500g, 15 min, 4°C) and stored at -80ºC. The panel of inflammatory biomarkers,</w:t>
      </w:r>
      <w:r w:rsidRPr="007C17BC">
        <w:rPr>
          <w:rFonts w:ascii="Arial" w:eastAsia="TTE290D8C0t00" w:hAnsi="Arial" w:cs="Arial"/>
          <w:sz w:val="24"/>
          <w:szCs w:val="24"/>
          <w:lang w:val="en-US"/>
        </w:rPr>
        <w:t xml:space="preserve"> endothelial activation markers and markers of epithelial damage </w:t>
      </w:r>
      <w:r w:rsidRPr="007C17BC">
        <w:rPr>
          <w:rFonts w:ascii="Arial" w:hAnsi="Arial" w:cs="Arial"/>
          <w:sz w:val="24"/>
          <w:szCs w:val="24"/>
          <w:lang w:val="en-US"/>
        </w:rPr>
        <w:t xml:space="preserve">were analyzed simultaneously using a Luminex kit according to the manufacturer instructions (Luminex; R&amp;D systems, Minneapolis, USA). BAL fluid ACE and ACE2 activities were </w:t>
      </w:r>
      <w:proofErr w:type="spellStart"/>
      <w:r w:rsidRPr="007C17BC">
        <w:rPr>
          <w:rFonts w:ascii="Arial" w:hAnsi="Arial" w:cs="Arial"/>
          <w:sz w:val="24"/>
          <w:szCs w:val="24"/>
          <w:lang w:val="en-US"/>
        </w:rPr>
        <w:t>fluorimetrically</w:t>
      </w:r>
      <w:proofErr w:type="spellEnd"/>
      <w:r w:rsidRPr="007C17BC">
        <w:rPr>
          <w:rFonts w:ascii="Arial" w:hAnsi="Arial" w:cs="Arial"/>
          <w:sz w:val="24"/>
          <w:szCs w:val="24"/>
          <w:lang w:val="en-US"/>
        </w:rPr>
        <w:t xml:space="preserve"> measured as previously described </w:t>
      </w:r>
      <w:r w:rsidR="00C906B3" w:rsidRPr="007C17BC">
        <w:rPr>
          <w:rFonts w:ascii="Arial" w:hAnsi="Arial" w:cs="Arial"/>
          <w:sz w:val="24"/>
          <w:szCs w:val="24"/>
          <w:lang w:val="en-US"/>
        </w:rPr>
        <w:fldChar w:fldCharType="begin" w:fldLock="1"/>
      </w:r>
      <w:r w:rsidR="00D81EE0" w:rsidRPr="007C17BC">
        <w:rPr>
          <w:rFonts w:ascii="Arial" w:hAnsi="Arial" w:cs="Arial"/>
          <w:sz w:val="24"/>
          <w:szCs w:val="24"/>
          <w:lang w:val="en-US"/>
        </w:rPr>
        <w:instrText>ADDIN CSL_CITATION {"citationItems":[{"id":"ITEM-1","itemData":{"DOI":"10.1038/nprot.2006.305","ISSN":"1750-2799","PMID":"17487183","abstract":"Angiotensin I-converting enzyme (ACE) assays are commonly used for measuring enzymatic activity in clinical and biological samples. The fluorimetric procedure described is sensitive, rapid and involves unsophisticated procedures and inexpensive reagents. It uses the substrate hippuryl-L-histidyl-L-leucine, and the fluorescent adduct of the enzyme-catalyzed product L-histidyl-L-leucine is quantified fluorimetrically. This assay has been adapted for a 96-well plate format that produces comparable data to previously described assays and has the advantage of greater efficiency with respect to both time and reagents. The protocol can be used for routine purposes or for more detailed kinetic analyses. The apparent Km and kcat values for purified testis ACE determined from a double reciprocal plot were 3.0 mM and 195.7 s(-1), respectively. The protocol can be completed within 4 h.","author":[{"dropping-particle":"","family":"Schwager","given":"Sylva L","non-dropping-particle":"","parse-names":false,"suffix":""},{"dropping-particle":"","family":"Carmona","given":"Adriana K","non-dropping-particle":"","parse-names":false,"suffix":""},{"dropping-particle":"","family":"Sturrock","given":"Edward D","non-dropping-particle":"","parse-names":false,"suffix":""}],"container-title":"Nature protocols","id":"ITEM-1","issue":"4","issued":{"date-parts":[["2006","1"]]},"page":"1961-4","title":"A high-throughput fluorimetric assay for angiotensin I-converting enzyme.","type":"article-journal","volume":"1"},"uris":["http://www.mendeley.com/documents/?uuid=842db7a1-85e3-4b29-9f2a-b1861a065921"]},{"id":"ITEM-2","itemData":{"DOI":"10.1074/jbc.M200581200","ISSN":"0021-9258","PMID":"11815627","abstract":"Human angiotensin-converting enzyme-related carboxypeptidase (ACE2) is a zinc metalloprotease whose closest homolog is angiotensin I-converting enzyme. To begin to elucidate the physiological role of ACE2, ACE2 was purified, and its catalytic activity was characterized. ACE2 proteolytic activity has a pH optimum of 6.5 and is enhanced by monovalent anions, which is consistent with the activity of ACE. ACE2 activity is increased approximately 10-fold by Cl(-) and F(-) but is unaffected by Br(-). ACE2 was screened for hydrolytic activity against a panel of 126 biological peptides, using liquid chromatography-mass spectrometry detection. Eleven of the peptides were hydrolyzed by ACE2, and in each case, the proteolytic activity resulted in removal of the C-terminal residue only. ACE2 hydrolyzes three of the peptides with high catalytic efficiency: angiotensin II () (k(cat)/K(m) = 1.9 x 10(6) m(-1) s(-1)), apelin-13 (k(cat)/K(m) = 2.1 x 10(6) m(-1) s(-1)), and dynorphin A 1-13 (k(cat)/K(m) = 3.1 x 10(6) m(-1) s(-1)). The ACE2 catalytic efficiency is 400-fold higher with angiotensin II () as a substrate than with angiotensin I (). ACE2 also efficiently hydrolyzes des-Arg(9)-bradykinin (k(cat)/K(m) = 1.3 x 10(5) m(-1) s(-1)), but it does not hydrolyze bradykinin. An alignment of the ACE2 peptide substrates reveals a consensus sequence of: Pro-X((1-3 residues))-Pro-Hydrophobic, where hydrolysis occurs between proline and the hydrophobic amino acid.","author":[{"dropping-particle":"","family":"Vickers","given":"Chad","non-dropping-particle":"","parse-names":false,"suffix":""},{"dropping-particle":"","family":"Hales","given":"Paul","non-dropping-particle":"","parse-names":false,"suffix":""},{"dropping-particle":"","family":"Kaushik","given":"Virendar","non-dropping-particle":"","parse-names":false,"suffix":""},{"dropping-particle":"","family":"Dick","given":"Larry","non-dropping-particle":"","parse-names":false,"suffix":""},{"dropping-particle":"","family":"Gavin","given":"James","non-dropping-particle":"","parse-names":false,"suffix":""},{"dropping-particle":"","family":"Tang","given":"Jin","non-dropping-particle":"","parse-names":false,"suffix":""},{"dropping-particle":"","family":"Godbout","given":"Kevin","non-dropping-particle":"","parse-names":false,"suffix":""},{"dropping-particle":"","family":"Parsons","given":"Thomas","non-dropping-particle":"","parse-names":false,"suffix":""},{"dropping-particle":"","family":"Baronas","given":"Elizabeth","non-dropping-particle":"","parse-names":false,"suffix":""},{"dropping-particle":"","family":"Hsieh","given":"Frank","non-dropping-particle":"","parse-names":false,"suffix":""},{"dropping-particle":"","family":"Acton","given":"Susan","non-dropping-particle":"","parse-names":false,"suffix":""},{"dropping-particle":"","family":"Patane","given":"Michael","non-dropping-particle":"","parse-names":false,"suffix":""},{"dropping-particle":"","family":"Nichols","given":"Andrew","non-dropping-particle":"","parse-names":false,"suffix":""},{"dropping-particle":"","family":"Tummino","given":"Peter","non-dropping-particle":"","parse-names":false,"suffix":""}],"container-title":"The Journal of biological chemistry","id":"ITEM-2","issue":"17","issued":{"date-parts":[["2002","4","26"]]},"page":"14838-43","title":"Hydrolysis of biological peptides by human angiotensin-converting enzyme-related carboxypeptidase.","type":"article-journal","volume":"277"},"uris":["http://www.mendeley.com/documents/?uuid=9056cdcf-675c-49b1-a912-386845daab24"]}],"mendeley":{"formattedCitation":"(23, 24)","manualFormatting":"(7, 8)","plainTextFormattedCitation":"(23, 24)","previouslyFormattedCitation":"(23, 24)"},"properties":{"noteIndex":0},"schema":"https://github.com/citation-style-language/schema/raw/master/csl-citation.json"}</w:instrText>
      </w:r>
      <w:r w:rsidR="00C906B3" w:rsidRPr="007C17BC">
        <w:rPr>
          <w:rFonts w:ascii="Arial" w:hAnsi="Arial" w:cs="Arial"/>
          <w:sz w:val="24"/>
          <w:szCs w:val="24"/>
          <w:lang w:val="en-US"/>
        </w:rPr>
        <w:fldChar w:fldCharType="separate"/>
      </w:r>
      <w:r w:rsidR="00E4673B" w:rsidRPr="007C17BC">
        <w:rPr>
          <w:rFonts w:ascii="Arial" w:hAnsi="Arial" w:cs="Arial"/>
          <w:noProof/>
          <w:sz w:val="24"/>
          <w:szCs w:val="24"/>
          <w:lang w:val="en-US"/>
        </w:rPr>
        <w:t>[</w:t>
      </w:r>
      <w:r w:rsidR="00D81EE0" w:rsidRPr="007C17BC">
        <w:rPr>
          <w:rFonts w:ascii="Arial" w:hAnsi="Arial" w:cs="Arial"/>
          <w:noProof/>
          <w:sz w:val="24"/>
          <w:szCs w:val="24"/>
          <w:lang w:val="en-US"/>
        </w:rPr>
        <w:t>7</w:t>
      </w:r>
      <w:r w:rsidRPr="007C17BC">
        <w:rPr>
          <w:rFonts w:ascii="Arial" w:hAnsi="Arial" w:cs="Arial"/>
          <w:noProof/>
          <w:sz w:val="24"/>
          <w:szCs w:val="24"/>
          <w:lang w:val="en-US"/>
        </w:rPr>
        <w:t xml:space="preserve">, </w:t>
      </w:r>
      <w:r w:rsidR="00D81EE0" w:rsidRPr="007C17BC">
        <w:rPr>
          <w:rFonts w:ascii="Arial" w:hAnsi="Arial" w:cs="Arial"/>
          <w:noProof/>
          <w:sz w:val="24"/>
          <w:szCs w:val="24"/>
          <w:lang w:val="en-US"/>
        </w:rPr>
        <w:t>8</w:t>
      </w:r>
      <w:r w:rsidR="00C906B3" w:rsidRPr="007C17BC">
        <w:rPr>
          <w:rFonts w:ascii="Arial" w:hAnsi="Arial" w:cs="Arial"/>
          <w:sz w:val="24"/>
          <w:szCs w:val="24"/>
          <w:lang w:val="en-US"/>
        </w:rPr>
        <w:fldChar w:fldCharType="end"/>
      </w:r>
      <w:r w:rsidR="00E4673B" w:rsidRPr="007C17BC">
        <w:rPr>
          <w:rFonts w:ascii="Arial" w:hAnsi="Arial" w:cs="Arial"/>
          <w:sz w:val="24"/>
          <w:szCs w:val="24"/>
          <w:lang w:val="en-US"/>
        </w:rPr>
        <w:t>]</w:t>
      </w:r>
      <w:r w:rsidRPr="007C17BC">
        <w:rPr>
          <w:rFonts w:ascii="Arial" w:hAnsi="Arial" w:cs="Arial"/>
          <w:sz w:val="24"/>
          <w:szCs w:val="24"/>
          <w:lang w:val="en-US"/>
        </w:rPr>
        <w:t>. BAL fluid protein levels were quantified by the Pierce BCA-Protein Assay Kit Thermo Scientific, USA.</w:t>
      </w:r>
    </w:p>
    <w:p w:rsidR="00A369C7" w:rsidRPr="007C17BC" w:rsidRDefault="00A369C7">
      <w:pPr>
        <w:spacing w:after="160" w:line="259" w:lineRule="auto"/>
        <w:rPr>
          <w:rFonts w:ascii="Arial" w:hAnsi="Arial" w:cs="Arial"/>
          <w:sz w:val="24"/>
          <w:szCs w:val="24"/>
          <w:lang w:val="en-US"/>
        </w:rPr>
      </w:pPr>
    </w:p>
    <w:p w:rsidR="00A369C7" w:rsidRPr="007C17BC" w:rsidRDefault="00A369C7">
      <w:pPr>
        <w:spacing w:after="160" w:line="259" w:lineRule="auto"/>
        <w:rPr>
          <w:rFonts w:ascii="Arial" w:hAnsi="Arial" w:cs="Arial"/>
          <w:sz w:val="24"/>
          <w:szCs w:val="24"/>
          <w:lang w:val="en-US"/>
        </w:rPr>
      </w:pPr>
      <w:r w:rsidRPr="007C17BC">
        <w:rPr>
          <w:rFonts w:ascii="Arial" w:hAnsi="Arial" w:cs="Arial"/>
          <w:sz w:val="24"/>
          <w:szCs w:val="24"/>
          <w:lang w:val="en-US"/>
        </w:rPr>
        <w:t>Reference:</w:t>
      </w:r>
    </w:p>
    <w:p w:rsidR="00A369C7" w:rsidRPr="007C17BC" w:rsidRDefault="00D81EE0" w:rsidP="00A369C7">
      <w:pPr>
        <w:widowControl w:val="0"/>
        <w:autoSpaceDE w:val="0"/>
        <w:autoSpaceDN w:val="0"/>
        <w:adjustRightInd w:val="0"/>
        <w:spacing w:after="0" w:line="480" w:lineRule="auto"/>
        <w:ind w:left="640" w:hanging="640"/>
        <w:rPr>
          <w:rFonts w:ascii="Arial" w:hAnsi="Arial" w:cs="Arial"/>
          <w:noProof/>
          <w:sz w:val="24"/>
          <w:lang w:val="en-US"/>
        </w:rPr>
      </w:pPr>
      <w:r w:rsidRPr="007C17BC">
        <w:rPr>
          <w:rFonts w:ascii="Arial" w:hAnsi="Arial" w:cs="Arial"/>
          <w:noProof/>
          <w:sz w:val="24"/>
          <w:lang w:val="en-GB"/>
        </w:rPr>
        <w:t>1</w:t>
      </w:r>
      <w:r w:rsidR="00A369C7" w:rsidRPr="007C17BC">
        <w:rPr>
          <w:rFonts w:ascii="Arial" w:hAnsi="Arial" w:cs="Arial"/>
          <w:noProof/>
          <w:sz w:val="24"/>
          <w:lang w:val="en-GB"/>
        </w:rPr>
        <w:t xml:space="preserve">. </w:t>
      </w:r>
      <w:r w:rsidR="00A369C7" w:rsidRPr="007C17BC">
        <w:rPr>
          <w:rFonts w:ascii="Arial" w:hAnsi="Arial" w:cs="Arial"/>
          <w:noProof/>
          <w:sz w:val="24"/>
          <w:lang w:val="en-GB"/>
        </w:rPr>
        <w:tab/>
      </w:r>
      <w:r w:rsidR="00A369C7" w:rsidRPr="007C17BC">
        <w:rPr>
          <w:rFonts w:ascii="Arial" w:hAnsi="Arial" w:cs="Arial"/>
          <w:noProof/>
          <w:sz w:val="24"/>
          <w:lang w:val="en-US"/>
        </w:rPr>
        <w:t>Richardson DK, Corcoran JD, Escobar GJ, et al</w:t>
      </w:r>
      <w:r w:rsidR="00E4673B" w:rsidRPr="007C17BC">
        <w:rPr>
          <w:rFonts w:ascii="Arial" w:hAnsi="Arial" w:cs="Arial"/>
          <w:noProof/>
          <w:sz w:val="24"/>
          <w:lang w:val="en-US"/>
        </w:rPr>
        <w:t>.</w:t>
      </w:r>
      <w:r w:rsidR="00A369C7" w:rsidRPr="007C17BC">
        <w:rPr>
          <w:rFonts w:ascii="Arial" w:hAnsi="Arial" w:cs="Arial"/>
          <w:noProof/>
          <w:sz w:val="24"/>
          <w:lang w:val="en-US"/>
        </w:rPr>
        <w:t xml:space="preserve"> SNAP-II and SNAPPE-II: Simplified newborn illness severity and mortality risk scores. </w:t>
      </w:r>
      <w:r w:rsidR="00A369C7" w:rsidRPr="007C17BC">
        <w:rPr>
          <w:rFonts w:ascii="Arial" w:hAnsi="Arial" w:cs="Arial"/>
          <w:iCs/>
          <w:noProof/>
          <w:sz w:val="24"/>
          <w:lang w:val="en-US"/>
        </w:rPr>
        <w:t>J Pediatr</w:t>
      </w:r>
      <w:r w:rsidR="00E4673B" w:rsidRPr="007C17BC">
        <w:rPr>
          <w:rFonts w:ascii="Arial" w:hAnsi="Arial" w:cs="Arial"/>
          <w:noProof/>
          <w:sz w:val="24"/>
          <w:lang w:val="en-US"/>
        </w:rPr>
        <w:t>.</w:t>
      </w:r>
      <w:r w:rsidR="00A369C7" w:rsidRPr="007C17BC">
        <w:rPr>
          <w:rFonts w:ascii="Arial" w:hAnsi="Arial" w:cs="Arial"/>
          <w:noProof/>
          <w:sz w:val="24"/>
          <w:lang w:val="en-US"/>
        </w:rPr>
        <w:t xml:space="preserve"> 2001; 138:92–100</w:t>
      </w:r>
      <w:r w:rsidR="00E4673B" w:rsidRPr="007C17BC">
        <w:rPr>
          <w:rFonts w:ascii="Arial" w:hAnsi="Arial" w:cs="Arial"/>
          <w:noProof/>
          <w:sz w:val="24"/>
          <w:lang w:val="en-US"/>
        </w:rPr>
        <w:t>.</w:t>
      </w:r>
    </w:p>
    <w:p w:rsidR="00A369C7" w:rsidRPr="007C17BC" w:rsidRDefault="00A369C7" w:rsidP="00D81EE0">
      <w:pPr>
        <w:widowControl w:val="0"/>
        <w:autoSpaceDE w:val="0"/>
        <w:autoSpaceDN w:val="0"/>
        <w:adjustRightInd w:val="0"/>
        <w:spacing w:after="0" w:line="480" w:lineRule="auto"/>
        <w:ind w:left="640" w:hanging="640"/>
        <w:rPr>
          <w:rFonts w:ascii="Arial" w:hAnsi="Arial" w:cs="Arial"/>
          <w:noProof/>
          <w:sz w:val="24"/>
        </w:rPr>
      </w:pPr>
      <w:r w:rsidRPr="007C17BC">
        <w:rPr>
          <w:rFonts w:ascii="Arial" w:hAnsi="Arial" w:cs="Arial"/>
          <w:noProof/>
          <w:sz w:val="24"/>
          <w:lang w:val="en-GB"/>
        </w:rPr>
        <w:t xml:space="preserve">2. </w:t>
      </w:r>
      <w:r w:rsidRPr="007C17BC">
        <w:rPr>
          <w:rFonts w:ascii="Arial" w:hAnsi="Arial" w:cs="Arial"/>
          <w:noProof/>
          <w:sz w:val="24"/>
          <w:lang w:val="en-GB"/>
        </w:rPr>
        <w:tab/>
      </w:r>
      <w:r w:rsidRPr="007C17BC">
        <w:rPr>
          <w:rFonts w:ascii="Arial" w:hAnsi="Arial" w:cs="Arial"/>
          <w:noProof/>
          <w:sz w:val="24"/>
          <w:lang w:val="en-US"/>
        </w:rPr>
        <w:t>Slater A, Shann F, Pearson G, et al</w:t>
      </w:r>
      <w:r w:rsidR="00E4673B" w:rsidRPr="007C17BC">
        <w:rPr>
          <w:rFonts w:ascii="Arial" w:hAnsi="Arial" w:cs="Arial"/>
          <w:noProof/>
          <w:sz w:val="24"/>
          <w:lang w:val="en-US"/>
        </w:rPr>
        <w:t>.</w:t>
      </w:r>
      <w:r w:rsidRPr="007C17BC">
        <w:rPr>
          <w:rFonts w:ascii="Arial" w:hAnsi="Arial" w:cs="Arial"/>
          <w:noProof/>
          <w:sz w:val="24"/>
          <w:lang w:val="en-US"/>
        </w:rPr>
        <w:t xml:space="preserve"> PIM2: a revised version of the Paediatric Index of Mortality. </w:t>
      </w:r>
      <w:r w:rsidRPr="007C17BC">
        <w:rPr>
          <w:rFonts w:ascii="Arial" w:hAnsi="Arial" w:cs="Arial"/>
          <w:iCs/>
          <w:noProof/>
          <w:sz w:val="24"/>
        </w:rPr>
        <w:t>Intensive Care Med</w:t>
      </w:r>
      <w:r w:rsidR="00E4673B" w:rsidRPr="007C17BC">
        <w:rPr>
          <w:rFonts w:ascii="Arial" w:hAnsi="Arial" w:cs="Arial"/>
          <w:noProof/>
          <w:sz w:val="24"/>
        </w:rPr>
        <w:t>. 2003;</w:t>
      </w:r>
      <w:r w:rsidRPr="007C17BC">
        <w:rPr>
          <w:rFonts w:ascii="Arial" w:hAnsi="Arial" w:cs="Arial"/>
          <w:noProof/>
          <w:sz w:val="24"/>
        </w:rPr>
        <w:t>29:278–85</w:t>
      </w:r>
      <w:r w:rsidR="00E4673B" w:rsidRPr="007C17BC">
        <w:rPr>
          <w:rFonts w:ascii="Arial" w:hAnsi="Arial" w:cs="Arial"/>
          <w:noProof/>
          <w:sz w:val="24"/>
        </w:rPr>
        <w:t>.</w:t>
      </w:r>
    </w:p>
    <w:p w:rsidR="00A369C7" w:rsidRPr="007C17BC" w:rsidRDefault="00D81EE0" w:rsidP="00D81EE0">
      <w:pPr>
        <w:widowControl w:val="0"/>
        <w:autoSpaceDE w:val="0"/>
        <w:autoSpaceDN w:val="0"/>
        <w:adjustRightInd w:val="0"/>
        <w:spacing w:after="0" w:line="480" w:lineRule="auto"/>
        <w:ind w:left="640" w:hanging="640"/>
        <w:rPr>
          <w:rFonts w:ascii="Arial" w:hAnsi="Arial" w:cs="Arial"/>
          <w:noProof/>
          <w:sz w:val="24"/>
          <w:lang w:val="en-US"/>
        </w:rPr>
      </w:pPr>
      <w:r w:rsidRPr="007C17BC">
        <w:rPr>
          <w:rFonts w:ascii="Arial" w:hAnsi="Arial" w:cs="Arial"/>
          <w:noProof/>
          <w:sz w:val="24"/>
        </w:rPr>
        <w:lastRenderedPageBreak/>
        <w:t>3</w:t>
      </w:r>
      <w:r w:rsidR="00A369C7" w:rsidRPr="007C17BC">
        <w:rPr>
          <w:rFonts w:ascii="Arial" w:hAnsi="Arial" w:cs="Arial"/>
          <w:noProof/>
          <w:sz w:val="24"/>
        </w:rPr>
        <w:t xml:space="preserve">. </w:t>
      </w:r>
      <w:r w:rsidR="00A369C7" w:rsidRPr="007C17BC">
        <w:rPr>
          <w:rFonts w:ascii="Arial" w:hAnsi="Arial" w:cs="Arial"/>
          <w:noProof/>
          <w:sz w:val="24"/>
        </w:rPr>
        <w:tab/>
        <w:t>Zimmerman JE, Kramer AA, McNair DS, et al</w:t>
      </w:r>
      <w:r w:rsidR="00E4673B" w:rsidRPr="007C17BC">
        <w:rPr>
          <w:rFonts w:ascii="Arial" w:hAnsi="Arial" w:cs="Arial"/>
          <w:noProof/>
          <w:sz w:val="24"/>
        </w:rPr>
        <w:t>.</w:t>
      </w:r>
      <w:r w:rsidR="00A369C7" w:rsidRPr="007C17BC">
        <w:rPr>
          <w:rFonts w:ascii="Arial" w:hAnsi="Arial" w:cs="Arial"/>
          <w:noProof/>
          <w:sz w:val="24"/>
        </w:rPr>
        <w:t xml:space="preserve"> </w:t>
      </w:r>
      <w:r w:rsidR="00A369C7" w:rsidRPr="007C17BC">
        <w:rPr>
          <w:rFonts w:ascii="Arial" w:hAnsi="Arial" w:cs="Arial"/>
          <w:noProof/>
          <w:sz w:val="24"/>
          <w:lang w:val="en-US"/>
        </w:rPr>
        <w:t xml:space="preserve">Acute Physiology and Chronic Health Evaluation (APACHE) IV: hospital mortality assessment for today’s critically ill patients. </w:t>
      </w:r>
      <w:r w:rsidR="00A369C7" w:rsidRPr="007C17BC">
        <w:rPr>
          <w:rFonts w:ascii="Arial" w:hAnsi="Arial" w:cs="Arial"/>
          <w:iCs/>
          <w:noProof/>
          <w:sz w:val="24"/>
          <w:lang w:val="en-US"/>
        </w:rPr>
        <w:t>Crit Care Med</w:t>
      </w:r>
      <w:r w:rsidR="00E4673B" w:rsidRPr="007C17BC">
        <w:rPr>
          <w:rFonts w:ascii="Arial" w:hAnsi="Arial" w:cs="Arial"/>
          <w:iCs/>
          <w:noProof/>
          <w:sz w:val="24"/>
          <w:lang w:val="en-US"/>
        </w:rPr>
        <w:t>.</w:t>
      </w:r>
      <w:r w:rsidR="00E4673B" w:rsidRPr="007C17BC">
        <w:rPr>
          <w:rFonts w:ascii="Arial" w:hAnsi="Arial" w:cs="Arial"/>
          <w:noProof/>
          <w:sz w:val="24"/>
          <w:lang w:val="en-US"/>
        </w:rPr>
        <w:t xml:space="preserve"> 2006;</w:t>
      </w:r>
      <w:r w:rsidR="00A369C7" w:rsidRPr="007C17BC">
        <w:rPr>
          <w:rFonts w:ascii="Arial" w:hAnsi="Arial" w:cs="Arial"/>
          <w:noProof/>
          <w:sz w:val="24"/>
          <w:lang w:val="en-US"/>
        </w:rPr>
        <w:t>34:1297–310</w:t>
      </w:r>
      <w:r w:rsidR="00E4673B" w:rsidRPr="007C17BC">
        <w:rPr>
          <w:rFonts w:ascii="Arial" w:hAnsi="Arial" w:cs="Arial"/>
          <w:noProof/>
          <w:sz w:val="24"/>
          <w:lang w:val="en-US"/>
        </w:rPr>
        <w:t>.</w:t>
      </w:r>
    </w:p>
    <w:p w:rsidR="00D81EE0" w:rsidRPr="007C17BC" w:rsidRDefault="00D81EE0" w:rsidP="00D81EE0">
      <w:pPr>
        <w:spacing w:after="0" w:line="480" w:lineRule="auto"/>
        <w:ind w:left="640" w:hanging="640"/>
        <w:rPr>
          <w:rFonts w:ascii="Arial" w:hAnsi="Arial" w:cs="Arial"/>
          <w:sz w:val="24"/>
          <w:szCs w:val="24"/>
        </w:rPr>
      </w:pPr>
      <w:r w:rsidRPr="007C17BC">
        <w:rPr>
          <w:rFonts w:ascii="Arial" w:hAnsi="Arial" w:cs="Arial"/>
          <w:sz w:val="24"/>
          <w:szCs w:val="24"/>
          <w:lang w:val="en-US"/>
        </w:rPr>
        <w:t>4</w:t>
      </w:r>
      <w:r w:rsidR="00A369C7" w:rsidRPr="007C17BC">
        <w:rPr>
          <w:rFonts w:ascii="Arial" w:hAnsi="Arial" w:cs="Arial"/>
          <w:sz w:val="24"/>
          <w:szCs w:val="24"/>
          <w:lang w:val="en-US"/>
        </w:rPr>
        <w:t xml:space="preserve">. </w:t>
      </w:r>
      <w:r w:rsidR="00A369C7" w:rsidRPr="007C17BC">
        <w:rPr>
          <w:rFonts w:ascii="Arial" w:hAnsi="Arial" w:cs="Arial"/>
          <w:sz w:val="24"/>
          <w:szCs w:val="24"/>
          <w:lang w:val="en-US"/>
        </w:rPr>
        <w:tab/>
        <w:t xml:space="preserve">Calfee CS, </w:t>
      </w:r>
      <w:proofErr w:type="spellStart"/>
      <w:r w:rsidR="00A369C7" w:rsidRPr="007C17BC">
        <w:rPr>
          <w:rFonts w:ascii="Arial" w:hAnsi="Arial" w:cs="Arial"/>
          <w:sz w:val="24"/>
          <w:szCs w:val="24"/>
          <w:lang w:val="en-US"/>
        </w:rPr>
        <w:t>Janz</w:t>
      </w:r>
      <w:proofErr w:type="spellEnd"/>
      <w:r w:rsidR="00A369C7" w:rsidRPr="007C17BC">
        <w:rPr>
          <w:rFonts w:ascii="Arial" w:hAnsi="Arial" w:cs="Arial"/>
          <w:sz w:val="24"/>
          <w:szCs w:val="24"/>
          <w:lang w:val="en-US"/>
        </w:rPr>
        <w:t xml:space="preserve"> DR, Bernard GR, et al</w:t>
      </w:r>
      <w:r w:rsidR="00E4673B" w:rsidRPr="007C17BC">
        <w:rPr>
          <w:rFonts w:ascii="Arial" w:hAnsi="Arial" w:cs="Arial"/>
          <w:sz w:val="24"/>
          <w:szCs w:val="24"/>
          <w:lang w:val="en-US"/>
        </w:rPr>
        <w:t>.</w:t>
      </w:r>
      <w:r w:rsidR="00A369C7" w:rsidRPr="007C17BC">
        <w:rPr>
          <w:rFonts w:ascii="Arial" w:hAnsi="Arial" w:cs="Arial"/>
          <w:sz w:val="24"/>
          <w:szCs w:val="24"/>
          <w:lang w:val="en-US"/>
        </w:rPr>
        <w:t xml:space="preserve"> Distinct molecular phenotypes of direct vs indirect ARDS in single-center and multicenter studies. </w:t>
      </w:r>
      <w:r w:rsidR="00A369C7" w:rsidRPr="007C17BC">
        <w:rPr>
          <w:rFonts w:ascii="Arial" w:hAnsi="Arial" w:cs="Arial"/>
          <w:sz w:val="24"/>
          <w:szCs w:val="24"/>
        </w:rPr>
        <w:t>Chest</w:t>
      </w:r>
      <w:r w:rsidR="00E4673B" w:rsidRPr="007C17BC">
        <w:rPr>
          <w:rFonts w:ascii="Arial" w:hAnsi="Arial" w:cs="Arial"/>
          <w:sz w:val="24"/>
          <w:szCs w:val="24"/>
        </w:rPr>
        <w:t>. 2015;</w:t>
      </w:r>
      <w:r w:rsidR="00A369C7" w:rsidRPr="007C17BC">
        <w:rPr>
          <w:rFonts w:ascii="Arial" w:hAnsi="Arial" w:cs="Arial"/>
          <w:sz w:val="24"/>
          <w:szCs w:val="24"/>
        </w:rPr>
        <w:t>147:1539–1548</w:t>
      </w:r>
      <w:r w:rsidR="00E4673B" w:rsidRPr="007C17BC">
        <w:rPr>
          <w:rFonts w:ascii="Arial" w:hAnsi="Arial" w:cs="Arial"/>
          <w:sz w:val="24"/>
          <w:szCs w:val="24"/>
        </w:rPr>
        <w:t>.</w:t>
      </w:r>
    </w:p>
    <w:p w:rsidR="00D81EE0" w:rsidRPr="007C17BC" w:rsidRDefault="00D81EE0" w:rsidP="00D81EE0">
      <w:pPr>
        <w:spacing w:after="0" w:line="480" w:lineRule="auto"/>
        <w:ind w:left="640" w:hanging="640"/>
        <w:rPr>
          <w:rFonts w:ascii="Arial" w:hAnsi="Arial" w:cs="Arial"/>
          <w:noProof/>
          <w:sz w:val="24"/>
          <w:lang w:val="en-GB"/>
        </w:rPr>
      </w:pPr>
      <w:r w:rsidRPr="007C17BC">
        <w:rPr>
          <w:rFonts w:ascii="Arial" w:hAnsi="Arial" w:cs="Arial"/>
          <w:noProof/>
          <w:sz w:val="24"/>
        </w:rPr>
        <w:t>5.</w:t>
      </w:r>
      <w:r w:rsidRPr="007C17BC">
        <w:rPr>
          <w:rFonts w:ascii="Arial" w:hAnsi="Arial" w:cs="Arial"/>
          <w:noProof/>
          <w:sz w:val="24"/>
        </w:rPr>
        <w:tab/>
        <w:t>De Luca D, van Kaam AH, Tingay DG, et al</w:t>
      </w:r>
      <w:r w:rsidR="00E4673B" w:rsidRPr="007C17BC">
        <w:rPr>
          <w:rFonts w:ascii="Arial" w:hAnsi="Arial" w:cs="Arial"/>
          <w:noProof/>
          <w:sz w:val="24"/>
        </w:rPr>
        <w:t>.</w:t>
      </w:r>
      <w:r w:rsidRPr="007C17BC">
        <w:rPr>
          <w:rFonts w:ascii="Arial" w:hAnsi="Arial" w:cs="Arial"/>
          <w:noProof/>
          <w:sz w:val="24"/>
        </w:rPr>
        <w:t xml:space="preserve"> </w:t>
      </w:r>
      <w:r w:rsidRPr="007C17BC">
        <w:rPr>
          <w:rFonts w:ascii="Arial" w:hAnsi="Arial" w:cs="Arial"/>
          <w:noProof/>
          <w:sz w:val="24"/>
          <w:lang w:val="en-US"/>
        </w:rPr>
        <w:t xml:space="preserve">The Montreux definition of neonatal ARDS: biological and clinical background behind the description of a new entity. </w:t>
      </w:r>
      <w:r w:rsidRPr="007C17BC">
        <w:rPr>
          <w:rFonts w:ascii="Arial" w:hAnsi="Arial" w:cs="Arial"/>
          <w:iCs/>
          <w:noProof/>
          <w:sz w:val="24"/>
          <w:lang w:val="en-GB"/>
        </w:rPr>
        <w:t>Lancet Respir Med</w:t>
      </w:r>
      <w:r w:rsidR="00E4673B" w:rsidRPr="007C17BC">
        <w:rPr>
          <w:rFonts w:ascii="Arial" w:hAnsi="Arial" w:cs="Arial"/>
          <w:noProof/>
          <w:sz w:val="24"/>
          <w:lang w:val="en-GB"/>
        </w:rPr>
        <w:t>. 2017;</w:t>
      </w:r>
      <w:r w:rsidRPr="007C17BC">
        <w:rPr>
          <w:rFonts w:ascii="Arial" w:hAnsi="Arial" w:cs="Arial"/>
          <w:noProof/>
          <w:sz w:val="24"/>
          <w:lang w:val="en-GB"/>
        </w:rPr>
        <w:t>5:657–666</w:t>
      </w:r>
      <w:r w:rsidR="00E4673B" w:rsidRPr="007C17BC">
        <w:rPr>
          <w:rFonts w:ascii="Arial" w:hAnsi="Arial" w:cs="Arial"/>
          <w:noProof/>
          <w:sz w:val="24"/>
          <w:lang w:val="en-GB"/>
        </w:rPr>
        <w:t>.</w:t>
      </w:r>
    </w:p>
    <w:p w:rsidR="00D81EE0" w:rsidRPr="007C17BC" w:rsidRDefault="00D81EE0" w:rsidP="00D81EE0">
      <w:pPr>
        <w:widowControl w:val="0"/>
        <w:autoSpaceDE w:val="0"/>
        <w:autoSpaceDN w:val="0"/>
        <w:adjustRightInd w:val="0"/>
        <w:spacing w:after="0" w:line="480" w:lineRule="auto"/>
        <w:ind w:left="640" w:hanging="640"/>
        <w:rPr>
          <w:rFonts w:ascii="Arial" w:hAnsi="Arial" w:cs="Arial"/>
          <w:noProof/>
          <w:sz w:val="24"/>
          <w:lang w:val="en-US"/>
        </w:rPr>
      </w:pPr>
      <w:r w:rsidRPr="007C17BC">
        <w:rPr>
          <w:rFonts w:ascii="Arial" w:hAnsi="Arial" w:cs="Arial"/>
          <w:noProof/>
          <w:sz w:val="24"/>
          <w:lang w:val="en-US"/>
        </w:rPr>
        <w:t>6</w:t>
      </w:r>
      <w:r w:rsidRPr="007C17BC">
        <w:rPr>
          <w:rFonts w:ascii="Arial" w:hAnsi="Arial" w:cs="Arial"/>
          <w:noProof/>
          <w:sz w:val="24"/>
          <w:lang w:val="en-US"/>
        </w:rPr>
        <w:tab/>
        <w:t>Ranieri VM, Rubenfeld GD, Thompson BT, et al</w:t>
      </w:r>
      <w:r w:rsidR="00E4673B" w:rsidRPr="007C17BC">
        <w:rPr>
          <w:rFonts w:ascii="Arial" w:hAnsi="Arial" w:cs="Arial"/>
          <w:noProof/>
          <w:sz w:val="24"/>
          <w:lang w:val="en-US"/>
        </w:rPr>
        <w:t>.</w:t>
      </w:r>
      <w:r w:rsidRPr="007C17BC">
        <w:rPr>
          <w:rFonts w:ascii="Arial" w:hAnsi="Arial" w:cs="Arial"/>
          <w:noProof/>
          <w:sz w:val="24"/>
          <w:lang w:val="en-US"/>
        </w:rPr>
        <w:t xml:space="preserve"> Acute respiratory distress syndrome: the Berlin Definition. </w:t>
      </w:r>
      <w:r w:rsidRPr="007C17BC">
        <w:rPr>
          <w:rFonts w:ascii="Arial" w:hAnsi="Arial" w:cs="Arial"/>
          <w:iCs/>
          <w:noProof/>
          <w:sz w:val="24"/>
          <w:lang w:val="en-US"/>
        </w:rPr>
        <w:t>JAMA</w:t>
      </w:r>
      <w:r w:rsidR="00E4673B" w:rsidRPr="007C17BC">
        <w:rPr>
          <w:rFonts w:ascii="Arial" w:hAnsi="Arial" w:cs="Arial"/>
          <w:noProof/>
          <w:sz w:val="24"/>
          <w:lang w:val="en-US"/>
        </w:rPr>
        <w:t>.</w:t>
      </w:r>
      <w:r w:rsidRPr="007C17BC">
        <w:rPr>
          <w:rFonts w:ascii="Arial" w:hAnsi="Arial" w:cs="Arial"/>
          <w:noProof/>
          <w:sz w:val="24"/>
          <w:lang w:val="en-US"/>
        </w:rPr>
        <w:t xml:space="preserve"> 2012;307:2526–33</w:t>
      </w:r>
      <w:r w:rsidR="00E4673B" w:rsidRPr="007C17BC">
        <w:rPr>
          <w:rFonts w:ascii="Arial" w:hAnsi="Arial" w:cs="Arial"/>
          <w:noProof/>
          <w:sz w:val="24"/>
          <w:lang w:val="en-US"/>
        </w:rPr>
        <w:t>.</w:t>
      </w:r>
    </w:p>
    <w:p w:rsidR="00D81EE0" w:rsidRPr="007C17BC" w:rsidRDefault="00D81EE0" w:rsidP="00D81EE0">
      <w:pPr>
        <w:spacing w:after="0" w:line="480" w:lineRule="auto"/>
        <w:ind w:left="640"/>
        <w:rPr>
          <w:rFonts w:ascii="Arial" w:hAnsi="Arial" w:cs="Arial"/>
          <w:noProof/>
          <w:sz w:val="24"/>
          <w:lang w:val="en-US"/>
        </w:rPr>
      </w:pPr>
      <w:r w:rsidRPr="007C17BC">
        <w:rPr>
          <w:rFonts w:ascii="Arial" w:hAnsi="Arial" w:cs="Arial"/>
          <w:noProof/>
          <w:sz w:val="24"/>
          <w:lang w:val="en-US"/>
        </w:rPr>
        <w:t>Pediatric T, Lung A, Consensus I, et al</w:t>
      </w:r>
      <w:r w:rsidR="00E4673B" w:rsidRPr="007C17BC">
        <w:rPr>
          <w:rFonts w:ascii="Arial" w:hAnsi="Arial" w:cs="Arial"/>
          <w:noProof/>
          <w:sz w:val="24"/>
          <w:lang w:val="en-US"/>
        </w:rPr>
        <w:t>.</w:t>
      </w:r>
      <w:r w:rsidRPr="007C17BC">
        <w:rPr>
          <w:rFonts w:ascii="Arial" w:hAnsi="Arial" w:cs="Arial"/>
          <w:noProof/>
          <w:sz w:val="24"/>
          <w:lang w:val="en-US"/>
        </w:rPr>
        <w:t xml:space="preserve"> Pediatric acute respiratory distress syndrome: consensus recommendations from the Pediatric Acute Lung Injury Consensus Conference. </w:t>
      </w:r>
      <w:r w:rsidRPr="007C17BC">
        <w:rPr>
          <w:rFonts w:ascii="Arial" w:hAnsi="Arial" w:cs="Arial"/>
          <w:iCs/>
          <w:noProof/>
          <w:sz w:val="24"/>
          <w:lang w:val="en-US"/>
        </w:rPr>
        <w:t>Pediatr Crit Care Med</w:t>
      </w:r>
      <w:r w:rsidR="00E4673B" w:rsidRPr="007C17BC">
        <w:rPr>
          <w:rFonts w:ascii="Arial" w:hAnsi="Arial" w:cs="Arial"/>
          <w:noProof/>
          <w:sz w:val="24"/>
          <w:lang w:val="en-US"/>
        </w:rPr>
        <w:t>.</w:t>
      </w:r>
      <w:r w:rsidRPr="007C17BC">
        <w:rPr>
          <w:rFonts w:ascii="Arial" w:hAnsi="Arial" w:cs="Arial"/>
          <w:noProof/>
          <w:sz w:val="24"/>
          <w:lang w:val="en-US"/>
        </w:rPr>
        <w:t xml:space="preserve"> 2015;16:428–39</w:t>
      </w:r>
      <w:r w:rsidR="00E4673B" w:rsidRPr="007C17BC">
        <w:rPr>
          <w:rFonts w:ascii="Arial" w:hAnsi="Arial" w:cs="Arial"/>
          <w:noProof/>
          <w:sz w:val="24"/>
          <w:lang w:val="en-US"/>
        </w:rPr>
        <w:t>.</w:t>
      </w:r>
    </w:p>
    <w:p w:rsidR="00D81EE0" w:rsidRPr="007C17BC" w:rsidRDefault="00D81EE0" w:rsidP="00D81EE0">
      <w:pPr>
        <w:widowControl w:val="0"/>
        <w:autoSpaceDE w:val="0"/>
        <w:autoSpaceDN w:val="0"/>
        <w:adjustRightInd w:val="0"/>
        <w:spacing w:after="0" w:line="480" w:lineRule="auto"/>
        <w:ind w:left="640" w:hanging="640"/>
        <w:rPr>
          <w:rFonts w:ascii="Arial" w:hAnsi="Arial" w:cs="Arial"/>
          <w:noProof/>
          <w:sz w:val="24"/>
        </w:rPr>
      </w:pPr>
      <w:r w:rsidRPr="007C17BC">
        <w:rPr>
          <w:rFonts w:ascii="Arial" w:hAnsi="Arial" w:cs="Arial"/>
          <w:noProof/>
          <w:sz w:val="24"/>
          <w:lang w:val="en-GB"/>
        </w:rPr>
        <w:t xml:space="preserve">7. </w:t>
      </w:r>
      <w:r w:rsidRPr="007C17BC">
        <w:rPr>
          <w:rFonts w:ascii="Arial" w:hAnsi="Arial" w:cs="Arial"/>
          <w:noProof/>
          <w:sz w:val="24"/>
          <w:lang w:val="en-GB"/>
        </w:rPr>
        <w:tab/>
        <w:t>Schwager SL, Carmona AK, Sturrock ED</w:t>
      </w:r>
      <w:r w:rsidR="00E4673B" w:rsidRPr="007C17BC">
        <w:rPr>
          <w:rFonts w:ascii="Arial" w:hAnsi="Arial" w:cs="Arial"/>
          <w:noProof/>
          <w:sz w:val="24"/>
          <w:lang w:val="en-GB"/>
        </w:rPr>
        <w:t>.</w:t>
      </w:r>
      <w:r w:rsidRPr="007C17BC">
        <w:rPr>
          <w:rFonts w:ascii="Arial" w:hAnsi="Arial" w:cs="Arial"/>
          <w:noProof/>
          <w:sz w:val="24"/>
          <w:lang w:val="en-GB"/>
        </w:rPr>
        <w:t xml:space="preserve"> A high-throughput fluorimetric assay for angiotensin I-converting enzyme. </w:t>
      </w:r>
      <w:r w:rsidRPr="007C17BC">
        <w:rPr>
          <w:rFonts w:ascii="Arial" w:hAnsi="Arial" w:cs="Arial"/>
          <w:iCs/>
          <w:noProof/>
          <w:sz w:val="24"/>
        </w:rPr>
        <w:t>Nat Protoc</w:t>
      </w:r>
      <w:r w:rsidR="00E4673B" w:rsidRPr="007C17BC">
        <w:rPr>
          <w:rFonts w:ascii="Arial" w:hAnsi="Arial" w:cs="Arial"/>
          <w:noProof/>
          <w:sz w:val="24"/>
        </w:rPr>
        <w:t>.</w:t>
      </w:r>
      <w:r w:rsidRPr="007C17BC">
        <w:rPr>
          <w:rFonts w:ascii="Arial" w:hAnsi="Arial" w:cs="Arial"/>
          <w:noProof/>
          <w:sz w:val="24"/>
        </w:rPr>
        <w:t xml:space="preserve"> 2006;1:1961–4</w:t>
      </w:r>
      <w:r w:rsidR="00E4673B" w:rsidRPr="007C17BC">
        <w:rPr>
          <w:rFonts w:ascii="Arial" w:hAnsi="Arial" w:cs="Arial"/>
          <w:noProof/>
          <w:sz w:val="24"/>
        </w:rPr>
        <w:t>.</w:t>
      </w:r>
    </w:p>
    <w:p w:rsidR="00D81EE0" w:rsidRPr="007C17BC" w:rsidRDefault="00D81EE0" w:rsidP="00D81EE0">
      <w:pPr>
        <w:spacing w:after="0" w:line="480" w:lineRule="auto"/>
        <w:ind w:left="640" w:hanging="640"/>
        <w:rPr>
          <w:rFonts w:ascii="Arial" w:hAnsi="Arial" w:cs="Arial"/>
          <w:sz w:val="24"/>
          <w:szCs w:val="24"/>
          <w:lang w:val="en-US"/>
        </w:rPr>
      </w:pPr>
      <w:r w:rsidRPr="007C17BC">
        <w:rPr>
          <w:rFonts w:ascii="Arial" w:hAnsi="Arial" w:cs="Arial"/>
          <w:noProof/>
          <w:sz w:val="24"/>
        </w:rPr>
        <w:t xml:space="preserve">8. </w:t>
      </w:r>
      <w:r w:rsidRPr="007C17BC">
        <w:rPr>
          <w:rFonts w:ascii="Arial" w:hAnsi="Arial" w:cs="Arial"/>
          <w:noProof/>
          <w:sz w:val="24"/>
        </w:rPr>
        <w:tab/>
        <w:t>Vickers C, Hales P, Kaushik V, et al</w:t>
      </w:r>
      <w:r w:rsidR="00E4673B" w:rsidRPr="007C17BC">
        <w:rPr>
          <w:rFonts w:ascii="Arial" w:hAnsi="Arial" w:cs="Arial"/>
          <w:noProof/>
          <w:sz w:val="24"/>
        </w:rPr>
        <w:t>.</w:t>
      </w:r>
      <w:r w:rsidRPr="007C17BC">
        <w:rPr>
          <w:rFonts w:ascii="Arial" w:hAnsi="Arial" w:cs="Arial"/>
          <w:noProof/>
          <w:sz w:val="24"/>
        </w:rPr>
        <w:t xml:space="preserve"> </w:t>
      </w:r>
      <w:r w:rsidRPr="007C17BC">
        <w:rPr>
          <w:rFonts w:ascii="Arial" w:hAnsi="Arial" w:cs="Arial"/>
          <w:noProof/>
          <w:sz w:val="24"/>
          <w:lang w:val="en-US"/>
        </w:rPr>
        <w:t xml:space="preserve">Hydrolysis of biological peptides by human angiotensin-converting enzyme-related carboxypeptidase. </w:t>
      </w:r>
      <w:r w:rsidRPr="007C17BC">
        <w:rPr>
          <w:rFonts w:ascii="Arial" w:hAnsi="Arial" w:cs="Arial"/>
          <w:iCs/>
          <w:noProof/>
          <w:sz w:val="24"/>
          <w:lang w:val="en-US"/>
        </w:rPr>
        <w:t>J Biol Chem</w:t>
      </w:r>
      <w:r w:rsidR="00190045" w:rsidRPr="007C17BC">
        <w:rPr>
          <w:rFonts w:ascii="Arial" w:hAnsi="Arial" w:cs="Arial"/>
          <w:iCs/>
          <w:noProof/>
          <w:sz w:val="24"/>
          <w:lang w:val="en-US"/>
        </w:rPr>
        <w:t>. 2002;277:14838-43.</w:t>
      </w:r>
      <w:r w:rsidRPr="007C17BC">
        <w:rPr>
          <w:rFonts w:ascii="Arial" w:hAnsi="Arial" w:cs="Arial"/>
          <w:noProof/>
          <w:sz w:val="24"/>
          <w:lang w:val="en-US"/>
        </w:rPr>
        <w:t xml:space="preserve"> </w:t>
      </w:r>
      <w:r w:rsidR="00B11506" w:rsidRPr="007C17BC">
        <w:rPr>
          <w:rFonts w:ascii="Arial" w:hAnsi="Arial" w:cs="Arial"/>
          <w:sz w:val="24"/>
          <w:szCs w:val="24"/>
          <w:lang w:val="en-US"/>
        </w:rPr>
        <w:br w:type="page"/>
      </w:r>
    </w:p>
    <w:p w:rsidR="00985695" w:rsidRPr="007C17BC" w:rsidRDefault="00985695" w:rsidP="00985695">
      <w:pPr>
        <w:spacing w:after="0" w:line="480" w:lineRule="auto"/>
        <w:rPr>
          <w:rFonts w:ascii="Arial" w:hAnsi="Arial" w:cs="Arial"/>
          <w:b/>
          <w:i/>
          <w:sz w:val="24"/>
          <w:szCs w:val="24"/>
          <w:lang w:val="en-US"/>
        </w:rPr>
      </w:pPr>
      <w:bookmarkStart w:id="1" w:name="_Hlk517655393"/>
      <w:proofErr w:type="gramStart"/>
      <w:r w:rsidRPr="007C17BC">
        <w:rPr>
          <w:rFonts w:ascii="Arial" w:hAnsi="Arial" w:cs="Arial"/>
          <w:b/>
          <w:sz w:val="24"/>
          <w:szCs w:val="24"/>
          <w:lang w:val="en-US"/>
        </w:rPr>
        <w:lastRenderedPageBreak/>
        <w:t>Table 1.</w:t>
      </w:r>
      <w:proofErr w:type="gramEnd"/>
      <w:r w:rsidRPr="007C17BC">
        <w:rPr>
          <w:rFonts w:ascii="Arial" w:hAnsi="Arial" w:cs="Arial"/>
          <w:b/>
          <w:sz w:val="24"/>
          <w:szCs w:val="24"/>
          <w:lang w:val="en-US"/>
        </w:rPr>
        <w:t xml:space="preserve"> Predisposing factors</w:t>
      </w:r>
      <w:bookmarkEnd w:id="1"/>
    </w:p>
    <w:tbl>
      <w:tblPr>
        <w:tblW w:w="10356" w:type="dxa"/>
        <w:tblLook w:val="04A0"/>
      </w:tblPr>
      <w:tblGrid>
        <w:gridCol w:w="2367"/>
        <w:gridCol w:w="1773"/>
        <w:gridCol w:w="2072"/>
        <w:gridCol w:w="2072"/>
        <w:gridCol w:w="2072"/>
      </w:tblGrid>
      <w:tr w:rsidR="00985695" w:rsidRPr="007C17BC" w:rsidTr="00A33A00">
        <w:trPr>
          <w:trHeight w:val="505"/>
        </w:trPr>
        <w:tc>
          <w:tcPr>
            <w:tcW w:w="2367" w:type="dxa"/>
            <w:tcBorders>
              <w:top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p>
        </w:tc>
        <w:tc>
          <w:tcPr>
            <w:tcW w:w="1773" w:type="dxa"/>
            <w:tcBorders>
              <w:top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Neonates</w:t>
            </w:r>
          </w:p>
        </w:tc>
        <w:tc>
          <w:tcPr>
            <w:tcW w:w="2072" w:type="dxa"/>
            <w:tcBorders>
              <w:top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Children</w:t>
            </w:r>
          </w:p>
        </w:tc>
        <w:tc>
          <w:tcPr>
            <w:tcW w:w="2072" w:type="dxa"/>
            <w:tcBorders>
              <w:top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Adults</w:t>
            </w:r>
          </w:p>
        </w:tc>
        <w:tc>
          <w:tcPr>
            <w:tcW w:w="2072" w:type="dxa"/>
            <w:tcBorders>
              <w:top w:val="single" w:sz="4" w:space="0" w:color="auto"/>
              <w:bottom w:val="single" w:sz="4" w:space="0" w:color="auto"/>
            </w:tcBorders>
            <w:shd w:val="clear" w:color="auto" w:fill="auto"/>
          </w:tcPr>
          <w:p w:rsidR="00985695" w:rsidRPr="007C17BC" w:rsidRDefault="00136FA9" w:rsidP="00A33A00">
            <w:pPr>
              <w:spacing w:after="0" w:line="480" w:lineRule="auto"/>
              <w:rPr>
                <w:rFonts w:ascii="Arial" w:hAnsi="Arial" w:cs="Arial"/>
                <w:b/>
                <w:sz w:val="24"/>
                <w:szCs w:val="24"/>
                <w:lang w:val="en-US"/>
              </w:rPr>
            </w:pPr>
            <w:r w:rsidRPr="007C17BC">
              <w:rPr>
                <w:rFonts w:ascii="Arial" w:hAnsi="Arial" w:cs="Arial"/>
                <w:b/>
                <w:sz w:val="24"/>
                <w:szCs w:val="24"/>
                <w:lang w:val="en-US"/>
              </w:rPr>
              <w:t>Older adults</w:t>
            </w:r>
          </w:p>
        </w:tc>
      </w:tr>
      <w:tr w:rsidR="00985695" w:rsidRPr="007C17BC" w:rsidTr="00A33A00">
        <w:trPr>
          <w:trHeight w:val="505"/>
        </w:trPr>
        <w:tc>
          <w:tcPr>
            <w:tcW w:w="2367"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Direct</w:t>
            </w:r>
          </w:p>
        </w:tc>
        <w:tc>
          <w:tcPr>
            <w:tcW w:w="1773"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14 (70)</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27 (93)</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16 (61)</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12 (70)</w:t>
            </w:r>
          </w:p>
        </w:tc>
      </w:tr>
      <w:tr w:rsidR="00985695" w:rsidRPr="007C17BC" w:rsidTr="00A33A00">
        <w:trPr>
          <w:trHeight w:val="524"/>
        </w:trPr>
        <w:tc>
          <w:tcPr>
            <w:tcW w:w="2367"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Aspiration, n (%)</w:t>
            </w:r>
          </w:p>
        </w:tc>
        <w:tc>
          <w:tcPr>
            <w:tcW w:w="1773"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2 (7)</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r>
      <w:tr w:rsidR="00985695" w:rsidRPr="007C17BC" w:rsidTr="00A33A00">
        <w:trPr>
          <w:trHeight w:val="505"/>
        </w:trPr>
        <w:tc>
          <w:tcPr>
            <w:tcW w:w="2367"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MAS, n (%)</w:t>
            </w:r>
          </w:p>
        </w:tc>
        <w:tc>
          <w:tcPr>
            <w:tcW w:w="1773"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6 (30)</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r>
      <w:tr w:rsidR="00985695" w:rsidRPr="007C17BC" w:rsidTr="00A33A00">
        <w:trPr>
          <w:trHeight w:val="524"/>
        </w:trPr>
        <w:tc>
          <w:tcPr>
            <w:tcW w:w="2367"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Pneumonia, n (%)</w:t>
            </w:r>
          </w:p>
        </w:tc>
        <w:tc>
          <w:tcPr>
            <w:tcW w:w="1773"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8 (40)</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27 (93)</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14 (54)</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12 (70)</w:t>
            </w:r>
          </w:p>
        </w:tc>
      </w:tr>
      <w:tr w:rsidR="00985695" w:rsidRPr="007C17BC" w:rsidTr="00A33A00">
        <w:trPr>
          <w:trHeight w:val="505"/>
        </w:trPr>
        <w:tc>
          <w:tcPr>
            <w:tcW w:w="2367"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Indirect</w:t>
            </w:r>
          </w:p>
        </w:tc>
        <w:tc>
          <w:tcPr>
            <w:tcW w:w="1773"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6 (30)</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2 (7)</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10 (39)</w:t>
            </w:r>
          </w:p>
        </w:tc>
        <w:tc>
          <w:tcPr>
            <w:tcW w:w="2072" w:type="dxa"/>
            <w:tcBorders>
              <w:top w:val="single" w:sz="4" w:space="0" w:color="auto"/>
            </w:tcBorders>
            <w:shd w:val="clear" w:color="auto" w:fill="BFBFBF"/>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5 (30)</w:t>
            </w:r>
          </w:p>
        </w:tc>
      </w:tr>
      <w:tr w:rsidR="00985695" w:rsidRPr="007C17BC" w:rsidTr="00A33A00">
        <w:trPr>
          <w:trHeight w:val="505"/>
        </w:trPr>
        <w:tc>
          <w:tcPr>
            <w:tcW w:w="2367"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Asphyxia, n (%)</w:t>
            </w:r>
          </w:p>
        </w:tc>
        <w:tc>
          <w:tcPr>
            <w:tcW w:w="1773"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 (6)</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NA</w:t>
            </w:r>
          </w:p>
        </w:tc>
      </w:tr>
      <w:tr w:rsidR="00985695" w:rsidRPr="007C17BC" w:rsidTr="00A33A00">
        <w:trPr>
          <w:trHeight w:val="524"/>
        </w:trPr>
        <w:tc>
          <w:tcPr>
            <w:tcW w:w="2367"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Trauma, n (%)</w:t>
            </w:r>
          </w:p>
        </w:tc>
        <w:tc>
          <w:tcPr>
            <w:tcW w:w="1773"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 (3)</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 (6)</w:t>
            </w:r>
          </w:p>
        </w:tc>
      </w:tr>
      <w:tr w:rsidR="00985695" w:rsidRPr="007C17BC" w:rsidTr="00A33A00">
        <w:trPr>
          <w:trHeight w:val="524"/>
        </w:trPr>
        <w:tc>
          <w:tcPr>
            <w:tcW w:w="2367"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Sepsis, n (%)</w:t>
            </w:r>
          </w:p>
        </w:tc>
        <w:tc>
          <w:tcPr>
            <w:tcW w:w="1773"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5 (25)</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 (3)</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10 (39)</w:t>
            </w:r>
          </w:p>
        </w:tc>
        <w:tc>
          <w:tcPr>
            <w:tcW w:w="2072" w:type="dxa"/>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3 (18)</w:t>
            </w:r>
          </w:p>
        </w:tc>
      </w:tr>
      <w:tr w:rsidR="00985695" w:rsidRPr="007C17BC" w:rsidTr="00A33A00">
        <w:trPr>
          <w:trHeight w:val="485"/>
        </w:trPr>
        <w:tc>
          <w:tcPr>
            <w:tcW w:w="2367"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Pancreatitis, n (%)</w:t>
            </w:r>
          </w:p>
        </w:tc>
        <w:tc>
          <w:tcPr>
            <w:tcW w:w="1773"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 (0)</w:t>
            </w:r>
          </w:p>
        </w:tc>
        <w:tc>
          <w:tcPr>
            <w:tcW w:w="2072"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1 (6)</w:t>
            </w:r>
          </w:p>
        </w:tc>
      </w:tr>
    </w:tbl>
    <w:p w:rsidR="00985695" w:rsidRPr="007C17BC" w:rsidRDefault="00985695" w:rsidP="00985695">
      <w:pPr>
        <w:spacing w:after="0" w:line="480" w:lineRule="auto"/>
        <w:rPr>
          <w:rFonts w:ascii="Arial" w:hAnsi="Arial" w:cs="Arial"/>
          <w:i/>
          <w:sz w:val="24"/>
          <w:szCs w:val="24"/>
          <w:lang w:val="en-US"/>
        </w:rPr>
      </w:pPr>
      <w:r w:rsidRPr="007C17BC">
        <w:rPr>
          <w:rFonts w:ascii="Arial" w:hAnsi="Arial" w:cs="Arial"/>
          <w:i/>
          <w:sz w:val="24"/>
          <w:szCs w:val="24"/>
          <w:lang w:val="en-US"/>
        </w:rPr>
        <w:t xml:space="preserve"> </w:t>
      </w:r>
      <w:r w:rsidRPr="007C17BC">
        <w:rPr>
          <w:rFonts w:ascii="Arial" w:hAnsi="Arial" w:cs="Arial"/>
          <w:sz w:val="24"/>
          <w:szCs w:val="24"/>
          <w:lang w:val="en-US"/>
        </w:rPr>
        <w:t>MAS, meconium aspiration syndrome; NA, not applicable</w:t>
      </w:r>
      <w:r w:rsidRPr="007C17BC">
        <w:rPr>
          <w:rFonts w:ascii="Arial" w:hAnsi="Arial" w:cs="Arial"/>
          <w:i/>
          <w:sz w:val="24"/>
          <w:szCs w:val="24"/>
          <w:lang w:val="en-US"/>
        </w:rPr>
        <w:t xml:space="preserve"> </w:t>
      </w:r>
      <w:r w:rsidRPr="007C17BC">
        <w:rPr>
          <w:rFonts w:ascii="Arial" w:hAnsi="Arial" w:cs="Arial"/>
          <w:sz w:val="24"/>
          <w:szCs w:val="24"/>
          <w:lang w:val="en-US"/>
        </w:rPr>
        <w:t xml:space="preserve"> </w:t>
      </w:r>
    </w:p>
    <w:p w:rsidR="00985695" w:rsidRPr="007C17BC" w:rsidRDefault="00985695" w:rsidP="00985695">
      <w:pPr>
        <w:spacing w:after="0" w:line="480" w:lineRule="auto"/>
        <w:rPr>
          <w:rFonts w:ascii="Arial" w:hAnsi="Arial" w:cs="Arial"/>
          <w:i/>
          <w:sz w:val="24"/>
          <w:szCs w:val="24"/>
          <w:lang w:val="en-US"/>
        </w:rPr>
      </w:pPr>
    </w:p>
    <w:p w:rsidR="008350A0" w:rsidRPr="007C17BC" w:rsidRDefault="00985695" w:rsidP="008350A0">
      <w:pPr>
        <w:spacing w:after="0" w:line="480" w:lineRule="auto"/>
        <w:rPr>
          <w:rFonts w:ascii="Arial" w:hAnsi="Arial" w:cs="Arial"/>
          <w:b/>
          <w:sz w:val="24"/>
          <w:szCs w:val="24"/>
          <w:lang w:val="en-US"/>
        </w:rPr>
      </w:pPr>
      <w:r w:rsidRPr="007C17BC">
        <w:rPr>
          <w:rFonts w:ascii="Arial" w:hAnsi="Arial" w:cs="Arial"/>
          <w:b/>
          <w:sz w:val="24"/>
          <w:szCs w:val="24"/>
          <w:lang w:val="en-US"/>
        </w:rPr>
        <w:br w:type="page"/>
      </w:r>
      <w:proofErr w:type="gramStart"/>
      <w:r w:rsidR="00496996" w:rsidRPr="007C17BC">
        <w:rPr>
          <w:rFonts w:ascii="Arial" w:hAnsi="Arial" w:cs="Arial"/>
          <w:b/>
          <w:sz w:val="24"/>
          <w:szCs w:val="24"/>
          <w:lang w:val="en-US"/>
        </w:rPr>
        <w:lastRenderedPageBreak/>
        <w:t>Figure 1.</w:t>
      </w:r>
      <w:proofErr w:type="gramEnd"/>
      <w:r w:rsidR="00496996" w:rsidRPr="007C17BC">
        <w:rPr>
          <w:rFonts w:ascii="Arial" w:hAnsi="Arial" w:cs="Arial"/>
          <w:b/>
          <w:sz w:val="24"/>
          <w:szCs w:val="24"/>
          <w:lang w:val="en-US"/>
        </w:rPr>
        <w:t xml:space="preserve"> Markers of inflammation, endothelial activation and epithelial activation in bronchoalveolar lavage fluid of ARDS patients</w:t>
      </w:r>
      <w:r w:rsidR="00496996" w:rsidRPr="007C17BC">
        <w:rPr>
          <w:rFonts w:ascii="Arial" w:hAnsi="Arial" w:cs="Arial"/>
          <w:sz w:val="24"/>
          <w:szCs w:val="24"/>
          <w:lang w:val="en-US"/>
        </w:rPr>
        <w:t xml:space="preserve"> </w:t>
      </w:r>
      <w:r w:rsidR="009671DE" w:rsidRPr="007C17BC">
        <w:rPr>
          <w:rFonts w:ascii="Arial" w:hAnsi="Arial" w:cs="Arial"/>
          <w:b/>
          <w:noProof/>
          <w:sz w:val="24"/>
          <w:szCs w:val="24"/>
          <w:lang w:val="en-IN" w:eastAsia="en-IN"/>
        </w:rPr>
        <w:drawing>
          <wp:inline distT="0" distB="0" distL="0" distR="0">
            <wp:extent cx="5753533" cy="7477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appendix_rebutal.tif"/>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052"/>
                    <a:stretch/>
                  </pic:blipFill>
                  <pic:spPr bwMode="auto">
                    <a:xfrm>
                      <a:off x="0" y="0"/>
                      <a:ext cx="5763087" cy="74895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8350A0" w:rsidRPr="007C17BC">
        <w:rPr>
          <w:rFonts w:ascii="Arial" w:hAnsi="Arial" w:cs="Arial"/>
          <w:b/>
          <w:sz w:val="24"/>
          <w:szCs w:val="24"/>
          <w:lang w:val="en-US"/>
        </w:rPr>
        <w:t xml:space="preserve"> </w:t>
      </w:r>
    </w:p>
    <w:p w:rsidR="008350A0" w:rsidRPr="007C17BC" w:rsidRDefault="008350A0" w:rsidP="008350A0">
      <w:pPr>
        <w:spacing w:after="0" w:line="480" w:lineRule="auto"/>
        <w:rPr>
          <w:rFonts w:ascii="Arial" w:hAnsi="Arial" w:cs="Arial"/>
          <w:sz w:val="24"/>
          <w:szCs w:val="24"/>
          <w:lang w:val="en-US"/>
        </w:rPr>
      </w:pPr>
      <w:r w:rsidRPr="007C17BC">
        <w:rPr>
          <w:rFonts w:ascii="Arial" w:hAnsi="Arial" w:cs="Arial"/>
          <w:sz w:val="24"/>
          <w:szCs w:val="24"/>
          <w:lang w:val="en-US"/>
        </w:rPr>
        <w:t xml:space="preserve">(A) interleukin–10, (B) vascular endothelial growth factor (VEGF) (C) protein (D) </w:t>
      </w:r>
      <w:proofErr w:type="spellStart"/>
      <w:r w:rsidRPr="007C17BC">
        <w:rPr>
          <w:rFonts w:ascii="Arial" w:hAnsi="Arial" w:cs="Arial"/>
          <w:sz w:val="24"/>
          <w:szCs w:val="24"/>
          <w:lang w:val="en-US"/>
        </w:rPr>
        <w:t>clara</w:t>
      </w:r>
      <w:proofErr w:type="spellEnd"/>
      <w:r w:rsidRPr="007C17BC">
        <w:rPr>
          <w:rFonts w:ascii="Arial" w:hAnsi="Arial" w:cs="Arial"/>
          <w:sz w:val="24"/>
          <w:szCs w:val="24"/>
          <w:lang w:val="en-US"/>
        </w:rPr>
        <w:t xml:space="preserve"> cells (CC)–16, (E) soluble receptor for advanced glycation end products (</w:t>
      </w:r>
      <w:proofErr w:type="spellStart"/>
      <w:r w:rsidRPr="007C17BC">
        <w:rPr>
          <w:rFonts w:ascii="Arial" w:hAnsi="Arial" w:cs="Arial"/>
          <w:sz w:val="24"/>
          <w:szCs w:val="24"/>
          <w:lang w:val="en-US"/>
        </w:rPr>
        <w:t>sRAGE</w:t>
      </w:r>
      <w:proofErr w:type="spellEnd"/>
      <w:r w:rsidRPr="007C17BC">
        <w:rPr>
          <w:rFonts w:ascii="Arial" w:hAnsi="Arial" w:cs="Arial"/>
          <w:sz w:val="24"/>
          <w:szCs w:val="24"/>
          <w:lang w:val="en-US"/>
        </w:rPr>
        <w:t xml:space="preserve">) </w:t>
      </w:r>
      <w:r w:rsidRPr="007C17BC">
        <w:rPr>
          <w:rFonts w:ascii="Arial" w:hAnsi="Arial" w:cs="Arial"/>
          <w:sz w:val="24"/>
          <w:szCs w:val="24"/>
          <w:lang w:val="en-US"/>
        </w:rPr>
        <w:lastRenderedPageBreak/>
        <w:t xml:space="preserve">levels in bronchoalveolar lavage (BAL) fluid of ARDS patients stratified by four age groups. Horizontal bars represent the median. Group differences were tested with a Dunn test with Bonferroni correction for multiple comparisons. A p-value less than 0.05 was considered statistical significant. </w:t>
      </w:r>
    </w:p>
    <w:p w:rsidR="008350A0" w:rsidRPr="007C17BC" w:rsidRDefault="008350A0">
      <w:pPr>
        <w:spacing w:after="160" w:line="259" w:lineRule="auto"/>
        <w:rPr>
          <w:rFonts w:ascii="Arial" w:hAnsi="Arial" w:cs="Arial"/>
          <w:b/>
          <w:sz w:val="24"/>
          <w:szCs w:val="24"/>
          <w:lang w:val="en-US"/>
        </w:rPr>
      </w:pPr>
      <w:r w:rsidRPr="007C17BC">
        <w:rPr>
          <w:rFonts w:ascii="Arial" w:hAnsi="Arial" w:cs="Arial"/>
          <w:b/>
          <w:sz w:val="24"/>
          <w:szCs w:val="24"/>
          <w:lang w:val="en-US"/>
        </w:rPr>
        <w:br w:type="page"/>
      </w:r>
    </w:p>
    <w:p w:rsidR="00985695" w:rsidRPr="007C17BC" w:rsidRDefault="00985695" w:rsidP="00985695">
      <w:pPr>
        <w:spacing w:after="0" w:line="480" w:lineRule="auto"/>
        <w:rPr>
          <w:rFonts w:ascii="Arial" w:hAnsi="Arial" w:cs="Arial"/>
          <w:b/>
          <w:sz w:val="24"/>
          <w:szCs w:val="24"/>
          <w:lang w:val="en-US"/>
        </w:rPr>
      </w:pPr>
      <w:proofErr w:type="gramStart"/>
      <w:r w:rsidRPr="007C17BC">
        <w:rPr>
          <w:rFonts w:ascii="Arial" w:hAnsi="Arial" w:cs="Arial"/>
          <w:b/>
          <w:sz w:val="24"/>
          <w:szCs w:val="24"/>
          <w:lang w:val="en-US"/>
        </w:rPr>
        <w:lastRenderedPageBreak/>
        <w:t>Table 2.</w:t>
      </w:r>
      <w:proofErr w:type="gramEnd"/>
      <w:r w:rsidRPr="007C17BC">
        <w:rPr>
          <w:rFonts w:ascii="Arial" w:hAnsi="Arial" w:cs="Arial"/>
          <w:b/>
          <w:sz w:val="24"/>
          <w:szCs w:val="24"/>
          <w:lang w:val="en-US"/>
        </w:rPr>
        <w:t xml:space="preserve"> Correlation between ACE, ACE2 activity, ACE2</w:t>
      </w:r>
      <w:proofErr w:type="gramStart"/>
      <w:r w:rsidRPr="007C17BC">
        <w:rPr>
          <w:rFonts w:ascii="Arial" w:hAnsi="Arial" w:cs="Arial"/>
          <w:b/>
          <w:sz w:val="24"/>
          <w:szCs w:val="24"/>
          <w:lang w:val="en-US"/>
        </w:rPr>
        <w:t>:ACE</w:t>
      </w:r>
      <w:proofErr w:type="gramEnd"/>
      <w:r w:rsidRPr="007C17BC">
        <w:rPr>
          <w:rFonts w:ascii="Arial" w:hAnsi="Arial" w:cs="Arial"/>
          <w:b/>
          <w:sz w:val="24"/>
          <w:szCs w:val="24"/>
          <w:lang w:val="en-US"/>
        </w:rPr>
        <w:t xml:space="preserve"> ratio and biomarkers of inflammation, </w:t>
      </w:r>
      <w:r w:rsidR="001812B8" w:rsidRPr="007C17BC">
        <w:rPr>
          <w:rFonts w:ascii="Arial" w:hAnsi="Arial" w:cs="Arial"/>
          <w:b/>
          <w:sz w:val="24"/>
          <w:szCs w:val="24"/>
          <w:lang w:val="en-US"/>
        </w:rPr>
        <w:t>endothelial activation</w:t>
      </w:r>
      <w:r w:rsidR="00C67E69" w:rsidRPr="007C17BC">
        <w:rPr>
          <w:rFonts w:ascii="Arial" w:hAnsi="Arial" w:cs="Arial"/>
          <w:b/>
          <w:sz w:val="24"/>
          <w:szCs w:val="24"/>
          <w:lang w:val="en-US"/>
        </w:rPr>
        <w:t xml:space="preserve"> and epithelial damage</w:t>
      </w:r>
      <w:r w:rsidR="001812B8" w:rsidRPr="007C17BC">
        <w:rPr>
          <w:rFonts w:ascii="Arial" w:hAnsi="Arial" w:cs="Arial"/>
          <w:b/>
          <w:sz w:val="24"/>
          <w:szCs w:val="24"/>
          <w:lang w:val="en-US"/>
        </w:rPr>
        <w:t>.</w:t>
      </w:r>
    </w:p>
    <w:tbl>
      <w:tblPr>
        <w:tblW w:w="0" w:type="auto"/>
        <w:tblLook w:val="04A0"/>
      </w:tblPr>
      <w:tblGrid>
        <w:gridCol w:w="3235"/>
        <w:gridCol w:w="1980"/>
        <w:gridCol w:w="2070"/>
        <w:gridCol w:w="1789"/>
      </w:tblGrid>
      <w:tr w:rsidR="00985695" w:rsidRPr="007C17BC" w:rsidTr="00A33A00">
        <w:tc>
          <w:tcPr>
            <w:tcW w:w="3235" w:type="dxa"/>
            <w:tcBorders>
              <w:top w:val="single" w:sz="4" w:space="0" w:color="auto"/>
              <w:left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p>
        </w:tc>
        <w:tc>
          <w:tcPr>
            <w:tcW w:w="1980" w:type="dxa"/>
            <w:tcBorders>
              <w:top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ACE activity</w:t>
            </w:r>
          </w:p>
        </w:tc>
        <w:tc>
          <w:tcPr>
            <w:tcW w:w="2070" w:type="dxa"/>
            <w:tcBorders>
              <w:top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ACE2 activity</w:t>
            </w:r>
          </w:p>
        </w:tc>
        <w:tc>
          <w:tcPr>
            <w:tcW w:w="1789" w:type="dxa"/>
            <w:tcBorders>
              <w:top w:val="single" w:sz="4" w:space="0" w:color="auto"/>
              <w:bottom w:val="single" w:sz="4" w:space="0" w:color="auto"/>
              <w:right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ACE2:ACE</w:t>
            </w:r>
          </w:p>
        </w:tc>
      </w:tr>
      <w:tr w:rsidR="00985695" w:rsidRPr="007C17BC" w:rsidTr="00A33A00">
        <w:tc>
          <w:tcPr>
            <w:tcW w:w="3235" w:type="dxa"/>
            <w:tcBorders>
              <w:top w:val="single" w:sz="4" w:space="0" w:color="auto"/>
              <w:left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PaO</w:t>
            </w:r>
            <w:r w:rsidRPr="007C17BC">
              <w:rPr>
                <w:rFonts w:ascii="Arial" w:hAnsi="Arial" w:cs="Arial"/>
                <w:b/>
                <w:sz w:val="24"/>
                <w:szCs w:val="24"/>
                <w:vertAlign w:val="subscript"/>
                <w:lang w:val="en-US"/>
              </w:rPr>
              <w:t>2</w:t>
            </w:r>
            <w:r w:rsidRPr="007C17BC">
              <w:rPr>
                <w:rFonts w:ascii="Arial" w:hAnsi="Arial" w:cs="Arial"/>
                <w:b/>
                <w:sz w:val="24"/>
                <w:szCs w:val="24"/>
                <w:lang w:val="en-US"/>
              </w:rPr>
              <w:t>:FiO</w:t>
            </w:r>
            <w:r w:rsidRPr="007C17BC">
              <w:rPr>
                <w:rFonts w:ascii="Arial" w:hAnsi="Arial" w:cs="Arial"/>
                <w:b/>
                <w:sz w:val="24"/>
                <w:szCs w:val="24"/>
                <w:vertAlign w:val="subscript"/>
                <w:lang w:val="en-US"/>
              </w:rPr>
              <w:t>2</w:t>
            </w:r>
          </w:p>
        </w:tc>
        <w:tc>
          <w:tcPr>
            <w:tcW w:w="1980" w:type="dxa"/>
            <w:tcBorders>
              <w:top w:val="single" w:sz="4" w:space="0" w:color="auto"/>
              <w:bottom w:val="single" w:sz="4" w:space="0" w:color="auto"/>
            </w:tcBorders>
            <w:shd w:val="clear" w:color="auto" w:fill="FFFFFF" w:themeFill="background1"/>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-0.10</w:t>
            </w:r>
          </w:p>
        </w:tc>
        <w:tc>
          <w:tcPr>
            <w:tcW w:w="2070" w:type="dxa"/>
            <w:tcBorders>
              <w:top w:val="single" w:sz="4" w:space="0" w:color="auto"/>
              <w:bottom w:val="single" w:sz="4" w:space="0" w:color="auto"/>
            </w:tcBorders>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-0.14</w:t>
            </w:r>
          </w:p>
        </w:tc>
        <w:tc>
          <w:tcPr>
            <w:tcW w:w="1789" w:type="dxa"/>
            <w:tcBorders>
              <w:top w:val="single" w:sz="4" w:space="0" w:color="auto"/>
              <w:bottom w:val="single" w:sz="4" w:space="0" w:color="auto"/>
              <w:right w:val="single" w:sz="4" w:space="0" w:color="auto"/>
            </w:tcBorders>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0.05</w:t>
            </w:r>
          </w:p>
        </w:tc>
      </w:tr>
      <w:tr w:rsidR="00985695" w:rsidRPr="007C17BC" w:rsidTr="00A33A00">
        <w:tc>
          <w:tcPr>
            <w:tcW w:w="3235" w:type="dxa"/>
            <w:tcBorders>
              <w:top w:val="single" w:sz="4" w:space="0" w:color="auto"/>
              <w:left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Inflammatory marker</w:t>
            </w:r>
          </w:p>
        </w:tc>
        <w:tc>
          <w:tcPr>
            <w:tcW w:w="1980" w:type="dxa"/>
            <w:tcBorders>
              <w:top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c>
          <w:tcPr>
            <w:tcW w:w="2070" w:type="dxa"/>
            <w:tcBorders>
              <w:top w:val="single" w:sz="4" w:space="0" w:color="auto"/>
              <w:bottom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c>
          <w:tcPr>
            <w:tcW w:w="1789" w:type="dxa"/>
            <w:tcBorders>
              <w:top w:val="single" w:sz="4" w:space="0" w:color="auto"/>
              <w:bottom w:val="single" w:sz="4" w:space="0" w:color="auto"/>
              <w:right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r>
      <w:tr w:rsidR="00985695" w:rsidRPr="007C17BC" w:rsidTr="00A33A00">
        <w:tc>
          <w:tcPr>
            <w:tcW w:w="3235" w:type="dxa"/>
            <w:tcBorders>
              <w:top w:val="single" w:sz="4" w:space="0" w:color="auto"/>
              <w:left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MPO</w:t>
            </w:r>
          </w:p>
        </w:tc>
        <w:tc>
          <w:tcPr>
            <w:tcW w:w="1980" w:type="dxa"/>
            <w:tcBorders>
              <w:top w:val="single" w:sz="4" w:space="0" w:color="auto"/>
            </w:tcBorders>
            <w:shd w:val="clear" w:color="auto" w:fill="A6A6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0.27*</w:t>
            </w:r>
          </w:p>
        </w:tc>
        <w:tc>
          <w:tcPr>
            <w:tcW w:w="2070" w:type="dxa"/>
            <w:tcBorders>
              <w:top w:val="single" w:sz="4" w:space="0" w:color="auto"/>
            </w:tcBorders>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0.08</w:t>
            </w:r>
          </w:p>
        </w:tc>
        <w:tc>
          <w:tcPr>
            <w:tcW w:w="1789" w:type="dxa"/>
            <w:tcBorders>
              <w:top w:val="single" w:sz="4" w:space="0" w:color="auto"/>
              <w:right w:val="single" w:sz="4" w:space="0" w:color="auto"/>
            </w:tcBorders>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-0.05</w:t>
            </w:r>
          </w:p>
        </w:tc>
      </w:tr>
      <w:tr w:rsidR="00985695" w:rsidRPr="007C17BC" w:rsidTr="00A33A00">
        <w:tc>
          <w:tcPr>
            <w:tcW w:w="3235" w:type="dxa"/>
            <w:tcBorders>
              <w:left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IL-6</w:t>
            </w:r>
          </w:p>
        </w:tc>
        <w:tc>
          <w:tcPr>
            <w:tcW w:w="1980" w:type="dxa"/>
            <w:shd w:val="clear" w:color="auto" w:fill="A6A6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0.27*</w:t>
            </w:r>
          </w:p>
        </w:tc>
        <w:tc>
          <w:tcPr>
            <w:tcW w:w="2070" w:type="dxa"/>
            <w:shd w:val="clear" w:color="auto" w:fill="A6A6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0.34*</w:t>
            </w:r>
          </w:p>
        </w:tc>
        <w:tc>
          <w:tcPr>
            <w:tcW w:w="1789" w:type="dxa"/>
            <w:tcBorders>
              <w:right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0.10</w:t>
            </w:r>
          </w:p>
        </w:tc>
      </w:tr>
      <w:tr w:rsidR="00985695" w:rsidRPr="007C17BC" w:rsidTr="00A33A00">
        <w:tc>
          <w:tcPr>
            <w:tcW w:w="3235" w:type="dxa"/>
            <w:tcBorders>
              <w:left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IL-10</w:t>
            </w:r>
          </w:p>
        </w:tc>
        <w:tc>
          <w:tcPr>
            <w:tcW w:w="1980" w:type="dxa"/>
            <w:tcBorders>
              <w:bottom w:val="single" w:sz="4" w:space="0" w:color="auto"/>
            </w:tcBorders>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0.21*</w:t>
            </w:r>
          </w:p>
        </w:tc>
        <w:tc>
          <w:tcPr>
            <w:tcW w:w="2070" w:type="dxa"/>
            <w:tcBorders>
              <w:bottom w:val="single" w:sz="4" w:space="0" w:color="auto"/>
            </w:tcBorders>
            <w:shd w:val="clear" w:color="auto" w:fill="FFFFFF" w:themeFill="background1"/>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0.08</w:t>
            </w:r>
          </w:p>
        </w:tc>
        <w:tc>
          <w:tcPr>
            <w:tcW w:w="1789" w:type="dxa"/>
            <w:tcBorders>
              <w:bottom w:val="single" w:sz="4" w:space="0" w:color="auto"/>
              <w:right w:val="single" w:sz="4" w:space="0" w:color="auto"/>
            </w:tcBorders>
            <w:shd w:val="clear" w:color="auto" w:fill="FFFFFF" w:themeFill="background1"/>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-0.12</w:t>
            </w:r>
          </w:p>
        </w:tc>
      </w:tr>
      <w:tr w:rsidR="00985695" w:rsidRPr="007C17BC" w:rsidTr="00A33A00">
        <w:tc>
          <w:tcPr>
            <w:tcW w:w="3235" w:type="dxa"/>
            <w:tcBorders>
              <w:top w:val="single" w:sz="4" w:space="0" w:color="auto"/>
              <w:left w:val="single" w:sz="4" w:space="0" w:color="auto"/>
            </w:tcBorders>
            <w:shd w:val="clear" w:color="auto" w:fill="000000" w:themeFill="text1"/>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Endothelial activation</w:t>
            </w:r>
          </w:p>
        </w:tc>
        <w:tc>
          <w:tcPr>
            <w:tcW w:w="1980" w:type="dxa"/>
            <w:tcBorders>
              <w:top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c>
          <w:tcPr>
            <w:tcW w:w="2070" w:type="dxa"/>
            <w:tcBorders>
              <w:top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c>
          <w:tcPr>
            <w:tcW w:w="1789" w:type="dxa"/>
            <w:tcBorders>
              <w:top w:val="single" w:sz="4" w:space="0" w:color="auto"/>
              <w:right w:val="single" w:sz="4" w:space="0" w:color="auto"/>
            </w:tcBorders>
            <w:shd w:val="clear" w:color="auto" w:fill="000000" w:themeFill="text1"/>
          </w:tcPr>
          <w:p w:rsidR="00985695" w:rsidRPr="007C17BC" w:rsidRDefault="00985695" w:rsidP="00A33A00">
            <w:pPr>
              <w:spacing w:after="0" w:line="480" w:lineRule="auto"/>
              <w:rPr>
                <w:rFonts w:ascii="Arial" w:hAnsi="Arial" w:cs="Arial"/>
                <w:sz w:val="24"/>
                <w:szCs w:val="24"/>
                <w:lang w:val="en-US"/>
              </w:rPr>
            </w:pPr>
          </w:p>
        </w:tc>
      </w:tr>
      <w:tr w:rsidR="00985695" w:rsidRPr="007C17BC" w:rsidTr="00A33A00">
        <w:tc>
          <w:tcPr>
            <w:tcW w:w="3235" w:type="dxa"/>
            <w:tcBorders>
              <w:left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ICAM-1</w:t>
            </w:r>
          </w:p>
        </w:tc>
        <w:tc>
          <w:tcPr>
            <w:tcW w:w="1980" w:type="dxa"/>
            <w:shd w:val="clear" w:color="auto" w:fill="F2F2F2"/>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0.23*</w:t>
            </w:r>
          </w:p>
        </w:tc>
        <w:tc>
          <w:tcPr>
            <w:tcW w:w="2070" w:type="dxa"/>
            <w:shd w:val="clear" w:color="auto" w:fill="A6A6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0.32*</w:t>
            </w:r>
          </w:p>
        </w:tc>
        <w:tc>
          <w:tcPr>
            <w:tcW w:w="1789" w:type="dxa"/>
            <w:tcBorders>
              <w:right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0.18</w:t>
            </w:r>
          </w:p>
        </w:tc>
      </w:tr>
      <w:tr w:rsidR="00985695" w:rsidRPr="007C17BC" w:rsidTr="00A33A00">
        <w:tc>
          <w:tcPr>
            <w:tcW w:w="3235" w:type="dxa"/>
            <w:tcBorders>
              <w:left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p-selectin</w:t>
            </w:r>
          </w:p>
        </w:tc>
        <w:tc>
          <w:tcPr>
            <w:tcW w:w="1980" w:type="dxa"/>
            <w:shd w:val="clear" w:color="auto" w:fill="A6A6A6" w:themeFill="background1" w:themeFillShade="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0.35*</w:t>
            </w:r>
          </w:p>
        </w:tc>
        <w:tc>
          <w:tcPr>
            <w:tcW w:w="2070" w:type="dxa"/>
            <w:shd w:val="clear" w:color="auto" w:fill="A6A6A6" w:themeFill="background1" w:themeFillShade="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0.38*</w:t>
            </w:r>
          </w:p>
        </w:tc>
        <w:tc>
          <w:tcPr>
            <w:tcW w:w="1789" w:type="dxa"/>
            <w:tcBorders>
              <w:right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0.09</w:t>
            </w:r>
          </w:p>
        </w:tc>
      </w:tr>
      <w:tr w:rsidR="00985695" w:rsidRPr="007C17BC" w:rsidTr="00A33A00">
        <w:tc>
          <w:tcPr>
            <w:tcW w:w="3235" w:type="dxa"/>
            <w:tcBorders>
              <w:left w:val="single" w:sz="4" w:space="0" w:color="auto"/>
              <w:bottom w:val="single" w:sz="4" w:space="0" w:color="auto"/>
            </w:tcBorders>
            <w:shd w:val="clear" w:color="auto" w:fill="auto"/>
          </w:tcPr>
          <w:p w:rsidR="00985695" w:rsidRPr="007C17BC" w:rsidRDefault="00985695" w:rsidP="00A33A00">
            <w:pPr>
              <w:spacing w:after="0" w:line="480" w:lineRule="auto"/>
              <w:rPr>
                <w:rFonts w:ascii="Arial" w:hAnsi="Arial" w:cs="Arial"/>
                <w:b/>
                <w:sz w:val="24"/>
                <w:szCs w:val="24"/>
                <w:lang w:val="en-US"/>
              </w:rPr>
            </w:pPr>
            <w:r w:rsidRPr="007C17BC">
              <w:rPr>
                <w:rFonts w:ascii="Arial" w:hAnsi="Arial" w:cs="Arial"/>
                <w:b/>
                <w:sz w:val="24"/>
                <w:szCs w:val="24"/>
                <w:lang w:val="en-US"/>
              </w:rPr>
              <w:t>VEGF</w:t>
            </w:r>
          </w:p>
        </w:tc>
        <w:tc>
          <w:tcPr>
            <w:tcW w:w="1980" w:type="dxa"/>
            <w:tcBorders>
              <w:bottom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0.20*</w:t>
            </w:r>
          </w:p>
        </w:tc>
        <w:tc>
          <w:tcPr>
            <w:tcW w:w="2070" w:type="dxa"/>
            <w:tcBorders>
              <w:bottom w:val="single" w:sz="4" w:space="0" w:color="auto"/>
            </w:tcBorders>
            <w:shd w:val="clear" w:color="auto" w:fill="A6A6A6" w:themeFill="background1" w:themeFillShade="A6"/>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0.32*</w:t>
            </w:r>
          </w:p>
        </w:tc>
        <w:tc>
          <w:tcPr>
            <w:tcW w:w="1789" w:type="dxa"/>
            <w:tcBorders>
              <w:bottom w:val="single" w:sz="4" w:space="0" w:color="auto"/>
              <w:right w:val="single" w:sz="4" w:space="0" w:color="auto"/>
            </w:tcBorders>
            <w:shd w:val="clear" w:color="auto" w:fill="auto"/>
          </w:tcPr>
          <w:p w:rsidR="00985695" w:rsidRPr="007C17BC" w:rsidRDefault="00985695" w:rsidP="00A33A00">
            <w:pPr>
              <w:spacing w:after="0" w:line="480" w:lineRule="auto"/>
              <w:rPr>
                <w:rFonts w:ascii="Arial" w:hAnsi="Arial" w:cs="Arial"/>
                <w:sz w:val="24"/>
                <w:szCs w:val="24"/>
                <w:lang w:val="en-US"/>
              </w:rPr>
            </w:pPr>
            <w:r w:rsidRPr="007C17BC">
              <w:rPr>
                <w:rFonts w:ascii="Arial" w:hAnsi="Arial" w:cs="Arial"/>
                <w:sz w:val="24"/>
                <w:szCs w:val="24"/>
                <w:lang w:val="en-US"/>
              </w:rPr>
              <w:t>0.10</w:t>
            </w:r>
          </w:p>
        </w:tc>
      </w:tr>
      <w:tr w:rsidR="00D14EA0" w:rsidRPr="007C17BC" w:rsidTr="004672C4">
        <w:tc>
          <w:tcPr>
            <w:tcW w:w="3235" w:type="dxa"/>
            <w:tcBorders>
              <w:top w:val="single" w:sz="4" w:space="0" w:color="auto"/>
              <w:left w:val="single" w:sz="4" w:space="0" w:color="auto"/>
            </w:tcBorders>
            <w:shd w:val="clear" w:color="auto" w:fill="000000" w:themeFill="text1"/>
          </w:tcPr>
          <w:p w:rsidR="00D14EA0" w:rsidRPr="007C17BC" w:rsidRDefault="00D14EA0" w:rsidP="004672C4">
            <w:pPr>
              <w:spacing w:after="0" w:line="480" w:lineRule="auto"/>
              <w:rPr>
                <w:rFonts w:ascii="Arial" w:hAnsi="Arial" w:cs="Arial"/>
                <w:b/>
                <w:sz w:val="24"/>
                <w:szCs w:val="24"/>
                <w:lang w:val="en-US"/>
              </w:rPr>
            </w:pPr>
            <w:r w:rsidRPr="007C17BC">
              <w:rPr>
                <w:rFonts w:ascii="Arial" w:hAnsi="Arial" w:cs="Arial"/>
                <w:b/>
                <w:sz w:val="24"/>
                <w:szCs w:val="24"/>
                <w:lang w:val="en-US"/>
              </w:rPr>
              <w:t>Epithelial damage</w:t>
            </w:r>
          </w:p>
        </w:tc>
        <w:tc>
          <w:tcPr>
            <w:tcW w:w="1980" w:type="dxa"/>
            <w:tcBorders>
              <w:top w:val="single" w:sz="4" w:space="0" w:color="auto"/>
            </w:tcBorders>
            <w:shd w:val="clear" w:color="auto" w:fill="000000" w:themeFill="text1"/>
          </w:tcPr>
          <w:p w:rsidR="00D14EA0" w:rsidRPr="007C17BC" w:rsidRDefault="00D14EA0" w:rsidP="004672C4">
            <w:pPr>
              <w:spacing w:after="0" w:line="480" w:lineRule="auto"/>
              <w:rPr>
                <w:rFonts w:ascii="Arial" w:hAnsi="Arial" w:cs="Arial"/>
                <w:sz w:val="24"/>
                <w:szCs w:val="24"/>
                <w:lang w:val="en-US"/>
              </w:rPr>
            </w:pPr>
          </w:p>
        </w:tc>
        <w:tc>
          <w:tcPr>
            <w:tcW w:w="2070" w:type="dxa"/>
            <w:tcBorders>
              <w:top w:val="single" w:sz="4" w:space="0" w:color="auto"/>
            </w:tcBorders>
            <w:shd w:val="clear" w:color="auto" w:fill="000000" w:themeFill="text1"/>
          </w:tcPr>
          <w:p w:rsidR="00D14EA0" w:rsidRPr="007C17BC" w:rsidRDefault="00D14EA0" w:rsidP="004672C4">
            <w:pPr>
              <w:spacing w:after="0" w:line="480" w:lineRule="auto"/>
              <w:rPr>
                <w:rFonts w:ascii="Arial" w:hAnsi="Arial" w:cs="Arial"/>
                <w:sz w:val="24"/>
                <w:szCs w:val="24"/>
                <w:lang w:val="en-US"/>
              </w:rPr>
            </w:pPr>
          </w:p>
        </w:tc>
        <w:tc>
          <w:tcPr>
            <w:tcW w:w="1789" w:type="dxa"/>
            <w:tcBorders>
              <w:top w:val="single" w:sz="4" w:space="0" w:color="auto"/>
              <w:right w:val="single" w:sz="4" w:space="0" w:color="auto"/>
            </w:tcBorders>
            <w:shd w:val="clear" w:color="auto" w:fill="000000" w:themeFill="text1"/>
          </w:tcPr>
          <w:p w:rsidR="00D14EA0" w:rsidRPr="007C17BC" w:rsidRDefault="00D14EA0" w:rsidP="004672C4">
            <w:pPr>
              <w:spacing w:after="0" w:line="480" w:lineRule="auto"/>
              <w:rPr>
                <w:rFonts w:ascii="Arial" w:hAnsi="Arial" w:cs="Arial"/>
                <w:sz w:val="24"/>
                <w:szCs w:val="24"/>
                <w:lang w:val="en-US"/>
              </w:rPr>
            </w:pPr>
          </w:p>
        </w:tc>
      </w:tr>
      <w:tr w:rsidR="00D14EA0" w:rsidRPr="007C17BC" w:rsidTr="004672C4">
        <w:tc>
          <w:tcPr>
            <w:tcW w:w="3235" w:type="dxa"/>
            <w:tcBorders>
              <w:left w:val="single" w:sz="4" w:space="0" w:color="auto"/>
            </w:tcBorders>
            <w:shd w:val="clear" w:color="auto" w:fill="auto"/>
          </w:tcPr>
          <w:p w:rsidR="00D14EA0" w:rsidRPr="007C17BC" w:rsidRDefault="00D14EA0" w:rsidP="004672C4">
            <w:pPr>
              <w:spacing w:after="0" w:line="480" w:lineRule="auto"/>
              <w:rPr>
                <w:rFonts w:ascii="Arial" w:hAnsi="Arial" w:cs="Arial"/>
                <w:b/>
                <w:sz w:val="24"/>
                <w:szCs w:val="24"/>
                <w:lang w:val="en-US"/>
              </w:rPr>
            </w:pPr>
            <w:r w:rsidRPr="007C17BC">
              <w:rPr>
                <w:rFonts w:ascii="Arial" w:hAnsi="Arial" w:cs="Arial"/>
                <w:b/>
                <w:sz w:val="24"/>
                <w:szCs w:val="24"/>
                <w:lang w:val="en-US"/>
              </w:rPr>
              <w:t>Protein</w:t>
            </w:r>
          </w:p>
        </w:tc>
        <w:tc>
          <w:tcPr>
            <w:tcW w:w="1980" w:type="dxa"/>
            <w:shd w:val="clear" w:color="auto" w:fill="F2F2F2"/>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0.23*</w:t>
            </w:r>
          </w:p>
        </w:tc>
        <w:tc>
          <w:tcPr>
            <w:tcW w:w="2070" w:type="dxa"/>
            <w:shd w:val="clear" w:color="auto" w:fill="808080" w:themeFill="background1" w:themeFillShade="80"/>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0.58*</w:t>
            </w:r>
          </w:p>
        </w:tc>
        <w:tc>
          <w:tcPr>
            <w:tcW w:w="1789" w:type="dxa"/>
            <w:tcBorders>
              <w:right w:val="single" w:sz="4" w:space="0" w:color="auto"/>
            </w:tcBorders>
            <w:shd w:val="clear" w:color="auto" w:fill="A6A6A6" w:themeFill="background1" w:themeFillShade="A6"/>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0.30*</w:t>
            </w:r>
          </w:p>
        </w:tc>
      </w:tr>
      <w:tr w:rsidR="00D14EA0" w:rsidRPr="007C17BC" w:rsidTr="004672C4">
        <w:tc>
          <w:tcPr>
            <w:tcW w:w="3235" w:type="dxa"/>
            <w:tcBorders>
              <w:left w:val="single" w:sz="4" w:space="0" w:color="auto"/>
            </w:tcBorders>
            <w:shd w:val="clear" w:color="auto" w:fill="auto"/>
          </w:tcPr>
          <w:p w:rsidR="00D14EA0" w:rsidRPr="007C17BC" w:rsidRDefault="00D14EA0" w:rsidP="004672C4">
            <w:pPr>
              <w:spacing w:after="0" w:line="480" w:lineRule="auto"/>
              <w:rPr>
                <w:rFonts w:ascii="Arial" w:hAnsi="Arial" w:cs="Arial"/>
                <w:b/>
                <w:sz w:val="24"/>
                <w:szCs w:val="24"/>
                <w:lang w:val="en-US"/>
              </w:rPr>
            </w:pPr>
            <w:r w:rsidRPr="007C17BC">
              <w:rPr>
                <w:rFonts w:ascii="Arial" w:hAnsi="Arial" w:cs="Arial"/>
                <w:b/>
                <w:sz w:val="24"/>
                <w:szCs w:val="24"/>
                <w:lang w:val="en-US"/>
              </w:rPr>
              <w:t>CC-16</w:t>
            </w:r>
          </w:p>
        </w:tc>
        <w:tc>
          <w:tcPr>
            <w:tcW w:w="1980" w:type="dxa"/>
            <w:shd w:val="clear" w:color="auto" w:fill="F2F2F2"/>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0.24*</w:t>
            </w:r>
          </w:p>
        </w:tc>
        <w:tc>
          <w:tcPr>
            <w:tcW w:w="2070" w:type="dxa"/>
            <w:shd w:val="clear" w:color="auto" w:fill="F2F2F2"/>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0.14</w:t>
            </w:r>
          </w:p>
        </w:tc>
        <w:tc>
          <w:tcPr>
            <w:tcW w:w="1789" w:type="dxa"/>
            <w:tcBorders>
              <w:right w:val="single" w:sz="4" w:space="0" w:color="auto"/>
            </w:tcBorders>
            <w:shd w:val="clear" w:color="auto" w:fill="auto"/>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0.00</w:t>
            </w:r>
          </w:p>
        </w:tc>
      </w:tr>
      <w:tr w:rsidR="00D14EA0" w:rsidRPr="007C17BC" w:rsidTr="004672C4">
        <w:tc>
          <w:tcPr>
            <w:tcW w:w="3235" w:type="dxa"/>
            <w:tcBorders>
              <w:left w:val="single" w:sz="4" w:space="0" w:color="auto"/>
              <w:bottom w:val="single" w:sz="4" w:space="0" w:color="auto"/>
            </w:tcBorders>
            <w:shd w:val="clear" w:color="auto" w:fill="auto"/>
          </w:tcPr>
          <w:p w:rsidR="00D14EA0" w:rsidRPr="007C17BC" w:rsidRDefault="00D14EA0" w:rsidP="004672C4">
            <w:pPr>
              <w:spacing w:after="0" w:line="480" w:lineRule="auto"/>
              <w:rPr>
                <w:rFonts w:ascii="Arial" w:hAnsi="Arial" w:cs="Arial"/>
                <w:b/>
                <w:sz w:val="24"/>
                <w:szCs w:val="24"/>
                <w:lang w:val="en-US"/>
              </w:rPr>
            </w:pPr>
            <w:proofErr w:type="spellStart"/>
            <w:r w:rsidRPr="007C17BC">
              <w:rPr>
                <w:rFonts w:ascii="Arial" w:hAnsi="Arial" w:cs="Arial"/>
                <w:b/>
                <w:sz w:val="24"/>
                <w:szCs w:val="24"/>
                <w:lang w:val="en-US"/>
              </w:rPr>
              <w:t>sRAGE</w:t>
            </w:r>
            <w:proofErr w:type="spellEnd"/>
          </w:p>
        </w:tc>
        <w:tc>
          <w:tcPr>
            <w:tcW w:w="1980" w:type="dxa"/>
            <w:tcBorders>
              <w:bottom w:val="single" w:sz="4" w:space="0" w:color="auto"/>
            </w:tcBorders>
            <w:shd w:val="clear" w:color="auto" w:fill="A6A6A6" w:themeFill="background1" w:themeFillShade="A6"/>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0.39*</w:t>
            </w:r>
          </w:p>
        </w:tc>
        <w:tc>
          <w:tcPr>
            <w:tcW w:w="2070" w:type="dxa"/>
            <w:tcBorders>
              <w:bottom w:val="single" w:sz="4" w:space="0" w:color="auto"/>
            </w:tcBorders>
            <w:shd w:val="clear" w:color="auto" w:fill="FFFFFF" w:themeFill="background1"/>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0.20*</w:t>
            </w:r>
          </w:p>
        </w:tc>
        <w:tc>
          <w:tcPr>
            <w:tcW w:w="1789" w:type="dxa"/>
            <w:tcBorders>
              <w:bottom w:val="single" w:sz="4" w:space="0" w:color="auto"/>
              <w:right w:val="single" w:sz="4" w:space="0" w:color="auto"/>
            </w:tcBorders>
            <w:shd w:val="clear" w:color="auto" w:fill="FFFFFF" w:themeFill="background1"/>
          </w:tcPr>
          <w:p w:rsidR="00D14EA0" w:rsidRPr="007C17BC" w:rsidRDefault="00D14EA0" w:rsidP="004672C4">
            <w:pPr>
              <w:spacing w:after="0" w:line="480" w:lineRule="auto"/>
              <w:rPr>
                <w:rFonts w:ascii="Arial" w:hAnsi="Arial" w:cs="Arial"/>
                <w:sz w:val="24"/>
                <w:szCs w:val="24"/>
                <w:lang w:val="en-US"/>
              </w:rPr>
            </w:pPr>
            <w:r w:rsidRPr="007C17BC">
              <w:rPr>
                <w:rFonts w:ascii="Arial" w:hAnsi="Arial" w:cs="Arial"/>
                <w:sz w:val="24"/>
                <w:szCs w:val="24"/>
                <w:lang w:val="en-US"/>
              </w:rPr>
              <w:t>0.01</w:t>
            </w:r>
          </w:p>
        </w:tc>
      </w:tr>
    </w:tbl>
    <w:p w:rsidR="00D14EA0" w:rsidRPr="007C17BC" w:rsidRDefault="00D14EA0" w:rsidP="00985695">
      <w:pPr>
        <w:spacing w:after="0" w:line="480" w:lineRule="auto"/>
        <w:rPr>
          <w:rFonts w:ascii="Arial" w:hAnsi="Arial" w:cs="Arial"/>
          <w:sz w:val="24"/>
          <w:szCs w:val="24"/>
          <w:lang w:val="en-US"/>
        </w:rPr>
      </w:pPr>
    </w:p>
    <w:p w:rsidR="003A64DF" w:rsidRPr="007C17BC" w:rsidRDefault="00985695" w:rsidP="00985695">
      <w:pPr>
        <w:spacing w:after="0" w:line="480" w:lineRule="auto"/>
        <w:rPr>
          <w:rFonts w:ascii="Arial" w:hAnsi="Arial" w:cs="Arial"/>
          <w:sz w:val="24"/>
          <w:szCs w:val="24"/>
          <w:lang w:val="en-US"/>
        </w:rPr>
      </w:pPr>
      <w:r w:rsidRPr="007C17BC">
        <w:rPr>
          <w:rFonts w:ascii="Arial" w:hAnsi="Arial" w:cs="Arial"/>
          <w:sz w:val="24"/>
          <w:szCs w:val="24"/>
          <w:lang w:val="en-US"/>
        </w:rPr>
        <w:t xml:space="preserve">Rho values from 0 to 0.25 or from 0 to -0.25 indicate the absence of correlation (white), r values from 0.25 to 0.50 or from -0.25 to -0.50 are considered weak a correlation (light grey), r values ranging from 0.50 to 0.75 or -0.50 to -0.75 (dark grey) indicate a moderate to good correlation, and r values from 0.75 to 1 or from -0.75 to -1 point to very good to excellent correlations (1. </w:t>
      </w:r>
      <w:proofErr w:type="gramStart"/>
      <w:r w:rsidRPr="007C17BC">
        <w:rPr>
          <w:rStyle w:val="Emphasis"/>
          <w:rFonts w:ascii="Arial" w:hAnsi="Arial" w:cs="Arial"/>
          <w:sz w:val="24"/>
          <w:szCs w:val="24"/>
          <w:lang w:val="en-US"/>
        </w:rPr>
        <w:t>Dawson B, Tra</w:t>
      </w:r>
      <w:r w:rsidRPr="007C17BC">
        <w:rPr>
          <w:rStyle w:val="Emphasis"/>
          <w:rFonts w:ascii="Arial" w:hAnsi="Arial" w:cs="Arial"/>
          <w:sz w:val="24"/>
          <w:szCs w:val="24"/>
          <w:lang w:val="en-US"/>
        </w:rPr>
        <w:softHyphen/>
        <w:t>pp RG.</w:t>
      </w:r>
      <w:proofErr w:type="gramEnd"/>
      <w:r w:rsidRPr="007C17BC">
        <w:rPr>
          <w:rStyle w:val="Emphasis"/>
          <w:rFonts w:ascii="Arial" w:hAnsi="Arial" w:cs="Arial"/>
          <w:sz w:val="24"/>
          <w:szCs w:val="24"/>
          <w:lang w:val="en-US"/>
        </w:rPr>
        <w:t xml:space="preserve"> </w:t>
      </w:r>
      <w:proofErr w:type="gramStart"/>
      <w:r w:rsidRPr="007C17BC">
        <w:rPr>
          <w:rStyle w:val="Emphasis"/>
          <w:rFonts w:ascii="Arial" w:hAnsi="Arial" w:cs="Arial"/>
          <w:sz w:val="24"/>
          <w:szCs w:val="24"/>
          <w:lang w:val="en-US"/>
        </w:rPr>
        <w:t>Basic and Cli</w:t>
      </w:r>
      <w:r w:rsidRPr="007C17BC">
        <w:rPr>
          <w:rStyle w:val="Emphasis"/>
          <w:rFonts w:ascii="Arial" w:hAnsi="Arial" w:cs="Arial"/>
          <w:sz w:val="24"/>
          <w:szCs w:val="24"/>
          <w:lang w:val="en-US"/>
        </w:rPr>
        <w:softHyphen/>
        <w:t>nical Biostatistics.</w:t>
      </w:r>
      <w:proofErr w:type="gramEnd"/>
      <w:r w:rsidRPr="007C17BC">
        <w:rPr>
          <w:rStyle w:val="Emphasis"/>
          <w:rFonts w:ascii="Arial" w:hAnsi="Arial" w:cs="Arial"/>
          <w:sz w:val="24"/>
          <w:szCs w:val="24"/>
          <w:lang w:val="en-US"/>
        </w:rPr>
        <w:t xml:space="preserve"> </w:t>
      </w:r>
      <w:proofErr w:type="gramStart"/>
      <w:r w:rsidRPr="007C17BC">
        <w:rPr>
          <w:rStyle w:val="Emphasis"/>
          <w:rFonts w:ascii="Arial" w:hAnsi="Arial" w:cs="Arial"/>
          <w:sz w:val="24"/>
          <w:szCs w:val="24"/>
          <w:lang w:val="en-US"/>
        </w:rPr>
        <w:t>4th Ed.</w:t>
      </w:r>
      <w:proofErr w:type="gramEnd"/>
      <w:r w:rsidRPr="007C17BC">
        <w:rPr>
          <w:rStyle w:val="Emphasis"/>
          <w:rFonts w:ascii="Arial" w:hAnsi="Arial" w:cs="Arial"/>
          <w:sz w:val="24"/>
          <w:szCs w:val="24"/>
          <w:lang w:val="en-US"/>
        </w:rPr>
        <w:t xml:space="preserve"> New York: Lange Medical Books/McGraw-Hill; 2004.</w:t>
      </w:r>
      <w:r w:rsidRPr="007C17BC">
        <w:rPr>
          <w:rFonts w:ascii="Arial" w:hAnsi="Arial" w:cs="Arial"/>
          <w:sz w:val="24"/>
          <w:szCs w:val="24"/>
          <w:lang w:val="en-US"/>
        </w:rPr>
        <w:t>)</w:t>
      </w:r>
    </w:p>
    <w:p w:rsidR="004B5799" w:rsidRPr="007C17BC" w:rsidRDefault="00985695" w:rsidP="00985695">
      <w:pPr>
        <w:spacing w:after="0" w:line="480" w:lineRule="auto"/>
        <w:rPr>
          <w:rFonts w:ascii="Arial" w:hAnsi="Arial" w:cs="Arial"/>
          <w:sz w:val="24"/>
          <w:szCs w:val="24"/>
          <w:lang w:val="en-US"/>
        </w:rPr>
      </w:pPr>
      <w:r w:rsidRPr="007C17BC">
        <w:rPr>
          <w:rFonts w:ascii="Arial" w:hAnsi="Arial" w:cs="Arial"/>
          <w:sz w:val="24"/>
          <w:szCs w:val="24"/>
          <w:lang w:val="en-US"/>
        </w:rPr>
        <w:t xml:space="preserve">* </w:t>
      </w:r>
      <w:proofErr w:type="gramStart"/>
      <w:r w:rsidRPr="007C17BC">
        <w:rPr>
          <w:rFonts w:ascii="Arial" w:hAnsi="Arial" w:cs="Arial"/>
          <w:sz w:val="24"/>
          <w:szCs w:val="24"/>
          <w:lang w:val="en-US"/>
        </w:rPr>
        <w:t>p</w:t>
      </w:r>
      <w:proofErr w:type="gramEnd"/>
      <w:r w:rsidRPr="007C17BC">
        <w:rPr>
          <w:rFonts w:ascii="Arial" w:hAnsi="Arial" w:cs="Arial"/>
          <w:sz w:val="24"/>
          <w:szCs w:val="24"/>
          <w:lang w:val="en-US"/>
        </w:rPr>
        <w:t xml:space="preserve"> value </w:t>
      </w:r>
      <w:r w:rsidR="003A64DF" w:rsidRPr="007C17BC">
        <w:rPr>
          <w:rFonts w:ascii="Arial" w:hAnsi="Arial" w:cs="Arial"/>
          <w:sz w:val="24"/>
          <w:szCs w:val="24"/>
          <w:lang w:val="en-US"/>
        </w:rPr>
        <w:t>less than</w:t>
      </w:r>
      <w:r w:rsidRPr="007C17BC">
        <w:rPr>
          <w:rFonts w:ascii="Arial" w:hAnsi="Arial" w:cs="Arial"/>
          <w:sz w:val="24"/>
          <w:szCs w:val="24"/>
          <w:lang w:val="en-US"/>
        </w:rPr>
        <w:t xml:space="preserve"> 0.05</w:t>
      </w:r>
      <w:r w:rsidR="003A64DF" w:rsidRPr="007C17BC">
        <w:rPr>
          <w:rFonts w:ascii="Arial" w:hAnsi="Arial" w:cs="Arial"/>
          <w:sz w:val="24"/>
          <w:szCs w:val="24"/>
          <w:lang w:val="en-US"/>
        </w:rPr>
        <w:t xml:space="preserve"> was considered statistical significant</w:t>
      </w:r>
      <w:r w:rsidRPr="007C17BC">
        <w:rPr>
          <w:rFonts w:ascii="Arial" w:hAnsi="Arial" w:cs="Arial"/>
          <w:sz w:val="24"/>
          <w:szCs w:val="24"/>
          <w:lang w:val="en-US"/>
        </w:rPr>
        <w:t xml:space="preserve">. </w:t>
      </w:r>
      <w:r w:rsidR="003A64DF" w:rsidRPr="007C17BC">
        <w:rPr>
          <w:rFonts w:ascii="Arial" w:hAnsi="Arial" w:cs="Arial"/>
          <w:sz w:val="24"/>
          <w:szCs w:val="24"/>
          <w:lang w:val="en-US"/>
        </w:rPr>
        <w:t>ACE = Angiotensin conver</w:t>
      </w:r>
      <w:r w:rsidR="00586877" w:rsidRPr="007C17BC">
        <w:rPr>
          <w:rFonts w:ascii="Arial" w:hAnsi="Arial" w:cs="Arial"/>
          <w:sz w:val="24"/>
          <w:szCs w:val="24"/>
          <w:lang w:val="en-US"/>
        </w:rPr>
        <w:t>ting</w:t>
      </w:r>
      <w:bookmarkStart w:id="2" w:name="_GoBack"/>
      <w:bookmarkEnd w:id="2"/>
      <w:r w:rsidR="003A64DF" w:rsidRPr="007C17BC">
        <w:rPr>
          <w:rFonts w:ascii="Arial" w:hAnsi="Arial" w:cs="Arial"/>
          <w:sz w:val="24"/>
          <w:szCs w:val="24"/>
          <w:lang w:val="en-US"/>
        </w:rPr>
        <w:t xml:space="preserve"> enzyme; </w:t>
      </w:r>
      <w:r w:rsidRPr="007C17BC">
        <w:rPr>
          <w:rFonts w:ascii="Arial" w:hAnsi="Arial" w:cs="Arial"/>
          <w:sz w:val="24"/>
          <w:szCs w:val="24"/>
          <w:lang w:val="en-US"/>
        </w:rPr>
        <w:t xml:space="preserve">CC = </w:t>
      </w:r>
      <w:proofErr w:type="spellStart"/>
      <w:proofErr w:type="gramStart"/>
      <w:r w:rsidRPr="007C17BC">
        <w:rPr>
          <w:rFonts w:ascii="Arial" w:hAnsi="Arial" w:cs="Arial"/>
          <w:sz w:val="24"/>
          <w:szCs w:val="24"/>
          <w:lang w:val="en-US"/>
        </w:rPr>
        <w:t>clara</w:t>
      </w:r>
      <w:proofErr w:type="spellEnd"/>
      <w:proofErr w:type="gramEnd"/>
      <w:r w:rsidRPr="007C17BC">
        <w:rPr>
          <w:rFonts w:ascii="Arial" w:hAnsi="Arial" w:cs="Arial"/>
          <w:sz w:val="24"/>
          <w:szCs w:val="24"/>
          <w:lang w:val="en-US"/>
        </w:rPr>
        <w:t xml:space="preserve"> cell</w:t>
      </w:r>
      <w:r w:rsidR="003A64DF" w:rsidRPr="007C17BC">
        <w:rPr>
          <w:rFonts w:ascii="Arial" w:hAnsi="Arial" w:cs="Arial"/>
          <w:sz w:val="24"/>
          <w:szCs w:val="24"/>
          <w:lang w:val="en-US"/>
        </w:rPr>
        <w:t>;</w:t>
      </w:r>
      <w:r w:rsidRPr="007C17BC">
        <w:rPr>
          <w:rFonts w:ascii="Arial" w:hAnsi="Arial" w:cs="Arial"/>
          <w:sz w:val="24"/>
          <w:szCs w:val="24"/>
          <w:lang w:val="en-US"/>
        </w:rPr>
        <w:t xml:space="preserve"> </w:t>
      </w:r>
      <w:r w:rsidR="003A64DF" w:rsidRPr="007C17BC">
        <w:rPr>
          <w:rFonts w:ascii="Arial" w:hAnsi="Arial" w:cs="Arial"/>
          <w:sz w:val="24"/>
          <w:szCs w:val="24"/>
          <w:lang w:val="en-US"/>
        </w:rPr>
        <w:t xml:space="preserve">ICAM = intercellular adhesion molecule; IL = </w:t>
      </w:r>
      <w:r w:rsidR="003A64DF" w:rsidRPr="007C17BC">
        <w:rPr>
          <w:rFonts w:ascii="Arial" w:hAnsi="Arial" w:cs="Arial"/>
          <w:sz w:val="24"/>
          <w:szCs w:val="24"/>
          <w:lang w:val="en-US"/>
        </w:rPr>
        <w:lastRenderedPageBreak/>
        <w:t xml:space="preserve">interleukin; VEGF = vascular endothelial growth factor; MPO = myeloperoxidase; </w:t>
      </w:r>
      <w:proofErr w:type="spellStart"/>
      <w:r w:rsidRPr="007C17BC">
        <w:rPr>
          <w:rFonts w:ascii="Arial" w:hAnsi="Arial" w:cs="Arial"/>
          <w:sz w:val="24"/>
          <w:szCs w:val="24"/>
          <w:lang w:val="en-US"/>
        </w:rPr>
        <w:t>sRAGE</w:t>
      </w:r>
      <w:proofErr w:type="spellEnd"/>
      <w:r w:rsidRPr="007C17BC">
        <w:rPr>
          <w:rFonts w:ascii="Arial" w:hAnsi="Arial" w:cs="Arial"/>
          <w:sz w:val="24"/>
          <w:szCs w:val="24"/>
          <w:lang w:val="en-US"/>
        </w:rPr>
        <w:t xml:space="preserve"> = soluble receptor for advanced glycation end-products</w:t>
      </w:r>
      <w:r w:rsidR="003A64DF" w:rsidRPr="007C17BC">
        <w:rPr>
          <w:rFonts w:ascii="Arial" w:hAnsi="Arial" w:cs="Arial"/>
          <w:sz w:val="24"/>
          <w:szCs w:val="24"/>
          <w:lang w:val="en-US"/>
        </w:rPr>
        <w:t xml:space="preserve">. </w:t>
      </w:r>
    </w:p>
    <w:p w:rsidR="00B5188E" w:rsidRPr="007C17BC" w:rsidRDefault="00B5188E">
      <w:pPr>
        <w:spacing w:after="160" w:line="259" w:lineRule="auto"/>
        <w:rPr>
          <w:rFonts w:ascii="Arial" w:hAnsi="Arial" w:cs="Arial"/>
          <w:sz w:val="24"/>
          <w:szCs w:val="24"/>
          <w:lang w:val="en-US"/>
        </w:rPr>
      </w:pPr>
    </w:p>
    <w:p w:rsidR="00D80ADF" w:rsidRPr="007C17BC" w:rsidRDefault="00D80ADF">
      <w:pPr>
        <w:spacing w:after="160" w:line="259" w:lineRule="auto"/>
        <w:rPr>
          <w:rFonts w:ascii="Arial" w:hAnsi="Arial" w:cs="Arial"/>
          <w:b/>
          <w:sz w:val="24"/>
          <w:szCs w:val="24"/>
          <w:lang w:val="en-US"/>
        </w:rPr>
      </w:pPr>
      <w:r w:rsidRPr="007C17BC">
        <w:rPr>
          <w:rFonts w:ascii="Arial" w:hAnsi="Arial" w:cs="Arial"/>
          <w:b/>
          <w:sz w:val="24"/>
          <w:szCs w:val="24"/>
          <w:lang w:val="en-US"/>
        </w:rPr>
        <w:br w:type="page"/>
      </w:r>
    </w:p>
    <w:p w:rsidR="004B5799" w:rsidRPr="007C17BC" w:rsidRDefault="00B5188E" w:rsidP="00B5188E">
      <w:pPr>
        <w:spacing w:after="0" w:line="480" w:lineRule="auto"/>
        <w:rPr>
          <w:rFonts w:ascii="Arial" w:hAnsi="Arial" w:cs="Arial"/>
          <w:b/>
          <w:sz w:val="24"/>
          <w:szCs w:val="24"/>
          <w:lang w:val="en-US"/>
        </w:rPr>
      </w:pPr>
      <w:proofErr w:type="gramStart"/>
      <w:r w:rsidRPr="007C17BC">
        <w:rPr>
          <w:rFonts w:ascii="Arial" w:hAnsi="Arial" w:cs="Arial"/>
          <w:b/>
          <w:sz w:val="24"/>
          <w:szCs w:val="24"/>
          <w:lang w:val="en-US"/>
        </w:rPr>
        <w:lastRenderedPageBreak/>
        <w:t>Table 3.</w:t>
      </w:r>
      <w:proofErr w:type="gramEnd"/>
      <w:r w:rsidRPr="007C17BC">
        <w:rPr>
          <w:rFonts w:ascii="Arial" w:hAnsi="Arial" w:cs="Arial"/>
          <w:b/>
          <w:sz w:val="24"/>
          <w:szCs w:val="24"/>
          <w:lang w:val="en-US"/>
        </w:rPr>
        <w:t xml:space="preserve"> </w:t>
      </w:r>
      <w:proofErr w:type="gramStart"/>
      <w:r w:rsidRPr="007C17BC">
        <w:rPr>
          <w:rFonts w:ascii="Arial" w:hAnsi="Arial" w:cs="Arial"/>
          <w:b/>
          <w:sz w:val="24"/>
          <w:szCs w:val="24"/>
          <w:lang w:val="en-US"/>
        </w:rPr>
        <w:t>Association between age-groups and biomarkers in bronchoalveolar lavage fluid of ARDS patients.</w:t>
      </w:r>
      <w:proofErr w:type="gramEnd"/>
    </w:p>
    <w:tbl>
      <w:tblPr>
        <w:tblStyle w:val="TableGrid"/>
        <w:tblW w:w="0" w:type="auto"/>
        <w:tblLook w:val="04A0"/>
      </w:tblPr>
      <w:tblGrid>
        <w:gridCol w:w="1812"/>
        <w:gridCol w:w="1812"/>
        <w:gridCol w:w="1812"/>
        <w:gridCol w:w="1813"/>
        <w:gridCol w:w="1813"/>
      </w:tblGrid>
      <w:tr w:rsidR="00A33A00" w:rsidRPr="007C17BC" w:rsidTr="00A33A00">
        <w:trPr>
          <w:trHeight w:hRule="exact" w:val="425"/>
        </w:trPr>
        <w:tc>
          <w:tcPr>
            <w:tcW w:w="1812" w:type="dxa"/>
            <w:tcBorders>
              <w:top w:val="single" w:sz="4" w:space="0" w:color="auto"/>
              <w:left w:val="single" w:sz="4" w:space="0" w:color="auto"/>
              <w:bottom w:val="nil"/>
              <w:right w:val="single" w:sz="4" w:space="0" w:color="auto"/>
            </w:tcBorders>
          </w:tcPr>
          <w:p w:rsidR="00A33A00" w:rsidRPr="007C17BC" w:rsidRDefault="00A33A00" w:rsidP="00A33A00">
            <w:pPr>
              <w:rPr>
                <w:rFonts w:ascii="Arial" w:hAnsi="Arial" w:cs="Arial"/>
                <w:sz w:val="24"/>
                <w:szCs w:val="24"/>
                <w:lang w:val="en-US"/>
              </w:rPr>
            </w:pPr>
          </w:p>
        </w:tc>
        <w:tc>
          <w:tcPr>
            <w:tcW w:w="3624" w:type="dxa"/>
            <w:gridSpan w:val="2"/>
            <w:tcBorders>
              <w:top w:val="single" w:sz="4" w:space="0" w:color="auto"/>
              <w:left w:val="single" w:sz="4" w:space="0" w:color="auto"/>
              <w:bottom w:val="nil"/>
              <w:right w:val="single" w:sz="4" w:space="0" w:color="auto"/>
            </w:tcBorders>
          </w:tcPr>
          <w:p w:rsidR="00A33A00" w:rsidRPr="007C17BC" w:rsidRDefault="00A33A00" w:rsidP="00A33A00">
            <w:pPr>
              <w:jc w:val="center"/>
              <w:rPr>
                <w:rFonts w:ascii="Arial" w:hAnsi="Arial" w:cs="Arial"/>
                <w:b/>
                <w:sz w:val="24"/>
                <w:szCs w:val="24"/>
                <w:lang w:val="en-US"/>
              </w:rPr>
            </w:pPr>
            <w:r w:rsidRPr="007C17BC">
              <w:rPr>
                <w:rFonts w:ascii="Arial" w:hAnsi="Arial" w:cs="Arial"/>
                <w:b/>
                <w:sz w:val="24"/>
                <w:szCs w:val="24"/>
                <w:lang w:val="en-US"/>
              </w:rPr>
              <w:t>Unadjusted</w:t>
            </w:r>
          </w:p>
        </w:tc>
        <w:tc>
          <w:tcPr>
            <w:tcW w:w="3626" w:type="dxa"/>
            <w:gridSpan w:val="2"/>
            <w:tcBorders>
              <w:top w:val="single" w:sz="4" w:space="0" w:color="auto"/>
              <w:left w:val="single" w:sz="4" w:space="0" w:color="auto"/>
              <w:bottom w:val="nil"/>
              <w:right w:val="single" w:sz="4" w:space="0" w:color="auto"/>
            </w:tcBorders>
          </w:tcPr>
          <w:p w:rsidR="00A33A00" w:rsidRPr="007C17BC" w:rsidRDefault="00A33A00" w:rsidP="00A33A00">
            <w:pPr>
              <w:jc w:val="center"/>
              <w:rPr>
                <w:rFonts w:ascii="Arial" w:hAnsi="Arial" w:cs="Arial"/>
                <w:b/>
                <w:sz w:val="24"/>
                <w:szCs w:val="24"/>
                <w:lang w:val="en-US"/>
              </w:rPr>
            </w:pPr>
            <w:r w:rsidRPr="007C17BC">
              <w:rPr>
                <w:rFonts w:ascii="Arial" w:hAnsi="Arial" w:cs="Arial"/>
                <w:b/>
                <w:sz w:val="24"/>
                <w:szCs w:val="24"/>
                <w:lang w:val="en-US"/>
              </w:rPr>
              <w:t>Adjusted for PaO</w:t>
            </w:r>
            <w:r w:rsidRPr="007C17BC">
              <w:rPr>
                <w:rFonts w:ascii="Arial" w:hAnsi="Arial" w:cs="Arial"/>
                <w:b/>
                <w:sz w:val="24"/>
                <w:szCs w:val="24"/>
                <w:vertAlign w:val="subscript"/>
                <w:lang w:val="en-US"/>
              </w:rPr>
              <w:t>2</w:t>
            </w:r>
            <w:r w:rsidRPr="007C17BC">
              <w:rPr>
                <w:rFonts w:ascii="Arial" w:hAnsi="Arial" w:cs="Arial"/>
                <w:b/>
                <w:sz w:val="24"/>
                <w:szCs w:val="24"/>
                <w:lang w:val="en-US"/>
              </w:rPr>
              <w:t>:FiO</w:t>
            </w:r>
            <w:r w:rsidRPr="007C17BC">
              <w:rPr>
                <w:rFonts w:ascii="Arial" w:hAnsi="Arial" w:cs="Arial"/>
                <w:b/>
                <w:sz w:val="24"/>
                <w:szCs w:val="24"/>
                <w:vertAlign w:val="subscript"/>
                <w:lang w:val="en-US"/>
              </w:rPr>
              <w:t>2</w:t>
            </w:r>
          </w:p>
        </w:tc>
      </w:tr>
      <w:tr w:rsidR="00A33A00" w:rsidRPr="007C17BC" w:rsidTr="00A33A00">
        <w:trPr>
          <w:trHeight w:hRule="exact" w:val="425"/>
        </w:trPr>
        <w:tc>
          <w:tcPr>
            <w:tcW w:w="1812" w:type="dxa"/>
            <w:tcBorders>
              <w:top w:val="single" w:sz="4" w:space="0" w:color="auto"/>
            </w:tcBorders>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MPO</w:t>
            </w:r>
          </w:p>
        </w:tc>
        <w:tc>
          <w:tcPr>
            <w:tcW w:w="1812" w:type="dxa"/>
            <w:tcBorders>
              <w:top w:val="single" w:sz="4" w:space="0" w:color="auto"/>
            </w:tcBorders>
            <w:shd w:val="clear" w:color="auto" w:fill="BFBFBF" w:themeFill="background1" w:themeFillShade="BF"/>
          </w:tcPr>
          <w:p w:rsidR="00A33A00" w:rsidRPr="007C17BC" w:rsidRDefault="00AC79C6" w:rsidP="004672C4">
            <w:pPr>
              <w:rPr>
                <w:rFonts w:ascii="Arial" w:hAnsi="Arial" w:cs="Arial"/>
                <w:b/>
                <w:sz w:val="24"/>
                <w:szCs w:val="24"/>
                <w:lang w:val="en-US"/>
              </w:rPr>
            </w:pPr>
            <w:r w:rsidRPr="007C17BC">
              <w:rPr>
                <w:rFonts w:ascii="Arial" w:hAnsi="Arial" w:cs="Arial"/>
                <w:b/>
                <w:sz w:val="24"/>
                <w:szCs w:val="24"/>
                <w:lang w:val="en-US"/>
              </w:rPr>
              <w:t>ß-co</w:t>
            </w:r>
            <w:r w:rsidR="004672C4" w:rsidRPr="007C17BC">
              <w:rPr>
                <w:rFonts w:ascii="Arial" w:hAnsi="Arial" w:cs="Arial"/>
                <w:b/>
                <w:sz w:val="24"/>
                <w:szCs w:val="24"/>
                <w:lang w:val="en-US"/>
              </w:rPr>
              <w:t>e</w:t>
            </w:r>
            <w:r w:rsidRPr="007C17BC">
              <w:rPr>
                <w:rFonts w:ascii="Arial" w:hAnsi="Arial" w:cs="Arial"/>
                <w:b/>
                <w:sz w:val="24"/>
                <w:szCs w:val="24"/>
                <w:lang w:val="en-US"/>
              </w:rPr>
              <w:t>ffici</w:t>
            </w:r>
            <w:r w:rsidR="004672C4" w:rsidRPr="007C17BC">
              <w:rPr>
                <w:rFonts w:ascii="Arial" w:hAnsi="Arial" w:cs="Arial"/>
                <w:b/>
                <w:sz w:val="24"/>
                <w:szCs w:val="24"/>
                <w:lang w:val="en-US"/>
              </w:rPr>
              <w:t>e</w:t>
            </w:r>
            <w:r w:rsidRPr="007C17BC">
              <w:rPr>
                <w:rFonts w:ascii="Arial" w:hAnsi="Arial" w:cs="Arial"/>
                <w:b/>
                <w:sz w:val="24"/>
                <w:szCs w:val="24"/>
                <w:lang w:val="en-US"/>
              </w:rPr>
              <w:t>nt</w:t>
            </w:r>
          </w:p>
        </w:tc>
        <w:tc>
          <w:tcPr>
            <w:tcW w:w="1812" w:type="dxa"/>
            <w:tcBorders>
              <w:top w:val="single" w:sz="4" w:space="0" w:color="auto"/>
            </w:tcBorders>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p-value</w:t>
            </w:r>
          </w:p>
        </w:tc>
        <w:tc>
          <w:tcPr>
            <w:tcW w:w="1813" w:type="dxa"/>
            <w:tcBorders>
              <w:top w:val="single" w:sz="4" w:space="0" w:color="auto"/>
            </w:tcBorders>
            <w:shd w:val="clear" w:color="auto" w:fill="BFBFBF" w:themeFill="background1" w:themeFillShade="BF"/>
          </w:tcPr>
          <w:p w:rsidR="00A33A00" w:rsidRPr="007C17BC" w:rsidRDefault="0015044C" w:rsidP="00A33A00">
            <w:pPr>
              <w:rPr>
                <w:rFonts w:ascii="Arial" w:hAnsi="Arial" w:cs="Arial"/>
                <w:b/>
                <w:sz w:val="24"/>
                <w:szCs w:val="24"/>
                <w:lang w:val="en-US"/>
              </w:rPr>
            </w:pPr>
            <w:r w:rsidRPr="007C17BC">
              <w:rPr>
                <w:rFonts w:ascii="Arial" w:hAnsi="Arial" w:cs="Arial"/>
                <w:b/>
                <w:sz w:val="24"/>
                <w:szCs w:val="24"/>
                <w:lang w:val="en-US"/>
              </w:rPr>
              <w:t>ß-coefficient</w:t>
            </w:r>
          </w:p>
        </w:tc>
        <w:tc>
          <w:tcPr>
            <w:tcW w:w="1813" w:type="dxa"/>
            <w:tcBorders>
              <w:top w:val="single" w:sz="4" w:space="0" w:color="auto"/>
            </w:tcBorders>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-0.09</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0.82</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0.69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0.92</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0.02</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1.01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1.36</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1.51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IL-6</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0.98</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1.16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0.98</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1.05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1.07</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1.18</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0.28</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IL-10</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1.94</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1.97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1.32</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0.04</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1.33</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0.06</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ICAM-1</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-0.60</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0.25</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-1.30</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&lt;0.01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-1.29</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-1.38</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0.02</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-1.36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0.01</w:t>
            </w:r>
          </w:p>
        </w:tc>
      </w:tr>
      <w:tr w:rsidR="00D14EA0" w:rsidRPr="007C17BC" w:rsidTr="004672C4">
        <w:trPr>
          <w:trHeight w:hRule="exact" w:val="425"/>
        </w:trPr>
        <w:tc>
          <w:tcPr>
            <w:tcW w:w="1812" w:type="dxa"/>
            <w:shd w:val="clear" w:color="auto" w:fill="BFBFBF" w:themeFill="background1" w:themeFillShade="BF"/>
          </w:tcPr>
          <w:p w:rsidR="00D14EA0" w:rsidRPr="007C17BC" w:rsidRDefault="00AE185F" w:rsidP="004672C4">
            <w:pPr>
              <w:rPr>
                <w:rFonts w:ascii="Arial" w:hAnsi="Arial" w:cs="Arial"/>
                <w:b/>
                <w:sz w:val="24"/>
                <w:szCs w:val="24"/>
                <w:lang w:val="en-US"/>
              </w:rPr>
            </w:pPr>
            <w:r w:rsidRPr="007C17BC">
              <w:rPr>
                <w:rFonts w:ascii="Arial" w:hAnsi="Arial" w:cs="Arial"/>
                <w:b/>
                <w:sz w:val="24"/>
                <w:szCs w:val="24"/>
                <w:lang w:val="en-US"/>
              </w:rPr>
              <w:t>p</w:t>
            </w:r>
            <w:r w:rsidR="00D14EA0" w:rsidRPr="007C17BC">
              <w:rPr>
                <w:rFonts w:ascii="Arial" w:hAnsi="Arial" w:cs="Arial"/>
                <w:b/>
                <w:sz w:val="24"/>
                <w:szCs w:val="24"/>
                <w:lang w:val="en-US"/>
              </w:rPr>
              <w:t>-selectin</w:t>
            </w:r>
          </w:p>
        </w:tc>
        <w:tc>
          <w:tcPr>
            <w:tcW w:w="1812" w:type="dxa"/>
            <w:shd w:val="clear" w:color="auto" w:fill="BFBFBF" w:themeFill="background1" w:themeFillShade="BF"/>
          </w:tcPr>
          <w:p w:rsidR="00D14EA0" w:rsidRPr="007C17BC" w:rsidRDefault="0015044C" w:rsidP="004672C4">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D14EA0" w:rsidRPr="007C17BC" w:rsidRDefault="00D14EA0" w:rsidP="004672C4">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D14EA0" w:rsidRPr="007C17BC" w:rsidRDefault="0015044C" w:rsidP="004672C4">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D14EA0" w:rsidRPr="007C17BC" w:rsidRDefault="00D14EA0" w:rsidP="004672C4">
            <w:pPr>
              <w:rPr>
                <w:rFonts w:ascii="Arial" w:hAnsi="Arial" w:cs="Arial"/>
                <w:sz w:val="24"/>
                <w:szCs w:val="24"/>
                <w:lang w:val="en-US"/>
              </w:rPr>
            </w:pPr>
            <w:r w:rsidRPr="007C17BC">
              <w:rPr>
                <w:rFonts w:ascii="Arial" w:hAnsi="Arial" w:cs="Arial"/>
                <w:b/>
                <w:sz w:val="24"/>
                <w:szCs w:val="24"/>
                <w:lang w:val="en-US"/>
              </w:rPr>
              <w:t>p-value</w:t>
            </w:r>
          </w:p>
        </w:tc>
      </w:tr>
      <w:tr w:rsidR="00D14EA0" w:rsidRPr="007C17BC" w:rsidTr="004672C4">
        <w:trPr>
          <w:trHeight w:hRule="exact" w:val="425"/>
        </w:trPr>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D14EA0" w:rsidRPr="007C17BC" w:rsidRDefault="00D14EA0" w:rsidP="004672C4">
            <w:pPr>
              <w:rPr>
                <w:rFonts w:ascii="Arial" w:hAnsi="Arial" w:cs="Arial"/>
                <w:sz w:val="24"/>
                <w:szCs w:val="24"/>
                <w:lang w:val="en-US"/>
              </w:rPr>
            </w:pP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D14EA0" w:rsidRPr="007C17BC" w:rsidRDefault="00D14EA0" w:rsidP="004672C4">
            <w:pPr>
              <w:rPr>
                <w:rFonts w:ascii="Arial" w:hAnsi="Arial" w:cs="Arial"/>
                <w:sz w:val="24"/>
                <w:szCs w:val="24"/>
                <w:lang w:val="en-US"/>
              </w:rPr>
            </w:pPr>
          </w:p>
        </w:tc>
      </w:tr>
      <w:tr w:rsidR="00D14EA0" w:rsidRPr="007C17BC" w:rsidTr="004672C4">
        <w:trPr>
          <w:trHeight w:hRule="exact" w:val="425"/>
        </w:trPr>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0.53</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0.32</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0.62</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0.27</w:t>
            </w:r>
          </w:p>
        </w:tc>
      </w:tr>
      <w:tr w:rsidR="00D14EA0" w:rsidRPr="007C17BC" w:rsidTr="004672C4">
        <w:trPr>
          <w:trHeight w:hRule="exact" w:val="425"/>
        </w:trPr>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1.10</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0.05</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1.14</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0.04</w:t>
            </w:r>
          </w:p>
        </w:tc>
      </w:tr>
      <w:tr w:rsidR="00D14EA0" w:rsidRPr="007C17BC" w:rsidTr="004672C4">
        <w:trPr>
          <w:trHeight w:hRule="exact" w:val="425"/>
        </w:trPr>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1.29</w:t>
            </w:r>
          </w:p>
        </w:tc>
        <w:tc>
          <w:tcPr>
            <w:tcW w:w="1812"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0.04</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1.35</w:t>
            </w:r>
          </w:p>
        </w:tc>
        <w:tc>
          <w:tcPr>
            <w:tcW w:w="1813" w:type="dxa"/>
          </w:tcPr>
          <w:p w:rsidR="00D14EA0" w:rsidRPr="007C17BC" w:rsidRDefault="00D14EA0" w:rsidP="004672C4">
            <w:pPr>
              <w:rPr>
                <w:rFonts w:ascii="Arial" w:hAnsi="Arial" w:cs="Arial"/>
                <w:sz w:val="24"/>
                <w:szCs w:val="24"/>
                <w:lang w:val="en-US"/>
              </w:rPr>
            </w:pPr>
            <w:r w:rsidRPr="007C17BC">
              <w:rPr>
                <w:rFonts w:ascii="Arial" w:hAnsi="Arial" w:cs="Arial"/>
                <w:sz w:val="24"/>
                <w:szCs w:val="24"/>
                <w:lang w:val="en-US"/>
              </w:rPr>
              <w:t>0.03</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VEGF</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0.36</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0.83</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-0.05</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0.90</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-0.08</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0.58</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lastRenderedPageBreak/>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0.30</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0.49</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0.38</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Protein</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0.32</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0.39</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0.23</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0.30</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0.36</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0.55</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0.20</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0.42</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0.14</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CC-16</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0.06</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0.80</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0.82</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-0.13</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0.58</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0.21</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0.45</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s-RAGE</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0.12</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0.39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0.51</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0.45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0.58</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0.79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0.08</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0.91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0.20</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0.27</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ACE activity</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14</w:t>
            </w:r>
          </w:p>
        </w:tc>
        <w:tc>
          <w:tcPr>
            <w:tcW w:w="1812"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0.94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00</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99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07</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27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06</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30</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08</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25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08</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27</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ACE2 activity</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-0.24</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0.8</w:t>
            </w:r>
            <w:r w:rsidR="00296949" w:rsidRPr="007C17BC">
              <w:rPr>
                <w:rFonts w:ascii="Arial" w:hAnsi="Arial" w:cs="Arial"/>
                <w:sz w:val="24"/>
                <w:szCs w:val="24"/>
                <w:lang w:val="en-US"/>
              </w:rPr>
              <w:t>8</w:t>
            </w:r>
          </w:p>
        </w:tc>
        <w:tc>
          <w:tcPr>
            <w:tcW w:w="1813"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-0.39</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81</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2.17</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18</w:t>
            </w:r>
          </w:p>
        </w:tc>
        <w:tc>
          <w:tcPr>
            <w:tcW w:w="1813"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2.11</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19</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0.72</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68</w:t>
            </w:r>
          </w:p>
        </w:tc>
        <w:tc>
          <w:tcPr>
            <w:tcW w:w="1813" w:type="dxa"/>
          </w:tcPr>
          <w:p w:rsidR="00A33A00" w:rsidRPr="007C17BC" w:rsidRDefault="00296949" w:rsidP="00A33A00">
            <w:pPr>
              <w:rPr>
                <w:rFonts w:ascii="Arial" w:hAnsi="Arial" w:cs="Arial"/>
                <w:sz w:val="24"/>
                <w:szCs w:val="24"/>
                <w:lang w:val="en-US"/>
              </w:rPr>
            </w:pPr>
            <w:r w:rsidRPr="007C17BC">
              <w:rPr>
                <w:rFonts w:ascii="Arial" w:hAnsi="Arial" w:cs="Arial"/>
                <w:sz w:val="24"/>
                <w:szCs w:val="24"/>
                <w:lang w:val="en-US"/>
              </w:rPr>
              <w:t>0.63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296949" w:rsidRPr="007C17BC">
              <w:rPr>
                <w:rFonts w:ascii="Arial" w:hAnsi="Arial" w:cs="Arial"/>
                <w:sz w:val="24"/>
                <w:szCs w:val="24"/>
                <w:lang w:val="en-US"/>
              </w:rPr>
              <w:t>73</w:t>
            </w:r>
          </w:p>
        </w:tc>
      </w:tr>
      <w:tr w:rsidR="00A33A00" w:rsidRPr="007C17BC" w:rsidTr="00A33A00">
        <w:trPr>
          <w:trHeight w:hRule="exact" w:val="425"/>
        </w:trPr>
        <w:tc>
          <w:tcPr>
            <w:tcW w:w="1812" w:type="dxa"/>
            <w:shd w:val="clear" w:color="auto" w:fill="BFBFBF" w:themeFill="background1" w:themeFillShade="BF"/>
          </w:tcPr>
          <w:p w:rsidR="00A33A00" w:rsidRPr="007C17BC" w:rsidRDefault="00A33A00" w:rsidP="00A33A00">
            <w:pPr>
              <w:rPr>
                <w:rFonts w:ascii="Arial" w:hAnsi="Arial" w:cs="Arial"/>
                <w:b/>
                <w:sz w:val="24"/>
                <w:szCs w:val="24"/>
                <w:lang w:val="en-US"/>
              </w:rPr>
            </w:pPr>
            <w:r w:rsidRPr="007C17BC">
              <w:rPr>
                <w:rFonts w:ascii="Arial" w:hAnsi="Arial" w:cs="Arial"/>
                <w:b/>
                <w:sz w:val="24"/>
                <w:szCs w:val="24"/>
                <w:lang w:val="en-US"/>
              </w:rPr>
              <w:t>ACE</w:t>
            </w:r>
            <w:r w:rsidR="00552017" w:rsidRPr="007C17BC">
              <w:rPr>
                <w:rFonts w:ascii="Arial" w:hAnsi="Arial" w:cs="Arial"/>
                <w:b/>
                <w:sz w:val="24"/>
                <w:szCs w:val="24"/>
                <w:lang w:val="en-US"/>
              </w:rPr>
              <w:t>2</w:t>
            </w:r>
            <w:r w:rsidRPr="007C17BC">
              <w:rPr>
                <w:rFonts w:ascii="Arial" w:hAnsi="Arial" w:cs="Arial"/>
                <w:b/>
                <w:sz w:val="24"/>
                <w:szCs w:val="24"/>
                <w:lang w:val="en-US"/>
              </w:rPr>
              <w:t>:ACE</w:t>
            </w:r>
          </w:p>
        </w:tc>
        <w:tc>
          <w:tcPr>
            <w:tcW w:w="1812"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2"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c>
          <w:tcPr>
            <w:tcW w:w="1813" w:type="dxa"/>
            <w:shd w:val="clear" w:color="auto" w:fill="BFBFBF" w:themeFill="background1" w:themeFillShade="BF"/>
          </w:tcPr>
          <w:p w:rsidR="00A33A00" w:rsidRPr="007C17BC" w:rsidRDefault="0015044C" w:rsidP="00A33A00">
            <w:pPr>
              <w:rPr>
                <w:rFonts w:ascii="Arial" w:hAnsi="Arial" w:cs="Arial"/>
                <w:sz w:val="24"/>
                <w:szCs w:val="24"/>
                <w:lang w:val="en-US"/>
              </w:rPr>
            </w:pPr>
            <w:r w:rsidRPr="007C17BC">
              <w:rPr>
                <w:rFonts w:ascii="Arial" w:hAnsi="Arial" w:cs="Arial"/>
                <w:b/>
                <w:sz w:val="24"/>
                <w:szCs w:val="24"/>
                <w:lang w:val="en-US"/>
              </w:rPr>
              <w:t>ß-coefficient</w:t>
            </w:r>
          </w:p>
        </w:tc>
        <w:tc>
          <w:tcPr>
            <w:tcW w:w="1813" w:type="dxa"/>
            <w:shd w:val="clear" w:color="auto" w:fill="BFBFBF" w:themeFill="background1" w:themeFillShade="BF"/>
          </w:tcPr>
          <w:p w:rsidR="00A33A00" w:rsidRPr="007C17BC" w:rsidRDefault="00A33A00" w:rsidP="00A33A00">
            <w:pPr>
              <w:rPr>
                <w:rFonts w:ascii="Arial" w:hAnsi="Arial" w:cs="Arial"/>
                <w:sz w:val="24"/>
                <w:szCs w:val="24"/>
                <w:lang w:val="en-US"/>
              </w:rPr>
            </w:pPr>
            <w:r w:rsidRPr="007C17BC">
              <w:rPr>
                <w:rFonts w:ascii="Arial" w:hAnsi="Arial" w:cs="Arial"/>
                <w:b/>
                <w:sz w:val="24"/>
                <w:szCs w:val="24"/>
                <w:lang w:val="en-US"/>
              </w:rPr>
              <w:t>p-value</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Neonates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2" w:type="dxa"/>
          </w:tcPr>
          <w:p w:rsidR="00A33A00" w:rsidRPr="007C17BC" w:rsidRDefault="00A33A00" w:rsidP="00A33A00">
            <w:pPr>
              <w:rPr>
                <w:rFonts w:ascii="Arial" w:hAnsi="Arial" w:cs="Arial"/>
                <w:sz w:val="24"/>
                <w:szCs w:val="24"/>
                <w:lang w:val="en-US"/>
              </w:rPr>
            </w:pP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Reference</w:t>
            </w:r>
          </w:p>
        </w:tc>
        <w:tc>
          <w:tcPr>
            <w:tcW w:w="1813" w:type="dxa"/>
          </w:tcPr>
          <w:p w:rsidR="00A33A00" w:rsidRPr="007C17BC" w:rsidRDefault="00A33A00" w:rsidP="00A33A00">
            <w:pPr>
              <w:rPr>
                <w:rFonts w:ascii="Arial" w:hAnsi="Arial" w:cs="Arial"/>
                <w:sz w:val="24"/>
                <w:szCs w:val="24"/>
                <w:lang w:val="en-US"/>
              </w:rPr>
            </w:pP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Children</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04</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67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0.0</w:t>
            </w:r>
            <w:r w:rsidR="00EA4DAC" w:rsidRPr="007C17BC">
              <w:rPr>
                <w:rFonts w:ascii="Arial" w:hAnsi="Arial" w:cs="Arial"/>
                <w:sz w:val="24"/>
                <w:szCs w:val="24"/>
                <w:lang w:val="en-US"/>
              </w:rPr>
              <w:t>5</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55</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13</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13</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14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12</w:t>
            </w:r>
          </w:p>
        </w:tc>
      </w:tr>
      <w:tr w:rsidR="00A33A00" w:rsidRPr="007C17BC" w:rsidTr="00A33A00">
        <w:trPr>
          <w:trHeight w:hRule="exact" w:val="425"/>
        </w:trPr>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Older adults</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03</w:t>
            </w:r>
          </w:p>
        </w:tc>
        <w:tc>
          <w:tcPr>
            <w:tcW w:w="1812"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77</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04</w:t>
            </w:r>
          </w:p>
        </w:tc>
        <w:tc>
          <w:tcPr>
            <w:tcW w:w="1813" w:type="dxa"/>
          </w:tcPr>
          <w:p w:rsidR="00A33A00" w:rsidRPr="007C17BC" w:rsidRDefault="00A33A00" w:rsidP="00A33A00">
            <w:pPr>
              <w:rPr>
                <w:rFonts w:ascii="Arial" w:hAnsi="Arial" w:cs="Arial"/>
                <w:sz w:val="24"/>
                <w:szCs w:val="24"/>
                <w:lang w:val="en-US"/>
              </w:rPr>
            </w:pPr>
            <w:r w:rsidRPr="007C17BC">
              <w:rPr>
                <w:rFonts w:ascii="Arial" w:hAnsi="Arial" w:cs="Arial"/>
                <w:sz w:val="24"/>
                <w:szCs w:val="24"/>
                <w:lang w:val="en-US"/>
              </w:rPr>
              <w:t>0.</w:t>
            </w:r>
            <w:r w:rsidR="00EA4DAC" w:rsidRPr="007C17BC">
              <w:rPr>
                <w:rFonts w:ascii="Arial" w:hAnsi="Arial" w:cs="Arial"/>
                <w:sz w:val="24"/>
                <w:szCs w:val="24"/>
                <w:lang w:val="en-US"/>
              </w:rPr>
              <w:t>70</w:t>
            </w:r>
          </w:p>
        </w:tc>
      </w:tr>
    </w:tbl>
    <w:p w:rsidR="00A3561E" w:rsidRPr="007C17BC" w:rsidRDefault="00A3561E" w:rsidP="00985695">
      <w:pPr>
        <w:spacing w:after="0" w:line="480" w:lineRule="auto"/>
        <w:rPr>
          <w:rFonts w:ascii="Arial" w:hAnsi="Arial" w:cs="Arial"/>
          <w:sz w:val="24"/>
          <w:szCs w:val="24"/>
          <w:lang w:val="en-US"/>
        </w:rPr>
      </w:pPr>
    </w:p>
    <w:p w:rsidR="00F07744" w:rsidRPr="00586877" w:rsidRDefault="00F07744" w:rsidP="00F07744">
      <w:pPr>
        <w:spacing w:after="0" w:line="480" w:lineRule="auto"/>
        <w:rPr>
          <w:rFonts w:ascii="Arial" w:hAnsi="Arial" w:cs="Arial"/>
          <w:sz w:val="24"/>
          <w:szCs w:val="24"/>
          <w:lang w:val="en-US"/>
        </w:rPr>
      </w:pPr>
      <w:r w:rsidRPr="007C17BC">
        <w:rPr>
          <w:rFonts w:ascii="Arial" w:hAnsi="Arial" w:cs="Arial"/>
          <w:sz w:val="24"/>
          <w:szCs w:val="24"/>
          <w:lang w:val="en-US"/>
        </w:rPr>
        <w:lastRenderedPageBreak/>
        <w:t xml:space="preserve">Separate linear regression models to assess the association between the age groups and the biomarkers. </w:t>
      </w:r>
      <w:r w:rsidR="004E446A" w:rsidRPr="007C17BC">
        <w:rPr>
          <w:rFonts w:ascii="Arial" w:hAnsi="Arial" w:cs="Arial"/>
          <w:sz w:val="24"/>
          <w:szCs w:val="24"/>
          <w:lang w:val="en-US"/>
        </w:rPr>
        <w:t xml:space="preserve">The levels of </w:t>
      </w:r>
      <w:r w:rsidR="001812B8" w:rsidRPr="007C17BC">
        <w:rPr>
          <w:rFonts w:ascii="Arial" w:hAnsi="Arial" w:cs="Arial"/>
          <w:sz w:val="24"/>
          <w:szCs w:val="24"/>
          <w:lang w:val="en-US"/>
        </w:rPr>
        <w:t xml:space="preserve">biomarkers of inflammation, epithelial damage and endothelial activation </w:t>
      </w:r>
      <w:r w:rsidR="004E446A" w:rsidRPr="007C17BC">
        <w:rPr>
          <w:rFonts w:ascii="Arial" w:hAnsi="Arial" w:cs="Arial"/>
          <w:sz w:val="24"/>
          <w:szCs w:val="24"/>
          <w:lang w:val="en-US"/>
        </w:rPr>
        <w:t xml:space="preserve">were log transformed to obtain a normal distribution. </w:t>
      </w:r>
      <w:r w:rsidRPr="007C17BC">
        <w:rPr>
          <w:rFonts w:ascii="Arial" w:hAnsi="Arial" w:cs="Arial"/>
          <w:sz w:val="24"/>
          <w:szCs w:val="24"/>
          <w:lang w:val="en-US"/>
        </w:rPr>
        <w:t>Neonates were used as the reference group. ACE = Angiotensin conver</w:t>
      </w:r>
      <w:r w:rsidR="004672C4" w:rsidRPr="007C17BC">
        <w:rPr>
          <w:rFonts w:ascii="Arial" w:hAnsi="Arial" w:cs="Arial"/>
          <w:sz w:val="24"/>
          <w:szCs w:val="24"/>
          <w:lang w:val="en-US"/>
        </w:rPr>
        <w:t>ting</w:t>
      </w:r>
      <w:r w:rsidRPr="007C17BC">
        <w:rPr>
          <w:rFonts w:ascii="Arial" w:hAnsi="Arial" w:cs="Arial"/>
          <w:sz w:val="24"/>
          <w:szCs w:val="24"/>
          <w:lang w:val="en-US"/>
        </w:rPr>
        <w:t xml:space="preserve"> enzyme; CC = </w:t>
      </w:r>
      <w:proofErr w:type="spellStart"/>
      <w:proofErr w:type="gramStart"/>
      <w:r w:rsidRPr="007C17BC">
        <w:rPr>
          <w:rFonts w:ascii="Arial" w:hAnsi="Arial" w:cs="Arial"/>
          <w:sz w:val="24"/>
          <w:szCs w:val="24"/>
          <w:lang w:val="en-US"/>
        </w:rPr>
        <w:t>clara</w:t>
      </w:r>
      <w:proofErr w:type="spellEnd"/>
      <w:proofErr w:type="gramEnd"/>
      <w:r w:rsidRPr="007C17BC">
        <w:rPr>
          <w:rFonts w:ascii="Arial" w:hAnsi="Arial" w:cs="Arial"/>
          <w:sz w:val="24"/>
          <w:szCs w:val="24"/>
          <w:lang w:val="en-US"/>
        </w:rPr>
        <w:t xml:space="preserve"> cell; ICAM = intercellular adhesion molecule; IL = interleukin; VEGF = vascular endothelial growth factor; MPO = myeloperoxidase; </w:t>
      </w:r>
      <w:proofErr w:type="spellStart"/>
      <w:r w:rsidRPr="007C17BC">
        <w:rPr>
          <w:rFonts w:ascii="Arial" w:hAnsi="Arial" w:cs="Arial"/>
          <w:sz w:val="24"/>
          <w:szCs w:val="24"/>
          <w:lang w:val="en-US"/>
        </w:rPr>
        <w:t>sRAGE</w:t>
      </w:r>
      <w:proofErr w:type="spellEnd"/>
      <w:r w:rsidRPr="007C17BC">
        <w:rPr>
          <w:rFonts w:ascii="Arial" w:hAnsi="Arial" w:cs="Arial"/>
          <w:sz w:val="24"/>
          <w:szCs w:val="24"/>
          <w:lang w:val="en-US"/>
        </w:rPr>
        <w:t xml:space="preserve"> = soluble receptor for advanced glycation end-products. A p-value less than 0.05 was considered statistical significant.</w:t>
      </w:r>
      <w:r w:rsidRPr="00586877">
        <w:rPr>
          <w:rFonts w:ascii="Arial" w:hAnsi="Arial" w:cs="Arial"/>
          <w:sz w:val="24"/>
          <w:szCs w:val="24"/>
          <w:lang w:val="en-US"/>
        </w:rPr>
        <w:t xml:space="preserve"> </w:t>
      </w:r>
    </w:p>
    <w:p w:rsidR="00A33A00" w:rsidRPr="00985695" w:rsidRDefault="00A33A00" w:rsidP="00985695">
      <w:pPr>
        <w:spacing w:after="0" w:line="480" w:lineRule="auto"/>
        <w:rPr>
          <w:rFonts w:ascii="Arial" w:hAnsi="Arial" w:cs="Arial"/>
          <w:sz w:val="24"/>
          <w:szCs w:val="24"/>
          <w:lang w:val="en-US"/>
        </w:rPr>
      </w:pPr>
    </w:p>
    <w:sectPr w:rsidR="00A33A00" w:rsidRPr="00985695" w:rsidSect="00A33A00">
      <w:pgSz w:w="11906" w:h="16838"/>
      <w:pgMar w:top="1411" w:right="1411" w:bottom="1411"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E290D8C0t00">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60403"/>
    <w:multiLevelType w:val="hybridMultilevel"/>
    <w:tmpl w:val="10BA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F957D0"/>
    <w:multiLevelType w:val="hybridMultilevel"/>
    <w:tmpl w:val="047C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5E49AA"/>
    <w:multiLevelType w:val="hybridMultilevel"/>
    <w:tmpl w:val="65200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592D97"/>
    <w:multiLevelType w:val="hybridMultilevel"/>
    <w:tmpl w:val="801404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985695"/>
    <w:rsid w:val="000A4B05"/>
    <w:rsid w:val="00136FA9"/>
    <w:rsid w:val="0015044C"/>
    <w:rsid w:val="001812B8"/>
    <w:rsid w:val="00190045"/>
    <w:rsid w:val="001A7D23"/>
    <w:rsid w:val="00296949"/>
    <w:rsid w:val="002B1F0B"/>
    <w:rsid w:val="003A64DF"/>
    <w:rsid w:val="0046553B"/>
    <w:rsid w:val="004672C4"/>
    <w:rsid w:val="00473629"/>
    <w:rsid w:val="004924B4"/>
    <w:rsid w:val="00496996"/>
    <w:rsid w:val="004B5799"/>
    <w:rsid w:val="004E446A"/>
    <w:rsid w:val="00552017"/>
    <w:rsid w:val="00575681"/>
    <w:rsid w:val="00586877"/>
    <w:rsid w:val="00593E66"/>
    <w:rsid w:val="006834E7"/>
    <w:rsid w:val="006F545C"/>
    <w:rsid w:val="00743661"/>
    <w:rsid w:val="007C17BC"/>
    <w:rsid w:val="008350A0"/>
    <w:rsid w:val="00856359"/>
    <w:rsid w:val="00886592"/>
    <w:rsid w:val="008B262A"/>
    <w:rsid w:val="009671DE"/>
    <w:rsid w:val="00985695"/>
    <w:rsid w:val="00A20146"/>
    <w:rsid w:val="00A33A00"/>
    <w:rsid w:val="00A3561E"/>
    <w:rsid w:val="00A369C7"/>
    <w:rsid w:val="00A405E5"/>
    <w:rsid w:val="00A934E8"/>
    <w:rsid w:val="00AC79C6"/>
    <w:rsid w:val="00AE185F"/>
    <w:rsid w:val="00B11506"/>
    <w:rsid w:val="00B5034F"/>
    <w:rsid w:val="00B5188E"/>
    <w:rsid w:val="00B6129C"/>
    <w:rsid w:val="00B7534B"/>
    <w:rsid w:val="00BB5873"/>
    <w:rsid w:val="00BD2294"/>
    <w:rsid w:val="00BD2DCE"/>
    <w:rsid w:val="00BD67AC"/>
    <w:rsid w:val="00C6499D"/>
    <w:rsid w:val="00C67E69"/>
    <w:rsid w:val="00C906B3"/>
    <w:rsid w:val="00D14EA0"/>
    <w:rsid w:val="00D80ADF"/>
    <w:rsid w:val="00D81EE0"/>
    <w:rsid w:val="00E4673B"/>
    <w:rsid w:val="00EA4DAC"/>
    <w:rsid w:val="00F0578B"/>
    <w:rsid w:val="00F07744"/>
    <w:rsid w:val="00FE4499"/>
  </w:rsids>
  <m:mathPr>
    <m:mathFont m:val="Cambria Math"/>
    <m:brkBin m:val="before"/>
    <m:brkBinSub m:val="--"/>
    <m:smallFrac m:val="off"/>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95"/>
    <w:pPr>
      <w:spacing w:after="200" w:line="276" w:lineRule="auto"/>
    </w:pPr>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5695"/>
    <w:pPr>
      <w:autoSpaceDE w:val="0"/>
      <w:autoSpaceDN w:val="0"/>
      <w:adjustRightInd w:val="0"/>
      <w:spacing w:after="0" w:line="240" w:lineRule="auto"/>
    </w:pPr>
    <w:rPr>
      <w:rFonts w:ascii="Calibri" w:eastAsia="Times New Roman" w:hAnsi="Calibri" w:cs="Calibri"/>
      <w:color w:val="000000"/>
      <w:sz w:val="24"/>
      <w:szCs w:val="24"/>
      <w:lang w:val="nl-NL" w:eastAsia="nl-NL"/>
    </w:rPr>
  </w:style>
  <w:style w:type="character" w:styleId="Emphasis">
    <w:name w:val="Emphasis"/>
    <w:uiPriority w:val="20"/>
    <w:qFormat/>
    <w:rsid w:val="00985695"/>
    <w:rPr>
      <w:i/>
      <w:iCs/>
    </w:rPr>
  </w:style>
  <w:style w:type="paragraph" w:styleId="ListParagraph">
    <w:name w:val="List Paragraph"/>
    <w:basedOn w:val="Normal"/>
    <w:uiPriority w:val="72"/>
    <w:qFormat/>
    <w:rsid w:val="00985695"/>
    <w:pPr>
      <w:ind w:left="720"/>
      <w:contextualSpacing/>
    </w:pPr>
  </w:style>
  <w:style w:type="paragraph" w:styleId="BalloonText">
    <w:name w:val="Balloon Text"/>
    <w:basedOn w:val="Normal"/>
    <w:link w:val="BalloonTextChar"/>
    <w:uiPriority w:val="99"/>
    <w:semiHidden/>
    <w:unhideWhenUsed/>
    <w:rsid w:val="006F5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5C"/>
    <w:rPr>
      <w:rFonts w:ascii="Tahoma" w:eastAsia="Calibri" w:hAnsi="Tahoma" w:cs="Tahoma"/>
      <w:sz w:val="16"/>
      <w:szCs w:val="16"/>
      <w:lang w:val="nl-NL"/>
    </w:rPr>
  </w:style>
  <w:style w:type="table" w:styleId="TableGrid">
    <w:name w:val="Table Grid"/>
    <w:basedOn w:val="TableNormal"/>
    <w:uiPriority w:val="39"/>
    <w:rsid w:val="004B5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5695"/>
    <w:pPr>
      <w:spacing w:after="200" w:line="276" w:lineRule="auto"/>
    </w:pPr>
    <w:rPr>
      <w:rFonts w:ascii="Calibri" w:eastAsia="Calibri" w:hAnsi="Calibri" w:cs="Times New Roman"/>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85695"/>
    <w:pPr>
      <w:autoSpaceDE w:val="0"/>
      <w:autoSpaceDN w:val="0"/>
      <w:adjustRightInd w:val="0"/>
      <w:spacing w:after="0" w:line="240" w:lineRule="auto"/>
    </w:pPr>
    <w:rPr>
      <w:rFonts w:ascii="Calibri" w:eastAsia="Times New Roman" w:hAnsi="Calibri" w:cs="Calibri"/>
      <w:color w:val="000000"/>
      <w:sz w:val="24"/>
      <w:szCs w:val="24"/>
      <w:lang w:val="nl-NL" w:eastAsia="nl-NL"/>
    </w:rPr>
  </w:style>
  <w:style w:type="character" w:styleId="Nadruk">
    <w:name w:val="Emphasis"/>
    <w:uiPriority w:val="20"/>
    <w:qFormat/>
    <w:rsid w:val="00985695"/>
    <w:rPr>
      <w:i/>
      <w:iCs/>
    </w:rPr>
  </w:style>
  <w:style w:type="paragraph" w:styleId="Lijstalinea">
    <w:name w:val="List Paragraph"/>
    <w:basedOn w:val="Standaard"/>
    <w:uiPriority w:val="72"/>
    <w:qFormat/>
    <w:rsid w:val="00985695"/>
    <w:pPr>
      <w:ind w:left="720"/>
      <w:contextualSpacing/>
    </w:pPr>
  </w:style>
  <w:style w:type="paragraph" w:styleId="Ballontekst">
    <w:name w:val="Balloon Text"/>
    <w:basedOn w:val="Standaard"/>
    <w:link w:val="BallontekstChar"/>
    <w:uiPriority w:val="99"/>
    <w:semiHidden/>
    <w:unhideWhenUsed/>
    <w:rsid w:val="006F545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545C"/>
    <w:rPr>
      <w:rFonts w:ascii="Tahoma" w:eastAsia="Calibri" w:hAnsi="Tahoma" w:cs="Tahoma"/>
      <w:sz w:val="16"/>
      <w:szCs w:val="16"/>
      <w:lang w:val="nl-NL"/>
    </w:rPr>
  </w:style>
  <w:style w:type="table" w:styleId="Tabelraster">
    <w:name w:val="Table Grid"/>
    <w:basedOn w:val="Standaardtabel"/>
    <w:uiPriority w:val="39"/>
    <w:rsid w:val="004B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B7E3-7EB9-4ECC-AC3D-ACE62C0F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4604</Words>
  <Characters>26249</Characters>
  <Application>Microsoft Office Word</Application>
  <DocSecurity>0</DocSecurity>
  <Lines>218</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UMC Utrecht</Company>
  <LinksUpToDate>false</LinksUpToDate>
  <CharactersWithSpaces>30792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Schouten</dc:creator>
  <cp:lastModifiedBy>0010757</cp:lastModifiedBy>
  <cp:revision>5</cp:revision>
  <dcterms:created xsi:type="dcterms:W3CDTF">2019-03-11T10:09:00Z</dcterms:created>
  <dcterms:modified xsi:type="dcterms:W3CDTF">2019-05-07T06:09:00Z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http://www.zotero.org/styles/critical-care-medicine</vt:lpwstr>
  </property>
  <property fmtid="{D5CDD505-2E9C-101B-9397-08002B2CF9AE}" pid="11" name="Mendeley Recent Style Name 4_1">
    <vt:lpwstr>Critical Care Medicine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ies>
</file>